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B3A5C"/>
          <w:sz w:val="72"/>
        </w:rPr>
        <w:t>NetForensiq</w:t>
      </w:r>
    </w:p>
    <w:p>
      <w:pPr>
        <w:jc w:val="center"/>
      </w:pPr>
      <w:r>
        <w:rPr>
          <w:color w:val="4A6FA5"/>
          <w:sz w:val="36"/>
        </w:rPr>
        <w:t>Government Rules &amp; Legal Compliance Reference</w:t>
      </w:r>
    </w:p>
    <w:p/>
    <w:p>
      <w:pPr>
        <w:jc w:val="center"/>
      </w:pPr>
      <w:r>
        <w:rPr>
          <w:i/>
          <w:color w:val="555555"/>
          <w:sz w:val="26"/>
        </w:rPr>
        <w:t>Every statute, rule, and government directive</w:t>
        <w:br/>
        <w:t>that NetForensiq implements, references, or is designed to comply with.</w:t>
      </w:r>
    </w:p>
    <w:p/>
    <w:p/>
    <w:p/>
    <w:p/>
    <w:p>
      <w:pPr>
        <w:jc w:val="center"/>
      </w:pPr>
      <w:r>
        <w:rPr>
          <w:color w:val="333333"/>
          <w:sz w:val="22"/>
        </w:rPr>
        <w:t>KANAD S.H.I.E.L.D. 2026</w:t>
        <w:br/>
        <w:t>Category 2 — Problem Statement #8</w:t>
        <w:br/>
        <w:t>i-Hub Gujarat, Ahmedabad</w:t>
        <w:br/>
        <w:br/>
        <w:t>August 2026</w:t>
      </w:r>
    </w:p>
    <w:p>
      <w:r>
        <w:br w:type="page"/>
      </w:r>
    </w:p>
    <w:p>
      <w:pPr>
        <w:pStyle w:val="Heading1"/>
      </w:pPr>
      <w:r>
        <w:rPr>
          <w:color w:val="1B3A5C"/>
        </w:rPr>
        <w:t>1. The New Criminal Law Regime (In Force 1 July 2024)</w:t>
      </w:r>
    </w:p>
    <w:p>
      <w:pPr/>
      <w:r>
        <w:t>India's criminal law underwent its most comprehensive overhaul since independence when three new codes replaced the colonial-era statutes. Every feature of NetForensiq is designed against this post-1 July 2024 legal framework.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New Code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Replaces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Relevance to NetForensiq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BNS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Bharatiya Nyaya Sanhita, 2023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Indian Penal Code 1860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§111 (organised crime incl. cybercrime), §113 (terrorist act) — substantive offences</w:t>
            </w:r>
          </w:p>
        </w:tc>
      </w:tr>
      <w:tr>
        <w:tc>
          <w:tcPr>
            <w:tcW w:type="dxa" w:w="1134"/>
            <w:shd w:fill="EDF2F7" w:val="clear"/>
          </w:tcPr>
          <w:p>
            <w:r>
              <w:rPr>
                <w:sz w:val="18"/>
              </w:rPr>
              <w:t>BNSS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8"/>
              </w:rPr>
              <w:t>Bharatiya Nagarik Suraksha Sanhita, 2023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8"/>
              </w:rPr>
              <w:t>CrPC 1973</w:t>
            </w:r>
          </w:p>
        </w:tc>
        <w:tc>
          <w:tcPr>
            <w:tcW w:type="dxa" w:w="3118"/>
            <w:shd w:fill="EDF2F7" w:val="clear"/>
          </w:tcPr>
          <w:p>
            <w:r>
              <w:rPr>
                <w:sz w:val="18"/>
              </w:rPr>
              <w:t>§94 (production summons for CDR/IPDR), §105/185 (mandatory A/V recording), §173 (e-FIR/Zero FIR), §176(3) (mandatory forensic visit for ≥7yr offences)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BSA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Bharatiya Sakshya Adhiniyam, 2023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Indian Evidence Act 1872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§63 (electronic evidence admissibility + certificate) — the single most load-bearing provision for this project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2. BSA Section 63 — Electronic Evidence Admissibility</w:t>
      </w:r>
    </w:p>
    <w:p>
      <w:pPr/>
      <w:r>
        <w:t>Section 63 of the Bharatiya Sakshya Adhiniyam 2023 governs when an electronic record is admissible without producing the originating device. It is the direct successor to the long-litigated Section 65B of the Indian Evidence Act 1872. NetForensiq's entire evidence layer is built against this provision.</w:t>
      </w:r>
    </w:p>
    <w:p>
      <w:pPr>
        <w:pStyle w:val="Heading2"/>
      </w:pPr>
      <w:r>
        <w:rPr>
          <w:color w:val="1B3A5C"/>
        </w:rPr>
        <w:t>2.1 The Four Statutory Conditions — §63(2)</w:t>
      </w:r>
    </w:p>
    <w:p>
      <w:pPr>
        <w:pStyle w:val="ListBullet"/>
      </w:pPr>
      <w:r>
        <w:rPr>
          <w:b/>
          <w:sz w:val="20"/>
        </w:rPr>
        <w:t>(a)</w:t>
      </w:r>
      <w:r>
        <w:rPr>
          <w:sz w:val="20"/>
        </w:rPr>
        <w:t xml:space="preserve"> The computer was used regularly for the relevant activity during the period.</w:t>
      </w:r>
    </w:p>
    <w:p>
      <w:pPr>
        <w:pStyle w:val="ListBullet"/>
      </w:pPr>
      <w:r>
        <w:rPr>
          <w:b/>
          <w:sz w:val="20"/>
        </w:rPr>
        <w:t>(b)</w:t>
      </w:r>
      <w:r>
        <w:rPr>
          <w:sz w:val="20"/>
        </w:rPr>
        <w:t xml:space="preserve"> Information of that kind was regularly fed into the computer.</w:t>
      </w:r>
    </w:p>
    <w:p>
      <w:pPr>
        <w:pStyle w:val="ListBullet"/>
      </w:pPr>
      <w:r>
        <w:rPr>
          <w:b/>
          <w:sz w:val="20"/>
        </w:rPr>
        <w:t>(c)</w:t>
      </w:r>
      <w:r>
        <w:rPr>
          <w:sz w:val="20"/>
        </w:rPr>
        <w:t xml:space="preserve"> The computer was operating properly throughout (or any malfunction did not affect accuracy).</w:t>
      </w:r>
    </w:p>
    <w:p>
      <w:pPr>
        <w:pStyle w:val="ListBullet"/>
      </w:pPr>
      <w:r>
        <w:rPr>
          <w:b/>
          <w:sz w:val="20"/>
        </w:rPr>
        <w:t>(d)</w:t>
      </w:r>
      <w:r>
        <w:rPr>
          <w:sz w:val="20"/>
        </w:rPr>
        <w:t xml:space="preserve"> The information reproduces or derives from what was fed in the ordinary course.</w:t>
      </w:r>
    </w:p>
    <w:p>
      <w:pPr>
        <w:pStyle w:val="Heading2"/>
      </w:pPr>
      <w:r>
        <w:rPr>
          <w:color w:val="1B3A5C"/>
        </w:rPr>
        <w:t>2.2 The Mandatory Certificate — §63(4) + THE SCHEDULE</w:t>
      </w:r>
    </w:p>
    <w:p>
      <w:pPr/>
      <w:r>
        <w:t>Section 63(4) requires a certificate to accompany every electronic record submitted for admission. The certificate form is prescribed in THE SCHEDULE to the Act, cross-referenced by §63(4)(c). It has two parts:</w:t>
      </w:r>
    </w:p>
    <w:p>
      <w:pPr>
        <w:pStyle w:val="ListBullet"/>
      </w:pPr>
      <w:r>
        <w:rPr>
          <w:b/>
          <w:sz w:val="20"/>
        </w:rPr>
        <w:t>Part A (Party) —</w:t>
      </w:r>
      <w:r>
        <w:rPr>
          <w:sz w:val="20"/>
        </w:rPr>
        <w:t xml:space="preserve"> Filled by the person in charge of the device (operator/custodian). Declares lawful control, regular operation, and the hash value with algorithm used. Checkboxes: Owned / Maintained / Managed / Operated.</w:t>
      </w:r>
    </w:p>
    <w:p>
      <w:pPr>
        <w:pStyle w:val="ListBullet"/>
      </w:pPr>
      <w:r>
        <w:rPr>
          <w:b/>
          <w:sz w:val="20"/>
        </w:rPr>
        <w:t>Part B (Expert) —</w:t>
      </w:r>
      <w:r>
        <w:rPr>
          <w:sz w:val="20"/>
        </w:rPr>
        <w:t xml:space="preserve"> Filled by an expert. States the hash value independently and countersigns. Both signatures are required conjunctively ('signed by a person in charge … and an expert').</w:t>
      </w:r>
    </w:p>
    <w:p>
      <w:pPr>
        <w:pStyle w:val="Heading2"/>
      </w:pPr>
      <w:r>
        <w:rPr>
          <w:color w:val="1B3A5C"/>
        </w:rPr>
        <w:t>2.3 Hash Algorithms Named in the Statute</w:t>
      </w:r>
    </w:p>
    <w:p>
      <w:pPr/>
      <w:r>
        <w:t>THE SCHEDULE explicitly names three hash algorithms as checkbox options: SHA1, SHA256, MD5, plus an open 'Other (Legally acceptable standard)' field. NetForensiq computes all three so every checkbox on the form carries a value. SHA-256 is the primary digest relied upon; SHA-1 and MD5 are both cryptographically broken for collision resistance (per NIST guidance) and are included solely because the statutory form names them.</w:t>
      </w:r>
    </w:p>
    <w:p>
      <w:pPr>
        <w:pStyle w:val="Heading2"/>
      </w:pPr>
      <w:r>
        <w:rPr>
          <w:color w:val="1B3A5C"/>
        </w:rPr>
        <w:t>2.4 How NetForensiq Implements §63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Statutory Requirement</w:t>
            </w:r>
          </w:p>
        </w:tc>
        <w:tc>
          <w:tcPr>
            <w:tcW w:type="dxa" w:w="595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NetForensiq Implementation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Hash value + algorithm (Schedule Part A/B)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SHA-256 + MD5 + SHA-1 computed at ingest in a single streaming pass; algorithm declared as a structured field</w:t>
            </w:r>
          </w:p>
        </w:tc>
      </w:tr>
      <w:tr>
        <w:tc>
          <w:tcPr>
            <w:tcW w:type="dxa" w:w="3402"/>
            <w:shd w:fill="EDF2F7" w:val="clear"/>
          </w:tcPr>
          <w:p>
            <w:r>
              <w:rPr>
                <w:sz w:val="18"/>
              </w:rPr>
              <w:t>Device identification (type, make/model, serial, IMEI/MAC)</w:t>
            </w:r>
          </w:p>
        </w:tc>
        <w:tc>
          <w:tcPr>
            <w:tcW w:type="dxa" w:w="5953"/>
            <w:shd w:fill="EDF2F7" w:val="clear"/>
          </w:tcPr>
          <w:p>
            <w:r>
              <w:rPr>
                <w:sz w:val="18"/>
              </w:rPr>
              <w:t>Stored as structured EvidenceRecord fields matching the Schedule's checkbox list verbatim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Dual signature (person in charge + expert)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Certificate PDF requires both Part A and Part B signatures; missing either triggers a 'DRAFT — NOT A VALID CERTIFICATE' watermark</w:t>
            </w:r>
          </w:p>
        </w:tc>
      </w:tr>
      <w:tr>
        <w:tc>
          <w:tcPr>
            <w:tcW w:type="dxa" w:w="3402"/>
            <w:shd w:fill="EDF2F7" w:val="clear"/>
          </w:tcPr>
          <w:p>
            <w:r>
              <w:rPr>
                <w:sz w:val="18"/>
              </w:rPr>
              <w:t>Certificate form per THE SCHEDULE</w:t>
            </w:r>
          </w:p>
        </w:tc>
        <w:tc>
          <w:tcPr>
            <w:tcW w:type="dxa" w:w="5953"/>
            <w:shd w:fill="EDF2F7" w:val="clear"/>
          </w:tcPr>
          <w:p>
            <w:r>
              <w:rPr>
                <w:sz w:val="18"/>
              </w:rPr>
              <w:t>PDF reproduces the Schedule's exact wording, field order, and tick-boxes from the bare Act (indiacode.nic.in)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Fields the tool cannot know (e.g., device colour)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Printed blank for completion in ink — never filled with plausible values, as that would forge a statutory declaration</w:t>
            </w:r>
          </w:p>
        </w:tc>
      </w:tr>
      <w:tr>
        <w:tc>
          <w:tcPr>
            <w:tcW w:type="dxa" w:w="3402"/>
            <w:shd w:fill="EDF2F7" w:val="clear"/>
          </w:tcPr>
          <w:p>
            <w:r>
              <w:rPr>
                <w:sz w:val="18"/>
              </w:rPr>
              <w:t>Integrity re-verification</w:t>
            </w:r>
          </w:p>
        </w:tc>
        <w:tc>
          <w:tcPr>
            <w:tcW w:type="dxa" w:w="5953"/>
            <w:shd w:fill="EDF2F7" w:val="clear"/>
          </w:tcPr>
          <w:p>
            <w:r>
              <w:rPr>
                <w:sz w:val="18"/>
              </w:rPr>
              <w:t>Re-hashes the sealed PCAP at export time and compares against stored digest; certificate generation refuses to run if the check fails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3. BNSS Provisions Relevant to NetForensiq</w:t>
      </w:r>
    </w:p>
    <w:p>
      <w:pPr>
        <w:pStyle w:val="Heading2"/>
      </w:pPr>
      <w:r>
        <w:rPr>
          <w:color w:val="1B3A5C"/>
        </w:rPr>
        <w:t>3.1 Section 94 — Production Summons for Digital Evidence</w:t>
      </w:r>
    </w:p>
    <w:p>
      <w:pPr/>
      <w:r>
        <w:t>Section 94 BNSS (replacing §91 CrPC) empowers an investigating officer to issue a written requisition to a TSP or bank for CDR, IPDR, CAF, or account records. NetForensiq's evidence intake is designed to receive artefacts obtained through this channel and immediately seal them with hashing and chain-of-custody logging.</w:t>
      </w:r>
    </w:p>
    <w:p>
      <w:pPr>
        <w:pStyle w:val="Heading2"/>
      </w:pPr>
      <w:r>
        <w:rPr>
          <w:color w:val="1B3A5C"/>
        </w:rPr>
        <w:t>3.2 Sections 105 &amp; 185 — Mandatory A/V Recording of Search &amp; Seizure</w:t>
      </w:r>
    </w:p>
    <w:p>
      <w:pPr/>
      <w:r>
        <w:t>BNSS §105 mandates audio-video recording of every search and seizure. Warrant-search recordings must reach the Magistrate within 48 hours; warrantless within 'without delay'. The official app for this is eSakshya (NIC). NetForensiq is designed to accept eSakshya-format evidence (timestamped video + GPS + officer ID + hash) as a first-class record type.</w:t>
      </w:r>
    </w:p>
    <w:p>
      <w:pPr>
        <w:pStyle w:val="Heading2"/>
      </w:pPr>
      <w:r>
        <w:rPr>
          <w:color w:val="1B3A5C"/>
        </w:rPr>
        <w:t>3.3 Section 173 — e-FIR / Zero FIR</w:t>
      </w:r>
    </w:p>
    <w:p>
      <w:pPr/>
      <w:r>
        <w:t>Section 173(1) BNSS gives statutory recognition to Zero FIR (any police station, regardless of jurisdiction) and permits reporting by electronic communication. Gujarat launched a 'Cyber Financial Fraud e-Zero FIR' service on 27 July 2026 (Dy CM Harsh Sanghavi, developed with I4C) — a 1930-helpline complaint now auto-generates an FIR.</w:t>
      </w:r>
    </w:p>
    <w:p>
      <w:pPr>
        <w:pStyle w:val="Heading2"/>
      </w:pPr>
      <w:r>
        <w:rPr>
          <w:color w:val="1B3A5C"/>
        </w:rPr>
        <w:t>3.4 Section 176(3) — Mandatory Forensic Visit (≥7yr offences)</w:t>
      </w:r>
    </w:p>
    <w:p>
      <w:pPr/>
      <w:r>
        <w:t>For offences punishable with 7+ years, the IO must cause a forensic expert to visit the crime scene and videograph the process. States have up to 5 years to build capacity. NetForensiq's evidence-chain model supports forensic-visit artefact intake.</w:t>
      </w:r>
    </w:p>
    <w:p>
      <w:r>
        <w:br w:type="page"/>
      </w:r>
    </w:p>
    <w:p>
      <w:pPr>
        <w:pStyle w:val="Heading1"/>
      </w:pPr>
      <w:r>
        <w:rPr>
          <w:color w:val="1B3A5C"/>
        </w:rPr>
        <w:t>4. Other Government Rules &amp; Directives</w:t>
      </w:r>
    </w:p>
    <w:p>
      <w:pPr>
        <w:pStyle w:val="Heading2"/>
      </w:pPr>
      <w:r>
        <w:rPr>
          <w:color w:val="1B3A5C"/>
        </w:rPr>
        <w:t>4.1 IT Act 2000 — Sections Still in Force</w:t>
      </w:r>
    </w:p>
    <w:p>
      <w:pPr/>
      <w:r>
        <w:t>The IT Act was NOT repealed by BNS/BNSS/BSA. Key surviving sections: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Subject</w:t>
            </w:r>
          </w:p>
        </w:tc>
        <w:tc>
          <w:tcPr>
            <w:tcW w:type="dxa" w:w="510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Relevance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§66C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Identity theft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Fraudulent use of passwords/digital signatures; up to 3 yrs + ₹1L fine</w:t>
            </w:r>
          </w:p>
        </w:tc>
      </w:tr>
      <w:tr>
        <w:tc>
          <w:tcPr>
            <w:tcW w:type="dxa" w:w="1417"/>
            <w:shd w:fill="EDF2F7" w:val="clear"/>
          </w:tcPr>
          <w:p>
            <w:r>
              <w:rPr>
                <w:sz w:val="18"/>
              </w:rPr>
              <w:t>§66D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8"/>
              </w:rPr>
              <w:t>Cheating by personation</w:t>
            </w:r>
          </w:p>
        </w:tc>
        <w:tc>
          <w:tcPr>
            <w:tcW w:type="dxa" w:w="5102"/>
            <w:shd w:fill="EDF2F7" w:val="clear"/>
          </w:tcPr>
          <w:p>
            <w:r>
              <w:rPr>
                <w:sz w:val="18"/>
              </w:rPr>
              <w:t>Core provision for online impersonation fraud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§67/67A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Obscene/sexually explicit material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Publishing/transmitting electronically</w:t>
            </w:r>
          </w:p>
        </w:tc>
      </w:tr>
      <w:tr>
        <w:tc>
          <w:tcPr>
            <w:tcW w:type="dxa" w:w="1417"/>
            <w:shd w:fill="EDF2F7" w:val="clear"/>
          </w:tcPr>
          <w:p>
            <w:r>
              <w:rPr>
                <w:sz w:val="18"/>
              </w:rPr>
              <w:t>§69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8"/>
              </w:rPr>
              <w:t>Interception/monitoring</w:t>
            </w:r>
          </w:p>
        </w:tc>
        <w:tc>
          <w:tcPr>
            <w:tcW w:type="dxa" w:w="5102"/>
            <w:shd w:fill="EDF2F7" w:val="clear"/>
          </w:tcPr>
          <w:p>
            <w:r>
              <w:rPr>
                <w:sz w:val="18"/>
              </w:rPr>
              <w:t>Government power to intercept in interest of sovereignty/security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§69A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Blocking of websites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Government power to block public access to information</w:t>
            </w:r>
          </w:p>
        </w:tc>
      </w:tr>
      <w:tr>
        <w:tc>
          <w:tcPr>
            <w:tcW w:type="dxa" w:w="1417"/>
            <w:shd w:fill="EDF2F7" w:val="clear"/>
          </w:tcPr>
          <w:p>
            <w:r>
              <w:rPr>
                <w:sz w:val="18"/>
              </w:rPr>
              <w:t>§79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8"/>
              </w:rPr>
              <w:t>Intermediary safe harbour</w:t>
            </w:r>
          </w:p>
        </w:tc>
        <w:tc>
          <w:tcPr>
            <w:tcW w:type="dxa" w:w="5102"/>
            <w:shd w:fill="EDF2F7" w:val="clear"/>
          </w:tcPr>
          <w:p>
            <w:r>
              <w:rPr>
                <w:sz w:val="18"/>
              </w:rPr>
              <w:t>Platforms not liable if due diligence observed</w:t>
            </w:r>
          </w:p>
        </w:tc>
      </w:tr>
    </w:tbl>
    <w:p>
      <w:pPr>
        <w:pStyle w:val="Heading2"/>
      </w:pPr>
      <w:r>
        <w:rPr>
          <w:color w:val="1B3A5C"/>
        </w:rPr>
        <w:t>4.2 CERT-In Directions 2022 (§70B(6), IT Act)</w:t>
      </w:r>
    </w:p>
    <w:p>
      <w:pPr>
        <w:pStyle w:val="ListBullet"/>
      </w:pPr>
      <w:r>
        <w:rPr>
          <w:b/>
          <w:sz w:val="20"/>
        </w:rPr>
        <w:t>6-Hour Reporting —</w:t>
      </w:r>
      <w:r>
        <w:rPr>
          <w:sz w:val="20"/>
        </w:rPr>
        <w:t xml:space="preserve"> Mandatory reporting of cyber incidents to CERT-In within 6 hours.</w:t>
      </w:r>
    </w:p>
    <w:p>
      <w:pPr>
        <w:pStyle w:val="ListBullet"/>
      </w:pPr>
      <w:r>
        <w:rPr>
          <w:b/>
          <w:sz w:val="20"/>
        </w:rPr>
        <w:t>180-Day Log Retention —</w:t>
      </w:r>
      <w:r>
        <w:rPr>
          <w:sz w:val="20"/>
        </w:rPr>
        <w:t xml:space="preserve"> All ICT system logs must be retained for 180 days, stored within India.</w:t>
      </w:r>
    </w:p>
    <w:p>
      <w:pPr>
        <w:pStyle w:val="Heading2"/>
      </w:pPr>
      <w:r>
        <w:rPr>
          <w:color w:val="1B3A5C"/>
        </w:rPr>
        <w:t>4.3 DPDP Act 2023 — Law Enforcement Exemption</w:t>
      </w:r>
    </w:p>
    <w:p>
      <w:pPr/>
      <w:r>
        <w:t>Section 17 exempts processing necessary for prevention/detection/investigation/ prosecution of offences. Police investigative tools sit inside this exemption. However, any citizen-facing component (complaint portal, self-service lookup) requires full DPDP hygiene: consent notice, purpose limitation, retention policy, grievance officer contact.</w:t>
      </w:r>
    </w:p>
    <w:p>
      <w:pPr>
        <w:pStyle w:val="Heading2"/>
      </w:pPr>
      <w:r>
        <w:rPr>
          <w:color w:val="1B3A5C"/>
        </w:rPr>
        <w:t>4.4 Telecommunications Act 2023 — Interception Framework</w:t>
      </w:r>
    </w:p>
    <w:p>
      <w:pPr/>
      <w:r>
        <w:t>Section 20 replaced the colonial Telegraph Act provisions. Interception requires an order from authorised Central/State agencies on grounds of public emergency/safety/ national security. Review Committees can set aside orders and order destruction. CDR/metadata (§94 BNSS summons) and live interception (Telecom Act 2023 order) are categorically different powers — NetForensiq never conflates them.</w:t>
      </w:r>
    </w:p>
    <w:p>
      <w:r>
        <w:br w:type="page"/>
      </w:r>
    </w:p>
    <w:p>
      <w:pPr>
        <w:pStyle w:val="Heading1"/>
      </w:pPr>
      <w:r>
        <w:rPr>
          <w:color w:val="1B3A5C"/>
        </w:rPr>
        <w:t>5. Key Case Law on Electronic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Case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Court / Date</w:t>
            </w:r>
          </w:p>
        </w:tc>
        <w:tc>
          <w:tcPr>
            <w:tcW w:type="dxa" w:w="510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Holding &amp; Relevance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Anvar P.V. v. P.K. Basheer</w:t>
              <w:br/>
              <w:t>(2014) 10 SCC 473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Supreme Court</w:t>
              <w:br/>
              <w:t>18 Sep 2014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§65B(4) certificate is mandatory for secondary electronic evidence. Overruled the relaxation in Navjot Sandhu.</w:t>
            </w:r>
          </w:p>
        </w:tc>
      </w:tr>
      <w:tr>
        <w:tc>
          <w:tcPr>
            <w:tcW w:type="dxa" w:w="2268"/>
            <w:shd w:fill="EDF2F7" w:val="clear"/>
          </w:tcPr>
          <w:p>
            <w:r>
              <w:rPr>
                <w:sz w:val="18"/>
              </w:rPr>
              <w:t>Arjun Panditrao Khotkar v.</w:t>
              <w:br/>
              <w:t>Kailash Gorantyal</w:t>
              <w:br/>
              <w:t>(2020) 7 SCC 1</w:t>
            </w:r>
          </w:p>
        </w:tc>
        <w:tc>
          <w:tcPr>
            <w:tcW w:type="dxa" w:w="1984"/>
            <w:shd w:fill="EDF2F7" w:val="clear"/>
          </w:tcPr>
          <w:p>
            <w:r>
              <w:rPr>
                <w:sz w:val="18"/>
              </w:rPr>
              <w:t>Supreme Court</w:t>
              <w:br/>
              <w:t>(3-judge bench)</w:t>
              <w:br/>
              <w:t>14 Jul 2020</w:t>
            </w:r>
          </w:p>
        </w:tc>
        <w:tc>
          <w:tcPr>
            <w:tcW w:type="dxa" w:w="5102"/>
            <w:shd w:fill="EDF2F7" w:val="clear"/>
          </w:tcPr>
          <w:p>
            <w:r>
              <w:rPr>
                <w:sz w:val="18"/>
              </w:rPr>
              <w:t>Upheld Anvar P.V. — certificate is 'a condition precedent'. Cannot be supplemented through oral evidence.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Pooranmal v. State of</w:t>
              <w:br/>
              <w:t>Rajasthan (2026 INSC 217)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Supreme Court</w:t>
              <w:br/>
              <w:t>2026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Reaffirmed mandatory §65B certification and strict chain-of-custody for CDR/FSL evidence in circumstantial murder trial.</w:t>
            </w:r>
          </w:p>
        </w:tc>
      </w:tr>
      <w:tr>
        <w:tc>
          <w:tcPr>
            <w:tcW w:type="dxa" w:w="2268"/>
            <w:shd w:fill="EDF2F7" w:val="clear"/>
          </w:tcPr>
          <w:p>
            <w:r>
              <w:rPr>
                <w:sz w:val="18"/>
              </w:rPr>
              <w:t>Kshitijbhai Patel v.</w:t>
              <w:br/>
              <w:t>Dilipbhai Kanani</w:t>
              <w:br/>
              <w:t>SCA 120/2023</w:t>
            </w:r>
          </w:p>
        </w:tc>
        <w:tc>
          <w:tcPr>
            <w:tcW w:type="dxa" w:w="1984"/>
            <w:shd w:fill="EDF2F7" w:val="clear"/>
          </w:tcPr>
          <w:p>
            <w:r>
              <w:rPr>
                <w:sz w:val="18"/>
              </w:rPr>
              <w:t>Gujarat HC</w:t>
              <w:br/>
              <w:t>J. Doshi</w:t>
              <w:br/>
              <w:t>8 May 2026</w:t>
            </w:r>
          </w:p>
        </w:tc>
        <w:tc>
          <w:tcPr>
            <w:tcW w:type="dxa" w:w="5102"/>
            <w:shd w:fill="EDF2F7" w:val="clear"/>
          </w:tcPr>
          <w:p>
            <w:r>
              <w:rPr>
                <w:sz w:val="18"/>
              </w:rPr>
              <w:t>§65B(4)/§63(4) certificate is 'a condition precedent'. Trial court's order sending evidence to FSL without deciding certificate question first was 'a patent illegality'. Also states: primary electronic documents must arrive 'along with the hash value'.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Mani Roy v. State of H.P.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HP High Court</w:t>
              <w:br/>
              <w:t>27 May 2025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eSakshya recording without §63(c) certificate is not admissible. Bail granted.</w:t>
            </w:r>
          </w:p>
        </w:tc>
      </w:tr>
      <w:tr>
        <w:tc>
          <w:tcPr>
            <w:tcW w:type="dxa" w:w="2268"/>
            <w:shd w:fill="EDF2F7" w:val="clear"/>
          </w:tcPr>
          <w:p>
            <w:r>
              <w:rPr>
                <w:sz w:val="18"/>
              </w:rPr>
              <w:t>Shadab v. State of U.P.</w:t>
            </w:r>
          </w:p>
        </w:tc>
        <w:tc>
          <w:tcPr>
            <w:tcW w:type="dxa" w:w="1984"/>
            <w:shd w:fill="EDF2F7" w:val="clear"/>
          </w:tcPr>
          <w:p>
            <w:r>
              <w:rPr>
                <w:sz w:val="18"/>
              </w:rPr>
              <w:t>Allahabad HC</w:t>
              <w:br/>
              <w:t>5 Jan 2026</w:t>
            </w:r>
          </w:p>
        </w:tc>
        <w:tc>
          <w:tcPr>
            <w:tcW w:type="dxa" w:w="5102"/>
            <w:shd w:fill="EDF2F7" w:val="clear"/>
          </w:tcPr>
          <w:p>
            <w:r>
              <w:rPr>
                <w:sz w:val="18"/>
              </w:rPr>
              <w:t>Failure to videograph seizure per BNSS §105 showed 'negligence and arbitrariness'. Directed DGP to mandate eSakshya SOP.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Suresh v. State of Kerala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Kerala HC</w:t>
              <w:br/>
              <w:t>26 Jul 2025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Set aside murder conviction for 'irresponsible' crime-scene documentation. BNSS 'obligates' police to videotape every search/seizure.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6. Chain of Custody &amp; Evidence Integrity Requirements</w:t>
      </w:r>
    </w:p>
    <w:p>
      <w:pPr/>
      <w:r>
        <w:t>BSA §63(4)(c) and established forensic practice require:</w:t>
      </w:r>
    </w:p>
    <w:p>
      <w:pPr>
        <w:pStyle w:val="ListBullet"/>
      </w:pPr>
      <w:r>
        <w:rPr>
          <w:b/>
          <w:sz w:val="20"/>
        </w:rPr>
        <w:t>Hash at Ingest —</w:t>
      </w:r>
      <w:r>
        <w:rPr>
          <w:sz w:val="20"/>
        </w:rPr>
        <w:t xml:space="preserve"> SHA-256 (or stated algorithm) at seizure/imaging. Any mismatch proves tampering.</w:t>
      </w:r>
    </w:p>
    <w:p>
      <w:pPr>
        <w:pStyle w:val="ListBullet"/>
      </w:pPr>
      <w:r>
        <w:rPr>
          <w:b/>
          <w:sz w:val="20"/>
        </w:rPr>
        <w:t>Immutable Audit Log —</w:t>
      </w:r>
      <w:r>
        <w:rPr>
          <w:sz w:val="20"/>
        </w:rPr>
        <w:t xml:space="preserve"> Append-only, hash-chained event log. Each entry digests its predecessor.</w:t>
      </w:r>
    </w:p>
    <w:p>
      <w:pPr>
        <w:pStyle w:val="ListBullet"/>
      </w:pPr>
      <w:r>
        <w:rPr>
          <w:b/>
          <w:sz w:val="20"/>
        </w:rPr>
        <w:t>Custody Transfer Events —</w:t>
      </w:r>
      <w:r>
        <w:rPr>
          <w:sz w:val="20"/>
        </w:rPr>
        <w:t xml:space="preserve"> Every transfer (seizure → transport → lab → court) logged with actor, timestamp, location.</w:t>
      </w:r>
    </w:p>
    <w:p>
      <w:pPr>
        <w:pStyle w:val="ListBullet"/>
      </w:pPr>
      <w:r>
        <w:rPr>
          <w:b/>
          <w:sz w:val="20"/>
        </w:rPr>
        <w:t>Original vs Working Copy —</w:t>
      </w:r>
      <w:r>
        <w:rPr>
          <w:sz w:val="20"/>
        </w:rPr>
        <w:t xml:space="preserve"> Analysis never touches the sealed original. Working copies only.</w:t>
      </w:r>
    </w:p>
    <w:p>
      <w:pPr>
        <w:pStyle w:val="ListBullet"/>
      </w:pPr>
      <w:r>
        <w:rPr>
          <w:b/>
          <w:sz w:val="20"/>
        </w:rPr>
        <w:t>Verification at Export —</w:t>
      </w:r>
      <w:r>
        <w:rPr>
          <w:sz w:val="20"/>
        </w:rPr>
        <w:t xml:space="preserve"> Re-hash at export; flag any mismatch before certificate generation.</w:t>
      </w:r>
    </w:p>
    <w:p>
      <w:pPr>
        <w:pStyle w:val="Heading1"/>
      </w:pPr>
      <w:r>
        <w:rPr>
          <w:color w:val="1B3A5C"/>
        </w:rPr>
        <w:t>7. Compliance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68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NetForensiq 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Hash at ingestion (SHA-256 + algorithm declared)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BSA §63 Schedule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85"/>
            <w:shd w:fill="EDF2F7" w:val="clear"/>
          </w:tcPr>
          <w:p>
            <w:r>
              <w:rPr>
                <w:sz w:val="18"/>
              </w:rPr>
              <w:t>Hash re-verification on export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BSA §63 + forensic practice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Immutable append-only audit log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ISO 27037 + forensic practice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Hash-chained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85"/>
            <w:shd w:fill="EDF2F7" w:val="clear"/>
          </w:tcPr>
          <w:p>
            <w:r>
              <w:rPr>
                <w:sz w:val="18"/>
              </w:rPr>
              <w:t>BSA §63 certificate (Part A + Part B)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BSA §63(4) + THE SCHEDULE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✅ PDF generated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Custody-transfer events modelled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BSA §63 + ISO 27037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CustodyEvent model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85"/>
            <w:shd w:fill="EDF2F7" w:val="clear"/>
          </w:tcPr>
          <w:p>
            <w:r>
              <w:rPr>
                <w:sz w:val="18"/>
              </w:rPr>
              <w:t>Original vs working copy separation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Forensic best practice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✅ Sealed store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eSakshya-compatible evidence intake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BNSS §105/185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Supported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685"/>
            <w:shd w:fill="EDF2F7" w:val="clear"/>
          </w:tcPr>
          <w:p>
            <w:r>
              <w:rPr>
                <w:sz w:val="18"/>
              </w:rPr>
              <w:t>No live interception claims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Telecom Act 2023 §20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✅ Metadata only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DPDP hygiene on citizen-facing surfaces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DPDP Act 2023 §17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Exemption noted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85"/>
            <w:shd w:fill="EDF2F7" w:val="clear"/>
          </w:tcPr>
          <w:p>
            <w:r>
              <w:rPr>
                <w:sz w:val="18"/>
              </w:rPr>
              <w:t>Synthetic demo data only (no real PII)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DPDP Act + IT Act §66C/66D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✅ 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CERT-In 6-hour reporting awareness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CERT-In Directions 2022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Documented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685"/>
            <w:shd w:fill="EDF2F7" w:val="clear"/>
          </w:tcPr>
          <w:p>
            <w:r>
              <w:rPr>
                <w:sz w:val="18"/>
              </w:rPr>
              <w:t>Dual-signature enforcement on certificate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BSA §63(4) Schedule</w:t>
            </w:r>
          </w:p>
        </w:tc>
        <w:tc>
          <w:tcPr>
            <w:tcW w:type="dxa" w:w="2551"/>
            <w:shd w:fill="EDF2F7" w:val="clear"/>
          </w:tcPr>
          <w:p>
            <w:r>
              <w:rPr>
                <w:sz w:val="18"/>
              </w:rPr>
              <w:t>✅ DRAFT watermark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br/>
        <w:t>— NetForensiq · KANAD S.H.I.E.L.D. 2026 · i-Hub Gujarat, Ahmedabad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