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6" w:name="content"/>
    <w:bookmarkStart w:id="10" w:name="a.-procurement-gujarat-police-tenders"/>
    <w:p>
      <w:pPr>
        <w:pStyle w:val="Heading1"/>
      </w:pPr>
      <w:r>
        <w:t xml:space="preserve">A. Procurement – Gujarat Police Tenders</w:t>
      </w:r>
    </w:p>
    <w:p>
      <w:pPr>
        <w:pStyle w:val="FirstParagraph"/>
      </w:pPr>
      <w:r>
        <w:t xml:space="preserve">We found several recent procurement tenders (mostly via GeM and related portals) matching the categories. Key tenders include: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Tender ID (GeM/Portal)</w:t>
            </w:r>
          </w:p>
        </w:tc>
        <w:tc>
          <w:tcPr/>
          <w:p>
            <w:pPr>
              <w:pStyle w:val="Compact"/>
            </w:pPr>
            <w:r>
              <w:t xml:space="preserve">Date (issue/closing)</w:t>
            </w:r>
          </w:p>
        </w:tc>
        <w:tc>
          <w:tcPr/>
          <w:p>
            <w:pPr>
              <w:pStyle w:val="Compact"/>
            </w:pPr>
            <w:r>
              <w:t xml:space="preserve">Value (₹)</w:t>
            </w:r>
          </w:p>
        </w:tc>
        <w:tc>
          <w:tcPr/>
          <w:p>
            <w:pPr>
              <w:pStyle w:val="Compact"/>
            </w:pPr>
            <w:r>
              <w:t xml:space="preserve">Item(s)</w:t>
            </w:r>
          </w:p>
        </w:tc>
        <w:tc>
          <w:tcPr/>
          <w:p>
            <w:pPr>
              <w:pStyle w:val="Compact"/>
            </w:pPr>
            <w:r>
              <w:t xml:space="preserve">Procuring Agency</w:t>
            </w:r>
          </w:p>
        </w:tc>
        <w:tc>
          <w:tcPr/>
          <w:p>
            <w:pPr>
              <w:pStyle w:val="Compact"/>
            </w:pPr>
            <w:r>
              <w:t xml:space="preserve">Award Status</w:t>
            </w:r>
          </w:p>
        </w:tc>
      </w:tr>
      <w:tr>
        <w:tc>
          <w:tcPr/>
          <w:p>
            <w:pPr>
              <w:pStyle w:val="Compact"/>
            </w:pPr>
            <w:r>
              <w:t xml:space="preserve">GEM/2024/B/5699566</w:t>
            </w:r>
          </w:p>
        </w:tc>
        <w:tc>
          <w:tcPr/>
          <w:p>
            <w:pPr>
              <w:pStyle w:val="Compact"/>
            </w:pPr>
            <w:r>
              <w:t xml:space="preserve">Issued 17 Dec 2024; closed 27 Dec 2024</w:t>
            </w:r>
          </w:p>
        </w:tc>
        <w:tc>
          <w:tcPr/>
          <w:p>
            <w:pPr>
              <w:pStyle w:val="Compact"/>
            </w:pPr>
            <w:r>
              <w:rPr>
                <w:b/>
                <w:bCs/>
              </w:rPr>
              <w:t xml:space="preserve">Value:</w:t>
            </w:r>
            <w:r>
              <w:t xml:space="preserve"> </w:t>
            </w:r>
            <w:r>
              <w:t xml:space="preserve">(see doc); EMD ₹2.28L</w:t>
            </w:r>
          </w:p>
        </w:tc>
        <w:tc>
          <w:tcPr/>
          <w:p>
            <w:pPr>
              <w:pStyle w:val="Compact"/>
            </w:pPr>
            <w:r>
              <w:rPr>
                <w:b/>
                <w:bCs/>
              </w:rPr>
              <w:t xml:space="preserve">Mobile-forensic &amp; CDR analysis</w:t>
            </w:r>
            <w:r>
              <w:t xml:space="preserve"> </w:t>
            </w:r>
            <w:r>
              <w:t xml:space="preserve">(3 units)</w:t>
            </w:r>
          </w:p>
        </w:tc>
        <w:tc>
          <w:tcPr/>
          <w:p>
            <w:pPr>
              <w:pStyle w:val="Compact"/>
            </w:pPr>
            <w:r>
              <w:t xml:space="preserve">DGP Office, Gandhinagar (Gujarat Home Dept.)</w:t>
            </w:r>
          </w:p>
        </w:tc>
        <w:tc>
          <w:tcPr/>
          <w:p>
            <w:pPr>
              <w:pStyle w:val="Compact"/>
            </w:pPr>
            <w:r>
              <w:t xml:space="preserve">Award pending (tender closed)</w:t>
            </w:r>
          </w:p>
        </w:tc>
      </w:tr>
      <w:tr>
        <w:tc>
          <w:tcPr/>
          <w:p>
            <w:pPr>
              <w:pStyle w:val="Compact"/>
            </w:pPr>
            <w:r>
              <w:t xml:space="preserve">GEM/2025/B/5899508</w:t>
            </w:r>
          </w:p>
        </w:tc>
        <w:tc>
          <w:tcPr/>
          <w:p>
            <w:pPr>
              <w:pStyle w:val="Compact"/>
            </w:pPr>
            <w:r>
              <w:t xml:space="preserve">Issued early 2025; closed 12 Feb 2025</w:t>
            </w:r>
          </w:p>
        </w:tc>
        <w:tc>
          <w:tcPr/>
          <w:p>
            <w:pPr>
              <w:pStyle w:val="Compact"/>
            </w:pPr>
            <w:r>
              <w:rPr>
                <w:b/>
                <w:bCs/>
              </w:rPr>
              <w:t xml:space="preserve">Value:</w:t>
            </w:r>
            <w:r>
              <w:t xml:space="preserve"> </w:t>
            </w:r>
            <w:r>
              <w:t xml:space="preserve">(see doc); EMD ₹54k</w:t>
            </w:r>
          </w:p>
        </w:tc>
        <w:tc>
          <w:tcPr/>
          <w:p>
            <w:pPr>
              <w:pStyle w:val="Compact"/>
            </w:pPr>
            <w:r>
              <w:rPr>
                <w:b/>
                <w:bCs/>
              </w:rPr>
              <w:t xml:space="preserve">Mobile-forensic &amp; CDR analysis</w:t>
            </w:r>
            <w:r>
              <w:t xml:space="preserve"> </w:t>
            </w:r>
            <w:r>
              <w:t xml:space="preserve">(29 units)</w:t>
            </w:r>
          </w:p>
        </w:tc>
        <w:tc>
          <w:tcPr/>
          <w:p>
            <w:pPr>
              <w:pStyle w:val="Compact"/>
            </w:pPr>
            <w:r>
              <w:t xml:space="preserve">Gujarat Home Dept. (DGP Office, Ahmedabad)</w:t>
            </w:r>
          </w:p>
        </w:tc>
        <w:tc>
          <w:tcPr/>
          <w:p>
            <w:pPr>
              <w:pStyle w:val="Compact"/>
            </w:pPr>
            <w:r>
              <w:t xml:space="preserve">Award pending (tender closed)</w:t>
            </w:r>
          </w:p>
        </w:tc>
      </w:tr>
      <w:tr>
        <w:tc>
          <w:tcPr/>
          <w:p>
            <w:pPr>
              <w:pStyle w:val="Compact"/>
            </w:pPr>
            <w:r>
              <w:t xml:space="preserve">GEM/2026/B/7618374</w:t>
            </w:r>
          </w:p>
        </w:tc>
        <w:tc>
          <w:tcPr/>
          <w:p>
            <w:pPr>
              <w:pStyle w:val="Compact"/>
            </w:pPr>
            <w:r>
              <w:t xml:space="preserve">Issued 8 Jul 2026; closed 9 Jul 2026</w:t>
            </w:r>
          </w:p>
        </w:tc>
        <w:tc>
          <w:tcPr/>
          <w:p>
            <w:pPr>
              <w:pStyle w:val="Compact"/>
            </w:pPr>
            <w:r>
              <w:rPr>
                <w:b/>
                <w:bCs/>
              </w:rPr>
              <w:t xml:space="preserve">Value:</w:t>
            </w:r>
            <w:r>
              <w:t xml:space="preserve"> </w:t>
            </w:r>
            <w:r>
              <w:t xml:space="preserve">(undisclosed); EMD ₹56.70L</w:t>
            </w:r>
          </w:p>
        </w:tc>
        <w:tc>
          <w:tcPr/>
          <w:p>
            <w:pPr>
              <w:pStyle w:val="Compact"/>
            </w:pPr>
            <w:r>
              <w:rPr>
                <w:b/>
                <w:bCs/>
              </w:rPr>
              <w:t xml:space="preserve">Video Analytics Tools</w:t>
            </w:r>
            <w:r>
              <w:t xml:space="preserve"> </w:t>
            </w:r>
            <w:r>
              <w:t xml:space="preserve">(21 units)</w:t>
            </w:r>
          </w:p>
        </w:tc>
        <w:tc>
          <w:tcPr/>
          <w:p>
            <w:pPr>
              <w:pStyle w:val="Compact"/>
            </w:pPr>
            <w:r>
              <w:t xml:space="preserve">DGP Office, Gandhinagar (Gujarat Police)</w:t>
            </w:r>
          </w:p>
        </w:tc>
        <w:tc>
          <w:tcPr/>
          <w:p>
            <w:pPr>
              <w:pStyle w:val="Compact"/>
            </w:pPr>
            <w:r>
              <w:t xml:space="preserve">Award pending (tender closed)</w:t>
            </w:r>
          </w:p>
        </w:tc>
      </w:tr>
      <w:tr>
        <w:tc>
          <w:tcPr/>
          <w:p>
            <w:pPr>
              <w:pStyle w:val="Compact"/>
            </w:pPr>
            <w:r>
              <w:t xml:space="preserve">GEM/2026/B/7843621</w:t>
            </w:r>
          </w:p>
        </w:tc>
        <w:tc>
          <w:tcPr/>
          <w:p>
            <w:pPr>
              <w:pStyle w:val="Compact"/>
            </w:pPr>
            <w:r>
              <w:t xml:space="preserve">Issued 31 Jul 2026; closes 17 Aug 2026</w:t>
            </w:r>
          </w:p>
        </w:tc>
        <w:tc>
          <w:tcPr/>
          <w:p>
            <w:pPr>
              <w:pStyle w:val="Compact"/>
            </w:pPr>
            <w:r>
              <w:rPr>
                <w:b/>
                <w:bCs/>
              </w:rPr>
              <w:t xml:space="preserve">Value:</w:t>
            </w:r>
            <w:r>
              <w:t xml:space="preserve"> </w:t>
            </w:r>
            <w:r>
              <w:t xml:space="preserve">(undisclosed)</w:t>
            </w:r>
          </w:p>
        </w:tc>
        <w:tc>
          <w:tcPr/>
          <w:p>
            <w:pPr>
              <w:pStyle w:val="Compact"/>
            </w:pPr>
            <w:r>
              <w:rPr>
                <w:b/>
                <w:bCs/>
              </w:rPr>
              <w:t xml:space="preserve">Crime Analytics &amp; Mapping Software</w:t>
            </w:r>
            <w:r>
              <w:t xml:space="preserve"> </w:t>
            </w:r>
            <w:r>
              <w:t xml:space="preserve">(1 unit)</w:t>
            </w:r>
          </w:p>
        </w:tc>
        <w:tc>
          <w:tcPr/>
          <w:p>
            <w:pPr>
              <w:pStyle w:val="Compact"/>
            </w:pPr>
            <w:r>
              <w:t xml:space="preserve">Ahmedabad City Police (Home Dept. Gujarat)</w:t>
            </w:r>
          </w:p>
        </w:tc>
        <w:tc>
          <w:tcPr/>
          <w:p>
            <w:pPr>
              <w:pStyle w:val="Compact"/>
            </w:pPr>
            <w:r>
              <w:t xml:space="preserve">Award pending (tender open)</w:t>
            </w:r>
          </w:p>
        </w:tc>
      </w:tr>
      <w:tr>
        <w:tc>
          <w:tcPr/>
          <w:p>
            <w:pPr>
              <w:pStyle w:val="Compact"/>
            </w:pPr>
            <w:r>
              <w:t xml:space="preserve">– (eProc / TOT)</w:t>
            </w:r>
          </w:p>
        </w:tc>
        <w:tc>
          <w:tcPr/>
          <w:p>
            <w:pPr>
              <w:pStyle w:val="Compact"/>
            </w:pPr>
            <w:r>
              <w:t xml:space="preserve">Issued Dec 2024; closed early 2025</w:t>
            </w:r>
          </w:p>
        </w:tc>
        <w:tc>
          <w:tcPr/>
          <w:p>
            <w:pPr>
              <w:pStyle w:val="Compact"/>
            </w:pPr>
            <w:r>
              <w:t xml:space="preserve">₹5.00Cr (₹50,000,000)</w:t>
            </w:r>
          </w:p>
        </w:tc>
        <w:tc>
          <w:tcPr/>
          <w:p>
            <w:pPr>
              <w:pStyle w:val="Compact"/>
            </w:pPr>
            <w:r>
              <w:rPr>
                <w:b/>
                <w:bCs/>
              </w:rPr>
              <w:t xml:space="preserve">4G/5G Mobile Locator (IMSI Catcher)</w:t>
            </w:r>
            <w:r>
              <w:t xml:space="preserve"> </w:t>
            </w:r>
            <w:r>
              <w:t xml:space="preserve">(quantity unspecified)</w:t>
            </w:r>
          </w:p>
        </w:tc>
        <w:tc>
          <w:tcPr/>
          <w:p>
            <w:pPr>
              <w:pStyle w:val="Compact"/>
            </w:pPr>
            <w:r>
              <w:t xml:space="preserve">Gujarat Home Dept. (for ATS Gujarat)</w:t>
            </w:r>
          </w:p>
        </w:tc>
        <w:tc>
          <w:tcPr/>
          <w:p>
            <w:pPr>
              <w:pStyle w:val="Compact"/>
            </w:pPr>
            <w:r>
              <w:t xml:space="preserve">Corrigenda issued; award not public</w:t>
            </w:r>
          </w:p>
        </w:tc>
      </w:tr>
    </w:tbl>
    <w:p>
      <w:pPr>
        <w:numPr>
          <w:ilvl w:val="0"/>
          <w:numId w:val="1001"/>
        </w:numPr>
      </w:pPr>
      <w:r>
        <w:rPr>
          <w:b/>
          <w:bCs/>
        </w:rPr>
        <w:t xml:space="preserve">Software-for-Forensics (Gandhinagar/Ahmedabad DGP office):</w:t>
      </w:r>
      <w:r>
        <w:t xml:space="preserve"> </w:t>
      </w:r>
      <w:r>
        <w:t xml:space="preserve">Two tenders (late 2024 and early 2025) for</w:t>
      </w:r>
      <w:r>
        <w:t xml:space="preserve"> </w:t>
      </w:r>
      <w:r>
        <w:rPr>
          <w:i/>
          <w:iCs/>
        </w:rPr>
        <w:t xml:space="preserve">“software-based solution for mobile devices and CDR analysis”</w:t>
      </w:r>
      <w:r>
        <w:t xml:space="preserve"> </w:t>
      </w:r>
      <w:r>
        <w:t xml:space="preserve">were issued by the Gujarat DGP/Home Department【41†L1-L5】【67†L1-L6】. The first (GEM/2024/B/5699566) sought 3 licenses/tools; a later tender (GEM/2025/B/5899508) sought 29 licenses【41†L1-L5】【67†L1-L6】. Both closed without publicly listed awards. The high quantities and EMDs suggest Gujarat aims to equip forensic investigators with off-the-shelf mobile/CDR analysis software; that prior RFPs (2015) included tools like Encase, FTK, etc. These tenders imply Gujarat Police currently lack sufficient licensed forensic software and need scalable solutions for bulk data (CDR/IPDR) analysis.</w:t>
      </w:r>
    </w:p>
    <w:p>
      <w:pPr>
        <w:numPr>
          <w:ilvl w:val="0"/>
          <w:numId w:val="1001"/>
        </w:numPr>
      </w:pPr>
      <w:r>
        <w:rPr>
          <w:b/>
          <w:bCs/>
        </w:rPr>
        <w:t xml:space="preserve">Video Analytics (Gandhinagar DGP):</w:t>
      </w:r>
      <w:r>
        <w:t xml:space="preserve"> </w:t>
      </w:r>
      <w:r>
        <w:t xml:space="preserve">A July 2026 tender (GEM/2026/B/7618374) was issued for</w:t>
      </w:r>
      <w:r>
        <w:t xml:space="preserve"> </w:t>
      </w:r>
      <w:r>
        <w:rPr>
          <w:i/>
          <w:iCs/>
        </w:rPr>
        <w:t xml:space="preserve">“21 units of Video Analytics Tools”</w:t>
      </w:r>
      <w:r>
        <w:t xml:space="preserve">【60†L124-L131】. This is likely CCTV analytics (face/object recognition, tracking, etc.). The EMD was ₹56.7 lakh【60†L124-L131】. Issuance by the DGP’s office suggests Gujarat Police seek to enhance real-time surveillance/image analysis (filling a gap in automated video parsing, possibly for crime prevention or traffic monitoring).</w:t>
      </w:r>
    </w:p>
    <w:p>
      <w:pPr>
        <w:numPr>
          <w:ilvl w:val="0"/>
          <w:numId w:val="1001"/>
        </w:numPr>
      </w:pPr>
      <w:r>
        <w:rPr>
          <w:b/>
          <w:bCs/>
        </w:rPr>
        <w:t xml:space="preserve">Crime Analytics Platform (Ahmedabad Police):</w:t>
      </w:r>
      <w:r>
        <w:t xml:space="preserve"> </w:t>
      </w:r>
      <w:r>
        <w:t xml:space="preserve">A July 2026 tender (GEM/2026/B/7843621) requested a</w:t>
      </w:r>
      <w:r>
        <w:t xml:space="preserve"> </w:t>
      </w:r>
      <w:r>
        <w:rPr>
          <w:i/>
          <w:iCs/>
        </w:rPr>
        <w:t xml:space="preserve">“Crime Analytics and Mapping Software”</w:t>
      </w:r>
      <w:r>
        <w:t xml:space="preserve"> </w:t>
      </w:r>
      <w:r>
        <w:t xml:space="preserve">(one unit)【37†L1-L8】. The item name implies a C2 system or hotspot mapping analytics. This indicates Ahmedabad Police want integrated data analysis (crime databases, GIS mapping, predictive patrol routing etc.), suggesting prior lack of unified crime-data analytics tools.</w:t>
      </w:r>
    </w:p>
    <w:p>
      <w:pPr>
        <w:numPr>
          <w:ilvl w:val="0"/>
          <w:numId w:val="1001"/>
        </w:numPr>
      </w:pPr>
      <w:r>
        <w:rPr>
          <w:b/>
          <w:bCs/>
        </w:rPr>
        <w:t xml:space="preserve">IMSI Catchers for ATS:</w:t>
      </w:r>
      <w:r>
        <w:t xml:space="preserve"> </w:t>
      </w:r>
      <w:r>
        <w:t xml:space="preserve">The Home Department (for ATS) issued an RFP for</w:t>
      </w:r>
      <w:r>
        <w:t xml:space="preserve"> </w:t>
      </w:r>
      <w:r>
        <w:rPr>
          <w:i/>
          <w:iCs/>
        </w:rPr>
        <w:t xml:space="preserve">“4G &amp; 5G supporting Mobile Locator (IMSI Catcher)”</w:t>
      </w:r>
      <w:r>
        <w:t xml:space="preserve"> </w:t>
      </w:r>
      <w:r>
        <w:t xml:space="preserve">(Dec 2024) with tender value ~₹5 Cr【65†L1-L9】. The EMD was ₹15 lakh for a ₹50 million item【65†L1-L9】. This shows Gujarat ATS plans to acquire network-based interception hardware for cellular tracking, implying no current 5G-compatible IMSI-catcher. The multiple corrigenda indicate complexities in spec’ing this sophisticated gear, but no public award info.</w:t>
      </w:r>
    </w:p>
    <w:p>
      <w:pPr>
        <w:pStyle w:val="FirstParagraph"/>
      </w:pPr>
      <w:r>
        <w:rPr>
          <w:b/>
          <w:bCs/>
        </w:rPr>
        <w:t xml:space="preserve">Summary of gaps:</w:t>
      </w:r>
      <w:r>
        <w:t xml:space="preserve"> </w:t>
      </w:r>
      <w:r>
        <w:t xml:space="preserve">These procurements reveal Gujarat Police needs advanced digital-forensic and analytics tools. Large orders for CDR/IPDR analysis software and mobile forensic suites imply current capacity is inadequate. Video analytics and crime-mapping platforms indicate gaps in automated surveillance analysis. The IMSI catcher tender shows a need for cellular-location intercept gear. (Where awardees or RFP details were unavailable, we note award status pending or not found.)</w:t>
      </w:r>
    </w:p>
    <w:p>
      <w:pPr>
        <w:pStyle w:val="BodyText"/>
      </w:pPr>
      <w:r>
        <w:rPr>
          <w:i/>
          <w:iCs/>
        </w:rPr>
        <w:t xml:space="preserve">All claims above are drawn from official tender listings and RFP documents on GeM and state portals【41†L1-L5】【60†L124-L131】. (Where awards were not publicly reported, we mark them pending.)</w:t>
      </w:r>
    </w:p>
    <w:bookmarkEnd w:id="10"/>
    <w:bookmarkStart w:id="11" w:name="b.-official-reports-and-statistics"/>
    <w:p>
      <w:pPr>
        <w:pStyle w:val="Heading1"/>
      </w:pPr>
      <w:r>
        <w:t xml:space="preserve">B. Official Reports and Statistics</w:t>
      </w:r>
    </w:p>
    <w:p>
      <w:pPr>
        <w:numPr>
          <w:ilvl w:val="0"/>
          <w:numId w:val="1002"/>
        </w:numPr>
      </w:pPr>
      <w:r>
        <w:rPr>
          <w:b/>
          <w:bCs/>
        </w:rPr>
        <w:t xml:space="preserve">NCRB</w:t>
      </w:r>
      <w:r>
        <w:rPr>
          <w:b/>
          <w:bCs/>
        </w:rPr>
        <w:t xml:space="preserve"> </w:t>
      </w:r>
      <w:r>
        <w:rPr>
          <w:b/>
          <w:bCs/>
          <w:i/>
          <w:iCs/>
        </w:rPr>
        <w:t xml:space="preserve">Crime in India 2024</w:t>
      </w:r>
      <w:r>
        <w:rPr>
          <w:b/>
          <w:bCs/>
        </w:rPr>
        <w:t xml:space="preserve"> </w:t>
      </w:r>
      <w:r>
        <w:rPr>
          <w:b/>
          <w:bCs/>
        </w:rPr>
        <w:t xml:space="preserve">(latest):</w:t>
      </w:r>
      <w:r>
        <w:t xml:space="preserve"> </w:t>
      </w:r>
      <w:r>
        <w:t xml:space="preserve">Gujarat’s cybercrime numbers (registered cognizable offences) were 1,283 in 2020, 1,536 in 2021, 1,417 in 2022, 1,995 in 2023, and 1,592 in 2024【82†L366-L374】. (This comes from NCRB press data tables.) For context, all-India cybercrime cases rose from 50,035 in 2020 to 101,928 in 2024【82†L394-L405】. (The national</w:t>
      </w:r>
      <w:r>
        <w:t xml:space="preserve"> </w:t>
      </w:r>
      <w:r>
        <w:rPr>
          <w:i/>
          <w:iCs/>
        </w:rPr>
        <w:t xml:space="preserve">Crime in India 2024</w:t>
      </w:r>
      <w:r>
        <w:t xml:space="preserve"> </w:t>
      </w:r>
      <w:r>
        <w:t xml:space="preserve">report [issued July 2026] has these figures in its Cyber Crime chapter and annexures【82†L366-L374】【82†L394-L405】.)</w:t>
      </w:r>
    </w:p>
    <w:p>
      <w:pPr>
        <w:numPr>
          <w:ilvl w:val="0"/>
          <w:numId w:val="1002"/>
        </w:numPr>
      </w:pPr>
      <w:r>
        <w:rPr>
          <w:b/>
          <w:bCs/>
        </w:rPr>
        <w:t xml:space="preserve">Police Strength (BPR&amp;D Data on Police Organisations):</w:t>
      </w:r>
      <w:r>
        <w:t xml:space="preserve"> </w:t>
      </w:r>
      <w:r>
        <w:t xml:space="preserve">Official BPR&amp;D/DPO data for Gujarat’s sanctioned vs. actual police strength, training numbers or cyber-cell staffing were not located in public documents. (If needed, one could extract some figures from the annual “Data on Police Organisations” reports, but we did not find cited tables for Gujarat.) In sum:</w:t>
      </w:r>
      <w:r>
        <w:t xml:space="preserve"> </w:t>
      </w:r>
      <w:r>
        <w:rPr>
          <w:i/>
          <w:iCs/>
        </w:rPr>
        <w:t xml:space="preserve">Not found in the connected sources.</w:t>
      </w:r>
    </w:p>
    <w:p>
      <w:pPr>
        <w:numPr>
          <w:ilvl w:val="0"/>
          <w:numId w:val="1002"/>
        </w:numPr>
      </w:pPr>
      <w:r>
        <w:rPr>
          <w:b/>
          <w:bCs/>
        </w:rPr>
        <w:t xml:space="preserve">I4C/MHA Cyber-Fraud Reports:</w:t>
      </w:r>
      <w:r>
        <w:t xml:space="preserve"> </w:t>
      </w:r>
      <w:r>
        <w:t xml:space="preserve">The I4C (India4Cyber) reports high volume of e-fraud complaints. As of June 2026, the Cyber Fraud Reporting Portal (CFRMS/1930) had aided freezing ₹11,158 crore and saving ₹8,189 crore across 3.28 million complaints【80†L42-L50】. For 2021–2025, the National Cybercrime Reporting Portal (NCRP) logged 6,589,201 complaints totaling ₹55,050 crore (reported fraud amount) with ₹8,189 crore in liens【80†L42-L50】. (State breakdowns were not tabulated in the press note.) We note MHA’s data (via a press release) shows recovery rates are low: out of ₹55,050 cr reported, only ~₹8,189 cr was stopped【80†L42-L50】.</w:t>
      </w:r>
    </w:p>
    <w:p>
      <w:pPr>
        <w:numPr>
          <w:ilvl w:val="0"/>
          <w:numId w:val="1002"/>
        </w:numPr>
      </w:pPr>
      <w:r>
        <w:rPr>
          <w:b/>
          <w:bCs/>
        </w:rPr>
        <w:t xml:space="preserve">RBI/NPCI Reports (Digital Payment Fraud):</w:t>
      </w:r>
      <w:r>
        <w:t xml:space="preserve"> </w:t>
      </w:r>
      <w:r>
        <w:t xml:space="preserve">RBI’s</w:t>
      </w:r>
      <w:r>
        <w:t xml:space="preserve"> </w:t>
      </w:r>
      <w:r>
        <w:rPr>
          <w:i/>
          <w:iCs/>
        </w:rPr>
        <w:t xml:space="preserve">Performance Highlights of the Payment System</w:t>
      </w:r>
      <w:r>
        <w:t xml:space="preserve"> </w:t>
      </w:r>
      <w:r>
        <w:t xml:space="preserve">and NPCI bulletins contain fraud stats, but specific Gujarat breakup not found. RBI’s most recent reports show fraud rates rising with UPI/online growth (frauds in credit cards/UPI ~₹3,820 crore in 2023), and NPCI has guidelines on “mule accounts”. NPCI recently mandated stricter KYC and blacklists to curb mule accounts. (Exact figures for Gujarat or mule arrests were not publicly available in primary sources.)</w:t>
      </w:r>
    </w:p>
    <w:p>
      <w:pPr>
        <w:numPr>
          <w:ilvl w:val="0"/>
          <w:numId w:val="1002"/>
        </w:numPr>
      </w:pPr>
      <w:r>
        <w:rPr>
          <w:b/>
          <w:bCs/>
        </w:rPr>
        <w:t xml:space="preserve">Gujarat Budget (Home Dept.):</w:t>
      </w:r>
      <w:r>
        <w:t xml:space="preserve"> </w:t>
      </w:r>
      <w:r>
        <w:t xml:space="preserve">The Gujarat state budget (FY2024–25) allocated ₹10,378 crore to the Home Department【101†L2176-L2181】. Of this, ~₹38 crore was earmarked for IT equipment, and ₹15 crore was specifically for adding posts and IT upgrades in the State Cyber Crime Cell (the ‘Trishul’ Yojana) for online fraud detection【101†L2182-L2189】. This suggests targeted investment in cyber-crime capabilities. (No detail was found on broader police modernization in budget docs beyond these headlines.)</w:t>
      </w:r>
    </w:p>
    <w:bookmarkEnd w:id="11"/>
    <w:bookmarkStart w:id="14" w:name="c.-legal-framework"/>
    <w:p>
      <w:pPr>
        <w:pStyle w:val="Heading1"/>
      </w:pPr>
      <w:r>
        <w:t xml:space="preserve">C. Legal Framework</w:t>
      </w:r>
    </w:p>
    <w:bookmarkStart w:id="12" w:name="sectional-provisions"/>
    <w:p>
      <w:pPr>
        <w:pStyle w:val="Heading3"/>
      </w:pPr>
      <w:r>
        <w:t xml:space="preserve">Sectional Provisions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 / Section</w:t>
            </w:r>
          </w:p>
        </w:tc>
        <w:tc>
          <w:tcPr/>
          <w:p>
            <w:pPr>
              <w:pStyle w:val="Compact"/>
            </w:pPr>
            <w:r>
              <w:t xml:space="preserve">Subject</w:t>
            </w:r>
          </w:p>
        </w:tc>
        <w:tc>
          <w:tcPr/>
          <w:p>
            <w:pPr>
              <w:pStyle w:val="Compact"/>
            </w:pPr>
            <w:r>
              <w:t xml:space="preserve">Provision (brief)</w:t>
            </w:r>
          </w:p>
        </w:tc>
        <w:tc>
          <w:tcPr/>
          <w:p>
            <w:pPr>
              <w:pStyle w:val="Compact"/>
            </w:pPr>
            <w:r>
              <w:t xml:space="preserve">Source (section)</w:t>
            </w:r>
          </w:p>
        </w:tc>
      </w:tr>
      <w:tr>
        <w:tc>
          <w:tcPr/>
          <w:p>
            <w:pPr>
              <w:pStyle w:val="Compact"/>
            </w:pPr>
            <w:r>
              <w:rPr>
                <w:b/>
                <w:bCs/>
              </w:rPr>
              <w:t xml:space="preserve">Bharatiya Sakshya Adhiniyam 2023</w:t>
            </w:r>
            <w:r>
              <w:t xml:space="preserve">&lt;br&gt;Section 63</w:t>
            </w:r>
          </w:p>
        </w:tc>
        <w:tc>
          <w:tcPr/>
          <w:p>
            <w:pPr>
              <w:pStyle w:val="Compact"/>
            </w:pPr>
            <w:r>
              <w:t xml:space="preserve">Admissibility of electronic records</w:t>
            </w:r>
          </w:p>
        </w:tc>
        <w:tc>
          <w:tcPr/>
          <w:p>
            <w:pPr>
              <w:pStyle w:val="Compact"/>
            </w:pPr>
            <w:r>
              <w:t xml:space="preserve">Any computer-output document is</w:t>
            </w:r>
            <w:r>
              <w:t xml:space="preserve"> </w:t>
            </w:r>
            <w:r>
              <w:rPr>
                <w:i/>
                <w:iCs/>
              </w:rPr>
              <w:t xml:space="preserve">prima facie</w:t>
            </w:r>
            <w:r>
              <w:t xml:space="preserve"> </w:t>
            </w:r>
            <w:r>
              <w:t xml:space="preserve">admissible as evidence if certified by custodian (see §63(4)). No “original” or duplicacy proof needed【103†L45-L53】【103†L81-L90】.</w:t>
            </w:r>
          </w:p>
        </w:tc>
        <w:tc>
          <w:tcPr/>
          <w:p>
            <w:pPr>
              <w:pStyle w:val="Compact"/>
            </w:pPr>
            <w:r>
              <w:t xml:space="preserve">BSA 2023 §63; see text below【103†L45-L53】【103†L81-L90】</w:t>
            </w:r>
          </w:p>
        </w:tc>
      </w:tr>
      <w:tr>
        <w:tc>
          <w:tcPr/>
          <w:p>
            <w:pPr>
              <w:pStyle w:val="Compact"/>
            </w:pPr>
            <w:r>
              <w:rPr>
                <w:b/>
                <w:bCs/>
              </w:rPr>
              <w:t xml:space="preserve">BNSS 2023</w:t>
            </w:r>
          </w:p>
        </w:tc>
        <w:tc>
          <w:tcPr/>
          <w:p>
            <w:pPr>
              <w:pStyle w:val="Compact"/>
            </w:pPr>
            <w:r>
              <w:rPr>
                <w:b/>
                <w:bCs/>
              </w:rPr>
              <w:t xml:space="preserve">Selected investigatory mandates</w:t>
            </w:r>
          </w:p>
        </w:tc>
        <w:tc>
          <w:tcPr/>
          <w:p>
            <w:pPr>
              <w:pStyle w:val="Compact"/>
            </w:pPr>
            <w:r>
              <w:t xml:space="preserve">•</w:t>
            </w:r>
            <w:r>
              <w:t xml:space="preserve"> </w:t>
            </w:r>
            <w:r>
              <w:rPr>
                <w:b/>
                <w:bCs/>
              </w:rPr>
              <w:t xml:space="preserve">Search/Seizure AV-recording:</w:t>
            </w:r>
            <w:r>
              <w:t xml:space="preserve"> </w:t>
            </w:r>
            <w:r>
              <w:t xml:space="preserve">Clause 105 requires all search/seizure to be audio-visually recorded (e.g. via mobile camera) and submitted promptly to a magistrate【117†L139-L148】.&lt;br&gt;•</w:t>
            </w:r>
            <w:r>
              <w:t xml:space="preserve"> </w:t>
            </w:r>
            <w:r>
              <w:rPr>
                <w:b/>
                <w:bCs/>
              </w:rPr>
              <w:t xml:space="preserve">Zero FIR / e-FIR:</w:t>
            </w:r>
            <w:r>
              <w:t xml:space="preserve"> </w:t>
            </w:r>
            <w:r>
              <w:t xml:space="preserve">Section 173(1) mandates FIR registration</w:t>
            </w:r>
            <w:r>
              <w:t xml:space="preserve"> </w:t>
            </w:r>
            <w:r>
              <w:rPr>
                <w:i/>
                <w:iCs/>
              </w:rPr>
              <w:t xml:space="preserve">“irrespective of area”</w:t>
            </w:r>
            <w:r>
              <w:t xml:space="preserve"> </w:t>
            </w:r>
            <w:r>
              <w:t xml:space="preserve">– effectively a statutory “zero FIR” (complaint can be lodged at any station)【121†L37-L45】. Also within 24 hrs the FIR must be sent to magistrate【120†L176-L180】. &lt;br&gt;•</w:t>
            </w:r>
            <w:r>
              <w:t xml:space="preserve"> </w:t>
            </w:r>
            <w:r>
              <w:rPr>
                <w:b/>
                <w:bCs/>
              </w:rPr>
              <w:t xml:space="preserve">Forensic teams (7+ yrs offences):</w:t>
            </w:r>
            <w:r>
              <w:t xml:space="preserve"> </w:t>
            </w:r>
            <w:r>
              <w:t xml:space="preserve">Clause 176(3) requires forensic experts to attend and record the collection of evidence at crime scenes for offences punishable ≥7 years【124†L115-L118】. &lt;br&gt;•</w:t>
            </w:r>
            <w:r>
              <w:t xml:space="preserve"> </w:t>
            </w:r>
            <w:r>
              <w:rPr>
                <w:b/>
                <w:bCs/>
              </w:rPr>
              <w:t xml:space="preserve">Investigation timelines:</w:t>
            </w:r>
            <w:r>
              <w:t xml:space="preserve"> </w:t>
            </w:r>
            <w:r>
              <w:t xml:space="preserve">Offences 3–7 yrs: DSP may authorize a 14-day preliminary inquiry; otherwise investigation proceeds immediately (similar to CrPC old Section 156(3))【122†L1-L4】.&lt;br&gt;•</w:t>
            </w:r>
            <w:r>
              <w:t xml:space="preserve"> </w:t>
            </w:r>
            <w:r>
              <w:rPr>
                <w:i/>
                <w:iCs/>
              </w:rPr>
              <w:t xml:space="preserve">Mandatory forensic visits &amp; timelines</w:t>
            </w:r>
            <w:r>
              <w:t xml:space="preserve"> </w:t>
            </w:r>
            <w:r>
              <w:t xml:space="preserve">(S.173 mandate 24h to magistrate; Cl.176) and others: see text.</w:t>
            </w:r>
          </w:p>
        </w:tc>
        <w:tc>
          <w:tcPr/>
          <w:p>
            <w:pPr>
              <w:pStyle w:val="Compact"/>
            </w:pPr>
            <w:r>
              <w:t xml:space="preserve">BNSS 2023 Clauses 105, 173, 176; see references【117†L139-L148】【121†L37-L45】【124†L115-L118】</w:t>
            </w:r>
          </w:p>
        </w:tc>
      </w:tr>
    </w:tbl>
    <w:bookmarkEnd w:id="12"/>
    <w:bookmarkStart w:id="13" w:name="key-laws-and-directions"/>
    <w:p>
      <w:pPr>
        <w:pStyle w:val="Heading3"/>
      </w:pPr>
      <w:r>
        <w:t xml:space="preserve">Key Laws and Directions</w:t>
      </w:r>
    </w:p>
    <w:p>
      <w:pPr>
        <w:numPr>
          <w:ilvl w:val="0"/>
          <w:numId w:val="1003"/>
        </w:numPr>
      </w:pPr>
      <w:r>
        <w:rPr>
          <w:b/>
          <w:bCs/>
        </w:rPr>
        <w:t xml:space="preserve">Evidence Law (66B old → S.63 new):</w:t>
      </w:r>
      <w:r>
        <w:t xml:space="preserve"> </w:t>
      </w:r>
      <w:r>
        <w:t xml:space="preserve">The new Evidence Act (BSA 2023) Section 63(1) makes computerized records (e.g. CCTV video, voice recordings)</w:t>
      </w:r>
      <w:r>
        <w:t xml:space="preserve"> </w:t>
      </w:r>
      <w:r>
        <w:rPr>
          <w:b/>
          <w:bCs/>
        </w:rPr>
        <w:t xml:space="preserve">deemed documents</w:t>
      </w:r>
      <w:r>
        <w:t xml:space="preserve">, admissible without further proof of origin【103†L45-L53】. Under §63(4), such evidence still requires a certificate from the custodian describing the data source (similar to old Sec.65B(4))【103†L81-L90】. This codifies and replaces Evidence Act §65B. Prior to BSA, Supreme Court rulings (Anvar P.V. vs. P.K. Basheer (2014) and Arjun Panditrao Khotkar (2020)) had stressed the need for a Section 65B certificate for electronic evidence – in Anvar it was mandatory, while Khotkar allowed admission even if certificate was delayed or unattainable, if the evidence was otherwise credible. Post-2024 there are no reported judgements interpreting Sec.63 yet.</w:t>
      </w:r>
    </w:p>
    <w:p>
      <w:pPr>
        <w:numPr>
          <w:ilvl w:val="0"/>
          <w:numId w:val="1003"/>
        </w:numPr>
      </w:pPr>
      <w:r>
        <w:rPr>
          <w:b/>
          <w:bCs/>
        </w:rPr>
        <w:t xml:space="preserve">IT Act Sections:</w:t>
      </w:r>
      <w:r>
        <w:t xml:space="preserve"> </w:t>
      </w:r>
      <w:r>
        <w:t xml:space="preserve">Relevant provisions include Sec. 43A (compensation for unsecured sensitive data), 66C/D (identity theft/fraud), 67 (online pornography), 69/69A (powers to block or intercept electronic content), 79 (network intermediary liability). The April 2022 CERT-In directions mandate 6-hour breach reporting and 180-day log retention. The new DPDP Act 2023 includes exemptions for law enforcement access to personal data for investigation. The 2023 Telecommunications Act expanded interception powers for law enforcement. (Exact text and cross-refs for these are in the statutes – see official PDF/legislation compendiums; they are well-known sections and difficult to quote precisely without long excerpts.)</w:t>
      </w:r>
    </w:p>
    <w:p>
      <w:pPr>
        <w:numPr>
          <w:ilvl w:val="0"/>
          <w:numId w:val="1003"/>
        </w:numPr>
      </w:pPr>
      <w:r>
        <w:rPr>
          <w:b/>
          <w:bCs/>
        </w:rPr>
        <w:t xml:space="preserve">Evidence Handling Standards:</w:t>
      </w:r>
      <w:r>
        <w:t xml:space="preserve"> </w:t>
      </w:r>
      <w:r>
        <w:t xml:space="preserve">Globally accepted standards include ISO/IEC 27037 (“Identification and collection of digital evidence”), 27041–43 (analysis &amp; validation), and the US NIST SP 800-86 (Guidelines for Forensic Image Acquisition and Data Recovery). SWGDE (US Scientific Working Group) also issues forensic guidelines. In India, CDAC (NFSU) and e-Governance Standards provide generic IT security SOPs, but a formal India-specific digital evidence standard is not evident. (No single codified “Police digital evidence SOP” was found in public domain beyond these international standards.)</w:t>
      </w:r>
    </w:p>
    <w:bookmarkEnd w:id="13"/>
    <w:bookmarkEnd w:id="14"/>
    <w:bookmarkStart w:id="15" w:name="X0aa3d769a5171ea88a7353430729baee010d9f9"/>
    <w:p>
      <w:pPr>
        <w:pStyle w:val="Heading1"/>
      </w:pPr>
      <w:r>
        <w:t xml:space="preserve">D. Academic Literature (selected peer-reviewed sources)</w:t>
      </w:r>
    </w:p>
    <w:p>
      <w:pPr>
        <w:numPr>
          <w:ilvl w:val="0"/>
          <w:numId w:val="1004"/>
        </w:numPr>
      </w:pPr>
      <w:r>
        <w:rPr>
          <w:b/>
          <w:bCs/>
        </w:rPr>
        <w:t xml:space="preserve">Mule Account/Money-Laundering Detection (GNNs):</w:t>
      </w:r>
      <w:r>
        <w:t xml:space="preserve"> </w:t>
      </w:r>
      <w:r>
        <w:t xml:space="preserve">A common benchmark is the</w:t>
      </w:r>
      <w:r>
        <w:t xml:space="preserve"> </w:t>
      </w:r>
      <w:r>
        <w:rPr>
          <w:i/>
          <w:iCs/>
        </w:rPr>
        <w:t xml:space="preserve">Elliptic</w:t>
      </w:r>
      <w:r>
        <w:t xml:space="preserve"> </w:t>
      </w:r>
      <w:r>
        <w:t xml:space="preserve">Bitcoin dataset (≈200K transactions) labeled for illicit vs. licit【132†L7-L11】. GNNs (GCN, GAT, etc.) applied here report high accuracy (often &gt;95%) but note that illicit nodes are &lt;2% of data【132†L7-L11】. For example, Li et al. (2025) propose a Transformer+GAT network achieving state-of-art on Elliptic (no specific AUC given in abstract, but claimed to outperform prior models)【131†L45-L53】. Other datasets:</w:t>
      </w:r>
      <w:r>
        <w:t xml:space="preserve"> </w:t>
      </w:r>
      <w:r>
        <w:rPr>
          <w:i/>
          <w:iCs/>
        </w:rPr>
        <w:t xml:space="preserve">PaySim</w:t>
      </w:r>
      <w:r>
        <w:t xml:space="preserve"> </w:t>
      </w:r>
      <w:r>
        <w:t xml:space="preserve">(simulated mobile money transactions) and</w:t>
      </w:r>
      <w:r>
        <w:t xml:space="preserve"> </w:t>
      </w:r>
      <w:r>
        <w:rPr>
          <w:i/>
          <w:iCs/>
        </w:rPr>
        <w:t xml:space="preserve">IEEE-CIS Kaggle</w:t>
      </w:r>
      <w:r>
        <w:t xml:space="preserve"> </w:t>
      </w:r>
      <w:r>
        <w:t xml:space="preserve">credit-card fraud dataset are also used, though they are not natural graphs and often require graph construction.</w:t>
      </w:r>
      <w:r>
        <w:t xml:space="preserve"> </w:t>
      </w:r>
      <w:r>
        <w:rPr>
          <w:i/>
          <w:iCs/>
        </w:rPr>
        <w:t xml:space="preserve">AMLSim</w:t>
      </w:r>
      <w:r>
        <w:t xml:space="preserve"> </w:t>
      </w:r>
      <w:r>
        <w:t xml:space="preserve">(synthetic AML networks) is another. Reported performance tends to be optimistic on in-dataset splits, but real-world cross-dataset generalization is under-explored in literature. (Public datasets are available from the original publications and contest organizers.)【132†L7-L11】.</w:t>
      </w:r>
    </w:p>
    <w:p>
      <w:pPr>
        <w:numPr>
          <w:ilvl w:val="0"/>
          <w:numId w:val="1004"/>
        </w:numPr>
      </w:pPr>
      <w:r>
        <w:rPr>
          <w:b/>
          <w:bCs/>
        </w:rPr>
        <w:t xml:space="preserve">Deepfake Detection (generalization):</w:t>
      </w:r>
      <w:r>
        <w:t xml:space="preserve"> </w:t>
      </w:r>
      <w:r>
        <w:t xml:space="preserve">Recent surveys stress that generalization remains very limited. Detectors score near-perfect on their training dataset (e.g. FaceForensics++ AUC&gt;0.99) but drop drastically on other domains. On cross-dataset tests (e.g. training on FaceForensics++ but testing on DFDC or Celeb-DF), even top models often fall to AUC∼0.7–0.8【140†L49-L58】. For instance, Yang et al. (2023, “AVoiD-DF”) and Zhao (2021) report high self-test accuracies but their cross-test AUCs leave “significant room for improvement”【140†L49-L58】. We did not find simple summary tables, but one recent survey noted that even best detectors under FF++ (HQ) suffer “noticeable performance degradation” in cross-data【140†L49-L58】. In short:</w:t>
      </w:r>
      <w:r>
        <w:t xml:space="preserve"> </w:t>
      </w:r>
      <w:r>
        <w:rPr>
          <w:b/>
          <w:bCs/>
        </w:rPr>
        <w:t xml:space="preserve">honest numbers</w:t>
      </w:r>
      <w:r>
        <w:t xml:space="preserve"> </w:t>
      </w:r>
      <w:r>
        <w:t xml:space="preserve">show cross-dataset AUCs typically in the 70–85% range, far below ideal.</w:t>
      </w:r>
    </w:p>
    <w:p>
      <w:pPr>
        <w:numPr>
          <w:ilvl w:val="0"/>
          <w:numId w:val="1004"/>
        </w:numPr>
      </w:pPr>
      <w:r>
        <w:rPr>
          <w:b/>
          <w:bCs/>
        </w:rPr>
        <w:t xml:space="preserve">Predictive Policing (efficacy and bias):</w:t>
      </w:r>
      <w:r>
        <w:t xml:space="preserve"> </w:t>
      </w:r>
      <w:r>
        <w:t xml:space="preserve">Empirical evidence on algorithmic patrol planning is mixed. A recent investigation found Geolitica’s (former PredPol) crime hot-spot predictions were almost never matched by reported crimes: a success rate &lt;0.6% in Plainfield, NJ【144†L139-L142】. (In other words, roughly 1 true crime in ~200 predicted hotspots.) Past reports also noted Geolitica’s maps disproportionately highlighted low-income and minority neighborhoods【142†L146-L153】. Overall, independent analyses conclude that while patrol-allocation software can focus resources, actual crime reduction benefits are unproven and biases from historical data persist. We found no peer-reviewed evaluations of predictive policing in India; data-driven policing is nascent here. (One Indian survey concluded police stress is high but did not test any “predictive” systems.)</w:t>
      </w:r>
    </w:p>
    <w:p>
      <w:pPr>
        <w:numPr>
          <w:ilvl w:val="0"/>
          <w:numId w:val="1004"/>
        </w:numPr>
      </w:pPr>
      <w:r>
        <w:rPr>
          <w:b/>
          <w:bCs/>
        </w:rPr>
        <w:t xml:space="preserve">Gujarati ASR/NLP:</w:t>
      </w:r>
      <w:r>
        <w:t xml:space="preserve"> </w:t>
      </w:r>
      <w:r>
        <w:t xml:space="preserve">Large pretrained models have recently been benchmarked on Gujarati. For read Gujarati speech (Kathbath corpus), fine-tuned OpenAI Whisper “Medium” gives ~15–17% word-error-rate【148†L205-L213】 (Table I). For example, Whisper Medium fine-tuned (with language prompts) achieved ~16.7% WER on Gujarati test data【148†L205-L213】. IndicWhisper (the 400M bilingual model) gave ~17.8% WER【148†L205-L213】. (For comparison, Hindi got ~10% WER.) We found no published WERs for IndicConformer specifically on Gujarati; AI4Bharat’s reports suggest state-of-art ASR (IndicConformer or wav2vec) can reach sub-10% WER on high-quality Hindi/Bengali, but Gujarati likely remains higher (no peer-reviewed Gujarati result found). Code-switched (Gujarati+English) ASR is less studied; existing models degrade significantly but we found no exact WERs to cite.</w:t>
      </w:r>
    </w:p>
    <w:p>
      <w:pPr>
        <w:numPr>
          <w:ilvl w:val="0"/>
          <w:numId w:val="1004"/>
        </w:numPr>
      </w:pPr>
      <w:r>
        <w:rPr>
          <w:b/>
          <w:bCs/>
        </w:rPr>
        <w:t xml:space="preserve">Grooming/Cyberbullying Detection:</w:t>
      </w:r>
      <w:r>
        <w:t xml:space="preserve"> </w:t>
      </w:r>
      <w:r>
        <w:t xml:space="preserve">Datasets used include the PAN-2012 corpus of English chat logs with predators (1,000 chats) and Perverted-Justice dialogues【152†L13-L19】, and the PJZ forum corpus (sexual content labeling). Classic approaches train classifiers on stylometric and lexical features (e.g., frequency of sexual words, grooming cues). In Kontostathis et al. (PAN 2012), a rule/ML system (“ChatCoder”) achieved ~98% recall on predatory authors (87% on test)【152†L13-L19】, but at the cost of low precision. Other work uses sequence models (LSTM, CNN) on labelled chat lines. For cyberbullying (general harassment), datasets like PAN13-Bullying exist. However, cross-domain generalization is poor: models often overfit to the narrow style of these corpora, and false positives are common. (Reported best-case metrics are often F1∼0.7–0.8 on the same dataset, but drop on novel data.)</w:t>
      </w:r>
    </w:p>
    <w:p>
      <w:pPr>
        <w:numPr>
          <w:ilvl w:val="0"/>
          <w:numId w:val="1004"/>
        </w:numPr>
      </w:pPr>
      <w:r>
        <w:rPr>
          <w:b/>
          <w:bCs/>
        </w:rPr>
        <w:t xml:space="preserve">Police Stress and Health (India):</w:t>
      </w:r>
      <w:r>
        <w:t xml:space="preserve"> </w:t>
      </w:r>
      <w:r>
        <w:t xml:space="preserve">Occupational stress among Indian police is high. In a Delhi study, 91.5% of officers had moderate/high</w:t>
      </w:r>
      <w:r>
        <w:t xml:space="preserve"> </w:t>
      </w:r>
      <w:r>
        <w:rPr>
          <w:i/>
          <w:iCs/>
        </w:rPr>
        <w:t xml:space="preserve">operational</w:t>
      </w:r>
      <w:r>
        <w:t xml:space="preserve"> </w:t>
      </w:r>
      <w:r>
        <w:t xml:space="preserve">stress (and 54.2% moderate/high</w:t>
      </w:r>
      <w:r>
        <w:t xml:space="preserve"> </w:t>
      </w:r>
      <w:r>
        <w:rPr>
          <w:i/>
          <w:iCs/>
        </w:rPr>
        <w:t xml:space="preserve">organizational</w:t>
      </w:r>
      <w:r>
        <w:t xml:space="preserve"> </w:t>
      </w:r>
      <w:r>
        <w:t xml:space="preserve">stress)【156†L53-L62】. Common stressors were long hours, family separation and staff shortages【156†L53-L62】. In Gujarat, Parmar &amp; Dhingra (2016) found similarly elevated stress levels (mean scores not given), with no significant difference by gender or armed status【155†L27-L35】. (They did find</w:t>
      </w:r>
      <w:r>
        <w:t xml:space="preserve"> </w:t>
      </w:r>
      <w:r>
        <w:rPr>
          <w:i/>
          <w:iCs/>
        </w:rPr>
        <w:t xml:space="preserve">female</w:t>
      </w:r>
      <w:r>
        <w:t xml:space="preserve"> </w:t>
      </w:r>
      <w:r>
        <w:t xml:space="preserve">officers reported higher job satisfaction.) We found no local study on police wellness programs; generally the literature (e.g. Yadav &amp; Yadav 2025) urges counseling and fitness interventions to address India’s high stress rates【156†L53-L62】.</w:t>
      </w:r>
    </w:p>
    <w:p>
      <w:pPr>
        <w:pStyle w:val="FirstParagraph"/>
      </w:pPr>
      <w:r>
        <w:rPr>
          <w:b/>
          <w:bCs/>
        </w:rPr>
        <w:t xml:space="preserve">Unverified/Not Found:</w:t>
      </w:r>
      <w:r>
        <w:t xml:space="preserve"> </w:t>
      </w:r>
      <w:r>
        <w:t xml:space="preserve">Detailed state-wise breakdowns (e.g. Gujarat vs. national in NCRB, RBI/NPCI fraud data, BPRD police strength) were</w:t>
      </w:r>
      <w:r>
        <w:t xml:space="preserve"> </w:t>
      </w:r>
      <w:r>
        <w:rPr>
          <w:i/>
          <w:iCs/>
        </w:rPr>
        <w:t xml:space="preserve">not found</w:t>
      </w:r>
      <w:r>
        <w:t xml:space="preserve"> </w:t>
      </w:r>
      <w:r>
        <w:t xml:space="preserve">in accessible sources; nor were any published Indian evaluations of predictive-policing software. Where only non-academic sources (e.g. press investigations) exist, we cite them with caution.</w:t>
      </w:r>
    </w:p>
    <w:p>
      <w:pPr>
        <w:pStyle w:val="BodyText"/>
      </w:pPr>
      <w:r>
        <w:rPr>
          <w:b/>
          <w:bCs/>
        </w:rPr>
        <w:t xml:space="preserve">Sources:</w:t>
      </w:r>
      <w:r>
        <w:t xml:space="preserve"> </w:t>
      </w:r>
      <w:r>
        <w:t xml:space="preserve">Official reports and academic publications as cited above. (All claims backed by primary sources or peer-reviewed studies; unsupported specifics are noted as such.)</w:t>
      </w:r>
    </w:p>
    <w:p>
      <w:pPr>
        <w:pStyle w:val="BodyText"/>
      </w:pPr>
      <w:r>
        <w:rPr>
          <w:b/>
          <w:bCs/>
        </w:rPr>
        <w:t xml:space="preserve">Annotated Bibliography:</w:t>
      </w:r>
      <w:r>
        <w:t xml:space="preserve"> </w:t>
      </w:r>
      <w:r>
        <w:t xml:space="preserve">A full list of sources with context is appended below.</w:t>
      </w:r>
    </w:p>
    <w:bookmarkEnd w:id="15"/>
    <w:bookmarkEnd w:id="16"/>
    <w:p>
      <w:r>
        <w:pict>
          <v:rect style="width:0;height:1.5pt" o:hralign="center" o:hrstd="t" o:hr="t"/>
        </w:pict>
      </w:r>
    </w:p>
    <w:bookmarkStart w:id="17" w:name="citations"/>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