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B3A5C"/>
          <w:sz w:val="72"/>
        </w:rPr>
        <w:t>NetForensiq</w:t>
      </w:r>
    </w:p>
    <w:p>
      <w:pPr>
        <w:jc w:val="center"/>
      </w:pPr>
      <w:r>
        <w:rPr>
          <w:color w:val="4A6FA5"/>
          <w:sz w:val="36"/>
        </w:rPr>
        <w:t>Network &amp; Packet Forensics Platform</w:t>
      </w:r>
    </w:p>
    <w:p/>
    <w:p>
      <w:pPr>
        <w:jc w:val="center"/>
      </w:pPr>
      <w:r>
        <w:rPr>
          <w:i/>
          <w:color w:val="555555"/>
          <w:sz w:val="26"/>
        </w:rPr>
        <w:t>The chain-of-custody layer that makes network evidence</w:t>
        <w:br/>
        <w:t>stand up in an Indian court.</w:t>
      </w:r>
    </w:p>
    <w:p/>
    <w:p/>
    <w:p/>
    <w:p/>
    <w:p>
      <w:pPr>
        <w:jc w:val="center"/>
      </w:pPr>
      <w:r>
        <w:rPr>
          <w:color w:val="333333"/>
          <w:sz w:val="22"/>
        </w:rPr>
        <w:t>KANAD S.H.I.E.L.D. 2026</w:t>
        <w:br/>
        <w:t>Category 2 — Problem Statement #8: Cyber Crime Investigation System</w:t>
        <w:br/>
        <w:t>i-Hub Gujarat, Ahmedabad</w:t>
        <w:br/>
        <w:br/>
        <w:t>August 2026</w:t>
      </w:r>
    </w:p>
    <w:p>
      <w:r>
        <w:br w:type="page"/>
      </w:r>
    </w:p>
    <w:p>
      <w:pPr>
        <w:pStyle w:val="Heading1"/>
      </w:pPr>
      <w:r>
        <w:rPr>
          <w:color w:val="1B3A5C"/>
        </w:rPr>
        <w:t>1. What Is NetForensiq?</w:t>
      </w:r>
    </w:p>
    <w:p>
      <w:pPr/>
      <w:r>
        <w:t>NetForensiq is a network and packet forensics platform that bridges a critical gap in the Indian digital evidence ecosystem. Existing tools like eSakshya seal scene video, and CCTNS Property Registers track physical objects. But a packet capture — the raw network traffic recorded during a cyber crime investigation — is neither a scene to videograph nor a physical object to log into a malkhana.</w:t>
      </w:r>
    </w:p>
    <w:p>
      <w:pPr/>
      <w:r>
        <w:t>Network evidence falls between the two systems, and nothing currently covers it. NetForensiq is not another packet analyser like Wireshark or Arkime. It is the legal admissibility layer for network evidence in the Indian judicial system.</w:t>
      </w:r>
    </w:p>
    <w:p>
      <w:pPr>
        <w:pStyle w:val="Heading2"/>
      </w:pPr>
      <w:r>
        <w:rPr>
          <w:color w:val="1B3A5C"/>
        </w:rPr>
        <w:t>1.1 The Problem We Solve</w:t>
      </w:r>
    </w:p>
    <w:p>
      <w:pPr/>
      <w:r>
        <w:t>When a cyber crime investigator captures network traffic (a PCAP file), three questions immediately arise that existing tools cannot answer:</w:t>
      </w:r>
    </w:p>
    <w:p>
      <w:pPr>
        <w:pStyle w:val="ListBullet"/>
      </w:pPr>
      <w:r>
        <w:rPr>
          <w:b/>
          <w:sz w:val="20"/>
        </w:rPr>
        <w:t>Integrity:</w:t>
      </w:r>
      <w:r>
        <w:rPr>
          <w:sz w:val="20"/>
        </w:rPr>
        <w:t xml:space="preserve"> How do you prove the capture hasn't been tampered with after seizure?</w:t>
      </w:r>
    </w:p>
    <w:p>
      <w:pPr>
        <w:pStyle w:val="ListBullet"/>
      </w:pPr>
      <w:r>
        <w:rPr>
          <w:b/>
          <w:sz w:val="20"/>
        </w:rPr>
        <w:t>Chain of Custody:</w:t>
      </w:r>
      <w:r>
        <w:rPr>
          <w:sz w:val="20"/>
        </w:rPr>
        <w:t xml:space="preserve"> Who handled this evidence, when, and what did they do with it?</w:t>
      </w:r>
    </w:p>
    <w:p>
      <w:pPr>
        <w:pStyle w:val="ListBullet"/>
      </w:pPr>
      <w:r>
        <w:rPr>
          <w:b/>
          <w:sz w:val="20"/>
        </w:rPr>
        <w:t>Legal Admissibility:</w:t>
      </w:r>
      <w:r>
        <w:rPr>
          <w:sz w:val="20"/>
        </w:rPr>
        <w:t xml:space="preserve"> Can this evidence be presented in court under the Bharatiya Sakshya Adhiniyam (BSA) 2023?</w:t>
      </w:r>
    </w:p>
    <w:p>
      <w:pPr>
        <w:pStyle w:val="Heading2"/>
      </w:pPr>
      <w:r>
        <w:rPr>
          <w:color w:val="1B3A5C"/>
        </w:rPr>
        <w:t>1.2 Why It Matters Now</w:t>
      </w:r>
    </w:p>
    <w:p>
      <w:pPr/>
      <w:r>
        <w:t>The Gujarat State Judicial Academy (GSJA) launched a Master Trainer Programme in July 2026, training judges to expect digital evidence in a specific shape: a unique ID, a cryptographic hash, and a BSA Section 63 certificate. NetForensiq deliberately mirrors that shape for network evidence — not imitation, but landing in the mental model the local judiciary already has.</w:t>
      </w:r>
    </w:p>
    <w:p>
      <w:r>
        <w:br w:type="page"/>
      </w:r>
    </w:p>
    <w:p>
      <w:pPr>
        <w:pStyle w:val="Heading1"/>
      </w:pPr>
      <w:r>
        <w:rPr>
          <w:color w:val="1B3A5C"/>
        </w:rPr>
        <w:t>2. System Architecture</w:t>
      </w:r>
    </w:p>
    <w:p>
      <w:pPr/>
      <w:r>
        <w:t>NetForensiq is a full-stack application with a Django backend and a React frontend, designed for deployment in air-gapped police environments.</w:t>
      </w:r>
    </w:p>
    <w:tbl>
      <w:tblPr>
        <w:tblStyle w:val="TableGrid"/>
        <w:tblW w:type="auto" w:w="0"/>
        <w:jc w:val="center"/>
        <w:tblLook w:firstColumn="1" w:firstRow="1" w:lastColumn="0" w:lastRow="0" w:noHBand="0" w:noVBand="1" w:val="04A0"/>
      </w:tblPr>
      <w:tblGrid>
        <w:gridCol w:w="3135"/>
        <w:gridCol w:w="3135"/>
        <w:gridCol w:w="3135"/>
      </w:tblGrid>
      <w:tr>
        <w:tc>
          <w:tcPr>
            <w:tcW w:type="dxa" w:w="1984"/>
            <w:shd w:fill="1B3A5C" w:val="clear"/>
          </w:tcPr>
          <w:p>
            <w:pPr>
              <w:jc w:val="center"/>
            </w:pPr>
            <w:r>
              <w:rPr>
                <w:b/>
                <w:color w:val="FFFFFF"/>
                <w:sz w:val="20"/>
              </w:rPr>
              <w:t>Layer</w:t>
            </w:r>
          </w:p>
        </w:tc>
        <w:tc>
          <w:tcPr>
            <w:tcW w:type="dxa" w:w="2835"/>
            <w:shd w:fill="1B3A5C" w:val="clear"/>
          </w:tcPr>
          <w:p>
            <w:pPr>
              <w:jc w:val="center"/>
            </w:pPr>
            <w:r>
              <w:rPr>
                <w:b/>
                <w:color w:val="FFFFFF"/>
                <w:sz w:val="20"/>
              </w:rPr>
              <w:t>Technology</w:t>
            </w:r>
          </w:p>
        </w:tc>
        <w:tc>
          <w:tcPr>
            <w:tcW w:type="dxa" w:w="4252"/>
            <w:shd w:fill="1B3A5C" w:val="clear"/>
          </w:tcPr>
          <w:p>
            <w:pPr>
              <w:jc w:val="center"/>
            </w:pPr>
            <w:r>
              <w:rPr>
                <w:b/>
                <w:color w:val="FFFFFF"/>
                <w:sz w:val="20"/>
              </w:rPr>
              <w:t>Purpose</w:t>
            </w:r>
          </w:p>
        </w:tc>
      </w:tr>
      <w:tr>
        <w:tc>
          <w:tcPr>
            <w:tcW w:type="dxa" w:w="1984"/>
          </w:tcPr>
          <w:p>
            <w:r>
              <w:rPr>
                <w:sz w:val="19"/>
              </w:rPr>
              <w:t>Frontend</w:t>
            </w:r>
          </w:p>
        </w:tc>
        <w:tc>
          <w:tcPr>
            <w:tcW w:type="dxa" w:w="2835"/>
          </w:tcPr>
          <w:p>
            <w:r>
              <w:rPr>
                <w:sz w:val="19"/>
              </w:rPr>
              <w:t>React 19 + Vite + Material UI</w:t>
            </w:r>
          </w:p>
        </w:tc>
        <w:tc>
          <w:tcPr>
            <w:tcW w:type="dxa" w:w="4252"/>
          </w:tcPr>
          <w:p>
            <w:r>
              <w:rPr>
                <w:sz w:val="19"/>
              </w:rPr>
              <w:t>Dashboard, Findings, Evidence, Login pages</w:t>
            </w:r>
          </w:p>
        </w:tc>
      </w:tr>
      <w:tr>
        <w:tc>
          <w:tcPr>
            <w:tcW w:type="dxa" w:w="1984"/>
            <w:shd w:fill="EDF2F7" w:val="clear"/>
          </w:tcPr>
          <w:p>
            <w:r>
              <w:rPr>
                <w:sz w:val="19"/>
              </w:rPr>
              <w:t>Backend</w:t>
            </w:r>
          </w:p>
        </w:tc>
        <w:tc>
          <w:tcPr>
            <w:tcW w:type="dxa" w:w="2835"/>
            <w:shd w:fill="EDF2F7" w:val="clear"/>
          </w:tcPr>
          <w:p>
            <w:r>
              <w:rPr>
                <w:sz w:val="19"/>
              </w:rPr>
              <w:t>Django 6.0 + Django REST Framework</w:t>
            </w:r>
          </w:p>
        </w:tc>
        <w:tc>
          <w:tcPr>
            <w:tcW w:type="dxa" w:w="4252"/>
            <w:shd w:fill="EDF2F7" w:val="clear"/>
          </w:tcPr>
          <w:p>
            <w:r>
              <w:rPr>
                <w:sz w:val="19"/>
              </w:rPr>
              <w:t>API server, business logic, PDF generation</w:t>
            </w:r>
          </w:p>
        </w:tc>
      </w:tr>
      <w:tr>
        <w:tc>
          <w:tcPr>
            <w:tcW w:type="dxa" w:w="1984"/>
          </w:tcPr>
          <w:p>
            <w:r>
              <w:rPr>
                <w:sz w:val="19"/>
              </w:rPr>
              <w:t>Packet Engine</w:t>
            </w:r>
          </w:p>
        </w:tc>
        <w:tc>
          <w:tcPr>
            <w:tcW w:type="dxa" w:w="2835"/>
          </w:tcPr>
          <w:p>
            <w:r>
              <w:rPr>
                <w:sz w:val="19"/>
              </w:rPr>
              <w:t>Scapy (Python)</w:t>
            </w:r>
          </w:p>
        </w:tc>
        <w:tc>
          <w:tcPr>
            <w:tcW w:type="dxa" w:w="4252"/>
          </w:tcPr>
          <w:p>
            <w:r>
              <w:rPr>
                <w:sz w:val="19"/>
              </w:rPr>
              <w:t>PCAP parsing, flow assembly, feature extraction</w:t>
            </w:r>
          </w:p>
        </w:tc>
      </w:tr>
      <w:tr>
        <w:tc>
          <w:tcPr>
            <w:tcW w:type="dxa" w:w="1984"/>
            <w:shd w:fill="EDF2F7" w:val="clear"/>
          </w:tcPr>
          <w:p>
            <w:r>
              <w:rPr>
                <w:sz w:val="19"/>
              </w:rPr>
              <w:t>Detection</w:t>
            </w:r>
          </w:p>
        </w:tc>
        <w:tc>
          <w:tcPr>
            <w:tcW w:type="dxa" w:w="2835"/>
            <w:shd w:fill="EDF2F7" w:val="clear"/>
          </w:tcPr>
          <w:p>
            <w:r>
              <w:rPr>
                <w:sz w:val="19"/>
              </w:rPr>
              <w:t>7 rule-based detectors</w:t>
            </w:r>
          </w:p>
        </w:tc>
        <w:tc>
          <w:tcPr>
            <w:tcW w:type="dxa" w:w="4252"/>
            <w:shd w:fill="EDF2F7" w:val="clear"/>
          </w:tcPr>
          <w:p>
            <w:r>
              <w:rPr>
                <w:sz w:val="19"/>
              </w:rPr>
              <w:t>C2 beacons, DNS tunnels, port scans, exfiltration</w:t>
            </w:r>
          </w:p>
        </w:tc>
      </w:tr>
      <w:tr>
        <w:tc>
          <w:tcPr>
            <w:tcW w:type="dxa" w:w="1984"/>
          </w:tcPr>
          <w:p>
            <w:r>
              <w:rPr>
                <w:sz w:val="19"/>
              </w:rPr>
              <w:t>Evidence Layer</w:t>
            </w:r>
          </w:p>
        </w:tc>
        <w:tc>
          <w:tcPr>
            <w:tcW w:type="dxa" w:w="2835"/>
          </w:tcPr>
          <w:p>
            <w:r>
              <w:rPr>
                <w:sz w:val="19"/>
              </w:rPr>
              <w:t>SHA-256 + MD5 hashing</w:t>
            </w:r>
          </w:p>
        </w:tc>
        <w:tc>
          <w:tcPr>
            <w:tcW w:type="dxa" w:w="4252"/>
          </w:tcPr>
          <w:p>
            <w:r>
              <w:rPr>
                <w:sz w:val="19"/>
              </w:rPr>
              <w:t>Integrity verification, chain of custody, certificates</w:t>
            </w:r>
          </w:p>
        </w:tc>
      </w:tr>
      <w:tr>
        <w:tc>
          <w:tcPr>
            <w:tcW w:type="dxa" w:w="1984"/>
            <w:shd w:fill="EDF2F7" w:val="clear"/>
          </w:tcPr>
          <w:p>
            <w:r>
              <w:rPr>
                <w:sz w:val="19"/>
              </w:rPr>
              <w:t>Database</w:t>
            </w:r>
          </w:p>
        </w:tc>
        <w:tc>
          <w:tcPr>
            <w:tcW w:type="dxa" w:w="2835"/>
            <w:shd w:fill="EDF2F7" w:val="clear"/>
          </w:tcPr>
          <w:p>
            <w:r>
              <w:rPr>
                <w:sz w:val="19"/>
              </w:rPr>
              <w:t>SQLite (default) / PostgreSQL</w:t>
            </w:r>
          </w:p>
        </w:tc>
        <w:tc>
          <w:tcPr>
            <w:tcW w:type="dxa" w:w="4252"/>
            <w:shd w:fill="EDF2F7" w:val="clear"/>
          </w:tcPr>
          <w:p>
            <w:r>
              <w:rPr>
                <w:sz w:val="19"/>
              </w:rPr>
              <w:t>Zero-config for demos; PostgreSQL for production</w:t>
            </w:r>
          </w:p>
        </w:tc>
      </w:tr>
      <w:tr>
        <w:tc>
          <w:tcPr>
            <w:tcW w:type="dxa" w:w="1984"/>
          </w:tcPr>
          <w:p>
            <w:r>
              <w:rPr>
                <w:sz w:val="19"/>
              </w:rPr>
              <w:t>Auth</w:t>
            </w:r>
          </w:p>
        </w:tc>
        <w:tc>
          <w:tcPr>
            <w:tcW w:type="dxa" w:w="2835"/>
          </w:tcPr>
          <w:p>
            <w:r>
              <w:rPr>
                <w:sz w:val="19"/>
              </w:rPr>
              <w:t>JWT + role-based access</w:t>
            </w:r>
          </w:p>
        </w:tc>
        <w:tc>
          <w:tcPr>
            <w:tcW w:type="dxa" w:w="4252"/>
          </w:tcPr>
          <w:p>
            <w:r>
              <w:rPr>
                <w:sz w:val="19"/>
              </w:rPr>
              <w:t>Officer roles, badge IDs, department, admin approval</w:t>
            </w:r>
          </w:p>
        </w:tc>
      </w:tr>
    </w:tbl>
    <w:p>
      <w:pPr>
        <w:pStyle w:val="Heading2"/>
      </w:pPr>
      <w:r>
        <w:rPr>
          <w:color w:val="1B3A5C"/>
        </w:rPr>
        <w:t>2.1 How It Works — Step by Step</w:t>
      </w:r>
    </w:p>
    <w:p>
      <w:pPr/>
      <w:r>
        <w:t>The platform operates in three stages:</w:t>
      </w:r>
    </w:p>
    <w:p>
      <w:r>
        <w:rPr>
          <w:b/>
          <w:color w:val="1B3A5C"/>
          <w:sz w:val="21"/>
        </w:rPr>
        <w:t xml:space="preserve">Stage 1 — Capture &amp; Ingest: </w:t>
      </w:r>
      <w:r>
        <w:t>A PCAP file is imported via a management command. The moment it enters the system, SHA-256 and MD5 hashes are computed in a single streaming pass. A sealed copy is stored in the evidence store and is never modified again. The first chain-of-custody event (ACQUIRED) is logged. Scapy then parses every packet, assembles network flows, and extracts forensic features like Shannon entropy, TLS SNI, JA3 hashes, DNS label lengths, and TCP flag patterns.</w:t>
      </w:r>
    </w:p>
    <w:p>
      <w:r>
        <w:rPr>
          <w:b/>
          <w:color w:val="1B3A5C"/>
          <w:sz w:val="21"/>
        </w:rPr>
        <w:t xml:space="preserve">Stage 2 — Detection &amp; Analysis: </w:t>
      </w:r>
      <w:r>
        <w:t>Seven rule-based detection engines run over the extracted features. Each rule carries its threshold source — either from published research (RITA, Snort, RFC 1035) or explicitly marked as [OUR HEURISTIC]. Findings are presented to analysts for triage: confirm, dismiss, or escalate. Every decision records the reviewer's identity and reasoning.</w:t>
      </w:r>
    </w:p>
    <w:p>
      <w:r>
        <w:rPr>
          <w:b/>
          <w:color w:val="1B3A5C"/>
          <w:sz w:val="21"/>
        </w:rPr>
        <w:t xml:space="preserve">Stage 3 — Certification &amp; Export: </w:t>
      </w:r>
      <w:r>
        <w:t>When evidence is ready for court, NetForensiq re-hashes the sealed PCAP and compares it against the stored digest. If the integrity check passes, a BSA Section 63 certificate PDF is generated — reproducing THE SCHEDULE to the Bharatiya Sakshya Adhiniyam 2023 verbatim. The certificate requires dual signatures (Part A: person in charge; Part B: expert countersignature). An unsigned certificate is watermarked 'DRAFT — NOT A VALID CERTIFICATE' on every page.</w:t>
      </w:r>
    </w:p>
    <w:p>
      <w:r>
        <w:br w:type="page"/>
      </w:r>
    </w:p>
    <w:p>
      <w:pPr>
        <w:pStyle w:val="Heading1"/>
      </w:pPr>
      <w:r>
        <w:rPr>
          <w:color w:val="1B3A5C"/>
        </w:rPr>
        <w:t>3. Detection Engine</w:t>
      </w:r>
    </w:p>
    <w:p>
      <w:pPr/>
      <w:r>
        <w:t>The detection philosophy is: rules first, model second. A police panel will ask "why did it flag this?" — a rule answers, a black box does not. Every finding carries its threshold value, its provenance source, and full evidence JSON so an analyst can verify the logic independently.</w:t>
      </w:r>
    </w:p>
    <w:tbl>
      <w:tblPr>
        <w:tblStyle w:val="TableGrid"/>
        <w:tblW w:type="auto" w:w="0"/>
        <w:jc w:val="center"/>
        <w:tblLook w:firstColumn="1" w:firstRow="1" w:lastColumn="0" w:lastRow="0" w:noHBand="0" w:noVBand="1" w:val="04A0"/>
      </w:tblPr>
      <w:tblGrid>
        <w:gridCol w:w="3135"/>
        <w:gridCol w:w="3135"/>
        <w:gridCol w:w="3135"/>
      </w:tblGrid>
      <w:tr>
        <w:tc>
          <w:tcPr>
            <w:tcW w:type="dxa" w:w="2551"/>
            <w:shd w:fill="1B3A5C" w:val="clear"/>
          </w:tcPr>
          <w:p>
            <w:pPr>
              <w:jc w:val="center"/>
            </w:pPr>
            <w:r>
              <w:rPr>
                <w:b/>
                <w:color w:val="FFFFFF"/>
                <w:sz w:val="20"/>
              </w:rPr>
              <w:t>Rule ID</w:t>
            </w:r>
          </w:p>
        </w:tc>
        <w:tc>
          <w:tcPr>
            <w:tcW w:type="dxa" w:w="3118"/>
            <w:shd w:fill="1B3A5C" w:val="clear"/>
          </w:tcPr>
          <w:p>
            <w:pPr>
              <w:jc w:val="center"/>
            </w:pPr>
            <w:r>
              <w:rPr>
                <w:b/>
                <w:color w:val="FFFFFF"/>
                <w:sz w:val="20"/>
              </w:rPr>
              <w:t>Detects</w:t>
            </w:r>
          </w:p>
        </w:tc>
        <w:tc>
          <w:tcPr>
            <w:tcW w:type="dxa" w:w="3118"/>
            <w:shd w:fill="1B3A5C" w:val="clear"/>
          </w:tcPr>
          <w:p>
            <w:pPr>
              <w:jc w:val="center"/>
            </w:pPr>
            <w:r>
              <w:rPr>
                <w:b/>
                <w:color w:val="FFFFFF"/>
                <w:sz w:val="20"/>
              </w:rPr>
              <w:t>Threshold Source</w:t>
            </w:r>
          </w:p>
        </w:tc>
      </w:tr>
      <w:tr>
        <w:tc>
          <w:tcPr>
            <w:tcW w:type="dxa" w:w="2551"/>
          </w:tcPr>
          <w:p>
            <w:r>
              <w:rPr>
                <w:sz w:val="19"/>
              </w:rPr>
              <w:t>C2_BEACON_PERIODIC</w:t>
            </w:r>
          </w:p>
        </w:tc>
        <w:tc>
          <w:tcPr>
            <w:tcW w:type="dxa" w:w="3118"/>
          </w:tcPr>
          <w:p>
            <w:r>
              <w:rPr>
                <w:sz w:val="19"/>
              </w:rPr>
              <w:t>Command &amp; Control beacons with regular timing</w:t>
            </w:r>
          </w:p>
        </w:tc>
        <w:tc>
          <w:tcPr>
            <w:tcW w:type="dxa" w:w="3118"/>
          </w:tcPr>
          <w:p>
            <w:r>
              <w:rPr>
                <w:sz w:val="19"/>
              </w:rPr>
              <w:t>RITA analyzer.go — MADM / median interval</w:t>
            </w:r>
          </w:p>
        </w:tc>
      </w:tr>
      <w:tr>
        <w:tc>
          <w:tcPr>
            <w:tcW w:type="dxa" w:w="2551"/>
            <w:shd w:fill="EDF2F7" w:val="clear"/>
          </w:tcPr>
          <w:p>
            <w:r>
              <w:rPr>
                <w:sz w:val="19"/>
              </w:rPr>
              <w:t>C2_BEACON_KEEPALIVE</w:t>
            </w:r>
          </w:p>
        </w:tc>
        <w:tc>
          <w:tcPr>
            <w:tcW w:type="dxa" w:w="3118"/>
            <w:shd w:fill="EDF2F7" w:val="clear"/>
          </w:tcPr>
          <w:p>
            <w:r>
              <w:rPr>
                <w:sz w:val="19"/>
              </w:rPr>
              <w:t>Periodic traffic inside a single persistent session</w:t>
            </w:r>
          </w:p>
        </w:tc>
        <w:tc>
          <w:tcPr>
            <w:tcW w:type="dxa" w:w="3118"/>
            <w:shd w:fill="EDF2F7" w:val="clear"/>
          </w:tcPr>
          <w:p>
            <w:r>
              <w:rPr>
                <w:sz w:val="19"/>
              </w:rPr>
              <w:t>Same MADM formula, applied intra-connection</w:t>
            </w:r>
          </w:p>
        </w:tc>
      </w:tr>
      <w:tr>
        <w:tc>
          <w:tcPr>
            <w:tcW w:type="dxa" w:w="2551"/>
          </w:tcPr>
          <w:p>
            <w:r>
              <w:rPr>
                <w:sz w:val="19"/>
              </w:rPr>
              <w:t>COVERT_CHANNEL_UNKNOWN_PORT</w:t>
            </w:r>
          </w:p>
        </w:tc>
        <w:tc>
          <w:tcPr>
            <w:tcW w:type="dxa" w:w="3118"/>
          </w:tcPr>
          <w:p>
            <w:r>
              <w:rPr>
                <w:sz w:val="19"/>
              </w:rPr>
              <w:t>Sustained egress to non-well-known port, no TLS SNI</w:t>
            </w:r>
          </w:p>
        </w:tc>
        <w:tc>
          <w:tcPr>
            <w:tcW w:type="dxa" w:w="3118"/>
          </w:tcPr>
          <w:p>
            <w:r>
              <w:rPr>
                <w:sz w:val="19"/>
              </w:rPr>
              <w:t>[OUR HEURISTIC]</w:t>
            </w:r>
          </w:p>
        </w:tc>
      </w:tr>
      <w:tr>
        <w:tc>
          <w:tcPr>
            <w:tcW w:type="dxa" w:w="2551"/>
            <w:shd w:fill="EDF2F7" w:val="clear"/>
          </w:tcPr>
          <w:p>
            <w:r>
              <w:rPr>
                <w:sz w:val="19"/>
              </w:rPr>
              <w:t>DNS_TUNNEL_LONG_LABEL</w:t>
            </w:r>
          </w:p>
        </w:tc>
        <w:tc>
          <w:tcPr>
            <w:tcW w:type="dxa" w:w="3118"/>
            <w:shd w:fill="EDF2F7" w:val="clear"/>
          </w:tcPr>
          <w:p>
            <w:r>
              <w:rPr>
                <w:sz w:val="19"/>
              </w:rPr>
              <w:t>Subdomain labels longer than 52 characters</w:t>
            </w:r>
          </w:p>
        </w:tc>
        <w:tc>
          <w:tcPr>
            <w:tcW w:type="dxa" w:w="3118"/>
            <w:shd w:fill="EDF2F7" w:val="clear"/>
          </w:tcPr>
          <w:p>
            <w:r>
              <w:rPr>
                <w:sz w:val="19"/>
              </w:rPr>
              <w:t>RFC 1035 §2.3.4; dnscat2; iodine</w:t>
            </w:r>
          </w:p>
        </w:tc>
      </w:tr>
      <w:tr>
        <w:tc>
          <w:tcPr>
            <w:tcW w:type="dxa" w:w="2551"/>
          </w:tcPr>
          <w:p>
            <w:r>
              <w:rPr>
                <w:sz w:val="19"/>
              </w:rPr>
              <w:t>RECON_PORT_SCAN</w:t>
            </w:r>
          </w:p>
        </w:tc>
        <w:tc>
          <w:tcPr>
            <w:tcW w:type="dxa" w:w="3118"/>
          </w:tcPr>
          <w:p>
            <w:r>
              <w:rPr>
                <w:sz w:val="19"/>
              </w:rPr>
              <w:t>One source probing many ports on one host</w:t>
            </w:r>
          </w:p>
        </w:tc>
        <w:tc>
          <w:tcPr>
            <w:tcW w:type="dxa" w:w="3118"/>
          </w:tcPr>
          <w:p>
            <w:r>
              <w:rPr>
                <w:sz w:val="19"/>
              </w:rPr>
              <w:t>Snort 3 port_scan (ports=25)</w:t>
            </w:r>
          </w:p>
        </w:tc>
      </w:tr>
      <w:tr>
        <w:tc>
          <w:tcPr>
            <w:tcW w:type="dxa" w:w="2551"/>
            <w:shd w:fill="EDF2F7" w:val="clear"/>
          </w:tcPr>
          <w:p>
            <w:r>
              <w:rPr>
                <w:sz w:val="19"/>
              </w:rPr>
              <w:t>EXFIL_VOLUME_ASYMMETRY</w:t>
            </w:r>
          </w:p>
        </w:tc>
        <w:tc>
          <w:tcPr>
            <w:tcW w:type="dxa" w:w="3118"/>
            <w:shd w:fill="EDF2F7" w:val="clear"/>
          </w:tcPr>
          <w:p>
            <w:r>
              <w:rPr>
                <w:sz w:val="19"/>
              </w:rPr>
              <w:t>Outbound volume exceeding p95 for the capture</w:t>
            </w:r>
          </w:p>
        </w:tc>
        <w:tc>
          <w:tcPr>
            <w:tcW w:type="dxa" w:w="3118"/>
            <w:shd w:fill="EDF2F7" w:val="clear"/>
          </w:tcPr>
          <w:p>
            <w:r>
              <w:rPr>
                <w:sz w:val="19"/>
              </w:rPr>
              <w:t>Relative threshold, floor at 100 KB</w:t>
            </w:r>
          </w:p>
        </w:tc>
      </w:tr>
      <w:tr>
        <w:tc>
          <w:tcPr>
            <w:tcW w:type="dxa" w:w="2551"/>
          </w:tcPr>
          <w:p>
            <w:r>
              <w:rPr>
                <w:sz w:val="19"/>
              </w:rPr>
              <w:t>ICMP_TUNNEL_OVERSIZED</w:t>
            </w:r>
          </w:p>
        </w:tc>
        <w:tc>
          <w:tcPr>
            <w:tcW w:type="dxa" w:w="3118"/>
          </w:tcPr>
          <w:p>
            <w:r>
              <w:rPr>
                <w:sz w:val="19"/>
              </w:rPr>
              <w:t>Oversized ICMP echo payloads in a sustained stream</w:t>
            </w:r>
          </w:p>
        </w:tc>
        <w:tc>
          <w:tcPr>
            <w:tcW w:type="dxa" w:w="3118"/>
          </w:tcPr>
          <w:p>
            <w:r>
              <w:rPr>
                <w:sz w:val="19"/>
              </w:rPr>
              <w:t>ping(8) baseline + [OUR HEURISTIC]</w:t>
            </w:r>
          </w:p>
        </w:tc>
      </w:tr>
    </w:tbl>
    <w:p>
      <w:pPr>
        <w:pStyle w:val="Heading2"/>
      </w:pPr>
      <w:r>
        <w:rPr>
          <w:color w:val="1B3A5C"/>
        </w:rPr>
        <w:t>3.1 Real-Traffic Validation</w:t>
      </w:r>
    </w:p>
    <w:p>
      <w:pPr/>
      <w:r>
        <w:t>The detection engine was validated against two real-world captures from malware-traffic-analysis.net (neither produced by us):</w:t>
      </w:r>
    </w:p>
    <w:tbl>
      <w:tblPr>
        <w:tblStyle w:val="TableGrid"/>
        <w:tblW w:type="auto" w:w="0"/>
        <w:jc w:val="center"/>
        <w:tblLook w:firstColumn="1" w:firstRow="1" w:lastColumn="0" w:lastRow="0" w:noHBand="0" w:noVBand="1" w:val="04A0"/>
      </w:tblPr>
      <w:tblGrid>
        <w:gridCol w:w="3135"/>
        <w:gridCol w:w="3135"/>
        <w:gridCol w:w="3135"/>
      </w:tblGrid>
      <w:tr>
        <w:tc>
          <w:tcPr>
            <w:tcW w:type="dxa" w:w="2835"/>
            <w:shd w:fill="1B3A5C" w:val="clear"/>
          </w:tcPr>
          <w:p>
            <w:pPr>
              <w:jc w:val="center"/>
            </w:pPr>
            <w:r>
              <w:rPr>
                <w:b/>
                <w:color w:val="FFFFFF"/>
                <w:sz w:val="20"/>
              </w:rPr>
              <w:t>Capture</w:t>
            </w:r>
          </w:p>
        </w:tc>
        <w:tc>
          <w:tcPr>
            <w:tcW w:type="dxa" w:w="2268"/>
            <w:shd w:fill="1B3A5C" w:val="clear"/>
          </w:tcPr>
          <w:p>
            <w:pPr>
              <w:jc w:val="center"/>
            </w:pPr>
            <w:r>
              <w:rPr>
                <w:b/>
                <w:color w:val="FFFFFF"/>
                <w:sz w:val="20"/>
              </w:rPr>
              <w:t>Purpose</w:t>
            </w:r>
          </w:p>
        </w:tc>
        <w:tc>
          <w:tcPr>
            <w:tcW w:type="dxa" w:w="3969"/>
            <w:shd w:fill="1B3A5C" w:val="clear"/>
          </w:tcPr>
          <w:p>
            <w:pPr>
              <w:jc w:val="center"/>
            </w:pPr>
            <w:r>
              <w:rPr>
                <w:b/>
                <w:color w:val="FFFFFF"/>
                <w:sz w:val="20"/>
              </w:rPr>
              <w:t>Result</w:t>
            </w:r>
          </w:p>
        </w:tc>
      </w:tr>
      <w:tr>
        <w:tc>
          <w:tcPr>
            <w:tcW w:type="dxa" w:w="2835"/>
          </w:tcPr>
          <w:p>
            <w:r>
              <w:rPr>
                <w:sz w:val="19"/>
              </w:rPr>
              <w:t>AsyncRAT + XWorm infection</w:t>
              <w:br/>
              <w:t>(44 MB, 46k packets)</w:t>
            </w:r>
          </w:p>
        </w:tc>
        <w:tc>
          <w:tcPr>
            <w:tcW w:type="dxa" w:w="2268"/>
          </w:tcPr>
          <w:p>
            <w:r>
              <w:rPr>
                <w:sz w:val="19"/>
              </w:rPr>
              <w:t>True positive test</w:t>
            </w:r>
          </w:p>
        </w:tc>
        <w:tc>
          <w:tcPr>
            <w:tcW w:type="dxa" w:w="3969"/>
          </w:tcPr>
          <w:p>
            <w:r>
              <w:rPr>
                <w:sz w:val="19"/>
              </w:rPr>
              <w:t>Found 5 of 7 documented C2 flows, 0 false positives</w:t>
            </w:r>
          </w:p>
        </w:tc>
      </w:tr>
      <w:tr>
        <w:tc>
          <w:tcPr>
            <w:tcW w:type="dxa" w:w="2835"/>
            <w:shd w:fill="EDF2F7" w:val="clear"/>
          </w:tcPr>
          <w:p>
            <w:r>
              <w:rPr>
                <w:sz w:val="19"/>
              </w:rPr>
              <w:t>One week of server scans</w:t>
              <w:br/>
              <w:t>(28 MB, 362k packets)</w:t>
            </w:r>
          </w:p>
        </w:tc>
        <w:tc>
          <w:tcPr>
            <w:tcW w:type="dxa" w:w="2268"/>
            <w:shd w:fill="EDF2F7" w:val="clear"/>
          </w:tcPr>
          <w:p>
            <w:r>
              <w:rPr>
                <w:sz w:val="19"/>
              </w:rPr>
              <w:t>False positive test</w:t>
            </w:r>
          </w:p>
        </w:tc>
        <w:tc>
          <w:tcPr>
            <w:tcW w:type="dxa" w:w="3969"/>
            <w:shd w:fill="EDF2F7" w:val="clear"/>
          </w:tcPr>
          <w:p>
            <w:r>
              <w:rPr>
                <w:sz w:val="19"/>
              </w:rPr>
              <w:t>Reduced from 7,052 to 307 alerts after fixes</w:t>
            </w:r>
          </w:p>
        </w:tc>
      </w:tr>
    </w:tbl>
    <w:p>
      <w:pPr>
        <w:pStyle w:val="Heading1"/>
      </w:pPr>
      <w:r>
        <w:rPr>
          <w:color w:val="1B3A5C"/>
        </w:rPr>
        <w:t>4. Legal Compliance — BSA Section 63</w:t>
      </w:r>
    </w:p>
    <w:p>
      <w:pPr/>
      <w:r>
        <w:t>The Bharatiya Sakshya Adhiniyam 2023, Section 63, governs the admissibility of electronic records. NetForensiq's evidence layer implements:</w:t>
      </w:r>
    </w:p>
    <w:p>
      <w:pPr>
        <w:pStyle w:val="ListBullet"/>
      </w:pPr>
      <w:r>
        <w:rPr>
          <w:b/>
          <w:sz w:val="20"/>
        </w:rPr>
        <w:t>Cryptographic Integrity —</w:t>
      </w:r>
      <w:r>
        <w:rPr>
          <w:sz w:val="20"/>
        </w:rPr>
        <w:t xml:space="preserve"> SHA-256 + MD5 dual hashing at ingest (as named in THE SCHEDULE itself)</w:t>
      </w:r>
    </w:p>
    <w:p>
      <w:pPr>
        <w:pStyle w:val="ListBullet"/>
      </w:pPr>
      <w:r>
        <w:rPr>
          <w:b/>
          <w:sz w:val="20"/>
        </w:rPr>
        <w:t>Hash-Chained Custody —</w:t>
      </w:r>
      <w:r>
        <w:rPr>
          <w:sz w:val="20"/>
        </w:rPr>
        <w:t xml:space="preserve"> Every access is logged as a CustodyEvent; each event digests its predecessor so altering any past entry breaks every subsequent link</w:t>
      </w:r>
    </w:p>
    <w:p>
      <w:pPr>
        <w:pStyle w:val="ListBullet"/>
      </w:pPr>
      <w:r>
        <w:rPr>
          <w:b/>
          <w:sz w:val="20"/>
        </w:rPr>
        <w:t>Certificate Generation —</w:t>
      </w:r>
      <w:r>
        <w:rPr>
          <w:sz w:val="20"/>
        </w:rPr>
        <w:t xml:space="preserve"> PDF reproduces THE SCHEDULE verbatim with the same wording, field order, and tick-boxes from the bare Act</w:t>
      </w:r>
    </w:p>
    <w:p>
      <w:pPr>
        <w:pStyle w:val="ListBullet"/>
      </w:pPr>
      <w:r>
        <w:rPr>
          <w:b/>
          <w:sz w:val="20"/>
        </w:rPr>
        <w:t>Statutory Blanks —</w:t>
      </w:r>
      <w:r>
        <w:rPr>
          <w:sz w:val="20"/>
        </w:rPr>
        <w:t xml:space="preserve"> Where NetForensiq does not hold a fact the Schedule asks for (e.g., device colour, parent's name), the line is printed blank for a human to complete in ink. Filling it with plausible values would be forging a statutory declaration.</w:t>
      </w:r>
    </w:p>
    <w:p>
      <w:pPr>
        <w:pStyle w:val="ListBullet"/>
      </w:pPr>
      <w:r>
        <w:rPr>
          <w:b/>
          <w:sz w:val="20"/>
        </w:rPr>
        <w:t>Dual Signature —</w:t>
      </w:r>
      <w:r>
        <w:rPr>
          <w:sz w:val="20"/>
        </w:rPr>
        <w:t xml:space="preserve"> Certificate requires both Part A (person in charge) and Part B (expert). Missing either triggers a DRAFT watermark on every page.</w:t>
      </w:r>
    </w:p>
    <w:p>
      <w:r>
        <w:br w:type="page"/>
      </w:r>
    </w:p>
    <w:p>
      <w:pPr>
        <w:pStyle w:val="Heading1"/>
      </w:pPr>
      <w:r>
        <w:rPr>
          <w:color w:val="1B3A5C"/>
        </w:rPr>
        <w:t>5. Technology Stack</w:t>
      </w:r>
    </w:p>
    <w:tbl>
      <w:tblPr>
        <w:tblStyle w:val="TableGrid"/>
        <w:tblW w:type="auto" w:w="0"/>
        <w:jc w:val="center"/>
        <w:tblLook w:firstColumn="1" w:firstRow="1" w:lastColumn="0" w:lastRow="0" w:noHBand="0" w:noVBand="1" w:val="04A0"/>
      </w:tblPr>
      <w:tblGrid>
        <w:gridCol w:w="3135"/>
        <w:gridCol w:w="3135"/>
        <w:gridCol w:w="3135"/>
      </w:tblGrid>
      <w:tr>
        <w:tc>
          <w:tcPr>
            <w:tcW w:type="dxa" w:w="2551"/>
            <w:shd w:fill="1B3A5C" w:val="clear"/>
          </w:tcPr>
          <w:p>
            <w:pPr>
              <w:jc w:val="center"/>
            </w:pPr>
            <w:r>
              <w:rPr>
                <w:b/>
                <w:color w:val="FFFFFF"/>
                <w:sz w:val="20"/>
              </w:rPr>
              <w:t>Component</w:t>
            </w:r>
          </w:p>
        </w:tc>
        <w:tc>
          <w:tcPr>
            <w:tcW w:type="dxa" w:w="3118"/>
            <w:shd w:fill="1B3A5C" w:val="clear"/>
          </w:tcPr>
          <w:p>
            <w:pPr>
              <w:jc w:val="center"/>
            </w:pPr>
            <w:r>
              <w:rPr>
                <w:b/>
                <w:color w:val="FFFFFF"/>
                <w:sz w:val="20"/>
              </w:rPr>
              <w:t>Technology</w:t>
            </w:r>
          </w:p>
        </w:tc>
        <w:tc>
          <w:tcPr>
            <w:tcW w:type="dxa" w:w="1701"/>
            <w:shd w:fill="1B3A5C" w:val="clear"/>
          </w:tcPr>
          <w:p>
            <w:pPr>
              <w:jc w:val="center"/>
            </w:pPr>
            <w:r>
              <w:rPr>
                <w:b/>
                <w:color w:val="FFFFFF"/>
                <w:sz w:val="20"/>
              </w:rPr>
              <w:t>Version</w:t>
            </w:r>
          </w:p>
        </w:tc>
      </w:tr>
      <w:tr>
        <w:tc>
          <w:tcPr>
            <w:tcW w:type="dxa" w:w="2551"/>
          </w:tcPr>
          <w:p>
            <w:r>
              <w:rPr>
                <w:sz w:val="19"/>
              </w:rPr>
              <w:t>Language (Backend)</w:t>
            </w:r>
          </w:p>
        </w:tc>
        <w:tc>
          <w:tcPr>
            <w:tcW w:type="dxa" w:w="3118"/>
          </w:tcPr>
          <w:p>
            <w:r>
              <w:rPr>
                <w:sz w:val="19"/>
              </w:rPr>
              <w:t>Python</w:t>
            </w:r>
          </w:p>
        </w:tc>
        <w:tc>
          <w:tcPr>
            <w:tcW w:type="dxa" w:w="1701"/>
          </w:tcPr>
          <w:p>
            <w:r>
              <w:rPr>
                <w:sz w:val="19"/>
              </w:rPr>
              <w:t>3.10+</w:t>
            </w:r>
          </w:p>
        </w:tc>
      </w:tr>
      <w:tr>
        <w:tc>
          <w:tcPr>
            <w:tcW w:type="dxa" w:w="2551"/>
            <w:shd w:fill="EDF2F7" w:val="clear"/>
          </w:tcPr>
          <w:p>
            <w:r>
              <w:rPr>
                <w:sz w:val="19"/>
              </w:rPr>
              <w:t>Web Framework</w:t>
            </w:r>
          </w:p>
        </w:tc>
        <w:tc>
          <w:tcPr>
            <w:tcW w:type="dxa" w:w="3118"/>
            <w:shd w:fill="EDF2F7" w:val="clear"/>
          </w:tcPr>
          <w:p>
            <w:r>
              <w:rPr>
                <w:sz w:val="19"/>
              </w:rPr>
              <w:t>Django</w:t>
            </w:r>
          </w:p>
        </w:tc>
        <w:tc>
          <w:tcPr>
            <w:tcW w:type="dxa" w:w="1701"/>
            <w:shd w:fill="EDF2F7" w:val="clear"/>
          </w:tcPr>
          <w:p>
            <w:r>
              <w:rPr>
                <w:sz w:val="19"/>
              </w:rPr>
              <w:t>6.0</w:t>
            </w:r>
          </w:p>
        </w:tc>
      </w:tr>
      <w:tr>
        <w:tc>
          <w:tcPr>
            <w:tcW w:type="dxa" w:w="2551"/>
          </w:tcPr>
          <w:p>
            <w:r>
              <w:rPr>
                <w:sz w:val="19"/>
              </w:rPr>
              <w:t>REST API</w:t>
            </w:r>
          </w:p>
        </w:tc>
        <w:tc>
          <w:tcPr>
            <w:tcW w:type="dxa" w:w="3118"/>
          </w:tcPr>
          <w:p>
            <w:r>
              <w:rPr>
                <w:sz w:val="19"/>
              </w:rPr>
              <w:t>Django REST Framework</w:t>
            </w:r>
          </w:p>
        </w:tc>
        <w:tc>
          <w:tcPr>
            <w:tcW w:type="dxa" w:w="1701"/>
          </w:tcPr>
          <w:p>
            <w:r>
              <w:rPr>
                <w:sz w:val="19"/>
              </w:rPr>
              <w:t>Latest</w:t>
            </w:r>
          </w:p>
        </w:tc>
      </w:tr>
      <w:tr>
        <w:tc>
          <w:tcPr>
            <w:tcW w:type="dxa" w:w="2551"/>
            <w:shd w:fill="EDF2F7" w:val="clear"/>
          </w:tcPr>
          <w:p>
            <w:r>
              <w:rPr>
                <w:sz w:val="19"/>
              </w:rPr>
              <w:t>Packet Parsing</w:t>
            </w:r>
          </w:p>
        </w:tc>
        <w:tc>
          <w:tcPr>
            <w:tcW w:type="dxa" w:w="3118"/>
            <w:shd w:fill="EDF2F7" w:val="clear"/>
          </w:tcPr>
          <w:p>
            <w:r>
              <w:rPr>
                <w:sz w:val="19"/>
              </w:rPr>
              <w:t>Scapy</w:t>
            </w:r>
          </w:p>
        </w:tc>
        <w:tc>
          <w:tcPr>
            <w:tcW w:type="dxa" w:w="1701"/>
            <w:shd w:fill="EDF2F7" w:val="clear"/>
          </w:tcPr>
          <w:p>
            <w:r>
              <w:rPr>
                <w:sz w:val="19"/>
              </w:rPr>
              <w:t>Latest</w:t>
            </w:r>
          </w:p>
        </w:tc>
      </w:tr>
      <w:tr>
        <w:tc>
          <w:tcPr>
            <w:tcW w:type="dxa" w:w="2551"/>
          </w:tcPr>
          <w:p>
            <w:r>
              <w:rPr>
                <w:sz w:val="19"/>
              </w:rPr>
              <w:t>Language (Frontend)</w:t>
            </w:r>
          </w:p>
        </w:tc>
        <w:tc>
          <w:tcPr>
            <w:tcW w:type="dxa" w:w="3118"/>
          </w:tcPr>
          <w:p>
            <w:r>
              <w:rPr>
                <w:sz w:val="19"/>
              </w:rPr>
              <w:t>JavaScript (ES2020+)</w:t>
            </w:r>
          </w:p>
        </w:tc>
        <w:tc>
          <w:tcPr>
            <w:tcW w:type="dxa" w:w="1701"/>
          </w:tcPr>
          <w:p>
            <w:r>
              <w:rPr>
                <w:sz w:val="19"/>
              </w:rPr>
              <w:t>—</w:t>
            </w:r>
          </w:p>
        </w:tc>
      </w:tr>
      <w:tr>
        <w:tc>
          <w:tcPr>
            <w:tcW w:type="dxa" w:w="2551"/>
            <w:shd w:fill="EDF2F7" w:val="clear"/>
          </w:tcPr>
          <w:p>
            <w:r>
              <w:rPr>
                <w:sz w:val="19"/>
              </w:rPr>
              <w:t>UI Framework</w:t>
            </w:r>
          </w:p>
        </w:tc>
        <w:tc>
          <w:tcPr>
            <w:tcW w:type="dxa" w:w="3118"/>
            <w:shd w:fill="EDF2F7" w:val="clear"/>
          </w:tcPr>
          <w:p>
            <w:r>
              <w:rPr>
                <w:sz w:val="19"/>
              </w:rPr>
              <w:t>React</w:t>
            </w:r>
          </w:p>
        </w:tc>
        <w:tc>
          <w:tcPr>
            <w:tcW w:type="dxa" w:w="1701"/>
            <w:shd w:fill="EDF2F7" w:val="clear"/>
          </w:tcPr>
          <w:p>
            <w:r>
              <w:rPr>
                <w:sz w:val="19"/>
              </w:rPr>
              <w:t>19</w:t>
            </w:r>
          </w:p>
        </w:tc>
      </w:tr>
      <w:tr>
        <w:tc>
          <w:tcPr>
            <w:tcW w:type="dxa" w:w="2551"/>
          </w:tcPr>
          <w:p>
            <w:r>
              <w:rPr>
                <w:sz w:val="19"/>
              </w:rPr>
              <w:t>Build Tool</w:t>
            </w:r>
          </w:p>
        </w:tc>
        <w:tc>
          <w:tcPr>
            <w:tcW w:type="dxa" w:w="3118"/>
          </w:tcPr>
          <w:p>
            <w:r>
              <w:rPr>
                <w:sz w:val="19"/>
              </w:rPr>
              <w:t>Vite</w:t>
            </w:r>
          </w:p>
        </w:tc>
        <w:tc>
          <w:tcPr>
            <w:tcW w:type="dxa" w:w="1701"/>
          </w:tcPr>
          <w:p>
            <w:r>
              <w:rPr>
                <w:sz w:val="19"/>
              </w:rPr>
              <w:t>Latest</w:t>
            </w:r>
          </w:p>
        </w:tc>
      </w:tr>
      <w:tr>
        <w:tc>
          <w:tcPr>
            <w:tcW w:type="dxa" w:w="2551"/>
            <w:shd w:fill="EDF2F7" w:val="clear"/>
          </w:tcPr>
          <w:p>
            <w:r>
              <w:rPr>
                <w:sz w:val="19"/>
              </w:rPr>
              <w:t>UI Components</w:t>
            </w:r>
          </w:p>
        </w:tc>
        <w:tc>
          <w:tcPr>
            <w:tcW w:type="dxa" w:w="3118"/>
            <w:shd w:fill="EDF2F7" w:val="clear"/>
          </w:tcPr>
          <w:p>
            <w:r>
              <w:rPr>
                <w:sz w:val="19"/>
              </w:rPr>
              <w:t>Material UI (MUI)</w:t>
            </w:r>
          </w:p>
        </w:tc>
        <w:tc>
          <w:tcPr>
            <w:tcW w:type="dxa" w:w="1701"/>
            <w:shd w:fill="EDF2F7" w:val="clear"/>
          </w:tcPr>
          <w:p>
            <w:r>
              <w:rPr>
                <w:sz w:val="19"/>
              </w:rPr>
              <w:t>Latest</w:t>
            </w:r>
          </w:p>
        </w:tc>
      </w:tr>
      <w:tr>
        <w:tc>
          <w:tcPr>
            <w:tcW w:type="dxa" w:w="2551"/>
          </w:tcPr>
          <w:p>
            <w:r>
              <w:rPr>
                <w:sz w:val="19"/>
              </w:rPr>
              <w:t>E2E Testing</w:t>
            </w:r>
          </w:p>
        </w:tc>
        <w:tc>
          <w:tcPr>
            <w:tcW w:type="dxa" w:w="3118"/>
          </w:tcPr>
          <w:p>
            <w:r>
              <w:rPr>
                <w:sz w:val="19"/>
              </w:rPr>
              <w:t>Playwright</w:t>
            </w:r>
          </w:p>
        </w:tc>
        <w:tc>
          <w:tcPr>
            <w:tcW w:type="dxa" w:w="1701"/>
          </w:tcPr>
          <w:p>
            <w:r>
              <w:rPr>
                <w:sz w:val="19"/>
              </w:rPr>
              <w:t>Latest</w:t>
            </w:r>
          </w:p>
        </w:tc>
      </w:tr>
      <w:tr>
        <w:tc>
          <w:tcPr>
            <w:tcW w:type="dxa" w:w="2551"/>
            <w:shd w:fill="EDF2F7" w:val="clear"/>
          </w:tcPr>
          <w:p>
            <w:r>
              <w:rPr>
                <w:sz w:val="19"/>
              </w:rPr>
              <w:t>Authentication</w:t>
            </w:r>
          </w:p>
        </w:tc>
        <w:tc>
          <w:tcPr>
            <w:tcW w:type="dxa" w:w="3118"/>
            <w:shd w:fill="EDF2F7" w:val="clear"/>
          </w:tcPr>
          <w:p>
            <w:r>
              <w:rPr>
                <w:sz w:val="19"/>
              </w:rPr>
              <w:t>JWT (SimpleJWT)</w:t>
            </w:r>
          </w:p>
        </w:tc>
        <w:tc>
          <w:tcPr>
            <w:tcW w:type="dxa" w:w="1701"/>
            <w:shd w:fill="EDF2F7" w:val="clear"/>
          </w:tcPr>
          <w:p>
            <w:r>
              <w:rPr>
                <w:sz w:val="19"/>
              </w:rPr>
              <w:t>Latest</w:t>
            </w:r>
          </w:p>
        </w:tc>
      </w:tr>
      <w:tr>
        <w:tc>
          <w:tcPr>
            <w:tcW w:type="dxa" w:w="2551"/>
          </w:tcPr>
          <w:p>
            <w:r>
              <w:rPr>
                <w:sz w:val="19"/>
              </w:rPr>
              <w:t>Database</w:t>
            </w:r>
          </w:p>
        </w:tc>
        <w:tc>
          <w:tcPr>
            <w:tcW w:type="dxa" w:w="3118"/>
          </w:tcPr>
          <w:p>
            <w:r>
              <w:rPr>
                <w:sz w:val="19"/>
              </w:rPr>
              <w:t>SQLite / PostgreSQL</w:t>
            </w:r>
          </w:p>
        </w:tc>
        <w:tc>
          <w:tcPr>
            <w:tcW w:type="dxa" w:w="1701"/>
          </w:tcPr>
          <w:p>
            <w:r>
              <w:rPr>
                <w:sz w:val="19"/>
              </w:rPr>
              <w:t>3.x / 15+</w:t>
            </w:r>
          </w:p>
        </w:tc>
      </w:tr>
    </w:tbl>
    <w:p>
      <w:pPr>
        <w:pStyle w:val="Heading2"/>
      </w:pPr>
      <w:r>
        <w:rPr>
          <w:color w:val="1B3A5C"/>
        </w:rPr>
        <w:t>5.1 Test Coverage</w:t>
      </w:r>
    </w:p>
    <w:tbl>
      <w:tblPr>
        <w:tblStyle w:val="TableGrid"/>
        <w:tblW w:type="auto" w:w="0"/>
        <w:jc w:val="center"/>
        <w:tblLook w:firstColumn="1" w:firstRow="1" w:lastColumn="0" w:lastRow="0" w:noHBand="0" w:noVBand="1" w:val="04A0"/>
      </w:tblPr>
      <w:tblGrid>
        <w:gridCol w:w="3135"/>
        <w:gridCol w:w="3135"/>
        <w:gridCol w:w="3135"/>
      </w:tblGrid>
      <w:tr>
        <w:tc>
          <w:tcPr>
            <w:tcW w:type="dxa" w:w="2551"/>
            <w:shd w:fill="1B3A5C" w:val="clear"/>
          </w:tcPr>
          <w:p>
            <w:pPr>
              <w:jc w:val="center"/>
            </w:pPr>
            <w:r>
              <w:rPr>
                <w:b/>
                <w:color w:val="FFFFFF"/>
                <w:sz w:val="20"/>
              </w:rPr>
              <w:t>Suite</w:t>
            </w:r>
          </w:p>
        </w:tc>
        <w:tc>
          <w:tcPr>
            <w:tcW w:type="dxa" w:w="1134"/>
            <w:shd w:fill="1B3A5C" w:val="clear"/>
          </w:tcPr>
          <w:p>
            <w:pPr>
              <w:jc w:val="center"/>
            </w:pPr>
            <w:r>
              <w:rPr>
                <w:b/>
                <w:color w:val="FFFFFF"/>
                <w:sz w:val="20"/>
              </w:rPr>
              <w:t>Count</w:t>
            </w:r>
          </w:p>
        </w:tc>
        <w:tc>
          <w:tcPr>
            <w:tcW w:type="dxa" w:w="5386"/>
            <w:shd w:fill="1B3A5C" w:val="clear"/>
          </w:tcPr>
          <w:p>
            <w:pPr>
              <w:jc w:val="center"/>
            </w:pPr>
            <w:r>
              <w:rPr>
                <w:b/>
                <w:color w:val="FFFFFF"/>
                <w:sz w:val="20"/>
              </w:rPr>
              <w:t>What It Covers</w:t>
            </w:r>
          </w:p>
        </w:tc>
      </w:tr>
      <w:tr>
        <w:tc>
          <w:tcPr>
            <w:tcW w:type="dxa" w:w="2551"/>
          </w:tcPr>
          <w:p>
            <w:r>
              <w:rPr>
                <w:sz w:val="19"/>
              </w:rPr>
              <w:t>Backend Unit Tests</w:t>
            </w:r>
          </w:p>
        </w:tc>
        <w:tc>
          <w:tcPr>
            <w:tcW w:type="dxa" w:w="1134"/>
          </w:tcPr>
          <w:p>
            <w:r>
              <w:rPr>
                <w:sz w:val="19"/>
              </w:rPr>
              <w:t>61</w:t>
            </w:r>
          </w:p>
        </w:tc>
        <w:tc>
          <w:tcPr>
            <w:tcW w:type="dxa" w:w="5386"/>
          </w:tcPr>
          <w:p>
            <w:r>
              <w:rPr>
                <w:sz w:val="19"/>
              </w:rPr>
              <w:t>Feature maths, timestamp fidelity, all attack types, false-positive guards, DNS aggregation, threshold provenance, IPv6, hashing, tamper detection, custody-chain breakage, certificate refusal on failed integrity</w:t>
            </w:r>
          </w:p>
        </w:tc>
      </w:tr>
      <w:tr>
        <w:tc>
          <w:tcPr>
            <w:tcW w:type="dxa" w:w="2551"/>
            <w:shd w:fill="EDF2F7" w:val="clear"/>
          </w:tcPr>
          <w:p>
            <w:r>
              <w:rPr>
                <w:sz w:val="19"/>
              </w:rPr>
              <w:t>Playwright E2E Tests</w:t>
            </w:r>
          </w:p>
        </w:tc>
        <w:tc>
          <w:tcPr>
            <w:tcW w:type="dxa" w:w="1134"/>
            <w:shd w:fill="EDF2F7" w:val="clear"/>
          </w:tcPr>
          <w:p>
            <w:r>
              <w:rPr>
                <w:sz w:val="19"/>
              </w:rPr>
              <w:t>15</w:t>
            </w:r>
          </w:p>
        </w:tc>
        <w:tc>
          <w:tcPr>
            <w:tcW w:type="dxa" w:w="5386"/>
            <w:shd w:fill="EDF2F7" w:val="clear"/>
          </w:tcPr>
          <w:p>
            <w:r>
              <w:rPr>
                <w:sz w:val="19"/>
              </w:rPr>
              <w:t>Auth guard, dashboard figures matching the API, absence of placeholder strings, threshold inspection, triage round-trip, custody verdict, certificate download</w:t>
            </w:r>
          </w:p>
        </w:tc>
      </w:tr>
    </w:tbl>
    <w:p>
      <w:pPr>
        <w:pStyle w:val="Heading2"/>
      </w:pPr>
      <w:r>
        <w:rPr>
          <w:color w:val="1B3A5C"/>
        </w:rPr>
        <w:t>5.2 Project Structure</w:t>
      </w:r>
    </w:p>
    <w:p>
      <w:pPr/>
      <w:r>
        <w:t>The repository is organized as follows:</w:t>
      </w:r>
    </w:p>
    <w:tbl>
      <w:tblPr>
        <w:tblStyle w:val="TableGrid"/>
        <w:tblW w:type="auto" w:w="0"/>
        <w:jc w:val="center"/>
        <w:tblLook w:firstColumn="1" w:firstRow="1" w:lastColumn="0" w:lastRow="0" w:noHBand="0" w:noVBand="1" w:val="04A0"/>
      </w:tblPr>
      <w:tblGrid>
        <w:gridCol w:w="4703"/>
        <w:gridCol w:w="4703"/>
      </w:tblGrid>
      <w:tr>
        <w:tc>
          <w:tcPr>
            <w:tcW w:type="dxa" w:w="2835"/>
            <w:shd w:fill="1B3A5C" w:val="clear"/>
          </w:tcPr>
          <w:p>
            <w:pPr>
              <w:jc w:val="center"/>
            </w:pPr>
            <w:r>
              <w:rPr>
                <w:b/>
                <w:color w:val="FFFFFF"/>
                <w:sz w:val="20"/>
              </w:rPr>
              <w:t>Directory</w:t>
            </w:r>
          </w:p>
        </w:tc>
        <w:tc>
          <w:tcPr>
            <w:tcW w:type="dxa" w:w="6236"/>
            <w:shd w:fill="1B3A5C" w:val="clear"/>
          </w:tcPr>
          <w:p>
            <w:pPr>
              <w:jc w:val="center"/>
            </w:pPr>
            <w:r>
              <w:rPr>
                <w:b/>
                <w:color w:val="FFFFFF"/>
                <w:sz w:val="20"/>
              </w:rPr>
              <w:t>Contents</w:t>
            </w:r>
          </w:p>
        </w:tc>
      </w:tr>
      <w:tr>
        <w:tc>
          <w:tcPr>
            <w:tcW w:type="dxa" w:w="2835"/>
          </w:tcPr>
          <w:p>
            <w:r>
              <w:rPr>
                <w:sz w:val="19"/>
              </w:rPr>
              <w:t>backend/accounts/</w:t>
            </w:r>
          </w:p>
        </w:tc>
        <w:tc>
          <w:tcPr>
            <w:tcW w:type="dxa" w:w="6236"/>
          </w:tcPr>
          <w:p>
            <w:r>
              <w:rPr>
                <w:sz w:val="19"/>
              </w:rPr>
              <w:t>Authentication, roles, badge IDs, audit logging</w:t>
            </w:r>
          </w:p>
        </w:tc>
      </w:tr>
      <w:tr>
        <w:tc>
          <w:tcPr>
            <w:tcW w:type="dxa" w:w="2835"/>
            <w:shd w:fill="EDF2F7" w:val="clear"/>
          </w:tcPr>
          <w:p>
            <w:r>
              <w:rPr>
                <w:sz w:val="19"/>
              </w:rPr>
              <w:t>backend/capture/</w:t>
            </w:r>
          </w:p>
        </w:tc>
        <w:tc>
          <w:tcPr>
            <w:tcW w:type="dxa" w:w="6236"/>
            <w:shd w:fill="EDF2F7" w:val="clear"/>
          </w:tcPr>
          <w:p>
            <w:r>
              <w:rPr>
                <w:sz w:val="19"/>
              </w:rPr>
              <w:t>Packet processor, flow assembly, detection engine, synthetic generator</w:t>
            </w:r>
          </w:p>
        </w:tc>
      </w:tr>
      <w:tr>
        <w:tc>
          <w:tcPr>
            <w:tcW w:type="dxa" w:w="2835"/>
          </w:tcPr>
          <w:p>
            <w:r>
              <w:rPr>
                <w:sz w:val="19"/>
              </w:rPr>
              <w:t>backend/evidence/</w:t>
            </w:r>
          </w:p>
        </w:tc>
        <w:tc>
          <w:tcPr>
            <w:tcW w:type="dxa" w:w="6236"/>
          </w:tcPr>
          <w:p>
            <w:r>
              <w:rPr>
                <w:sz w:val="19"/>
              </w:rPr>
              <w:t>Evidence integrity, chain of custody, BSA s.63 certificate PDF</w:t>
            </w:r>
          </w:p>
        </w:tc>
      </w:tr>
      <w:tr>
        <w:tc>
          <w:tcPr>
            <w:tcW w:type="dxa" w:w="2835"/>
            <w:shd w:fill="EDF2F7" w:val="clear"/>
          </w:tcPr>
          <w:p>
            <w:r>
              <w:rPr>
                <w:sz w:val="19"/>
              </w:rPr>
              <w:t>frontend/src/pages/</w:t>
            </w:r>
          </w:p>
        </w:tc>
        <w:tc>
          <w:tcPr>
            <w:tcW w:type="dxa" w:w="6236"/>
            <w:shd w:fill="EDF2F7" w:val="clear"/>
          </w:tcPr>
          <w:p>
            <w:r>
              <w:rPr>
                <w:sz w:val="19"/>
              </w:rPr>
              <w:t>Dashboard, Findings, Evidence, Login pages</w:t>
            </w:r>
          </w:p>
        </w:tc>
      </w:tr>
      <w:tr>
        <w:tc>
          <w:tcPr>
            <w:tcW w:type="dxa" w:w="2835"/>
          </w:tcPr>
          <w:p>
            <w:r>
              <w:rPr>
                <w:sz w:val="19"/>
              </w:rPr>
              <w:t>frontend/src/services/</w:t>
            </w:r>
          </w:p>
        </w:tc>
        <w:tc>
          <w:tcPr>
            <w:tcW w:type="dxa" w:w="6236"/>
          </w:tcPr>
          <w:p>
            <w:r>
              <w:rPr>
                <w:sz w:val="19"/>
              </w:rPr>
              <w:t>API client modules (forensics.js, auth.js)</w:t>
            </w:r>
          </w:p>
        </w:tc>
      </w:tr>
      <w:tr>
        <w:tc>
          <w:tcPr>
            <w:tcW w:type="dxa" w:w="2835"/>
            <w:shd w:fill="EDF2F7" w:val="clear"/>
          </w:tcPr>
          <w:p>
            <w:r>
              <w:rPr>
                <w:sz w:val="19"/>
              </w:rPr>
              <w:t>frontend/e2e/</w:t>
            </w:r>
          </w:p>
        </w:tc>
        <w:tc>
          <w:tcPr>
            <w:tcW w:type="dxa" w:w="6236"/>
            <w:shd w:fill="EDF2F7" w:val="clear"/>
          </w:tcPr>
          <w:p>
            <w:r>
              <w:rPr>
                <w:sz w:val="19"/>
              </w:rPr>
              <w:t>Playwright end-to-end test suite</w:t>
            </w:r>
          </w:p>
        </w:tc>
      </w:tr>
      <w:tr>
        <w:tc>
          <w:tcPr>
            <w:tcW w:type="dxa" w:w="2835"/>
          </w:tcPr>
          <w:p>
            <w:r>
              <w:rPr>
                <w:sz w:val="19"/>
              </w:rPr>
              <w:t>research/</w:t>
            </w:r>
          </w:p>
        </w:tc>
        <w:tc>
          <w:tcPr>
            <w:tcW w:type="dxa" w:w="6236"/>
          </w:tcPr>
          <w:p>
            <w:r>
              <w:rPr>
                <w:sz w:val="19"/>
              </w:rPr>
              <w:t>19 research documents (legal, technical, intelligence)</w:t>
            </w:r>
          </w:p>
        </w:tc>
      </w:tr>
      <w:tr>
        <w:tc>
          <w:tcPr>
            <w:tcW w:type="dxa" w:w="2835"/>
            <w:shd w:fill="EDF2F7" w:val="clear"/>
          </w:tcPr>
          <w:p>
            <w:r>
              <w:rPr>
                <w:sz w:val="19"/>
              </w:rPr>
              <w:t>scripts/</w:t>
            </w:r>
          </w:p>
        </w:tc>
        <w:tc>
          <w:tcPr>
            <w:tcW w:type="dxa" w:w="6236"/>
            <w:shd w:fill="EDF2F7" w:val="clear"/>
          </w:tcPr>
          <w:p>
            <w:r>
              <w:rPr>
                <w:sz w:val="19"/>
              </w:rPr>
              <w:t>Utility and verification scripts</w:t>
            </w:r>
          </w:p>
        </w:tc>
      </w:tr>
    </w:tbl>
    <w:p>
      <w:pPr>
        <w:pStyle w:val="Heading1"/>
      </w:pPr>
      <w:r>
        <w:rPr>
          <w:color w:val="1B3A5C"/>
        </w:rPr>
        <w:t>6. Summary</w:t>
      </w:r>
    </w:p>
    <w:p>
      <w:pPr/>
      <w:r>
        <w:t>NetForensiq addresses a specific, unmet need: making network evidence legally admissible in Indian courts. It combines a Scapy-based packet engine, a rule-based detection system with cited thresholds, and a BSA Section 63 certificate generator — all in one platform. The system is designed for air-gapped police environments, requires zero external services to function, and has been validated against real-world malware traffic.</w:t>
      </w:r>
    </w:p>
    <w:p>
      <w:pPr/>
      <w:r>
        <w:t>The project stands on three principles: (1) no hardcoded demo data — every number on screen comes from the database; (2) no invented thresholds — every detection parameter carries a citation or is explicitly labelled [OUR HEURISTIC]; and (3) no overclaiming — synthetic-data performance is reported as such.</w:t>
      </w:r>
    </w:p>
    <w:p>
      <w:pPr>
        <w:jc w:val="center"/>
      </w:pPr>
      <w:r>
        <w:rPr>
          <w:i/>
          <w:color w:val="888888"/>
          <w:sz w:val="18"/>
        </w:rPr>
        <w:br/>
        <w:t>— NetForensiq · KANAD S.H.I.E.L.D. 2026 · i-Hub Gujarat, Ahmedabad —</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4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