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center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LhrLDeLsjcbpOuly7cWH8135A==">CgMxLjA4AHIhMWRmTUY4T3AxVHlzamQ2UUE4NnNqWUdDRG5VdDhZOWhD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