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158"/>
        <w:ind w:right="65"/>
        <w:jc w:val="center"/>
      </w:pPr>
      <w:r>
        <w:rPr>
          <w:b/>
          <w:color w:val="002060"/>
          <w:sz w:val="28"/>
          <w:u w:val="single" w:color="002060"/>
        </w:rPr>
        <w:t>UNIVERSITY ADMIT ELIGIBILITY PREDICTOR</w:t>
      </w:r>
      <w:bookmarkStart w:id="0" w:name="_GoBack"/>
      <w:bookmarkEnd w:id="0"/>
    </w:p>
    <w:p>
      <w:pPr>
        <w:spacing w:after="2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>
      <w:pPr>
        <w:spacing w:after="158"/>
        <w:ind w:left="-5" w:hanging="10"/>
      </w:pPr>
      <w:r>
        <w:rPr>
          <w:b/>
          <w:color w:val="002060"/>
          <w:sz w:val="28"/>
        </w:rPr>
        <w:t xml:space="preserve">PRIOR KNOWLEDGE: </w:t>
      </w:r>
    </w:p>
    <w:p>
      <w:pPr>
        <w:spacing w:after="101"/>
        <w:ind w:left="-5" w:hanging="10"/>
      </w:pPr>
      <w:r>
        <w:rPr>
          <w:b/>
          <w:color w:val="002060"/>
          <w:sz w:val="28"/>
        </w:rPr>
        <w:t xml:space="preserve">SUPERVISED AND UNSUPERVISED LEARNING: </w:t>
      </w:r>
    </w:p>
    <w:p>
      <w:pPr>
        <w:spacing w:after="81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2060"/>
          <w:sz w:val="28"/>
        </w:rPr>
        <w:t xml:space="preserve"> </w:t>
      </w:r>
    </w:p>
    <w:p>
      <w:pPr>
        <w:spacing w:after="0"/>
      </w:pPr>
      <w:r>
        <w:rPr>
          <w:b/>
          <w:color w:val="002060"/>
          <w:sz w:val="28"/>
        </w:rPr>
        <w:t xml:space="preserve">   </w:t>
      </w:r>
    </w:p>
    <w:p>
      <w:pPr>
        <w:spacing w:after="118" w:line="348" w:lineRule="auto"/>
        <w:ind w:right="14"/>
      </w:pPr>
      <w:r>
        <w:rPr>
          <w:noProof/>
        </w:rPr>
        <w:lastRenderedPageBreak/>
        <w:drawing>
          <wp:inline distT="0" distB="0" distL="0" distR="0">
            <wp:extent cx="5943600" cy="3343656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spacing w:after="101"/>
        <w:ind w:left="-5" w:hanging="10"/>
      </w:pPr>
      <w:r>
        <w:rPr>
          <w:b/>
          <w:color w:val="002060"/>
          <w:sz w:val="28"/>
        </w:rPr>
        <w:t xml:space="preserve">REGRESSION CLASSIFICATION AND CLUSTERING: </w:t>
      </w:r>
    </w:p>
    <w:p>
      <w:pPr>
        <w:spacing w:after="81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2060"/>
          <w:sz w:val="28"/>
        </w:rPr>
        <w:t xml:space="preserve"> </w:t>
      </w:r>
    </w:p>
    <w:p>
      <w:pPr>
        <w:spacing w:after="0" w:line="370" w:lineRule="auto"/>
        <w:ind w:right="9362"/>
      </w:pPr>
      <w:r>
        <w:rPr>
          <w:color w:val="002060"/>
          <w:sz w:val="28"/>
        </w:rPr>
        <w:t xml:space="preserve">  </w:t>
      </w:r>
    </w:p>
    <w:p>
      <w:pPr>
        <w:spacing w:after="101"/>
        <w:ind w:left="-5" w:hanging="10"/>
      </w:pPr>
      <w:r>
        <w:rPr>
          <w:b/>
          <w:color w:val="002060"/>
          <w:sz w:val="28"/>
        </w:rPr>
        <w:t xml:space="preserve">FLASK: </w:t>
      </w:r>
    </w:p>
    <w:p>
      <w:pPr>
        <w:spacing w:after="81"/>
        <w:jc w:val="right"/>
      </w:pPr>
      <w:r>
        <w:rPr>
          <w:noProof/>
        </w:rPr>
        <w:lastRenderedPageBreak/>
        <w:drawing>
          <wp:inline distT="0" distB="0" distL="0" distR="0">
            <wp:extent cx="5943600" cy="3343656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8"/>
        </w:rPr>
        <w:t xml:space="preserve"> </w:t>
      </w:r>
    </w:p>
    <w:p>
      <w:pPr>
        <w:spacing w:after="101"/>
      </w:pPr>
      <w:r>
        <w:rPr>
          <w:color w:val="002060"/>
          <w:sz w:val="28"/>
        </w:rPr>
        <w:t xml:space="preserve"> </w:t>
      </w:r>
    </w:p>
    <w:p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8"/>
        </w:rPr>
        <w:t xml:space="preserve"> </w:t>
      </w:r>
    </w:p>
    <w:sectPr>
      <w:pgSz w:w="12240" w:h="15840"/>
      <w:pgMar w:top="1440" w:right="1375" w:bottom="1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B764A9-B1AD-4CB7-A44D-CD31CF6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</dc:creator>
  <cp:keywords/>
  <cp:lastModifiedBy>Karthick Kannan</cp:lastModifiedBy>
  <cp:revision>2</cp:revision>
  <dcterms:created xsi:type="dcterms:W3CDTF">2022-10-17T21:36:00Z</dcterms:created>
  <dcterms:modified xsi:type="dcterms:W3CDTF">2022-10-17T21:36:00Z</dcterms:modified>
</cp:coreProperties>
</file>