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Synthetic Protocol: Sepsis &amp; Septic Shock Resuscitation</w:t>
      </w:r>
    </w:p>
    <w:p>
      <w:r>
        <w:t>Department: Intensive Care Unit (ICU) | Version: 3.4 | Status: Approved</w:t>
      </w:r>
    </w:p>
    <w:p>
      <w:pPr>
        <w:pStyle w:val="Heading1"/>
      </w:pPr>
      <w:r>
        <w:t>Section 1: Hour-1 Emergency Bundle</w:t>
      </w:r>
    </w:p>
    <w:p>
      <w:r>
        <w:t>For patients exhibiting signs of severe sepsis or septic shock, immediate resuscitation within the first hour is mandatory to decrease in-hospital mortality. Step 1: Measure initial blood lactate level; remeasure within 2-4 hours if elevated (&gt;2 mmol/L). Step 2: Obtain appropriate blood cultures prior to initiation of antimicrobial therapy. Step 3: Administer broad-spectrum empiric intravenous antimicrobials within 60 minutes of recognition.</w:t>
      </w:r>
    </w:p>
    <w:p>
      <w:pPr>
        <w:pStyle w:val="Heading1"/>
      </w:pPr>
      <w:r>
        <w:t>Section 2: Hemodynamic Support &amp; Vasopressors</w:t>
      </w:r>
    </w:p>
    <w:p>
      <w:r>
        <w:t>Administer 30 mL/kg of balanced crystalloid solution (e.g. Plasma-Lyte or Lactated Ringer's) for hypotension or lactate &gt;= 4 mmol/L. If MAP remains &lt; 65 mm Hg despite volume loading, initiate norepinephrine as first-choice vasopressor via central venous catheter.</w:t>
      </w:r>
    </w:p>
    <w:p>
      <w:pPr>
        <w:pStyle w:val="Heading1"/>
      </w:pPr>
      <w:r>
        <w:t>Section 3: First-Line Antimicrobial Dosing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Pathogen Focus</w:t>
            </w:r>
          </w:p>
        </w:tc>
        <w:tc>
          <w:tcPr>
            <w:tcW w:type="dxa" w:w="2160"/>
          </w:tcPr>
          <w:p>
            <w:r>
              <w:t>Empiric Regimen</w:t>
            </w:r>
          </w:p>
        </w:tc>
        <w:tc>
          <w:tcPr>
            <w:tcW w:type="dxa" w:w="2160"/>
          </w:tcPr>
          <w:p>
            <w:r>
              <w:t>Loading Dose</w:t>
            </w:r>
          </w:p>
        </w:tc>
        <w:tc>
          <w:tcPr>
            <w:tcW w:type="dxa" w:w="2160"/>
          </w:tcPr>
          <w:p>
            <w:r>
              <w:t>Maintenance Infusion</w:t>
            </w:r>
          </w:p>
        </w:tc>
      </w:tr>
      <w:tr>
        <w:tc>
          <w:tcPr>
            <w:tcW w:type="dxa" w:w="2160"/>
          </w:tcPr>
          <w:p>
            <w:r>
              <w:t>Broad Gram-Negative / Pseudomonas</w:t>
            </w:r>
          </w:p>
        </w:tc>
        <w:tc>
          <w:tcPr>
            <w:tcW w:type="dxa" w:w="2160"/>
          </w:tcPr>
          <w:p>
            <w:r>
              <w:t>Piperacillin-Tazobactam</w:t>
            </w:r>
          </w:p>
        </w:tc>
        <w:tc>
          <w:tcPr>
            <w:tcW w:type="dxa" w:w="2160"/>
          </w:tcPr>
          <w:p>
            <w:r>
              <w:t>4.5 g IV push over 30 min</w:t>
            </w:r>
          </w:p>
        </w:tc>
        <w:tc>
          <w:tcPr>
            <w:tcW w:type="dxa" w:w="2160"/>
          </w:tcPr>
          <w:p>
            <w:r>
              <w:t>3.375 g IV Q8H extended 4h infusion</w:t>
            </w:r>
          </w:p>
        </w:tc>
      </w:tr>
      <w:tr>
        <w:tc>
          <w:tcPr>
            <w:tcW w:type="dxa" w:w="2160"/>
          </w:tcPr>
          <w:p>
            <w:r>
              <w:t>MRSA / Resistant Gram-Positive</w:t>
            </w:r>
          </w:p>
        </w:tc>
        <w:tc>
          <w:tcPr>
            <w:tcW w:type="dxa" w:w="2160"/>
          </w:tcPr>
          <w:p>
            <w:r>
              <w:t>Vancomycin</w:t>
            </w:r>
          </w:p>
        </w:tc>
        <w:tc>
          <w:tcPr>
            <w:tcW w:type="dxa" w:w="2160"/>
          </w:tcPr>
          <w:p>
            <w:r>
              <w:t>25-30 mg/kg IV loading dose</w:t>
            </w:r>
          </w:p>
        </w:tc>
        <w:tc>
          <w:tcPr>
            <w:tcW w:type="dxa" w:w="2160"/>
          </w:tcPr>
          <w:p>
            <w:r>
              <w:t>15-20 mg/kg IV Q8-12H targeted trough 15-20</w:t>
            </w:r>
          </w:p>
        </w:tc>
      </w:tr>
      <w:tr>
        <w:tc>
          <w:tcPr>
            <w:tcW w:type="dxa" w:w="2160"/>
          </w:tcPr>
          <w:p>
            <w:r>
              <w:t>Hospital-Acquired / Ventilator</w:t>
            </w:r>
          </w:p>
        </w:tc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1 g IV push</w:t>
            </w:r>
          </w:p>
        </w:tc>
        <w:tc>
          <w:tcPr>
            <w:tcW w:type="dxa" w:w="2160"/>
          </w:tcPr>
          <w:p>
            <w:r>
              <w:t>1 g IV Q8H extended 3h infusion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