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TruthGuard — Technical Architecture &amp; Verification Engine</w:t>
      </w:r>
    </w:p>
    <w:p>
      <w:pPr>
        <w:jc w:val="center"/>
      </w:pPr>
      <w:r>
        <w:rPr>
          <w:i/>
          <w:sz w:val="22"/>
        </w:rPr>
        <w:t>Engineering blueprint for an evidence-first verification system</w:t>
      </w:r>
    </w:p>
    <w:p/>
    <w:p>
      <w:pPr>
        <w:pStyle w:val="Heading1"/>
      </w:pPr>
      <w:r>
        <w:t>1. Architecture Principle</w:t>
      </w:r>
    </w:p>
    <w:p>
      <w:r>
        <w:t>The system must separate retrieval, evidence normalization, verification logic, and language generation. The LLM must not be the source of truth.</w:t>
      </w:r>
    </w:p>
    <w:p>
      <w:pPr>
        <w:pStyle w:val="Heading1"/>
      </w:pPr>
      <w:r>
        <w:t>2. High-Level Pipeline</w:t>
      </w:r>
    </w:p>
    <w:p>
      <w:r>
        <w:t>INPUT → NORMALIZE → CLAIM EXTRACTION → CLAIM TYPE → AUTHORITY PLAN → LIVE RETRIEVAL → SOURCE NORMALIZATION → EVIDENCE EXTRACTION → EVIDENCE CLASSIFICATION → VERDICT ENGINE → GROUNDED EXPLANATION → REPORT</w:t>
      </w:r>
    </w:p>
    <w:p>
      <w:pPr>
        <w:pStyle w:val="Heading1"/>
      </w:pPr>
      <w:r>
        <w:t>3. Recommended Components</w:t>
      </w:r>
    </w:p>
    <w:p>
      <w:pPr>
        <w:pStyle w:val="ListBullet"/>
      </w:pPr>
      <w:r>
        <w:t>Web/API layer: Flask or FastAPI.</w:t>
      </w:r>
    </w:p>
    <w:p>
      <w:pPr>
        <w:pStyle w:val="ListBullet"/>
      </w:pPr>
      <w:r>
        <w:t>Database: PostgreSQL for production; SQLite acceptable for early local prototyping.</w:t>
      </w:r>
    </w:p>
    <w:p>
      <w:pPr>
        <w:pStyle w:val="ListBullet"/>
      </w:pPr>
      <w:r>
        <w:t>Cache: Redis in production; database-backed cache acceptable for early prototype.</w:t>
      </w:r>
    </w:p>
    <w:p>
      <w:pPr>
        <w:pStyle w:val="ListBullet"/>
      </w:pPr>
      <w:r>
        <w:t>Retrieval adapters: modular providers so search APIs, news indexes, RSS feeds, and permitted publisher APIs can be swapped without rewriting the verifier.</w:t>
      </w:r>
    </w:p>
    <w:p>
      <w:pPr>
        <w:pStyle w:val="ListBullet"/>
      </w:pPr>
      <w:r>
        <w:t>LLM adapter: one interface for claim extraction, semantic comparison, and explanation; model provider should be replaceable.</w:t>
      </w:r>
    </w:p>
    <w:p>
      <w:pPr>
        <w:pStyle w:val="ListBullet"/>
      </w:pPr>
      <w:r>
        <w:t>Background jobs: optional queue for deep investigations.</w:t>
      </w:r>
    </w:p>
    <w:p>
      <w:pPr>
        <w:pStyle w:val="ListBullet"/>
      </w:pPr>
      <w:r>
        <w:t>Frontend: existing web UI can remain, but should consume stable JSON APIs.</w:t>
      </w:r>
    </w:p>
    <w:p>
      <w:pPr>
        <w:pStyle w:val="ListBullet"/>
      </w:pPr>
      <w:r>
        <w:t>Observability: structured logs, request IDs, retrieval latency, source counts, verdict reason codes, and model errors.</w:t>
      </w:r>
    </w:p>
    <w:p>
      <w:pPr>
        <w:pStyle w:val="Heading1"/>
      </w:pPr>
      <w:r>
        <w:t>4. Evidence Retrieval Strategy</w:t>
      </w:r>
    </w:p>
    <w:p>
      <w:r>
        <w:t>Do NOT define retrieval as “search all legitimate news sites.” Instead, create a source registry and retrieval policy.</w:t>
      </w:r>
    </w:p>
    <w:p>
      <w:pPr>
        <w:pStyle w:val="ListBullet"/>
      </w:pPr>
      <w:r>
        <w:t>Primary/authoritative sources: government departments, regulators, courts, organizations, companies, scientific bodies, and official statements when directly relevant.</w:t>
      </w:r>
    </w:p>
    <w:p>
      <w:pPr>
        <w:pStyle w:val="ListBullet"/>
      </w:pPr>
      <w:r>
        <w:t>High-quality news agencies/outlets: sources with established editorial practices and identifiable publisher domains.</w:t>
      </w:r>
    </w:p>
    <w:p>
      <w:pPr>
        <w:pStyle w:val="ListBullet"/>
      </w:pPr>
      <w:r>
        <w:t>Fact-check organizations: useful especially for previously debunked viral claims.</w:t>
      </w:r>
    </w:p>
    <w:p>
      <w:pPr>
        <w:pStyle w:val="ListBullet"/>
      </w:pPr>
      <w:r>
        <w:t>Secondary sources: useful for discovery and corroboration, but should not automatically outrank primary evidence.</w:t>
      </w:r>
    </w:p>
    <w:p>
      <w:pPr>
        <w:pStyle w:val="ListBullet"/>
      </w:pPr>
      <w:r>
        <w:t>Search/index providers: used to discover relevant documents; the provider itself is not automatically evidence.</w:t>
      </w:r>
    </w:p>
    <w:p>
      <w:pPr>
        <w:pStyle w:val="ListBullet"/>
      </w:pPr>
      <w:r>
        <w:t>Every retrieved document receives metadata describing publisher, canonical domain, source category, publication time, retrieval time, and authority.</w:t>
      </w:r>
    </w:p>
    <w:p>
      <w:pPr>
        <w:pStyle w:val="Heading1"/>
      </w:pPr>
      <w:r>
        <w:t>5. Source Trust Model</w:t>
      </w:r>
    </w:p>
    <w:p>
      <w:r>
        <w:t>Source trust should be claim-dependent. A source is not globally “true.” The system should score authority for the specific claim type.</w:t>
      </w:r>
    </w:p>
    <w:p>
      <w:pPr>
        <w:pStyle w:val="ListBullet"/>
      </w:pPr>
      <w:r>
        <w:t>Domain verification: exact allowlisted/recognized canonical domains; never substring-match brand names.</w:t>
      </w:r>
    </w:p>
    <w:p>
      <w:pPr>
        <w:pStyle w:val="ListBullet"/>
      </w:pPr>
      <w:r>
        <w:t>Authority relevance: is this organization actually authoritative on this subject?</w:t>
      </w:r>
    </w:p>
    <w:p>
      <w:pPr>
        <w:pStyle w:val="ListBullet"/>
      </w:pPr>
      <w:r>
        <w:t>Editorial/source quality: publisher category, transparency, corrections practices where known.</w:t>
      </w:r>
    </w:p>
    <w:p>
      <w:pPr>
        <w:pStyle w:val="ListBullet"/>
      </w:pPr>
      <w:r>
        <w:t>Independence: multiple articles copied from one wire report do not count as independent confirmations.</w:t>
      </w:r>
    </w:p>
    <w:p>
      <w:pPr>
        <w:pStyle w:val="ListBullet"/>
      </w:pPr>
      <w:r>
        <w:t>Freshness: current events require current evidence.</w:t>
      </w:r>
    </w:p>
    <w:p>
      <w:pPr>
        <w:pStyle w:val="ListBullet"/>
      </w:pPr>
      <w:r>
        <w:t>Primary-vs-secondary distinction: primary evidence generally outranks commentary for direct factual assertions.</w:t>
      </w:r>
    </w:p>
    <w:p>
      <w:pPr>
        <w:pStyle w:val="Heading1"/>
      </w:pPr>
      <w:r>
        <w:t>6. Claim Matching</w:t>
      </w:r>
    </w:p>
    <w:p>
      <w:r>
        <w:t>Do not require exact sentence matches. Represent each claim structurally:</w:t>
      </w:r>
    </w:p>
    <w:p>
      <w:pPr>
        <w:pStyle w:val="ListBullet"/>
      </w:pPr>
      <w:r>
        <w:t>claim_text</w:t>
      </w:r>
    </w:p>
    <w:p>
      <w:pPr>
        <w:pStyle w:val="ListBullet"/>
      </w:pPr>
      <w:r>
        <w:t>subject/entity</w:t>
      </w:r>
    </w:p>
    <w:p>
      <w:pPr>
        <w:pStyle w:val="ListBullet"/>
      </w:pPr>
      <w:r>
        <w:t>predicate/event</w:t>
      </w:r>
    </w:p>
    <w:p>
      <w:pPr>
        <w:pStyle w:val="ListBullet"/>
      </w:pPr>
      <w:r>
        <w:t>object/value</w:t>
      </w:r>
    </w:p>
    <w:p>
      <w:pPr>
        <w:pStyle w:val="ListBullet"/>
      </w:pPr>
      <w:r>
        <w:t>location</w:t>
      </w:r>
    </w:p>
    <w:p>
      <w:pPr>
        <w:pStyle w:val="ListBullet"/>
      </w:pPr>
      <w:r>
        <w:t>event_date/time</w:t>
      </w:r>
    </w:p>
    <w:p>
      <w:pPr>
        <w:pStyle w:val="ListBullet"/>
      </w:pPr>
      <w:r>
        <w:t>as_of_date</w:t>
      </w:r>
    </w:p>
    <w:p>
      <w:pPr>
        <w:pStyle w:val="ListBullet"/>
      </w:pPr>
      <w:r>
        <w:t>claim_type</w:t>
      </w:r>
    </w:p>
    <w:p>
      <w:pPr>
        <w:pStyle w:val="ListBullet"/>
      </w:pPr>
      <w:r>
        <w:t>language</w:t>
      </w:r>
    </w:p>
    <w:p>
      <w:pPr>
        <w:pStyle w:val="ListBullet"/>
      </w:pPr>
      <w:r>
        <w:t>required_authority_type</w:t>
      </w:r>
    </w:p>
    <w:p>
      <w:r>
        <w:t>Retrieved documents should be compared semantically and structurally. Search terms should be generated from entities, event concepts, dates, and distinctive claim phrases. Semantic similarity is a retrieval/ranking signal, not proof.</w:t>
      </w:r>
    </w:p>
    <w:p>
      <w:pPr>
        <w:pStyle w:val="Heading1"/>
      </w:pPr>
      <w:r>
        <w:t>7. Evidence Record</w:t>
      </w:r>
    </w:p>
    <w:p>
      <w:r>
        <w:t>Each evidence item should minimally contain: evidence_id, claim_id, URL, canonical_url, publisher, title, published_at, retrieved_at, source_category, authority_score, independence_group, excerpt, support/contradiction/qualification label, extraction_confidence, and retrieval_provider.</w:t>
      </w:r>
    </w:p>
    <w:p>
      <w:pPr>
        <w:pStyle w:val="Heading1"/>
      </w:pPr>
      <w:r>
        <w:t>8. Verdict Engine</w:t>
      </w:r>
    </w:p>
    <w:p>
      <w:r>
        <w:t>The verdict engine should combine structured evidence rather than asking the LLM “is this true?”</w:t>
      </w:r>
    </w:p>
    <w:p>
      <w:pPr>
        <w:pStyle w:val="ListBullet"/>
      </w:pPr>
      <w:r>
        <w:t>Count independent evidence groups, not duplicate articles.</w:t>
      </w:r>
    </w:p>
    <w:p>
      <w:pPr>
        <w:pStyle w:val="ListBullet"/>
      </w:pPr>
      <w:r>
        <w:t>Weight authority relevant to the claim.</w:t>
      </w:r>
    </w:p>
    <w:p>
      <w:pPr>
        <w:pStyle w:val="ListBullet"/>
      </w:pPr>
      <w:r>
        <w:t>Detect direct contradiction separately from mere absence.</w:t>
      </w:r>
    </w:p>
    <w:p>
      <w:pPr>
        <w:pStyle w:val="ListBullet"/>
      </w:pPr>
      <w:r>
        <w:t>Consider publication time and whether the claim is time-sensitive.</w:t>
      </w:r>
    </w:p>
    <w:p>
      <w:pPr>
        <w:pStyle w:val="ListBullet"/>
      </w:pPr>
      <w:r>
        <w:t>Detect official confirmation or denial.</w:t>
      </w:r>
    </w:p>
    <w:p>
      <w:pPr>
        <w:pStyle w:val="ListBullet"/>
      </w:pPr>
      <w:r>
        <w:t>Apply minimum evidence thresholds before stronger verdicts.</w:t>
      </w:r>
    </w:p>
    <w:p>
      <w:pPr>
        <w:pStyle w:val="ListBullet"/>
      </w:pPr>
      <w:r>
        <w:t>If evidence is conflicting or evolving, prefer Mixed Evidence.</w:t>
      </w:r>
    </w:p>
    <w:p>
      <w:pPr>
        <w:pStyle w:val="ListBullet"/>
      </w:pPr>
      <w:r>
        <w:t>If evidence is absent, use Insufficient Evidence.</w:t>
      </w:r>
    </w:p>
    <w:p>
      <w:pPr>
        <w:pStyle w:val="ListBullet"/>
      </w:pPr>
      <w:r>
        <w:t>Store reason codes explaining which rules triggered the verdict.</w:t>
      </w:r>
    </w:p>
    <w:p>
      <w:pPr>
        <w:pStyle w:val="Heading1"/>
      </w:pPr>
      <w:r>
        <w:t>9. AI Grounding Contract</w:t>
      </w:r>
    </w:p>
    <w:p>
      <w:pPr>
        <w:pStyle w:val="ListBullet"/>
      </w:pPr>
      <w:r>
        <w:t>The explanation model receives only the normalized claim and selected evidence objects.</w:t>
      </w:r>
    </w:p>
    <w:p>
      <w:pPr>
        <w:pStyle w:val="ListBullet"/>
      </w:pPr>
      <w:r>
        <w:t>The model must cite evidence IDs for factual assertions.</w:t>
      </w:r>
    </w:p>
    <w:p>
      <w:pPr>
        <w:pStyle w:val="ListBullet"/>
      </w:pPr>
      <w:r>
        <w:t>If evidence does not establish a fact, the model must say it cannot establish it.</w:t>
      </w:r>
    </w:p>
    <w:p>
      <w:pPr>
        <w:pStyle w:val="ListBullet"/>
      </w:pPr>
      <w:r>
        <w:t>Post-generation validation should check that cited evidence IDs exist and that the explanation does not introduce unsupported entities, dates, numbers, or claims.</w:t>
      </w:r>
    </w:p>
    <w:p>
      <w:pPr>
        <w:pStyle w:val="ListBullet"/>
      </w:pPr>
      <w:r>
        <w:t>If validation fails, regenerate with stricter constraints or fall back to a template-based explanation.</w:t>
      </w:r>
    </w:p>
    <w:p>
      <w:pPr>
        <w:pStyle w:val="Heading1"/>
      </w:pPr>
      <w:r>
        <w:t>10. Quick vs Deep Verification</w:t>
      </w:r>
    </w:p>
    <w:p>
      <w:pPr>
        <w:pStyle w:val="ListBullet"/>
      </w:pPr>
      <w:r>
        <w:t>Quick: one/few retrieval passes, strong sources first, lower latency, conservative verdicts.</w:t>
      </w:r>
    </w:p>
    <w:p>
      <w:pPr>
        <w:pStyle w:val="ListBullet"/>
      </w:pPr>
      <w:r>
        <w:t>Deep: broader retrieval, multiple query formulations, source diversity analysis, timeline reconstruction, contradiction search, fact-check search, and stronger validation.</w:t>
      </w:r>
    </w:p>
    <w:p>
      <w:pPr>
        <w:pStyle w:val="ListBullet"/>
      </w:pPr>
      <w:r>
        <w:t>Deep mode should not simply increase the LLM token count; it should perform more evidence work.</w:t>
      </w:r>
    </w:p>
    <w:p>
      <w:pPr>
        <w:pStyle w:val="Heading1"/>
      </w:pPr>
      <w:r>
        <w:t>11. Freshness &amp; Cache</w:t>
      </w:r>
    </w:p>
    <w:p>
      <w:pPr>
        <w:pStyle w:val="ListBullet"/>
      </w:pPr>
      <w:r>
        <w:t>Cache by normalized claim fingerprint plus relevant time window.</w:t>
      </w:r>
    </w:p>
    <w:p>
      <w:pPr>
        <w:pStyle w:val="ListBullet"/>
      </w:pPr>
      <w:r>
        <w:t>For fast-changing topics, apply short TTLs.</w:t>
      </w:r>
    </w:p>
    <w:p>
      <w:pPr>
        <w:pStyle w:val="ListBullet"/>
      </w:pPr>
      <w:r>
        <w:t>For stable claims, allow longer TTLs.</w:t>
      </w:r>
    </w:p>
    <w:p>
      <w:pPr>
        <w:pStyle w:val="ListBullet"/>
      </w:pPr>
      <w:r>
        <w:t>A cached report should show when it was last investigated and whether a refresh is recommended.</w:t>
      </w:r>
    </w:p>
    <w:p>
      <w:pPr>
        <w:pStyle w:val="ListBullet"/>
      </w:pPr>
      <w:r>
        <w:t>Never serve an old report as current verification for a time-sensitive claim without checking freshness.</w:t>
      </w:r>
    </w:p>
    <w:p>
      <w:pPr>
        <w:pStyle w:val="Heading1"/>
      </w:pPr>
      <w:r>
        <w:t>12. Failure Modes</w:t>
      </w:r>
    </w:p>
    <w:p>
      <w:pPr>
        <w:pStyle w:val="ListBullet"/>
      </w:pPr>
      <w:r>
        <w:t>Search provider unavailable → graceful partial result and clear limitation.</w:t>
      </w:r>
    </w:p>
    <w:p>
      <w:pPr>
        <w:pStyle w:val="ListBullet"/>
      </w:pPr>
      <w:r>
        <w:t>Publisher blocked → do not fabricate content; use other sources.</w:t>
      </w:r>
    </w:p>
    <w:p>
      <w:pPr>
        <w:pStyle w:val="ListBullet"/>
      </w:pPr>
      <w:r>
        <w:t>No current evidence → Insufficient Evidence / Developing Story.</w:t>
      </w:r>
    </w:p>
    <w:p>
      <w:pPr>
        <w:pStyle w:val="ListBullet"/>
      </w:pPr>
      <w:r>
        <w:t>Contradictory evidence → Mixed Evidence.</w:t>
      </w:r>
    </w:p>
    <w:p>
      <w:pPr>
        <w:pStyle w:val="ListBullet"/>
      </w:pPr>
      <w:r>
        <w:t>OCR uncertain → ask user to confirm extracted claim or mark low extraction confidence.</w:t>
      </w:r>
    </w:p>
    <w:p>
      <w:pPr>
        <w:pStyle w:val="ListBullet"/>
      </w:pPr>
      <w:r>
        <w:t>LLM unavailable → deterministic report can still show retrieved evidence and a basic verdict where rules permit.</w:t>
      </w:r>
    </w:p>
    <w:p>
      <w:pPr>
        <w:pStyle w:val="ListBullet"/>
      </w:pPr>
      <w:r>
        <w:t>Duplicate sources → cluster by publisher/wire/story lineage before counting independence.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