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00" w:after="80"/>
      </w:pPr>
      <w:r>
        <w:rPr>
          <w:b/>
          <w:color w:val="004A2B"/>
          <w:sz w:val="34"/>
        </w:rPr>
        <w:t xml:space="preserve">The Global (Rest-of-World) Wellness-Beverage Market</w:t>
      </w:r>
    </w:p>
    <w:p>
      <w:r>
        <w:rPr>
          <w:i/>
          <w:color w:val="555555"/>
        </w:rPr>
        <w:t xml:space="preserve">Every region except the US, UK and India, where VAHDAM can win vs where it is merely present</w:t>
      </w:r>
    </w:p>
    <w:p>
      <w:r>
        <w:t xml:space="preserve">Prepared for: Growth &amp; Digital Production, VAHDAM (Global / vahdam.com international).  9 July 2026.  Confidence-tagged: [Certain] (cited) / [Likely] (strong multi-source inference). Speculative points excluded.</w:t>
      </w:r>
    </w:p>
    <w:p>
      <w:r>
        <w:rPr>
          <w:b/>
        </w:rPr>
        <w:t xml:space="preserve">VAHDAM position (Global): </w:t>
      </w:r>
      <w:r>
        <w:t xml:space="preserve">Neither origin nor incumbency wins here. Lead with the press/celebrity halo and premium gifting, concentrate spend on the winnable four (EU-ex-UK, Canada, ANZ, GCC), and localise the compliance, not the product.</w:t>
      </w:r>
    </w:p>
    <w:p>
      <w:pPr>
        <w:spacing w:before="200" w:after="80"/>
      </w:pPr>
      <w:r>
        <w:rPr>
          <w:b/>
          <w:color w:val="004A2B"/>
          <w:sz w:val="28"/>
        </w:rPr>
        <w:t xml:space="preserve">1. Scope &amp; method</w:t>
      </w:r>
    </w:p>
    <w:p>
      <w:r>
        <w:rPr>
          <w:b/>
        </w:rPr>
        <w:t xml:space="preserve">[Certain]</w:t>
      </w:r>
      <w:r>
        <w:t xml:space="preserve">  Global ex-US/UK/India is not one market, it is a dozen structurally unlike ones. This study organises them by a single decision: where VAHDAM can realistically win vs where it is only present. VAHDAM already runs a dedicated Global storefront (vahdam.global) serving this set and ships to ~145 countries.</w:t>
      </w:r>
    </w:p>
    <w:p>
      <w:pPr>
        <w:ind w:left="360" w:hanging="240"/>
      </w:pPr>
      <w:r>
        <w:t xml:space="preserve">•  </w:t>
      </w:r>
      <w:r>
        <w:rPr>
          <w:b/>
        </w:rPr>
        <w:t xml:space="preserve">Winnable</w:t>
      </w:r>
      <w:r>
        <w:t xml:space="preserve"> (premium-D2C viable, high disposable income, wellness-receptive): EU-ex-UK, Canada, Australia/NZ, the GCC.</w:t>
      </w:r>
    </w:p>
    <w:p>
      <w:pPr>
        <w:ind w:left="360" w:hanging="240"/>
      </w:pPr>
      <w:r>
        <w:t xml:space="preserve">•  </w:t>
      </w:r>
      <w:r>
        <w:rPr>
          <w:b/>
        </w:rPr>
        <w:t xml:space="preserve">Present-but-not-winning</w:t>
      </w:r>
      <w:r>
        <w:t xml:space="preserve"> (tea-origin or structurally hostile to an Indian tea brand): China, Japan, much of LatAm and Africa.</w:t>
      </w:r>
    </w:p>
    <w:p>
      <w:pPr>
        <w:ind w:left="360" w:hanging="240"/>
      </w:pPr>
      <w:r>
        <w:t xml:space="preserve">•  </w:t>
      </w:r>
      <w:r>
        <w:t xml:space="preserve">Section 4 answers the all-regions-each-named-brand-is-famous-in requirement directly, via a brand-footprint matrix.</w:t>
      </w:r>
    </w:p>
    <w:p>
      <w:pPr>
        <w:spacing w:before="200" w:after="80"/>
      </w:pPr>
      <w:r>
        <w:rPr>
          <w:b/>
          <w:color w:val="004A2B"/>
          <w:sz w:val="28"/>
        </w:rPr>
        <w:t xml:space="preserve">2. Executive summary</w:t>
      </w:r>
    </w:p>
    <w:p>
      <w:r>
        <w:rPr>
          <w:b/>
        </w:rPr>
        <w:t xml:space="preserve">[Certain]</w:t>
      </w:r>
      <w:r>
        <w:t xml:space="preserve">  The branded adaptogen/functional set is overwhelmingly US, UK and Indian brands that export globally, Four Sigmatic, Ryze, MUD\WTR, AG1, Spacegoods, DIRTEA, plus VAHDAM and Organic India. Outside the big three markets, VAHDAM competes less with local challengers and more with these same global exporters, alongside regional premium-tea incumbents.</w:t>
      </w:r>
    </w:p>
    <w:p>
      <w:r>
        <w:rPr>
          <w:b/>
        </w:rPr>
        <w:t xml:space="preserve">[Likely]</w:t>
      </w:r>
      <w:r>
        <w:t xml:space="preserve">  Regional growth in adaptogen coffee is led by Germany (~6.8% CAGR), the US (~6.7%), France (~6.5%) and China (~6.0%). Europe is the largest rest-of-world opportunity; Asia-Pacific is the fastest-growing but structurally hardest for an Indian tea brand.</w:t>
      </w:r>
    </w:p>
    <w:p>
      <w:r>
        <w:rPr>
          <w:b/>
        </w:rPr>
        <w:t xml:space="preserve">[Likely]</w:t>
      </w:r>
      <w:r>
        <w:t xml:space="preserve">  VAHDAM's rest-of-world edge is not origin (as at home) nor local incumbency (as in the UK), it is its press/celebrity halo and gifting equity. It already appears on global best-luxury-tea lists with a celebrity fanbase (Oprah, Mariah Carey), which travels further than performance claims in markets it cannot saturate with ad spend.</w:t>
      </w:r>
    </w:p>
    <w:p>
      <w:pPr>
        <w:spacing w:before="200" w:after="80"/>
      </w:pPr>
      <w:r>
        <w:rPr>
          <w:b/>
          <w:color w:val="004A2B"/>
          <w:sz w:val="28"/>
        </w:rPr>
        <w:t xml:space="preserve">3. Market sizing (global)</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Segment</w:t>
            </w:r>
          </w:p>
        </w:tc>
        <w:tc>
          <w:tcPr>
            <w:shd w:val="clear" w:color="auto" w:fill="004A2B"/>
          </w:tcPr>
          <w:p>
            <w:r>
              <w:rPr>
                <w:b/>
                <w:color w:val="FBF5EA"/>
              </w:rPr>
              <w:t xml:space="preserve">Size / figure</w:t>
            </w:r>
          </w:p>
        </w:tc>
        <w:tc>
          <w:tcPr>
            <w:shd w:val="clear" w:color="auto" w:fill="004A2B"/>
          </w:tcPr>
          <w:p>
            <w:r>
              <w:rPr>
                <w:b/>
                <w:color w:val="FBF5EA"/>
              </w:rPr>
              <w:t xml:space="preserve">Source &amp; note</w:t>
            </w:r>
          </w:p>
        </w:tc>
      </w:tr>
      <w:tr>
        <w:tc>
          <w:tcPr/>
          <w:p>
            <w:r>
              <w:t xml:space="preserve">Global adaptogen coffee</w:t>
            </w:r>
          </w:p>
        </w:tc>
        <w:tc>
          <w:tcPr/>
          <w:p>
            <w:r>
              <w:t xml:space="preserve">~$1.1 to 1.7B (2025) → $2.35 to 3.46B by 2030 to 33; ~6 to 17% CAGR</w:t>
            </w:r>
          </w:p>
        </w:tc>
        <w:tc>
          <w:tcPr/>
          <w:p>
            <w:r>
              <w:rPr>
                <w:b/>
              </w:rPr>
              <w:t xml:space="preserve">[Likely]</w:t>
            </w:r>
            <w:r>
              <w:t xml:space="preserve">  FMI / HTF / Research and Markets (wide scope variance)</w:t>
            </w:r>
          </w:p>
        </w:tc>
      </w:tr>
      <w:tr>
        <w:tc>
          <w:tcPr/>
          <w:p>
            <w:r>
              <w:t xml:space="preserve">Global adaptogenic beverages</w:t>
            </w:r>
          </w:p>
        </w:tc>
        <w:tc>
          <w:tcPr/>
          <w:p>
            <w:r>
              <w:t xml:space="preserve">~$1.4 to 2.2B (2024 to 26) → $2.5 to 6.7B (2034); 6.5 to 14.8% CAGR</w:t>
            </w:r>
          </w:p>
        </w:tc>
        <w:tc>
          <w:tcPr/>
          <w:p>
            <w:r>
              <w:rPr>
                <w:b/>
              </w:rPr>
              <w:t xml:space="preserve">[Likely]</w:t>
            </w:r>
            <w:r>
              <w:t xml:space="preserve">  GMI / Stratistics</w:t>
            </w:r>
          </w:p>
        </w:tc>
      </w:tr>
      <w:tr>
        <w:tc>
          <w:tcPr/>
          <w:p>
            <w:r>
              <w:t xml:space="preserve">Regional CAGR leaders</w:t>
            </w:r>
          </w:p>
        </w:tc>
        <w:tc>
          <w:tcPr/>
          <w:p>
            <w:r>
              <w:t xml:space="preserve">Germany 6.8% · US 6.7% · France 6.5% · China 6.0% · UK 5.1% · India 5.0%</w:t>
            </w:r>
          </w:p>
        </w:tc>
        <w:tc>
          <w:tcPr/>
          <w:p>
            <w:r>
              <w:rPr>
                <w:b/>
              </w:rPr>
              <w:t xml:space="preserve">[Certain]</w:t>
            </w:r>
            <w:r>
              <w:t xml:space="preserve">  Future Market Insights</w:t>
            </w:r>
          </w:p>
        </w:tc>
      </w:tr>
      <w:tr>
        <w:tc>
          <w:tcPr/>
          <w:p>
            <w:r>
              <w:t xml:space="preserve">Regional share</w:t>
            </w:r>
          </w:p>
        </w:tc>
        <w:tc>
          <w:tcPr/>
          <w:p>
            <w:r>
              <w:t xml:space="preserve">North America ~34.8% of adaptogen beverages (2025); Asia-Pacific fastest-growing</w:t>
            </w:r>
          </w:p>
        </w:tc>
        <w:tc>
          <w:tcPr/>
          <w:p>
            <w:r>
              <w:rPr>
                <w:b/>
              </w:rPr>
              <w:t xml:space="preserve">[Likely]</w:t>
            </w:r>
            <w:r>
              <w:t xml:space="preserve">  Data Bridge</w:t>
            </w:r>
          </w:p>
        </w:tc>
      </w:tr>
      <w:tr>
        <w:tc>
          <w:tcPr/>
          <w:p>
            <w:r>
              <w:t xml:space="preserve">Lead ingredient</w:t>
            </w:r>
          </w:p>
        </w:tc>
        <w:tc>
          <w:tcPr/>
          <w:p>
            <w:r>
              <w:t xml:space="preserve">Ashwagandha = #1 adaptogen (~18 to 26% share); Arabica = 45% of coffee bases</w:t>
            </w:r>
          </w:p>
        </w:tc>
        <w:tc>
          <w:tcPr/>
          <w:p>
            <w:r>
              <w:rPr>
                <w:b/>
              </w:rPr>
              <w:t xml:space="preserve">[Certain]</w:t>
            </w:r>
            <w:r>
              <w:t xml:space="preserve">  FMI, favours VAHDAM's formula</w:t>
            </w:r>
          </w:p>
        </w:tc>
      </w:tr>
      <w:tr>
        <w:tc>
          <w:tcPr/>
          <w:p>
            <w:r>
              <w:t xml:space="preserve">Europe loose-leaf tea</w:t>
            </w:r>
          </w:p>
        </w:tc>
        <w:tc>
          <w:tcPr/>
          <w:p>
            <w:r>
              <w:t xml:space="preserve">$0.98B (2025) → $1.47B (2034), 4.59% CAGR</w:t>
            </w:r>
          </w:p>
        </w:tc>
        <w:tc>
          <w:tcPr/>
          <w:p>
            <w:r>
              <w:rPr>
                <w:b/>
              </w:rPr>
              <w:t xml:space="preserve">[Certain]</w:t>
            </w:r>
            <w:r>
              <w:t xml:space="preserve">  Market Data Forecast</w:t>
            </w:r>
          </w:p>
        </w:tc>
      </w:tr>
    </w:tbl>
    <w:p>
      <w:r>
        <w:rPr>
          <w:i/>
          <w:color w:val="555555"/>
        </w:rPr>
        <w:t xml:space="preserve">The through-line: ashwagandha plus Arabica, VAHDAM's exact combination, is the lead ingredient pairing of the fastest-growing beverage sub-category worldwide.</w:t>
      </w:r>
    </w:p>
    <w:p>
      <w:pPr>
        <w:spacing w:before="200" w:after="80"/>
      </w:pPr>
      <w:r>
        <w:rPr>
          <w:b/>
          <w:color w:val="004A2B"/>
          <w:sz w:val="28"/>
        </w:rPr>
        <w:t xml:space="preserve">4. Global brand-footprint matrix</w:t>
      </w:r>
    </w:p>
    <w:p>
      <w:r>
        <w:rPr>
          <w:i/>
          <w:color w:val="555555"/>
        </w:rPr>
        <w:t xml:space="preserve">Where each named competitor is actually a major player, mapped to every region they are famous in, the competitive overlap VAHDAM meets outside its three core markets.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Home</w:t>
            </w:r>
          </w:p>
        </w:tc>
        <w:tc>
          <w:tcPr>
            <w:shd w:val="clear" w:color="auto" w:fill="004A2B"/>
          </w:tcPr>
          <w:p>
            <w:r>
              <w:rPr>
                <w:b/>
                <w:color w:val="FBF5EA"/>
              </w:rPr>
              <w:t xml:space="preserve">Also a major player in</w:t>
            </w:r>
          </w:p>
        </w:tc>
        <w:tc>
          <w:tcPr>
            <w:shd w:val="clear" w:color="auto" w:fill="004A2B"/>
          </w:tcPr>
          <w:p>
            <w:r>
              <w:rPr>
                <w:b/>
                <w:color w:val="FBF5EA"/>
              </w:rPr>
              <w:t xml:space="preserve">Category</w:t>
            </w:r>
          </w:p>
        </w:tc>
      </w:tr>
      <w:tr>
        <w:tc>
          <w:tcPr/>
          <w:p>
            <w:r>
              <w:t xml:space="preserve">Four Sigmatic</w:t>
            </w:r>
          </w:p>
        </w:tc>
        <w:tc>
          <w:tcPr/>
          <w:p>
            <w:r>
              <w:t xml:space="preserve">US (Finnish roots)</w:t>
            </w:r>
          </w:p>
        </w:tc>
        <w:tc>
          <w:tcPr/>
          <w:p>
            <w:r>
              <w:t xml:space="preserve">US, EU, UK, Canada, ANZ</w:t>
            </w:r>
          </w:p>
        </w:tc>
        <w:tc>
          <w:tcPr/>
          <w:p>
            <w:r>
              <w:t xml:space="preserve">Mushroom coffee pioneer</w:t>
            </w:r>
          </w:p>
        </w:tc>
      </w:tr>
      <w:tr>
        <w:tc>
          <w:tcPr/>
          <w:p>
            <w:r>
              <w:t xml:space="preserve">Ryze</w:t>
            </w:r>
          </w:p>
        </w:tc>
        <w:tc>
          <w:tcPr/>
          <w:p>
            <w:r>
              <w:t xml:space="preserve">US</w:t>
            </w:r>
          </w:p>
        </w:tc>
        <w:tc>
          <w:tcPr/>
          <w:p>
            <w:r>
              <w:t xml:space="preserve">US, UK, Canada, global DTC</w:t>
            </w:r>
          </w:p>
        </w:tc>
        <w:tc>
          <w:tcPr/>
          <w:p>
            <w:r>
              <w:t xml:space="preserve">Mushroom-coffee DTC leader</w:t>
            </w:r>
          </w:p>
        </w:tc>
      </w:tr>
      <w:tr>
        <w:tc>
          <w:tcPr/>
          <w:p>
            <w:r>
              <w:t xml:space="preserve">MUD\WTR</w:t>
            </w:r>
          </w:p>
        </w:tc>
        <w:tc>
          <w:tcPr/>
          <w:p>
            <w:r>
              <w:t xml:space="preserve">US</w:t>
            </w:r>
          </w:p>
        </w:tc>
        <w:tc>
          <w:tcPr/>
          <w:p>
            <w:r>
              <w:t xml:space="preserve">US; ships international</w:t>
            </w:r>
          </w:p>
        </w:tc>
        <w:tc>
          <w:tcPr/>
          <w:p>
            <w:r>
              <w:t xml:space="preserve">Coffee-alternative ritual</w:t>
            </w:r>
          </w:p>
        </w:tc>
      </w:tr>
      <w:tr>
        <w:tc>
          <w:tcPr/>
          <w:p>
            <w:r>
              <w:t xml:space="preserve">AG1 (Athletic Greens)</w:t>
            </w:r>
          </w:p>
        </w:tc>
        <w:tc>
          <w:tcPr/>
          <w:p>
            <w:r>
              <w:t xml:space="preserve">US</w:t>
            </w:r>
          </w:p>
        </w:tc>
        <w:tc>
          <w:tcPr/>
          <w:p>
            <w:r>
              <w:t xml:space="preserve">US, UK, ANZ, Canada, EU</w:t>
            </w:r>
          </w:p>
        </w:tc>
        <w:tc>
          <w:tcPr/>
          <w:p>
            <w:r>
              <w:t xml:space="preserve">Greens / daily ritual</w:t>
            </w:r>
          </w:p>
        </w:tc>
      </w:tr>
      <w:tr>
        <w:tc>
          <w:tcPr/>
          <w:p>
            <w:r>
              <w:t xml:space="preserve">Happy Mammoth</w:t>
            </w:r>
          </w:p>
        </w:tc>
        <w:tc>
          <w:tcPr/>
          <w:p>
            <w:r>
              <w:t xml:space="preserve">Australia</w:t>
            </w:r>
          </w:p>
        </w:tc>
        <w:tc>
          <w:tcPr/>
          <w:p>
            <w:r>
              <w:t xml:space="preserve">AU, US, UK, EU</w:t>
            </w:r>
          </w:p>
        </w:tc>
        <w:tc>
          <w:tcPr/>
          <w:p>
            <w:r>
              <w:t xml:space="preserve">Women's hormone / cortisol</w:t>
            </w:r>
          </w:p>
        </w:tc>
      </w:tr>
      <w:tr>
        <w:tc>
          <w:tcPr/>
          <w:p>
            <w:r>
              <w:t xml:space="preserve">Spacegoods</w:t>
            </w:r>
          </w:p>
        </w:tc>
        <w:tc>
          <w:tcPr/>
          <w:p>
            <w:r>
              <w:t xml:space="preserve">UK</w:t>
            </w:r>
          </w:p>
        </w:tc>
        <w:tc>
          <w:tcPr/>
          <w:p>
            <w:r>
              <w:t xml:space="preserve">UK, EU; expanding US</w:t>
            </w:r>
          </w:p>
        </w:tc>
        <w:tc>
          <w:tcPr/>
          <w:p>
            <w:r>
              <w:t xml:space="preserve">Adaptogen coffee</w:t>
            </w:r>
          </w:p>
        </w:tc>
      </w:tr>
      <w:tr>
        <w:tc>
          <w:tcPr/>
          <w:p>
            <w:r>
              <w:t xml:space="preserve">DIRTEA</w:t>
            </w:r>
          </w:p>
        </w:tc>
        <w:tc>
          <w:tcPr/>
          <w:p>
            <w:r>
              <w:t xml:space="preserve">UK</w:t>
            </w:r>
          </w:p>
        </w:tc>
        <w:tc>
          <w:tcPr/>
          <w:p>
            <w:r>
              <w:t xml:space="preserve">UK, EU</w:t>
            </w:r>
          </w:p>
        </w:tc>
        <w:tc>
          <w:tcPr/>
          <w:p>
            <w:r>
              <w:t xml:space="preserve">Mushroom coffee and powders</w:t>
            </w:r>
          </w:p>
        </w:tc>
      </w:tr>
      <w:tr>
        <w:tc>
          <w:tcPr/>
          <w:p>
            <w:r>
              <w:t xml:space="preserve">Yogi Tea</w:t>
            </w:r>
          </w:p>
        </w:tc>
        <w:tc>
          <w:tcPr/>
          <w:p>
            <w:r>
              <w:t xml:space="preserve">Germany / US</w:t>
            </w:r>
          </w:p>
        </w:tc>
        <w:tc>
          <w:tcPr/>
          <w:p>
            <w:r>
              <w:t xml:space="preserve">EU, US, global</w:t>
            </w:r>
          </w:p>
        </w:tc>
        <w:tc>
          <w:tcPr/>
          <w:p>
            <w:r>
              <w:t xml:space="preserve">Wellness herbal tea</w:t>
            </w:r>
          </w:p>
        </w:tc>
      </w:tr>
      <w:tr>
        <w:tc>
          <w:tcPr/>
          <w:p>
            <w:r>
              <w:t xml:space="preserve">Pukka</w:t>
            </w:r>
          </w:p>
        </w:tc>
        <w:tc>
          <w:tcPr/>
          <w:p>
            <w:r>
              <w:t xml:space="preserve">UK</w:t>
            </w:r>
          </w:p>
        </w:tc>
        <w:tc>
          <w:tcPr/>
          <w:p>
            <w:r>
              <w:t xml:space="preserve">UK, EU, global</w:t>
            </w:r>
          </w:p>
        </w:tc>
        <w:tc>
          <w:tcPr/>
          <w:p>
            <w:r>
              <w:t xml:space="preserve">Organic / Ayurvedic herbal tea</w:t>
            </w:r>
          </w:p>
        </w:tc>
      </w:tr>
      <w:tr>
        <w:tc>
          <w:tcPr/>
          <w:p>
            <w:r>
              <w:t xml:space="preserve">Kusmi, Palais des Thes, Mariage Freres</w:t>
            </w:r>
          </w:p>
        </w:tc>
        <w:tc>
          <w:tcPr/>
          <w:p>
            <w:r>
              <w:t xml:space="preserve">France</w:t>
            </w:r>
          </w:p>
        </w:tc>
        <w:tc>
          <w:tcPr/>
          <w:p>
            <w:r>
              <w:t xml:space="preserve">EU, global luxury retail</w:t>
            </w:r>
          </w:p>
        </w:tc>
        <w:tc>
          <w:tcPr/>
          <w:p>
            <w:r>
              <w:t xml:space="preserve">Luxury French tea</w:t>
            </w:r>
          </w:p>
        </w:tc>
      </w:tr>
      <w:tr>
        <w:tc>
          <w:tcPr/>
          <w:p>
            <w:r>
              <w:t xml:space="preserve">TWG Tea</w:t>
            </w:r>
          </w:p>
        </w:tc>
        <w:tc>
          <w:tcPr/>
          <w:p>
            <w:r>
              <w:t xml:space="preserve">Singapore</w:t>
            </w:r>
          </w:p>
        </w:tc>
        <w:tc>
          <w:tcPr/>
          <w:p>
            <w:r>
              <w:t xml:space="preserve">SE Asia, GCC, global luxury malls</w:t>
            </w:r>
          </w:p>
        </w:tc>
        <w:tc>
          <w:tcPr/>
          <w:p>
            <w:r>
              <w:t xml:space="preserve">Luxury tea</w:t>
            </w:r>
          </w:p>
        </w:tc>
      </w:tr>
      <w:tr>
        <w:tc>
          <w:tcPr/>
          <w:p>
            <w:r>
              <w:t xml:space="preserve">Dilmah</w:t>
            </w:r>
          </w:p>
        </w:tc>
        <w:tc>
          <w:tcPr/>
          <w:p>
            <w:r>
              <w:t xml:space="preserve">Sri Lanka</w:t>
            </w:r>
          </w:p>
        </w:tc>
        <w:tc>
          <w:tcPr/>
          <w:p>
            <w:r>
              <w:t xml:space="preserve">Global; strong ANZ, EU, MEA</w:t>
            </w:r>
          </w:p>
        </w:tc>
        <w:tc>
          <w:tcPr/>
          <w:p>
            <w:r>
              <w:t xml:space="preserve">Ceylon tea</w:t>
            </w:r>
          </w:p>
        </w:tc>
      </w:tr>
      <w:tr>
        <w:tc>
          <w:tcPr/>
          <w:p>
            <w:r>
              <w:t xml:space="preserve">Ito En</w:t>
            </w:r>
          </w:p>
        </w:tc>
        <w:tc>
          <w:tcPr/>
          <w:p>
            <w:r>
              <w:t xml:space="preserve">Japan</w:t>
            </w:r>
          </w:p>
        </w:tc>
        <w:tc>
          <w:tcPr/>
          <w:p>
            <w:r>
              <w:t xml:space="preserve">Japan, US</w:t>
            </w:r>
          </w:p>
        </w:tc>
        <w:tc>
          <w:tcPr/>
          <w:p>
            <w:r>
              <w:t xml:space="preserve">Green tea / matcha</w:t>
            </w:r>
          </w:p>
        </w:tc>
      </w:tr>
      <w:tr>
        <w:tc>
          <w:tcPr/>
          <w:p>
            <w:r>
              <w:rPr>
                <w:b/>
              </w:rPr>
              <w:t xml:space="preserve">VAHDAM</w:t>
            </w:r>
          </w:p>
        </w:tc>
        <w:tc>
          <w:tcPr/>
          <w:p>
            <w:r>
              <w:t xml:space="preserve">India</w:t>
            </w:r>
          </w:p>
        </w:tc>
        <w:tc>
          <w:tcPr/>
          <w:p>
            <w:r>
              <w:t xml:space="preserve">~145 countries (Global storefront)</w:t>
            </w:r>
          </w:p>
        </w:tc>
        <w:tc>
          <w:tcPr/>
          <w:p>
            <w:r>
              <w:t xml:space="preserve">Premium tea + adaptogen coffee</w:t>
            </w:r>
          </w:p>
        </w:tc>
      </w:tr>
    </w:tbl>
    <w:p>
      <w:r>
        <w:rPr>
          <w:i/>
          <w:color w:val="555555"/>
        </w:rPr>
        <w:t xml:space="preserve">[Certain]  on home markets; [Likely]  on also-major-in breadth. The exporters VAHDAM already meets in the US/UK reappear across EU/Canada/ANZ, the competitive set travels with the brand.</w:t>
      </w:r>
    </w:p>
    <w:p>
      <w:pPr>
        <w:spacing w:before="200" w:after="80"/>
      </w:pPr>
      <w:r>
        <w:rPr>
          <w:b/>
          <w:color w:val="004A2B"/>
          <w:sz w:val="28"/>
        </w:rPr>
        <w:t xml:space="preserve">5. Region-by-region</w:t>
      </w:r>
    </w:p>
    <w:p>
      <w:pPr>
        <w:spacing w:before="200" w:after="80"/>
      </w:pPr>
      <w:r>
        <w:rPr>
          <w:b/>
          <w:color w:val="004A2B"/>
          <w:sz w:val="24"/>
        </w:rPr>
        <w:t xml:space="preserve">Europe (ex-UK), the biggest rest-of-world prize</w:t>
      </w:r>
    </w:p>
    <w:p>
      <w:r>
        <w:rPr>
          <w:b/>
        </w:rPr>
        <w:t xml:space="preserve">[Certain]</w:t>
      </w:r>
      <w:r>
        <w:t xml:space="preserve">  Germany and France are the largest and fastest-growing European adaptogen-coffee markets; premium tea is a mature, design-led category with strong local incumbents. </w:t>
      </w:r>
      <w:r>
        <w:rPr>
          <w:b/>
        </w:rPr>
        <w:t xml:space="preserve">Players:</w:t>
      </w:r>
      <w:r>
        <w:t xml:space="preserve"> Yogi Tea, Teekanne, Ronnefeldt, TeaGschwendner (Germany), Kusmi, Palais des Thes, Mariage Freres (France luxury); Four Sigmatic and Spacegoods lead the adaptogen push; Pukka strong in organic/Ayurvedic. </w:t>
      </w:r>
      <w:r>
        <w:rPr>
          <w:b/>
        </w:rPr>
        <w:t xml:space="preserve">VAHDAM read:</w:t>
      </w:r>
      <w:r>
        <w:t xml:space="preserve"> Winnable. Origin plus design plus press halo fit the premiumisation trend; the fight is against luxury-tea incumbents and the same UK/US adaptogen exporters. EFSA health-claim rules are strict, lead with taste/ritual, not physiology.</w:t>
      </w:r>
    </w:p>
    <w:p>
      <w:pPr>
        <w:spacing w:before="200" w:after="80"/>
      </w:pPr>
      <w:r>
        <w:rPr>
          <w:b/>
          <w:color w:val="004A2B"/>
          <w:sz w:val="24"/>
        </w:rPr>
        <w:t xml:space="preserve">Canada, a US mirror</w:t>
      </w:r>
    </w:p>
    <w:p>
      <w:r>
        <w:rPr>
          <w:b/>
        </w:rPr>
        <w:t xml:space="preserve">[Likely]</w:t>
      </w:r>
      <w:r>
        <w:t xml:space="preserve">  Structurally close to the US: DTC-receptive, functional-coffee-aware, bilingual. US adaptogen brands (Four Sigmatic, Ryze, AG1) already ship here; DavidsTea is the home premium-tea name; Tim Hortons owns mass. </w:t>
      </w:r>
      <w:r>
        <w:rPr>
          <w:b/>
        </w:rPr>
        <w:t xml:space="preserve">VAHDAM read:</w:t>
      </w:r>
      <w:r>
        <w:t xml:space="preserve"> Winnable, low-friction, replicate the US playbook (ashwagandha calm-energy plus gifting) with minimal localisation. Watch Health Canada's NHP licensing for any functional claim.</w:t>
      </w:r>
    </w:p>
    <w:p>
      <w:pPr>
        <w:spacing w:before="200" w:after="80"/>
      </w:pPr>
      <w:r>
        <w:rPr>
          <w:b/>
          <w:color w:val="004A2B"/>
          <w:sz w:val="24"/>
        </w:rPr>
        <w:t xml:space="preserve">Australia and New Zealand, wellness-native</w:t>
      </w:r>
    </w:p>
    <w:p>
      <w:r>
        <w:rPr>
          <w:b/>
        </w:rPr>
        <w:t xml:space="preserve">[Likely]</w:t>
      </w:r>
      <w:r>
        <w:t xml:space="preserve">  A disproportionately wellness-forward market; coffee is culturally central and functional/adaptogen is the fast-growing premium edge. Happy Mammoth is Australia-founded; T2 (Unilever) and Tielka lead premium tea; AG1 and Four Sigmatic are strong. </w:t>
      </w:r>
      <w:r>
        <w:rPr>
          <w:b/>
        </w:rPr>
        <w:t xml:space="preserve">VAHDAM read:</w:t>
      </w:r>
      <w:r>
        <w:t xml:space="preserve"> Winnable. High wellness receptivity plus gifting culture suit VAHDAM; a sophisticated coffee palate rewards the real-Arabica angle. TGA plus FSANZ govern messaging.</w:t>
      </w:r>
    </w:p>
    <w:p>
      <w:pPr>
        <w:spacing w:before="200" w:after="80"/>
      </w:pPr>
      <w:r>
        <w:rPr>
          <w:b/>
          <w:color w:val="004A2B"/>
          <w:sz w:val="24"/>
        </w:rPr>
        <w:t xml:space="preserve">GCC / Middle East, gifting and premium ritual</w:t>
      </w:r>
    </w:p>
    <w:p>
      <w:r>
        <w:rPr>
          <w:b/>
        </w:rPr>
        <w:t xml:space="preserve">[Likely]</w:t>
      </w:r>
      <w:r>
        <w:t xml:space="preserve">  Tea and coffee are deep cultural rituals (gahwa, chai) and gifting is a major, high-margin occasion. Ahmad Tea and Lipton are ubiquitous; TWG owns luxury-mall prestige. </w:t>
      </w:r>
      <w:r>
        <w:rPr>
          <w:b/>
        </w:rPr>
        <w:t xml:space="preserve">VAHDAM read:</w:t>
      </w:r>
      <w:r>
        <w:t xml:space="preserve"> Winnable, gifting-led. Premium packaging, single-origin story and loved-in-145-countries prestige fit gifting and affluent expat demand. Requires halal certification and SFDA-type label compliance; keep claims conservative.</w:t>
      </w:r>
    </w:p>
    <w:p>
      <w:pPr>
        <w:spacing w:before="200" w:after="80"/>
      </w:pPr>
      <w:r>
        <w:rPr>
          <w:b/>
          <w:color w:val="004A2B"/>
          <w:sz w:val="24"/>
        </w:rPr>
        <w:t xml:space="preserve">East Asia (China and Japan), present, not winning</w:t>
      </w:r>
    </w:p>
    <w:p>
      <w:r>
        <w:rPr>
          <w:b/>
        </w:rPr>
        <w:t xml:space="preserve">[Likely]</w:t>
      </w:r>
      <w:r>
        <w:t xml:space="preserve">  Tea-origin superpowers with entrenched domestic leaders, Ten Fu and vast local players in China; Ito En and the matcha economy in Japan. An Indian tea brand has little structural edge selling tea into the birthplace of tea. </w:t>
      </w:r>
      <w:r>
        <w:rPr>
          <w:b/>
        </w:rPr>
        <w:t xml:space="preserve">VAHDAM read:</w:t>
      </w:r>
      <w:r>
        <w:t xml:space="preserve"> Present, not a priority. The only plausible wedge is adaptogen coffee (not tea) to urban wellness buyers, and even there local and US brands are better placed. Do not fund a tea push here.</w:t>
      </w:r>
    </w:p>
    <w:p>
      <w:pPr>
        <w:spacing w:before="200" w:after="80"/>
      </w:pPr>
      <w:r>
        <w:rPr>
          <w:b/>
          <w:color w:val="004A2B"/>
          <w:sz w:val="28"/>
        </w:rPr>
        <w:t xml:space="preserve">6. VAHDAM Global, strategic read</w:t>
      </w:r>
    </w:p>
    <w:p>
      <w:pPr>
        <w:ind w:left="360" w:hanging="240"/>
      </w:pPr>
      <w:r>
        <w:t xml:space="preserve">•  </w:t>
      </w:r>
      <w:r>
        <w:rPr>
          <w:b/>
        </w:rPr>
        <w:t xml:space="preserve">Fund the winnable four.</w:t>
      </w:r>
      <w:r>
        <w:t xml:space="preserve"> Concentrate localisation and spend on EU-ex-UK, Canada, ANZ and the GCC. Treat everywhere else as fulfilment, not acquisition.</w:t>
      </w:r>
    </w:p>
    <w:p>
      <w:pPr>
        <w:ind w:left="360" w:hanging="240"/>
      </w:pPr>
      <w:r>
        <w:t xml:space="preserve">•  </w:t>
      </w:r>
      <w:r>
        <w:rPr>
          <w:b/>
        </w:rPr>
        <w:t xml:space="preserve">Lead with halo, not physiology.</w:t>
      </w:r>
      <w:r>
        <w:t xml:space="preserve"> In markets you cannot out-spend, the press/celebrity/luxury-list credibility travels further, and dodges the strict EU/TGA/EFSA claim regimes.</w:t>
      </w:r>
    </w:p>
    <w:p>
      <w:pPr>
        <w:ind w:left="360" w:hanging="240"/>
      </w:pPr>
      <w:r>
        <w:t xml:space="preserve">•  </w:t>
      </w:r>
      <w:r>
        <w:rPr>
          <w:b/>
        </w:rPr>
        <w:t xml:space="preserve">Make gifting the global wedge.</w:t>
      </w:r>
      <w:r>
        <w:t xml:space="preserve"> Premium gift sets are high-margin, low-CAC, and play to VAHDAM's design equity, especially GCC and EU festive.</w:t>
      </w:r>
    </w:p>
    <w:p>
      <w:pPr>
        <w:ind w:left="360" w:hanging="240"/>
      </w:pPr>
      <w:r>
        <w:t xml:space="preserve">•  </w:t>
      </w:r>
      <w:r>
        <w:rPr>
          <w:b/>
        </w:rPr>
        <w:t xml:space="preserve">Localise the compliance, not the product.</w:t>
      </w:r>
      <w:r>
        <w:t xml:space="preserve"> One SKU, region-specific claims: halal (GCC), NHP (Canada), EFSA (EU), TGA/FSANZ (ANZ).</w:t>
      </w:r>
    </w:p>
    <w:p>
      <w:r>
        <w:rPr>
          <w:b/>
        </w:rPr>
        <w:t xml:space="preserve">[Likely]</w:t>
      </w:r>
      <w:r>
        <w:t xml:space="preserve">  The rest-of-world story is focus: four markets to win, a gifting-and-halo playbook to win them with, and the discipline not to chase tea-origin Asia.</w:t>
      </w:r>
    </w:p>
    <w:p>
      <w:pPr>
        <w:spacing w:before="200" w:after="80"/>
      </w:pPr>
      <w:r>
        <w:rPr>
          <w:b/>
          <w:color w:val="004A2B"/>
          <w:sz w:val="28"/>
        </w:rPr>
        <w:t xml:space="preserve">7. Regulatory patchwork</w:t>
      </w:r>
    </w:p>
    <w:p>
      <w:pPr>
        <w:ind w:left="360" w:hanging="240"/>
      </w:pPr>
      <w:r>
        <w:t xml:space="preserve">•  </w:t>
      </w:r>
      <w:r>
        <w:rPr>
          <w:b/>
        </w:rPr>
        <w:t xml:space="preserve">EU:</w:t>
      </w:r>
      <w:r>
        <w:t xml:space="preserve"> EFSA authorised health claims, strict; most adaptogen physiological claims are not authorised. Lead with taste/ritual.</w:t>
      </w:r>
    </w:p>
    <w:p>
      <w:pPr>
        <w:ind w:left="360" w:hanging="240"/>
      </w:pPr>
      <w:r>
        <w:t xml:space="preserve">•  </w:t>
      </w:r>
      <w:r>
        <w:rPr>
          <w:b/>
        </w:rPr>
        <w:t xml:space="preserve">Canada:</w:t>
      </w:r>
      <w:r>
        <w:t xml:space="preserve"> Health Canada NHP licensing required for functional claims.</w:t>
      </w:r>
    </w:p>
    <w:p>
      <w:pPr>
        <w:ind w:left="360" w:hanging="240"/>
      </w:pPr>
      <w:r>
        <w:t xml:space="preserve">•  </w:t>
      </w:r>
      <w:r>
        <w:rPr>
          <w:b/>
        </w:rPr>
        <w:t xml:space="preserve">Australia/NZ:</w:t>
      </w:r>
      <w:r>
        <w:t xml:space="preserve"> TGA (therapeutic claims) plus FSANZ (food standards).</w:t>
      </w:r>
    </w:p>
    <w:p>
      <w:pPr>
        <w:ind w:left="360" w:hanging="240"/>
      </w:pPr>
      <w:r>
        <w:t xml:space="preserve">•  </w:t>
      </w:r>
      <w:r>
        <w:rPr>
          <w:b/>
        </w:rPr>
        <w:t xml:space="preserve">GCC:</w:t>
      </w:r>
      <w:r>
        <w:t xml:space="preserve"> halal certification plus SFDA-type labelling; conservative claims.</w:t>
      </w:r>
    </w:p>
    <w:p>
      <w:r>
        <w:rPr>
          <w:b/>
        </w:rPr>
        <w:t xml:space="preserve">[Likely]</w:t>
      </w:r>
      <w:r>
        <w:t xml:space="preserve">  Net: rest-of-world is the strictest claims terrain VAHDAM operates in, another reason the halo/gifting playbook beats a claims-led one abroad.</w:t>
      </w:r>
    </w:p>
    <w:p>
      <w:pPr>
        <w:spacing w:before="200" w:after="80"/>
      </w:pPr>
      <w:r>
        <w:rPr>
          <w:b/>
          <w:color w:val="004A2B"/>
          <w:sz w:val="28"/>
        </w:rPr>
        <w:t xml:space="preserve">8. White space and recommendations</w:t>
      </w:r>
    </w:p>
    <w:p>
      <w:pPr>
        <w:ind w:left="360" w:hanging="240"/>
      </w:pPr>
      <w:r>
        <w:t xml:space="preserve">•  </w:t>
      </w:r>
      <w:r>
        <w:t xml:space="preserve">Ashwagandha plus Arabica is the lead global ingredient pairing, VAHDAM already makes it; most exporters are mushroom-led.</w:t>
      </w:r>
    </w:p>
    <w:p>
      <w:pPr>
        <w:ind w:left="360" w:hanging="240"/>
      </w:pPr>
      <w:r>
        <w:t xml:space="preserve">•  </w:t>
      </w:r>
      <w:r>
        <w:t xml:space="preserve">Premium gifting is an underworked, high-margin global lane suited to VAHDAM's equity.</w:t>
      </w:r>
    </w:p>
    <w:p>
      <w:pPr>
        <w:ind w:left="360" w:hanging="240"/>
      </w:pPr>
      <w:r>
        <w:t xml:space="preserve">•  </w:t>
      </w:r>
      <w:r>
        <w:t xml:space="preserve">The Indian-brand-loved-in-145-countries / by-A-listers halo is a rare rest-of-world asset, use it as the lead, not a footnote.</w:t>
      </w:r>
    </w:p>
    <w:p>
      <w:pPr>
        <w:ind w:left="360" w:hanging="240"/>
      </w:pPr>
      <w:r>
        <w:t xml:space="preserve">•  </w:t>
      </w:r>
      <w:r>
        <w:t xml:space="preserve">Concentration beats coverage: winning four markets outperforms shipping to 145.</w:t>
      </w:r>
    </w:p>
    <w:p>
      <w:pPr>
        <w:spacing w:before="200" w:after="80"/>
      </w:pPr>
      <w:r>
        <w:rPr>
          <w:b/>
          <w:color w:val="004A2B"/>
          <w:sz w:val="28"/>
        </w:rPr>
        <w:t xml:space="preserve">9. Sources</w:t>
      </w:r>
    </w:p>
    <w:p>
      <w:r>
        <w:t xml:space="preserve">Research and press (2026 pulls): Future Market Insights, HTF, Research and Markets, GMI, Stratistics, Data Bridge (global adaptogen coffee/beverage sizing and regional CAGRs); Market Data Forecast (Europe loose-leaf); Mordor (Australia coffee); Luxe Digital / Modern Luxury / TasteAtlas (global luxury-tea rankings and brand footprints); Wikipedia/TeaBrands/RateTea (regional brand lists); TWG, Yogi, Kusmi, Palais des Thes brand references; vahdam.global. Figures are directional and scope-dependent; confidence tags reflect source strength.</w:t>
      </w:r>
    </w:p>
    <w:sectPr>
      <w:pgSz w:w="11906" w:h="16838"/>
      <w:pgMar w:top="1134" w:right="1134" w:bottom="1134" w:left="1134" w:header="720" w:footer="720" w:gutter="0"/>
    </w:sectPr>
  </w:body>
</w:document>
</file>