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55E17" w14:textId="77777777" w:rsidR="00F17BC6" w:rsidRPr="00305384" w:rsidRDefault="00F17BC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F17BC6" w:rsidRPr="00305384" w14:paraId="34C9FCE2" w14:textId="77777777" w:rsidTr="00777322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2477A70" w14:textId="77777777" w:rsidR="00F17BC6" w:rsidRPr="00305384" w:rsidRDefault="00F17BC6" w:rsidP="00777322">
            <w:pPr>
              <w:spacing w:before="100" w:beforeAutospacing="1" w:after="159"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B30EB9D" w14:textId="77777777" w:rsidR="00F17BC6" w:rsidRPr="00305384" w:rsidRDefault="00F17BC6" w:rsidP="00777322">
            <w:pPr>
              <w:spacing w:before="100" w:beforeAutospacing="1" w:after="159"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538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3EE74FC" wp14:editId="7E0AB9E4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0ECBA01C" w14:textId="77777777" w:rsidR="00F17BC6" w:rsidRPr="00305384" w:rsidRDefault="00F17BC6" w:rsidP="00777322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5384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30538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05384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«Московский государственный технический университет имени Н.Э. Баумана</w:t>
            </w:r>
            <w:r w:rsidRPr="0030538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05384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43F7321C" w14:textId="198A62DE" w:rsidR="00F17BC6" w:rsidRPr="00305384" w:rsidRDefault="00F17BC6" w:rsidP="00F17BC6">
      <w:pPr>
        <w:spacing w:before="210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ФАКУЛЬТЕТ</w:t>
      </w:r>
      <w:r w:rsidR="00BC658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30538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Информатика и системы управления и искусственный интеллек</w:t>
      </w:r>
      <w:r w:rsidR="00BC6589">
        <w:rPr>
          <w:rFonts w:ascii="Times New Roman" w:hAnsi="Times New Roman" w:cs="Times New Roman"/>
          <w:sz w:val="28"/>
          <w:szCs w:val="28"/>
          <w:u w:val="single"/>
          <w:lang w:eastAsia="ru-RU"/>
        </w:rPr>
        <w:t>т</w:t>
      </w:r>
    </w:p>
    <w:p w14:paraId="7D4A2500" w14:textId="04D830DE" w:rsidR="00F17BC6" w:rsidRPr="00305384" w:rsidRDefault="00F17BC6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КАФЕДРА</w:t>
      </w:r>
      <w:r w:rsidRPr="0030538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                 Системы обработки информации и управления </w:t>
      </w:r>
    </w:p>
    <w:p w14:paraId="207A601F" w14:textId="77777777" w:rsidR="00F17BC6" w:rsidRPr="00305384" w:rsidRDefault="00F17BC6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14:paraId="11C64720" w14:textId="15256B2E" w:rsidR="00F17BC6" w:rsidRPr="00305384" w:rsidRDefault="00CA7833" w:rsidP="00F17BC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Реферат</w:t>
      </w:r>
      <w:r w:rsidR="00BB0387" w:rsidRPr="0030538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№</w:t>
      </w:r>
      <w:r w:rsidR="00ED18A0" w:rsidRPr="0030538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7EA3637F" w14:textId="77777777" w:rsidR="00F17BC6" w:rsidRPr="00305384" w:rsidRDefault="00F17BC6" w:rsidP="00F17BC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5384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5D2D0D46" w14:textId="6B25110F" w:rsidR="00F17BC6" w:rsidRPr="00305384" w:rsidRDefault="00F17BC6" w:rsidP="00F17BC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5384">
        <w:rPr>
          <w:rFonts w:ascii="Times New Roman" w:hAnsi="Times New Roman" w:cs="Times New Roman"/>
          <w:b/>
          <w:sz w:val="28"/>
          <w:szCs w:val="28"/>
        </w:rPr>
        <w:t>«</w:t>
      </w:r>
      <w:r w:rsidR="00BB0387" w:rsidRPr="00305384">
        <w:rPr>
          <w:rFonts w:ascii="Times New Roman" w:hAnsi="Times New Roman" w:cs="Times New Roman"/>
          <w:b/>
          <w:sz w:val="28"/>
          <w:szCs w:val="28"/>
        </w:rPr>
        <w:t>Корпоративные системы управления</w:t>
      </w:r>
      <w:r w:rsidRPr="00305384">
        <w:rPr>
          <w:rFonts w:ascii="Times New Roman" w:hAnsi="Times New Roman" w:cs="Times New Roman"/>
          <w:b/>
          <w:sz w:val="28"/>
          <w:szCs w:val="28"/>
        </w:rPr>
        <w:t>»</w:t>
      </w:r>
    </w:p>
    <w:p w14:paraId="2463264D" w14:textId="6E9F00CF" w:rsidR="00F17BC6" w:rsidRPr="005521ED" w:rsidRDefault="00F17BC6" w:rsidP="005521ED">
      <w:pPr>
        <w:keepNext/>
        <w:keepLines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521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</w:rPr>
        <w:t xml:space="preserve">Облачное программное решение 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  <w:lang w:val="en-US"/>
        </w:rPr>
        <w:t>SAP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  <w:lang w:val="en-US"/>
        </w:rPr>
        <w:t>Cash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</w:t>
      </w:r>
      <w:r w:rsidR="005521ED" w:rsidRPr="005521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21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0AC112B8" w14:textId="1A5EB60B" w:rsidR="00F17BC6" w:rsidRPr="005521ED" w:rsidRDefault="00F17BC6" w:rsidP="00F17BC6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F7DFE8" w14:textId="77777777" w:rsidR="00F17BC6" w:rsidRPr="005521ED" w:rsidRDefault="00F17BC6" w:rsidP="00F17BC6">
      <w:pPr>
        <w:spacing w:before="100" w:beforeAutospacing="1" w:after="2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F55908F" w14:textId="77777777" w:rsidR="00F17BC6" w:rsidRPr="00305384" w:rsidRDefault="00F17BC6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Подготовил:</w:t>
      </w:r>
    </w:p>
    <w:p w14:paraId="7097B083" w14:textId="3E7A8988" w:rsidR="00F17BC6" w:rsidRPr="00305384" w:rsidRDefault="00F17BC6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Студент группы</w:t>
      </w:r>
    </w:p>
    <w:p w14:paraId="065B8762" w14:textId="40DEFEA9" w:rsidR="00F17BC6" w:rsidRPr="00305384" w:rsidRDefault="0045767C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45767C">
        <w:rPr>
          <w:rFonts w:ascii="Times New Roman" w:hAnsi="Times New Roman" w:cs="Times New Roman" w:hint="eastAsia"/>
          <w:b/>
          <w:bCs/>
          <w:sz w:val="28"/>
          <w:szCs w:val="28"/>
          <w:lang w:eastAsia="ru-RU"/>
        </w:rPr>
        <w:t>ИУ</w:t>
      </w:r>
      <w:r w:rsidRPr="004576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5И-32М Сюй Хаоюй</w:t>
      </w:r>
    </w:p>
    <w:p w14:paraId="00655C66" w14:textId="3FEB9AF6" w:rsidR="00F17BC6" w:rsidRPr="00305384" w:rsidRDefault="00ED18A0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913B5F">
        <w:rPr>
          <w:rFonts w:ascii="Times New Roman" w:hAnsi="Times New Roman" w:cs="Times New Roman"/>
          <w:sz w:val="28"/>
          <w:szCs w:val="28"/>
          <w:lang w:eastAsia="ru-RU"/>
        </w:rPr>
        <w:t>19</w:t>
      </w:r>
      <w:r w:rsidR="00F17BC6" w:rsidRPr="0030538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1C365E" w:rsidRPr="0030538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913B5F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17BC6" w:rsidRPr="00305384">
        <w:rPr>
          <w:rFonts w:ascii="Times New Roman" w:hAnsi="Times New Roman" w:cs="Times New Roman"/>
          <w:sz w:val="28"/>
          <w:szCs w:val="28"/>
          <w:lang w:eastAsia="ru-RU"/>
        </w:rPr>
        <w:t>.202</w:t>
      </w:r>
      <w:r w:rsidR="005521ED">
        <w:rPr>
          <w:rFonts w:ascii="Times New Roman" w:eastAsia="宋体" w:hAnsi="Times New Roman" w:cs="Times New Roman" w:hint="eastAsia"/>
          <w:sz w:val="28"/>
          <w:szCs w:val="28"/>
          <w:lang w:eastAsia="zh-CN"/>
        </w:rPr>
        <w:t>5</w:t>
      </w:r>
      <w:r w:rsidR="00F17BC6" w:rsidRPr="00305384"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14:paraId="4B966575" w14:textId="77777777" w:rsidR="00F17BC6" w:rsidRPr="00305384" w:rsidRDefault="00F17BC6" w:rsidP="00F17BC6">
      <w:pPr>
        <w:spacing w:before="100" w:beforeAutospacing="1" w:after="142"/>
        <w:rPr>
          <w:rFonts w:ascii="Times New Roman" w:hAnsi="Times New Roman" w:cs="Times New Roman"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sz w:val="28"/>
          <w:szCs w:val="28"/>
          <w:lang w:eastAsia="ru-RU"/>
        </w:rPr>
        <w:t>Проверил:</w:t>
      </w:r>
    </w:p>
    <w:p w14:paraId="63BF2061" w14:textId="6002C4AC" w:rsidR="00F17BC6" w:rsidRPr="00305384" w:rsidRDefault="00BB0387" w:rsidP="00F17BC6">
      <w:pPr>
        <w:spacing w:before="100" w:beforeAutospacing="1" w:after="142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05384">
        <w:rPr>
          <w:rFonts w:ascii="Times New Roman" w:hAnsi="Times New Roman" w:cs="Times New Roman"/>
          <w:b/>
          <w:sz w:val="28"/>
          <w:szCs w:val="28"/>
          <w:lang w:eastAsia="ru-RU"/>
        </w:rPr>
        <w:t>Сухобоков Андрей Валентинович</w:t>
      </w:r>
    </w:p>
    <w:p w14:paraId="54CE951D" w14:textId="77777777" w:rsidR="00F17BC6" w:rsidRPr="00305384" w:rsidRDefault="00F17BC6" w:rsidP="00DF7573">
      <w:pPr>
        <w:rPr>
          <w:rFonts w:ascii="Times New Roman" w:hAnsi="Times New Roman" w:cs="Times New Roman"/>
          <w:sz w:val="28"/>
          <w:szCs w:val="28"/>
        </w:rPr>
      </w:pPr>
    </w:p>
    <w:p w14:paraId="143B4A9C" w14:textId="77777777" w:rsidR="00F17BC6" w:rsidRPr="00305384" w:rsidRDefault="00F17BC6" w:rsidP="00F17B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A0AAE" w14:textId="77777777" w:rsidR="00F17BC6" w:rsidRPr="00305384" w:rsidRDefault="00F17BC6" w:rsidP="00F17B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87E0B" w14:textId="77777777" w:rsidR="00F17BC6" w:rsidRPr="00305384" w:rsidRDefault="00F17BC6" w:rsidP="00F17B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834C0" w14:textId="77777777" w:rsidR="00F17BC6" w:rsidRPr="00305384" w:rsidRDefault="00F17BC6" w:rsidP="00F17B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CC91E7" w14:textId="60F6EAB6" w:rsidR="00F17BC6" w:rsidRPr="00305384" w:rsidRDefault="00F17BC6" w:rsidP="00F17BC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305384">
        <w:rPr>
          <w:rFonts w:ascii="Times New Roman" w:hAnsi="Times New Roman" w:cs="Times New Roman"/>
          <w:i/>
          <w:sz w:val="28"/>
          <w:szCs w:val="28"/>
        </w:rPr>
        <w:t>202</w:t>
      </w:r>
      <w:r w:rsidR="005521ED">
        <w:rPr>
          <w:rFonts w:ascii="Times New Roman" w:eastAsia="宋体" w:hAnsi="Times New Roman" w:cs="Times New Roman" w:hint="eastAsia"/>
          <w:i/>
          <w:sz w:val="28"/>
          <w:szCs w:val="28"/>
          <w:lang w:eastAsia="zh-CN"/>
        </w:rPr>
        <w:t>5</w:t>
      </w:r>
      <w:r w:rsidRPr="00305384">
        <w:rPr>
          <w:rFonts w:ascii="Times New Roman" w:hAnsi="Times New Roman" w:cs="Times New Roman"/>
          <w:i/>
          <w:sz w:val="28"/>
          <w:szCs w:val="28"/>
        </w:rPr>
        <w:t xml:space="preserve"> г</w:t>
      </w:r>
      <w:r w:rsidRPr="00305384">
        <w:rPr>
          <w:rFonts w:ascii="Times New Roman" w:hAnsi="Times New Roman" w:cs="Times New Roman"/>
          <w:sz w:val="28"/>
          <w:szCs w:val="28"/>
        </w:rPr>
        <w:t>.</w:t>
      </w:r>
    </w:p>
    <w:p w14:paraId="1E0610D4" w14:textId="77777777" w:rsidR="00DE6A11" w:rsidRPr="00305384" w:rsidRDefault="00DE6A11" w:rsidP="00CA7833">
      <w:pPr>
        <w:suppressAutoHyphens/>
        <w:spacing w:after="0"/>
        <w:jc w:val="left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sz w:val="24"/>
          <w:szCs w:val="24"/>
          <w:lang w:eastAsia="en-US"/>
        </w:rPr>
        <w:id w:val="-1256122257"/>
        <w:docPartObj>
          <w:docPartGallery w:val="Table of Contents"/>
          <w:docPartUnique/>
        </w:docPartObj>
      </w:sdtPr>
      <w:sdtContent>
        <w:p w14:paraId="69C05A8C" w14:textId="77777777" w:rsidR="00DE6A11" w:rsidRPr="007823DC" w:rsidRDefault="00CA7833" w:rsidP="007823DC">
          <w:pPr>
            <w:pStyle w:val="TOC"/>
            <w:spacing w:line="360" w:lineRule="auto"/>
            <w:rPr>
              <w:rFonts w:ascii="Times New Roman" w:hAnsi="Times New Roman" w:cs="Times New Roman"/>
            </w:rPr>
          </w:pPr>
          <w:r w:rsidRPr="007823DC">
            <w:rPr>
              <w:rFonts w:ascii="Times New Roman" w:hAnsi="Times New Roman" w:cs="Times New Roman"/>
            </w:rPr>
            <w:t>Содержание</w:t>
          </w:r>
        </w:p>
        <w:p w14:paraId="74DFA01C" w14:textId="33619B5F" w:rsidR="007823DC" w:rsidRPr="007823DC" w:rsidRDefault="00DE6A11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r w:rsidRPr="007823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823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823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32972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_Toc217332972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E3F1E" w14:textId="033EB6C7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3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Теоретические основы управления дебиторской задолженностью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_Toc217332973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83FEF" w14:textId="6E70D1A8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4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Финансовые процессы в корпоративных системах управления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_Toc217332974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98C16" w14:textId="11A30BA2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5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Позиционирование SAP Cash Application в экосистеме решений SAP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_Toc217332975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02725" w14:textId="64F178B7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6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Облачная модель поставки и отличие от On-Premise решений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_Toc217332976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A99A6" w14:textId="064D136D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7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Архитектура SAP Cash Application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_Toc217332977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53BAA" w14:textId="49072B63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8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SAP Cash Application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_Toc217332978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B1BE" w14:textId="464F099D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79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Автоматическое сопоставление входящих платежей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_Toc217332979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5765A" w14:textId="1FDA30C2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0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Использование машинного обучения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_Toc217332980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A3A9A" w14:textId="1929EBF7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1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Обработка исключений и аналитика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_Toc217332981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712F7" w14:textId="66C80026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2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Масштабируемость и производительность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_Toc217332982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F72AA" w14:textId="0E85F3DB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3" w:history="1">
            <w:r w:rsidR="007823DC" w:rsidRPr="007823DC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Сопоставление дебиторской задолженности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_Toc217332983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E8A92" w14:textId="55610182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4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Расписание работ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_Toc217332984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6E053" w14:textId="2B10684B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5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Повторная обработка банковских выписок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_Toc217332985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8C678" w14:textId="099C6F69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6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Сопоставление позиций дебиторской задолженности для системы инкассации.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_Toc217332986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295CE" w14:textId="09120FEB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7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Планирование заданий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_Toc217332987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9B9C2" w14:textId="3E21D90A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8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Повторная обработка предметов из сейфа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_Toc217332988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80A9D" w14:textId="3B2042FA" w:rsidR="007823DC" w:rsidRPr="007823DC" w:rsidRDefault="00000000" w:rsidP="007823DC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89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Значения статуса обработки платежей в SAP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_Toc217332989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BF949" w14:textId="6F9A4438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90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Сопоставление позиций по платежам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_Toc217332990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72D9A" w14:textId="5CEA9D6F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91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Идентификация учетной записи клиента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_Toc217332991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D3CBF" w14:textId="26E1594C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92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Извлечение платежного уведомления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_Toc217332992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03006" w14:textId="546827F2" w:rsidR="007823DC" w:rsidRPr="007823DC" w:rsidRDefault="00000000" w:rsidP="007823DC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zh-CN"/>
              <w14:ligatures w14:val="standardContextual"/>
            </w:rPr>
          </w:pPr>
          <w:hyperlink w:anchor="_Toc217332993" w:history="1">
            <w:r w:rsidR="007823DC" w:rsidRPr="007823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_Toc217332993 \h </w:instrTex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7823DC" w:rsidRPr="007823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09507" w14:textId="1EFF1858" w:rsidR="00DE6A11" w:rsidRPr="004137B4" w:rsidRDefault="00DE6A11" w:rsidP="007823DC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823D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B71DF98" w14:textId="7EE278E9" w:rsidR="00903986" w:rsidRPr="009235E1" w:rsidRDefault="00903986" w:rsidP="009235E1">
      <w:pPr>
        <w:pStyle w:val="af5"/>
        <w:ind w:firstLine="0"/>
        <w:rPr>
          <w:rFonts w:eastAsia="宋体" w:hint="eastAsia"/>
          <w:lang w:eastAsia="zh-CN"/>
        </w:rPr>
      </w:pPr>
    </w:p>
    <w:p w14:paraId="5FCF07A2" w14:textId="77777777" w:rsidR="00305384" w:rsidRPr="00305384" w:rsidRDefault="00305384" w:rsidP="00CE6040">
      <w:pPr>
        <w:pStyle w:val="1"/>
      </w:pPr>
      <w:bookmarkStart w:id="1" w:name="_Toc217332972"/>
      <w:r w:rsidRPr="00305384">
        <w:t>Введение</w:t>
      </w:r>
      <w:bookmarkEnd w:id="1"/>
    </w:p>
    <w:p w14:paraId="4E27F101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Корпоративные системы управления</w:t>
      </w:r>
      <w:r w:rsidRPr="0014067D">
        <w:rPr>
          <w:rFonts w:eastAsia="宋体" w:hint="eastAsia"/>
          <w:lang w:eastAsia="zh-CN"/>
        </w:rPr>
        <w:t xml:space="preserve"> </w:t>
      </w:r>
      <w:r w:rsidRPr="0014067D">
        <w:rPr>
          <w:rFonts w:eastAsia="宋体"/>
          <w:lang w:eastAsia="zh-CN"/>
        </w:rPr>
        <w:t>развиваются в условиях цифровизации экономики, роста объемов данных и усложнения взаимодействия с контрагентами. Финансовая функция в составе КСУ выступает не только как механизм учета, но и как источник управленческой информации, необходимой для контроля ликвидности, оценки рисков и планирования денежных потоков. Поэтому даже «локальные» по смыслу операции, например учет входящих платежей, оказывают заметное влияние на качество управленческих решений.</w:t>
      </w:r>
    </w:p>
    <w:p w14:paraId="6D55815C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Процесс обработки входящих платежей клиентов относится к тем участкам финансового контура, где быстро проявляются ограничения ручного труда. При росте продаж увеличивается количество платежей, возрастает доля нетиповых ситуаций: платеж может покрывать несколько счетов, приходить частями, содержать ошибочные реквизиты, включать удержания (например, банковские комиссии) или быть выполненным в иной валюте. В реальной практике назначение платежа нередко заполняется свободным текстом, что дополнительно усложняет автоматическое сопоставление по строгим правилам.</w:t>
      </w:r>
    </w:p>
    <w:p w14:paraId="0450AA00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Задержки и ошибки на этапе сопоставления платежей приводят к неверной картине дебиторской задолженности: часть позиций остается «открытой» в системе при фактическом поступлении денег, возникают ручные корректировки, снижается доверие к отчетности и увеличивается время закрытия периода. В результате повышаются операционные затраты, а финансовая служба вынуждена тратить время на рутинные действия вместо анализа и контроля.</w:t>
      </w:r>
    </w:p>
    <w:p w14:paraId="51664D8F" w14:textId="74B9398E" w:rsidR="0014067D" w:rsidRDefault="0014067D" w:rsidP="009235E1">
      <w:pPr>
        <w:pStyle w:val="af5"/>
        <w:rPr>
          <w:rFonts w:eastAsia="宋体"/>
          <w:lang w:eastAsia="zh-CN"/>
        </w:rPr>
      </w:pPr>
      <w:bookmarkStart w:id="2" w:name="_Hlk217220300"/>
      <w:r w:rsidRPr="0014067D">
        <w:rPr>
          <w:rFonts w:eastAsia="宋体"/>
          <w:lang w:eastAsia="zh-CN"/>
        </w:rPr>
        <w:t xml:space="preserve">В данной работе рассматривается облачное программное решение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>, предназначенное для автоматизации сопоставления входящих платежей с открытыми дебиторскими позициями. Анализ выполняется с позиции задач корпоративных систем управления: функциональности, организационного эффекта, интеграции в системный ландшафт и свойств облачной модели, включая масштабируемость.</w:t>
      </w:r>
      <w:bookmarkEnd w:id="2"/>
    </w:p>
    <w:p w14:paraId="720ACB35" w14:textId="331F53C1" w:rsidR="0014067D" w:rsidRPr="0014067D" w:rsidRDefault="0014067D" w:rsidP="0014067D">
      <w:pPr>
        <w:pStyle w:val="1"/>
        <w:rPr>
          <w:rFonts w:eastAsia="宋体"/>
          <w:lang w:eastAsia="zh-CN"/>
        </w:rPr>
      </w:pPr>
      <w:bookmarkStart w:id="3" w:name="_Toc217332973"/>
      <w:r w:rsidRPr="0014067D">
        <w:rPr>
          <w:lang w:eastAsia="zh-CN"/>
        </w:rPr>
        <w:lastRenderedPageBreak/>
        <w:t>Теоретические основы управления дебиторской задолженностью</w:t>
      </w:r>
      <w:bookmarkEnd w:id="3"/>
    </w:p>
    <w:p w14:paraId="6110FF24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bookmarkStart w:id="4" w:name="_Hlk217220295"/>
      <w:r w:rsidRPr="0014067D">
        <w:rPr>
          <w:rFonts w:eastAsia="宋体"/>
          <w:lang w:eastAsia="zh-CN"/>
        </w:rPr>
        <w:t>Дебиторская задолженность — это часть оборотного капитала, отражающая обязательства покупателей и иных контрагентов перед организацией. С финансовой точки зрения она одновременно является активом и источником рисков: чем выше доля просрочки и чем длиннее цикл инкассации, тем выше нагрузка на ликвидность и тем больше потребность в заемном финансировании.</w:t>
      </w:r>
    </w:p>
    <w:p w14:paraId="641901C3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Классический набор задач управления дебиторской задолженностью включает установление условий оплаты, контроль лимитов, мониторинг сроков и качества оплаты, работу с просрочкой и корректное отражение фактических поступлений. В КСУ это реализуется через связку процессов «выставление счета — учет оплаты — закрытие задолженности — анализ отклонений». Ошибка на этапе учета оплаты нарушает всю цепочку: меняются показатели </w:t>
      </w:r>
      <w:r w:rsidRPr="0014067D">
        <w:rPr>
          <w:rFonts w:eastAsia="宋体"/>
          <w:lang w:val="en-US" w:eastAsia="zh-CN"/>
        </w:rPr>
        <w:t>DSO</w:t>
      </w:r>
      <w:r w:rsidRPr="0014067D">
        <w:rPr>
          <w:rFonts w:eastAsia="宋体"/>
          <w:lang w:eastAsia="zh-CN"/>
        </w:rPr>
        <w:t>, искажается возрастная структура задолженности, затрудняется прогноз денежных потоков.</w:t>
      </w:r>
    </w:p>
    <w:p w14:paraId="2E656F15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Практика показывает, что сопоставление платежей редко сводится к простому «один платеж — один счет». Клиент может оплачивать пакет счетов, осуществлять частичные оплаты в разные даты, округлять суммы, удерживать скидки или штрафы. Кроме того, в платежных документах встречаются опечатки в номерах счетов, указание заказов вместо счетов, ссылок на договоры и т.д. Это формирует высокий уровень неопределенности для алгоритмов сопоставления.</w:t>
      </w:r>
    </w:p>
    <w:p w14:paraId="046338EC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Следовательно, в корпоративных системах управления возникает потребность в механизме, который сочетает формальные правила (например, точное совпадение номера счета) с вероятностным анализом и использованием контекста. Такой подход соответствует современным тенденциям: внедрению аналитики, машинного обучения и облачных сервисов для поддержки финансовых процессов.</w:t>
      </w:r>
    </w:p>
    <w:p w14:paraId="7F35B230" w14:textId="77777777" w:rsidR="0014067D" w:rsidRPr="00170BFA" w:rsidRDefault="0014067D" w:rsidP="0014067D">
      <w:pPr>
        <w:pStyle w:val="1"/>
      </w:pPr>
      <w:bookmarkStart w:id="5" w:name="_Toc217332974"/>
      <w:bookmarkEnd w:id="4"/>
      <w:r w:rsidRPr="00170BFA">
        <w:lastRenderedPageBreak/>
        <w:t>Финансовые процессы в корпоративных системах управления</w:t>
      </w:r>
      <w:bookmarkEnd w:id="5"/>
    </w:p>
    <w:p w14:paraId="23B1883B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Финансовый контур корпоративной системы управления обеспечивает регистрацию хозяйственных операций, контроль исполнения обязательств и формирование отчетности. При этом важна не только корректность «на уровне проводок», но и согласованность данных между подразделениями: продажи, логистика и финансы должны опираться на единые сведения о статусе заказа, отгрузки и оплаты.</w:t>
      </w:r>
    </w:p>
    <w:p w14:paraId="6CC3F707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Обработка входящих платежей является точкой стыка внешнего финансового мира (банковские операции) и внутреннего учета предприятия. Именно здесь возникает необходимость трансляции факта поступления денег в термины учетной системы: к какому клиенту относится платеж, какие счета он закрывает, в каком объеме и с какими отклонениями. Если сопоставление выполнено неверно или с задержкой, то финансовая отчетность и управленческие показатели теряют актуальность.</w:t>
      </w:r>
    </w:p>
    <w:p w14:paraId="34E8BF34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Кроме того, корректное сопоставление платежей влияет на прикладные процессы: снятие блокировок отгрузки, возобновление кредитного лимита, корректное начисление штрафов и скидок, формирование документов сверки. Поэтому автоматизация сопоставления платежей в КСУ рассматривается не как частная оптимизация бухгалтерии, а как элемент обеспечения устойчивости сквозных бизнес-процессов.</w:t>
      </w:r>
    </w:p>
    <w:p w14:paraId="5FFC0AE0" w14:textId="3DDC82D1" w:rsid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В современных КСУ задача усложняется еще и тем, что компании часто работают в распределенной структуре: несколько юридических лиц, единый центр обслуживания, международные операции. Это повышает требования к масштабирумости и качеству данных, а также усиливает эффект от автоматизации.</w:t>
      </w:r>
    </w:p>
    <w:p w14:paraId="4F93579A" w14:textId="77777777" w:rsidR="0014067D" w:rsidRDefault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eastAsia="宋体"/>
          <w:lang w:eastAsia="zh-CN"/>
        </w:rPr>
        <w:br w:type="page"/>
      </w:r>
    </w:p>
    <w:p w14:paraId="2A3B3E94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</w:p>
    <w:p w14:paraId="7EAEE7F5" w14:textId="77777777" w:rsidR="0014067D" w:rsidRPr="00170BFA" w:rsidRDefault="0014067D" w:rsidP="0014067D">
      <w:pPr>
        <w:pStyle w:val="1"/>
      </w:pPr>
      <w:bookmarkStart w:id="6" w:name="_Toc217332975"/>
      <w:r w:rsidRPr="00170BFA">
        <w:t xml:space="preserve">Позиционирование </w:t>
      </w:r>
      <w:r>
        <w:t>SAP</w:t>
      </w:r>
      <w:r w:rsidRPr="00170BFA">
        <w:t xml:space="preserve"> </w:t>
      </w:r>
      <w:r>
        <w:t>Cash</w:t>
      </w:r>
      <w:r w:rsidRPr="00170BFA">
        <w:t xml:space="preserve"> </w:t>
      </w:r>
      <w:r>
        <w:t>Application</w:t>
      </w:r>
      <w:r w:rsidRPr="00170BFA">
        <w:t xml:space="preserve"> в экосистеме решений </w:t>
      </w:r>
      <w:r>
        <w:t>SAP</w:t>
      </w:r>
      <w:bookmarkEnd w:id="6"/>
    </w:p>
    <w:p w14:paraId="3B4C307C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относится к облачным финансовым решениям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и используется как специализированный сервис для автоматизации сопоставления входящих платежей (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) в контуре </w:t>
      </w:r>
      <w:r w:rsidRPr="0014067D">
        <w:rPr>
          <w:rFonts w:eastAsia="宋体"/>
          <w:lang w:val="en-US" w:eastAsia="zh-CN"/>
        </w:rPr>
        <w:t>accounts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receivable</w:t>
      </w:r>
      <w:r w:rsidRPr="0014067D">
        <w:rPr>
          <w:rFonts w:eastAsia="宋体"/>
          <w:lang w:eastAsia="zh-CN"/>
        </w:rPr>
        <w:t xml:space="preserve">. По смыслу это не «замена </w:t>
      </w:r>
      <w:r w:rsidRPr="0014067D">
        <w:rPr>
          <w:rFonts w:eastAsia="宋体"/>
          <w:lang w:val="en-US" w:eastAsia="zh-CN"/>
        </w:rPr>
        <w:t>ERP</w:t>
      </w:r>
      <w:r w:rsidRPr="0014067D">
        <w:rPr>
          <w:rFonts w:eastAsia="宋体"/>
          <w:lang w:eastAsia="zh-CN"/>
        </w:rPr>
        <w:t>», а сервис, который дополняет учетную систему и повышает уровень автоматизации одного из наиболее трудоемких процессов.</w:t>
      </w:r>
    </w:p>
    <w:p w14:paraId="74ECDF2F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В экосистеме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решение применяется совместно с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S</w:t>
      </w:r>
      <w:r w:rsidRPr="0014067D">
        <w:rPr>
          <w:rFonts w:eastAsia="宋体"/>
          <w:lang w:eastAsia="zh-CN"/>
        </w:rPr>
        <w:t>/4</w:t>
      </w:r>
      <w:r w:rsidRPr="0014067D">
        <w:rPr>
          <w:rFonts w:eastAsia="宋体"/>
          <w:lang w:val="en-US" w:eastAsia="zh-CN"/>
        </w:rPr>
        <w:t>HANA</w:t>
      </w:r>
      <w:r w:rsidRPr="0014067D">
        <w:rPr>
          <w:rFonts w:eastAsia="宋体"/>
          <w:lang w:eastAsia="zh-CN"/>
        </w:rPr>
        <w:t xml:space="preserve"> (в том числе при гибридных сценариях), а также с интеграционными средствами для обмена данными. Такой подход соответствует тенденции «компонуемых» корпоративных систем управления: вместо единого монолита используется набор специализированных сервисов, каждый из которых отвечает за свою задачу, но при этом интегрируется в общий контур.</w:t>
      </w:r>
    </w:p>
    <w:p w14:paraId="3E3AFB9F" w14:textId="2CC4221B" w:rsid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Позиционирование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важно с точки зрения управления внедрением. Компания может улучшить качество обработки платежей и снизить трудозатраты, не выполняя масштабную замену учетной системы. Это особенно актуально в организациях, где базовый учет уже стандартизирован, а узкие места связаны с ручными операциями и высокой вариативностью входящих данных.</w:t>
      </w:r>
    </w:p>
    <w:p w14:paraId="7B5D3F0B" w14:textId="77777777" w:rsidR="0014067D" w:rsidRDefault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eastAsia="宋体"/>
          <w:lang w:eastAsia="zh-CN"/>
        </w:rPr>
        <w:br w:type="page"/>
      </w:r>
    </w:p>
    <w:p w14:paraId="79F0FA6D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</w:p>
    <w:p w14:paraId="5F494F47" w14:textId="77777777" w:rsidR="0014067D" w:rsidRPr="00170BFA" w:rsidRDefault="0014067D" w:rsidP="0014067D">
      <w:pPr>
        <w:pStyle w:val="1"/>
      </w:pPr>
      <w:bookmarkStart w:id="7" w:name="_Toc217332976"/>
      <w:r w:rsidRPr="00170BFA">
        <w:t xml:space="preserve">Облачная модель поставки и отличие от </w:t>
      </w:r>
      <w:r>
        <w:t>On</w:t>
      </w:r>
      <w:r w:rsidRPr="00170BFA">
        <w:t>-</w:t>
      </w:r>
      <w:r>
        <w:t>Premise</w:t>
      </w:r>
      <w:r w:rsidRPr="00170BFA">
        <w:t xml:space="preserve"> решений</w:t>
      </w:r>
      <w:bookmarkEnd w:id="7"/>
    </w:p>
    <w:p w14:paraId="70564CD9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Облачная модель поставки предполагает, что вычислительные ресурсы и прикладная среда предоставляются поставщиком как сервис. Для корпоративных заказчиков это означает перенос части ответственности за эксплуатацию системы на поставщика: инфраструктура, обновления, резервное копирование и базовые механизмы отказоустойчивости реализуются централизованно.</w:t>
      </w:r>
    </w:p>
    <w:p w14:paraId="39CF25AE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Для сравнения, </w:t>
      </w:r>
      <w:r w:rsidRPr="0014067D">
        <w:rPr>
          <w:rFonts w:eastAsia="宋体"/>
          <w:lang w:val="en-US" w:eastAsia="zh-CN"/>
        </w:rPr>
        <w:t>On</w:t>
      </w:r>
      <w:r w:rsidRPr="0014067D">
        <w:rPr>
          <w:rFonts w:eastAsia="宋体"/>
          <w:lang w:eastAsia="zh-CN"/>
        </w:rPr>
        <w:t>-</w:t>
      </w:r>
      <w:r w:rsidRPr="0014067D">
        <w:rPr>
          <w:rFonts w:eastAsia="宋体"/>
          <w:lang w:val="en-US" w:eastAsia="zh-CN"/>
        </w:rPr>
        <w:t>Premise</w:t>
      </w:r>
      <w:r w:rsidRPr="0014067D">
        <w:rPr>
          <w:rFonts w:eastAsia="宋体"/>
          <w:lang w:eastAsia="zh-CN"/>
        </w:rPr>
        <w:t xml:space="preserve"> подход подразумевает разворачивание решения на собственной инфраструктуре и последующее сопровождение силами </w:t>
      </w:r>
      <w:r w:rsidRPr="0014067D">
        <w:rPr>
          <w:rFonts w:eastAsia="宋体"/>
          <w:lang w:val="en-US" w:eastAsia="zh-CN"/>
        </w:rPr>
        <w:t>IT</w:t>
      </w:r>
      <w:r w:rsidRPr="0014067D">
        <w:rPr>
          <w:rFonts w:eastAsia="宋体"/>
          <w:lang w:eastAsia="zh-CN"/>
        </w:rPr>
        <w:t>-службы предприятия. Такой подход дает высокий уровень контроля, но требует капитальных затрат, планирования мощности, квалифицированного персонала и регулярных обновлений. В финансовых процессах это часто означает дополнительные сложности при масштабировании и обеспечении непрерывности работы.</w:t>
      </w:r>
    </w:p>
    <w:p w14:paraId="5AE55FFF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В случае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облачная модель позволяет сократить время на эксплуатационные задачи и сосредоточиться на бизнес-результате — повышении процента автоматического сопоставления платежей и снижении объема ручной работы. При этом гибкость облака особенно важна для компаний с неравномерной нагрузкой: пики платежей в конце месяца, квартала или финансового года не должны приводить к деградации производительности.</w:t>
      </w:r>
    </w:p>
    <w:p w14:paraId="2CA0A709" w14:textId="64FBFB78" w:rsid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Таким образом, отличие облачного решения проявляется не только в «способе доступа», но и в модели ответственности: клиент управляет процессом и качеством данных, а поставщик обеспечивает инфраструктурную часть, масштабирование и доступность сервиса.</w:t>
      </w:r>
    </w:p>
    <w:p w14:paraId="31EB06C2" w14:textId="77777777" w:rsidR="0014067D" w:rsidRDefault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eastAsia="宋体"/>
          <w:lang w:eastAsia="zh-CN"/>
        </w:rPr>
        <w:br w:type="page"/>
      </w:r>
    </w:p>
    <w:p w14:paraId="2E53EEC6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</w:p>
    <w:p w14:paraId="386FC5BF" w14:textId="77777777" w:rsidR="0014067D" w:rsidRPr="00170BFA" w:rsidRDefault="0014067D" w:rsidP="0014067D">
      <w:pPr>
        <w:pStyle w:val="1"/>
      </w:pPr>
      <w:bookmarkStart w:id="8" w:name="_Toc217332977"/>
      <w:r w:rsidRPr="00170BFA">
        <w:t xml:space="preserve">Архитектура </w:t>
      </w:r>
      <w:r>
        <w:t>SAP</w:t>
      </w:r>
      <w:r w:rsidRPr="00170BFA">
        <w:t xml:space="preserve"> </w:t>
      </w:r>
      <w:r>
        <w:t>Cash</w:t>
      </w:r>
      <w:r w:rsidRPr="00170BFA">
        <w:t xml:space="preserve"> </w:t>
      </w:r>
      <w:r>
        <w:t>Application</w:t>
      </w:r>
      <w:bookmarkEnd w:id="8"/>
    </w:p>
    <w:p w14:paraId="62B54D8B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С архитектурной точки зрения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реализуется как облачный сервис, который получает входные данные о платежах и открытых позициях, выполняет анализ и формирует результаты сопоставления для последующей обработки в учетной системе. В рамках концепции корпоративных систем управления важно выделить три уровня: прикладной (бизнес-логика сопоставления), интеграционный (обмен данными) и аналитический (алгоритмы и модели).</w:t>
      </w:r>
    </w:p>
    <w:p w14:paraId="606CB725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Прикладной уровень включает правила и механизмы обработки платежей: проверку реквизитов, работу с суммами, допуски по округлению, учет скидок и удержаний, а также формирование предложений сопоставления. Интеграционный уровень обеспечивает получение данных из учетной системы (список открытых счетов, справочники клиентов) и из банковских каналов (платежные сообщения, выписки), а затем передачу результатов обратно.</w:t>
      </w:r>
    </w:p>
    <w:p w14:paraId="45BAFBA1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Аналитический уровень связан с обработкой вероятностных соответствий. В реальной практике многие платежи нельзя однозначно сопоставить простым правилом. Поэтому используются подходы, которые оценивают «наиболее вероятное соответствие» на основании исторических данных и контекста: частоты оплат, типичных сумм, шаблонов текста в назначении платежа и иных признаков.</w:t>
      </w:r>
    </w:p>
    <w:p w14:paraId="31542CA0" w14:textId="2CF5C00E" w:rsid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Такое разделение уровней позволяет лучше понимать, как решение встраивается в системный ландшафт предприятия: учетная система остается источником правды по бухгалтерским данным, а облачный сервис выступает как интеллектуальный обработчик входного потока платежей.</w:t>
      </w:r>
    </w:p>
    <w:p w14:paraId="5DF8CDA3" w14:textId="2204ADDE" w:rsidR="0014067D" w:rsidRPr="0014067D" w:rsidRDefault="0014067D" w:rsidP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eastAsia="宋体"/>
          <w:lang w:eastAsia="zh-CN"/>
        </w:rPr>
        <w:br w:type="page"/>
      </w:r>
    </w:p>
    <w:p w14:paraId="088D7A01" w14:textId="77777777" w:rsidR="0014067D" w:rsidRPr="00170BFA" w:rsidRDefault="0014067D" w:rsidP="0014067D">
      <w:pPr>
        <w:pStyle w:val="1"/>
      </w:pPr>
      <w:bookmarkStart w:id="9" w:name="_Toc217332978"/>
      <w:r w:rsidRPr="00170BFA">
        <w:lastRenderedPageBreak/>
        <w:t xml:space="preserve">Функциональные возможности </w:t>
      </w:r>
      <w:r>
        <w:t>SAP</w:t>
      </w:r>
      <w:r w:rsidRPr="00170BFA">
        <w:t xml:space="preserve"> </w:t>
      </w:r>
      <w:r>
        <w:t>Cash</w:t>
      </w:r>
      <w:r w:rsidRPr="00170BFA">
        <w:t xml:space="preserve"> </w:t>
      </w:r>
      <w:r>
        <w:t>Application</w:t>
      </w:r>
      <w:bookmarkEnd w:id="9"/>
    </w:p>
    <w:p w14:paraId="591E3F12" w14:textId="77777777" w:rsidR="0014067D" w:rsidRPr="00170BFA" w:rsidRDefault="0014067D" w:rsidP="0014067D">
      <w:pPr>
        <w:pStyle w:val="2"/>
      </w:pPr>
      <w:bookmarkStart w:id="10" w:name="_Toc217332979"/>
      <w:r w:rsidRPr="00170BFA">
        <w:t>Автоматическое сопоставление входящих платежей</w:t>
      </w:r>
      <w:bookmarkEnd w:id="10"/>
    </w:p>
    <w:p w14:paraId="0B599812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Ключевой функцией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является автоматическое сопоставление входящих платежей с открытыми дебиторскими позициями. Сервис анализирует атрибуты платежа (сумма, дата, плательщик, реквизиты, назначение) и сопоставляет их с данными учетной системы: счетами, клиентами, документами и открытыми позициями.</w:t>
      </w:r>
    </w:p>
    <w:p w14:paraId="072B9CBF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Практическая ценность автоматического сопоставления проявляется в том, что оно поддерживает массовую обработку: при большом потоке платежей формируется результат без участия пользователя, а в учетной системе задолженность закрывается оперативно. Это критично для компаний с высокими объемами продаж и большим количеством контрагентов.</w:t>
      </w:r>
    </w:p>
    <w:p w14:paraId="2F28F353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Сопоставление может учитывать типовые отклонения, встречающиеся в платежах: округление, разницу из‑за банковских комиссий, частичную оплату. Для бизнеса важно, что система не «ломает» учетную дисциплину, а предлагает сопоставление в пределах допустимых правил, сохраняя возможность проверки и контроля.</w:t>
      </w:r>
    </w:p>
    <w:p w14:paraId="445A62F4" w14:textId="77777777" w:rsidR="0014067D" w:rsidRPr="00170BFA" w:rsidRDefault="0014067D" w:rsidP="0014067D">
      <w:pPr>
        <w:pStyle w:val="2"/>
      </w:pPr>
      <w:bookmarkStart w:id="11" w:name="_Toc217332980"/>
      <w:r w:rsidRPr="00170BFA">
        <w:t>Использование машинного обучения</w:t>
      </w:r>
      <w:bookmarkEnd w:id="11"/>
    </w:p>
    <w:p w14:paraId="74997AE5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Технологии машинного обучения применяются для повышения процента автоматического сопоставления в условиях неопределенности и вариативности данных. В отличие от фиксированных правил, которые требуют явного описания всех вариантов, модели машинного обучения способны выявлять закономерности в исторических данных и использовать их для прогнозирования наиболее вероятного соответствия.</w:t>
      </w:r>
    </w:p>
    <w:p w14:paraId="3F0CA378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Типовая практическая ситуация: один и тот же клиент регулярно оплачивает счета с задержкой и указывает в назначении платежа номер заказа, а не номер счета. Правило «по номеру счета» в таком случае бессильно, а модель, учитывая историю и контекст, может корректно предлагать сопоставление. </w:t>
      </w:r>
      <w:r w:rsidRPr="0014067D">
        <w:rPr>
          <w:rFonts w:eastAsia="宋体"/>
          <w:lang w:eastAsia="zh-CN"/>
        </w:rPr>
        <w:lastRenderedPageBreak/>
        <w:t>Аналогично, при агрегированных платежах модель может оценивать, какие счета обычно оплачиваются вместе.</w:t>
      </w:r>
    </w:p>
    <w:p w14:paraId="62E80B3B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Важно отметить, что применение машинного обучения в финансовом процессе требует управляемости и контроля качества. Поэтому результаты модели должны быть интерпретируемы для пользователя: система предлагает варианты, а пользователь подтверждает их в спорных случаях. Такой подход позволяет сочетать автоматизацию и внутренний контроль.</w:t>
      </w:r>
    </w:p>
    <w:p w14:paraId="1AADE043" w14:textId="77777777" w:rsidR="0014067D" w:rsidRPr="00170BFA" w:rsidRDefault="0014067D" w:rsidP="0014067D">
      <w:pPr>
        <w:pStyle w:val="2"/>
      </w:pPr>
      <w:bookmarkStart w:id="12" w:name="_Toc217332981"/>
      <w:r w:rsidRPr="00170BFA">
        <w:t>Обработка исключений и аналитика</w:t>
      </w:r>
      <w:bookmarkEnd w:id="12"/>
    </w:p>
    <w:p w14:paraId="1FC49510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Даже при высокой степени автоматизации сохраняется доля платежей, которые не могут быть сопоставлены однозначно. Причины могут быть различными: отсутствие ссылок на документы, сильные расхождения по сумме, неоднозначность контрагента, а также ситуации, когда платеж относится к нескольким юридическим лицам или включает нетиповые удержания. В корпоративной практике именно эти случаи формируют основной объем ручной работы, поэтому их корректная организация является критически важной.</w:t>
      </w:r>
    </w:p>
    <w:p w14:paraId="5397386A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предусматривает работу с такими ситуациями через управляемый процесс обработки исключений. Платежи, не сопоставленные автоматически, попадают в рабочие списки (очереди) и могут классифицироваться по типам проблем. Для финансового подразделения это важно по двум причинам. Во‑первых, появляется прозрачность: видно, сколько платежей «зависло», по каким причинам и какой объем работы требуется. Во‑вторых, появляется управляемость: можно распределять задачи между сотрудниками, контролировать сроки и обеспечивать единый подход к обработке.</w:t>
      </w:r>
    </w:p>
    <w:p w14:paraId="6B5C1DC9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Отдельное значение имеет наличие рекомендаций и контекстной информации. Для одного платежа система может показать набор признаков, по которым предполагается соответствие счету: совпадение суммы с допуском, совпадение части текста назначения, типичная модель поведения клиента (например, оплата по заказам). Даже если решение принимает человек, наличие </w:t>
      </w:r>
      <w:r w:rsidRPr="0014067D">
        <w:rPr>
          <w:rFonts w:eastAsia="宋体"/>
          <w:lang w:eastAsia="zh-CN"/>
        </w:rPr>
        <w:lastRenderedPageBreak/>
        <w:t>такого контекста сокращает время анализа и снижает вероятность ошибки. По сути, ручная работа превращается из «поиска иголки в стоге сена» в проверку и подтверждение предложенного варианта.</w:t>
      </w:r>
    </w:p>
    <w:p w14:paraId="47EF9BB5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Аналитический блок дополняет обработку исключений, позволяя оценивать эффективность автоматизации и выявлять причины «узких мест». На практике финансовому руководителю важно понимать не только общий процент автосопоставления, но и структуру несопоставленных платежей: какая доля связана с некорректным заполнением назначения, какая — с особенностями конкретных банков, какая — с определенными клиентскими сегментами. Такая аналитика позволяет принимать управленческие меры: изменять требования к платежным инструкциям, настраивать допуски, корректировать договорные условия или улучшать интеграционные данные.</w:t>
      </w:r>
    </w:p>
    <w:p w14:paraId="4E3559FA" w14:textId="18E93CA0" w:rsid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Кроме того, аналитика используется для непрерывного улучшения процесса. Если по определенному типу платежей регулярно возникают исключения, это сигнал к пересмотру правил и обучению моделей. Таким образом, обработка исключений и аналитика формируют цикл качества: выявление проблем — управленческое действие — улучшение показателей. В рамках корпоративных систем управления это особенно ценно, так как переводит процесс из «ручного тушения пожаров» в управляемую систему с измеримыми показателями.</w:t>
      </w:r>
    </w:p>
    <w:p w14:paraId="46C780F2" w14:textId="77777777" w:rsidR="0014067D" w:rsidRDefault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eastAsia="宋体"/>
          <w:lang w:eastAsia="zh-CN"/>
        </w:rPr>
        <w:br w:type="page"/>
      </w:r>
    </w:p>
    <w:p w14:paraId="4DE302A4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</w:p>
    <w:p w14:paraId="06672E45" w14:textId="77777777" w:rsidR="0014067D" w:rsidRPr="00170BFA" w:rsidRDefault="0014067D" w:rsidP="0014067D">
      <w:pPr>
        <w:pStyle w:val="1"/>
      </w:pPr>
      <w:bookmarkStart w:id="13" w:name="_Toc217332982"/>
      <w:r w:rsidRPr="00170BFA">
        <w:t>Масштабируемость и производительность</w:t>
      </w:r>
      <w:bookmarkEnd w:id="13"/>
    </w:p>
    <w:p w14:paraId="117103F6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Масштабируемость для финансовых процессов проявляется в способности системы поддерживать стабильную скорость обработки при росте нагрузки. Для сопоставления платежей характерны пики: конец месяца, закрытие квартала, периоды массовых оплат по акциям или сезонные колебания продаж. Если система не масштабируется, то накапливается очередь платежей, что ухудшает показатели дебиторской задолженности и увеличивает объем ручной работы.</w:t>
      </w:r>
    </w:p>
    <w:p w14:paraId="37B1A958" w14:textId="77777777" w:rsidR="0014067D" w:rsidRPr="007823DC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В облачном подходе масштабирование достигается за счет динамического распределения вычислительных ресурсов. Для бизнеса это означает, что при росте количества платежей система должна сохранять предсказуемую производительность</w:t>
      </w:r>
      <w:r w:rsidRPr="007823DC">
        <w:rPr>
          <w:rFonts w:eastAsia="宋体"/>
          <w:lang w:eastAsia="zh-CN"/>
        </w:rPr>
        <w:t xml:space="preserve"> без необходимости закупки нового оборудования и длительных проектов по расширению инфраструктуры.</w:t>
      </w:r>
    </w:p>
    <w:p w14:paraId="35BA588E" w14:textId="44379F8E" w:rsidR="0014067D" w:rsidRPr="007823DC" w:rsidRDefault="0014067D" w:rsidP="0014067D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Кроме объемов транзакций, масштабирование связано с ростом организационной сложности: подключение новых компаний группы, филиалов, валют и банков. С точки зрения корпоративной системы управления это означает увеличение числа справочников, документов и связей, которые участвуют в анализе. Поэтому производительность должна обеспечиваться не только «на потоке», но и на уровне поиска и сопоставления по большому массиву данных.</w:t>
      </w:r>
    </w:p>
    <w:p w14:paraId="24F0DD75" w14:textId="77777777" w:rsidR="0014067D" w:rsidRPr="007823DC" w:rsidRDefault="0014067D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7823DC">
        <w:rPr>
          <w:rFonts w:ascii="Times New Roman" w:eastAsia="宋体" w:hAnsi="Times New Roman" w:cs="Times New Roman"/>
          <w:lang w:eastAsia="zh-CN"/>
        </w:rPr>
        <w:br w:type="page"/>
      </w:r>
    </w:p>
    <w:p w14:paraId="20144213" w14:textId="77777777" w:rsidR="0014067D" w:rsidRPr="007823DC" w:rsidRDefault="0014067D" w:rsidP="0014067D">
      <w:pPr>
        <w:pStyle w:val="af5"/>
        <w:rPr>
          <w:rFonts w:eastAsia="宋体"/>
          <w:lang w:eastAsia="zh-CN"/>
        </w:rPr>
      </w:pPr>
    </w:p>
    <w:p w14:paraId="07FA661D" w14:textId="3A0CECD6" w:rsidR="0014067D" w:rsidRPr="007823DC" w:rsidRDefault="007823DC" w:rsidP="007823DC">
      <w:pPr>
        <w:pStyle w:val="1"/>
        <w:rPr>
          <w:rFonts w:eastAsia="宋体"/>
          <w:bCs/>
          <w:lang w:eastAsia="zh-CN"/>
        </w:rPr>
      </w:pPr>
      <w:bookmarkStart w:id="14" w:name="_Toc217332983"/>
      <w:r w:rsidRPr="007823DC">
        <w:rPr>
          <w:bCs/>
        </w:rPr>
        <w:t>Сопоставление дебиторской задолженности</w:t>
      </w:r>
      <w:bookmarkEnd w:id="14"/>
    </w:p>
    <w:p w14:paraId="1AC64844" w14:textId="164A4FFC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Receivables Line-Item Matching — сервис сопоставления входящих элементов банковской выписки с открытыми дебиторскими позициями. Его практический результат — предложения по сопоставлению (matching proposals) между bank statement items и счетами/позициями дебиторки, а также возможность автоматического клиринга при достижении достаточной уверенности.</w:t>
      </w:r>
    </w:p>
    <w:p w14:paraId="7BB0D43F" w14:textId="3BEB2E85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С точки зрения корпоративной системы управления важно, что RLM работает на стыке внешнего потока (банковские данные) и внутреннего учета (открытые позиции/счета). Поэтому функциональность RLM нельзя сводить только к «поиску совпадений по номеру счета»: в реальности большое значение имеют допуски по суммам, неполные/ошибочные назначения, агрегированные оплаты, платежи с удержаниями и т.п. Именно в таких ситуациях ML-подход дает выигрыш по сравнению с жесткими правилами: система опирается на исторические закономерности и поведение контрагентов, формируя более вероятные предложения сопоставления.</w:t>
      </w:r>
    </w:p>
    <w:p w14:paraId="77D82D04" w14:textId="071CBF46" w:rsidR="0014067D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Входные данные в процессном смысле: (а) bank statement items, (б) текущий список открытых дебиторских позиций, (в) справочные данные (контрагент, банковские реквизиты), (г) история подтвержденных сопоставлений. Выход: proposals для сопоставления и дальнейшего клиринга, а также набор случаев, которые требуют человеческого решения (исключения). Этот «разделенный выход» важен для контроля: автоматизация не подменяет внутренний контроль, а перераспределяет внимание специалистов на нестандартные случаи.</w:t>
      </w:r>
    </w:p>
    <w:p w14:paraId="0BEA1B55" w14:textId="5971905C" w:rsidR="007823DC" w:rsidRPr="007823DC" w:rsidRDefault="007823DC" w:rsidP="007823DC">
      <w:pPr>
        <w:pStyle w:val="2"/>
        <w:rPr>
          <w:lang w:eastAsia="zh-CN"/>
        </w:rPr>
      </w:pPr>
      <w:bookmarkStart w:id="15" w:name="_Toc217332984"/>
      <w:r w:rsidRPr="007823DC">
        <w:rPr>
          <w:lang w:eastAsia="zh-CN"/>
        </w:rPr>
        <w:lastRenderedPageBreak/>
        <w:t>Расписание работ</w:t>
      </w:r>
      <w:bookmarkEnd w:id="15"/>
    </w:p>
    <w:p w14:paraId="524870C0" w14:textId="74E29EC4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В SAP Help подчеркивается, что сервис RLM состоит из двух задач, и для его работы необходимо запланировать машинные задания (machine learning jobs), чтобы получать proposals и выполнять автоматический клиринг.</w:t>
      </w:r>
    </w:p>
    <w:p w14:paraId="504BD8E9" w14:textId="34F1CA34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С управленческой точки зрения Schedule Jobs — это «механизм регулярности» и «механизм актуальности». Регулярный job обеспечивает, что:</w:t>
      </w:r>
    </w:p>
    <w:p w14:paraId="08CD39B7" w14:textId="7777777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в ML-сервис передается актуальный список открытых позиций (иначе proposals ухудшаются из-за устаревшего входа);</w:t>
      </w:r>
    </w:p>
    <w:p w14:paraId="442BD781" w14:textId="7777777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proposals формируются в повторяемом регламенте (например, перед закрытием дня/месяца), а не эпизодически;</w:t>
      </w:r>
    </w:p>
    <w:p w14:paraId="099CB286" w14:textId="3AE6F040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организация получает предсказуемый цикл обработки, который можно измерять: частота выполнения, объем обработанных элементов, доля автоклиринга, доля исключений.</w:t>
      </w:r>
    </w:p>
    <w:p w14:paraId="2A2CB3ED" w14:textId="489BAC6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Отдельно важно, что Schedule Jobs в документации рассматривается как условие получения ML-предложений в AR-контуре. Это означает, что функциональность на уровне сервиса (ML-сопоставление) тесно связана с функциональностью на уровне процесса (регулярная «подпитка» данными и запуск обработки).</w:t>
      </w:r>
    </w:p>
    <w:p w14:paraId="59641D88" w14:textId="2004F48A" w:rsidR="007823DC" w:rsidRPr="007823DC" w:rsidRDefault="007823DC" w:rsidP="007823DC">
      <w:pPr>
        <w:pStyle w:val="2"/>
        <w:rPr>
          <w:lang w:eastAsia="zh-CN"/>
        </w:rPr>
      </w:pPr>
      <w:bookmarkStart w:id="16" w:name="_Toc217332985"/>
      <w:r w:rsidRPr="007823DC">
        <w:rPr>
          <w:lang w:eastAsia="zh-CN"/>
        </w:rPr>
        <w:t>Повторная обработка банковских выписок</w:t>
      </w:r>
      <w:bookmarkEnd w:id="16"/>
    </w:p>
    <w:p w14:paraId="1639B64B" w14:textId="1731CD80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Вторая задача сервиса — повторная обработка bank statement items — предназначена для управляемой работы с элементами выписки, которые не были закрыты автоматически или требуют уточнения. Концептуально reprocessing выполняет две функции.</w:t>
      </w:r>
    </w:p>
    <w:p w14:paraId="5AC96E20" w14:textId="6CA5786C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 xml:space="preserve">1. Снижение “хвоста” исключений. В реальной эксплуатации часть платежей не закрывается в первой итерации: не хватает данных, нет уверенного соответствия, есть расхождения по сумме, появились новые документы. </w:t>
      </w:r>
      <w:r w:rsidRPr="007823DC">
        <w:rPr>
          <w:rFonts w:eastAsia="宋体"/>
          <w:lang w:eastAsia="zh-CN"/>
        </w:rPr>
        <w:lastRenderedPageBreak/>
        <w:t>Повторная обработка позволяет «догонять» такие случаи после обновления данных и/или после накопления новой обучающей истории.</w:t>
      </w:r>
    </w:p>
    <w:p w14:paraId="20D497BA" w14:textId="7C92AB45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2. Цикл улучшения качества. Каждый подтвержденный или исправленный пользователем случай превращается в обучающий сигнал, повышая вероятность успешных proposals в будущем. Поэтому reprocessing — это не «дублирование работы», а управляемая процедура повышения доли автосопоставления и автоклиринга.</w:t>
      </w:r>
    </w:p>
    <w:p w14:paraId="61C456E0" w14:textId="2C9D2A7D" w:rsidR="007823DC" w:rsidRPr="007823DC" w:rsidRDefault="007823DC" w:rsidP="007823DC">
      <w:pPr>
        <w:pStyle w:val="1"/>
        <w:rPr>
          <w:rFonts w:eastAsia="宋体"/>
          <w:lang w:eastAsia="zh-CN"/>
        </w:rPr>
      </w:pPr>
      <w:bookmarkStart w:id="17" w:name="_Toc217332986"/>
      <w:r w:rsidRPr="007823DC">
        <w:rPr>
          <w:lang w:eastAsia="zh-CN"/>
        </w:rPr>
        <w:t>Сопоставление позиций дебиторской задолженности для системы инкассации</w:t>
      </w:r>
      <w:bookmarkEnd w:id="17"/>
    </w:p>
    <w:p w14:paraId="417EDD60" w14:textId="4150AF41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 xml:space="preserve">Документация выделяет отдельный вариант сопоставления для </w:t>
      </w:r>
      <w:r w:rsidRPr="007823DC">
        <w:rPr>
          <w:rFonts w:eastAsia="宋体"/>
          <w:lang w:val="en-AU" w:eastAsia="zh-CN"/>
        </w:rPr>
        <w:t>Lockbox</w:t>
      </w:r>
      <w:r w:rsidRPr="007823DC">
        <w:rPr>
          <w:rFonts w:eastAsia="宋体"/>
          <w:lang w:eastAsia="zh-CN"/>
        </w:rPr>
        <w:t xml:space="preserve">, что отражает специфику источника данных и массовость сценария. Логика остается сопоставимой: сервис формирует </w:t>
      </w:r>
      <w:r w:rsidRPr="007823DC">
        <w:rPr>
          <w:rFonts w:eastAsia="宋体"/>
          <w:lang w:val="en-AU" w:eastAsia="zh-CN"/>
        </w:rPr>
        <w:t>proposals</w:t>
      </w:r>
      <w:r w:rsidRPr="007823DC">
        <w:rPr>
          <w:rFonts w:eastAsia="宋体"/>
          <w:lang w:eastAsia="zh-CN"/>
        </w:rPr>
        <w:t xml:space="preserve"> и поддерживает автоматическую обработку, но входной поток организован вокруг </w:t>
      </w:r>
      <w:r w:rsidRPr="007823DC">
        <w:rPr>
          <w:rFonts w:eastAsia="宋体"/>
          <w:lang w:val="en-AU" w:eastAsia="zh-CN"/>
        </w:rPr>
        <w:t>lockbox</w:t>
      </w:r>
      <w:r w:rsidRPr="007823DC">
        <w:rPr>
          <w:rFonts w:eastAsia="宋体"/>
          <w:lang w:eastAsia="zh-CN"/>
        </w:rPr>
        <w:t xml:space="preserve"> </w:t>
      </w:r>
      <w:r w:rsidRPr="007823DC">
        <w:rPr>
          <w:rFonts w:eastAsia="宋体"/>
          <w:lang w:val="en-AU" w:eastAsia="zh-CN"/>
        </w:rPr>
        <w:t>items</w:t>
      </w:r>
      <w:r w:rsidRPr="007823DC">
        <w:rPr>
          <w:rFonts w:eastAsia="宋体"/>
          <w:lang w:eastAsia="zh-CN"/>
        </w:rPr>
        <w:t xml:space="preserve"> (структурированные пакеты/файлы, формируемые провайдером </w:t>
      </w:r>
      <w:r w:rsidRPr="007823DC">
        <w:rPr>
          <w:rFonts w:eastAsia="宋体"/>
          <w:lang w:val="en-AU" w:eastAsia="zh-CN"/>
        </w:rPr>
        <w:t>lockbox</w:t>
      </w:r>
      <w:r w:rsidRPr="007823DC">
        <w:rPr>
          <w:rFonts w:eastAsia="宋体"/>
          <w:lang w:eastAsia="zh-CN"/>
        </w:rPr>
        <w:t>).</w:t>
      </w:r>
    </w:p>
    <w:p w14:paraId="75B9E62B" w14:textId="4D256878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Для корпоративной системы управления ценность lockbox-варианта состоит в том, что он помогает поддерживать высокий throughput обработки платежей, не превращая финансовую функцию в «ручной разбор пакетов». В крупных организациях lockbox-канал часто используется как технологический способ централизации поступлений, и автоматизация сопоставления становится необходимой для сохранения управляемости дебиторки в реальном времени.</w:t>
      </w:r>
    </w:p>
    <w:p w14:paraId="1C670C29" w14:textId="3C53D7D5" w:rsidR="007823DC" w:rsidRPr="007823DC" w:rsidRDefault="007823DC" w:rsidP="007823DC">
      <w:pPr>
        <w:pStyle w:val="2"/>
        <w:rPr>
          <w:lang w:eastAsia="zh-CN"/>
        </w:rPr>
      </w:pPr>
      <w:bookmarkStart w:id="18" w:name="_Toc217332987"/>
      <w:r w:rsidRPr="007823DC">
        <w:rPr>
          <w:lang w:eastAsia="zh-CN"/>
        </w:rPr>
        <w:t>Планирование заданий</w:t>
      </w:r>
      <w:bookmarkEnd w:id="18"/>
    </w:p>
    <w:p w14:paraId="208D61F2" w14:textId="6E20C396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Как и для RLM, здесь ключевой контрольный механизм — регулярные jobs. Без планирования заданий lockbox-поток становится нерегулярным и трудно контролируемым. В процессном смысле Schedule Jobs обеспечивает:</w:t>
      </w:r>
    </w:p>
    <w:p w14:paraId="6AF357C1" w14:textId="61010100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 xml:space="preserve"> своевременный импорт/обновление lockbox items;</w:t>
      </w:r>
    </w:p>
    <w:p w14:paraId="147A74F6" w14:textId="7E903A48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 xml:space="preserve"> регулярное формирование proposals;</w:t>
      </w:r>
    </w:p>
    <w:p w14:paraId="12ADE7D7" w14:textId="7E18E1D3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lastRenderedPageBreak/>
        <w:t xml:space="preserve"> устойчивость обработки при пиковых нагрузках (например, в конце периода).</w:t>
      </w:r>
    </w:p>
    <w:p w14:paraId="61B36D9E" w14:textId="4DBF134C" w:rsidR="007823DC" w:rsidRPr="007823DC" w:rsidRDefault="007823DC" w:rsidP="007823DC">
      <w:pPr>
        <w:pStyle w:val="2"/>
        <w:rPr>
          <w:lang w:eastAsia="zh-CN"/>
        </w:rPr>
      </w:pPr>
      <w:bookmarkStart w:id="19" w:name="_Toc217332988"/>
      <w:r w:rsidRPr="007823DC">
        <w:rPr>
          <w:lang w:eastAsia="zh-CN"/>
        </w:rPr>
        <w:t>Повторная обработка предметов из сейфа</w:t>
      </w:r>
      <w:bookmarkEnd w:id="19"/>
    </w:p>
    <w:p w14:paraId="6739ADBD" w14:textId="1F82934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Повторная обработка lockbox items поддерживает управляемость исключений в массовом потоке. Практический эффект — снижение доли «зависших» элементов, которые иначе создают шум в дебиторке (ложно открытые позиции, задержки сверки с клиентами). Reprocessing полезен также тогда, когда часть сопоставлений становится возможной только после дополнительных действий в учете (например, появления/уточнения открытых позиций, исправления мастер-данных контрагента).</w:t>
      </w:r>
    </w:p>
    <w:p w14:paraId="59DE9E79" w14:textId="072D40EF" w:rsidR="007823DC" w:rsidRPr="007823DC" w:rsidRDefault="007823DC" w:rsidP="007823DC">
      <w:pPr>
        <w:pStyle w:val="2"/>
        <w:rPr>
          <w:lang w:eastAsia="zh-CN"/>
        </w:rPr>
      </w:pPr>
      <w:bookmarkStart w:id="20" w:name="_Toc217332989"/>
      <w:r w:rsidRPr="007823DC">
        <w:rPr>
          <w:lang w:eastAsia="zh-CN"/>
        </w:rPr>
        <w:t>Значения статуса обработки платежей в SAP</w:t>
      </w:r>
      <w:bookmarkEnd w:id="20"/>
    </w:p>
    <w:p w14:paraId="3546E035" w14:textId="42F1FDF3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Наличие status values — критичный элемент управляемости процесса. Статусы позволяют:</w:t>
      </w:r>
    </w:p>
    <w:p w14:paraId="7B141835" w14:textId="7777777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различать стадии обработки (получено, предложено, подтверждено, отклонено, ожидает решения и т.п.);</w:t>
      </w:r>
    </w:p>
    <w:p w14:paraId="4CF1A9FB" w14:textId="77777777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строить очереди и SLA на обработку исключений;</w:t>
      </w:r>
    </w:p>
    <w:p w14:paraId="64EB9FB6" w14:textId="58A8192F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проводить аналитический разбор причин неуспеха автоматизации (по сегментам клиентов, каналам, банкам, типам назначений).</w:t>
      </w:r>
    </w:p>
    <w:p w14:paraId="5CF60B92" w14:textId="3E5AF83C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Именно статусы превращают «набор несопоставленных платежей» в контролируемый процесс с измеримыми контрольными точками (в том числе для руководства финансовой службы).</w:t>
      </w:r>
    </w:p>
    <w:p w14:paraId="78D7E5D6" w14:textId="00447A3F" w:rsidR="007823DC" w:rsidRPr="007823DC" w:rsidRDefault="007823DC" w:rsidP="007823DC">
      <w:pPr>
        <w:pStyle w:val="1"/>
        <w:rPr>
          <w:lang w:eastAsia="zh-CN"/>
        </w:rPr>
      </w:pPr>
      <w:bookmarkStart w:id="21" w:name="_Toc217332990"/>
      <w:r w:rsidRPr="007823DC">
        <w:rPr>
          <w:lang w:eastAsia="zh-CN"/>
        </w:rPr>
        <w:t>Сопоставление позиций по платежам</w:t>
      </w:r>
      <w:bookmarkEnd w:id="21"/>
    </w:p>
    <w:p w14:paraId="493D2B98" w14:textId="6F52DA7B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 xml:space="preserve">В Services Overview присутствует и Payables Line-Item Matching, что показывает расширение подхода на кредиторский контур (AP): сопоставление платежей/позиций по поставщикам также выигрывает от ML-предложений при неоднозначности входных данных. В терминах КСУ это важно как унификация </w:t>
      </w:r>
      <w:r w:rsidRPr="007823DC">
        <w:rPr>
          <w:rFonts w:eastAsia="宋体"/>
          <w:lang w:eastAsia="zh-CN"/>
        </w:rPr>
        <w:lastRenderedPageBreak/>
        <w:t>принципов управления качеством данных в AR и AP: одни и те же управленческие механизмы (jobs, proposals, обработка исключений, статусы) применяются по обеим сторонам денежного контура.</w:t>
      </w:r>
    </w:p>
    <w:p w14:paraId="01D1586D" w14:textId="526DA55E" w:rsidR="007823DC" w:rsidRPr="007823DC" w:rsidRDefault="007823DC" w:rsidP="007823DC">
      <w:pPr>
        <w:pStyle w:val="1"/>
        <w:rPr>
          <w:lang w:eastAsia="zh-CN"/>
        </w:rPr>
      </w:pPr>
      <w:bookmarkStart w:id="22" w:name="_Toc217332991"/>
      <w:r w:rsidRPr="007823DC">
        <w:rPr>
          <w:lang w:eastAsia="zh-CN"/>
        </w:rPr>
        <w:t>Идентификация учетной записи клиента</w:t>
      </w:r>
      <w:bookmarkEnd w:id="22"/>
    </w:p>
    <w:p w14:paraId="33E27ED7" w14:textId="173463FF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Customer Account Identification закрывает типовой корень исключений: неясно, кто плательщик и к какому клиентскому счету отнести платеж. Функционально это «слой качества данных» перед финальным сопоставлением с открытыми позициями: чем точнее идентифицирован клиентский account, тем выше вероятность корректного matching и клиринга, и тем ниже нагрузка на ручную сверку.</w:t>
      </w:r>
    </w:p>
    <w:p w14:paraId="643D0A9F" w14:textId="1328C25E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В управленческом смысле Customer Account Identification снижает операционные риски: меньше неверных зачислений, меньше ошибочных напоминаний клиентам, меньше ситуаций «деньги пришли, но долг в системе открыт».</w:t>
      </w:r>
    </w:p>
    <w:p w14:paraId="50AAA35F" w14:textId="39C6263C" w:rsidR="007823DC" w:rsidRPr="007823DC" w:rsidRDefault="007823DC" w:rsidP="007823DC">
      <w:pPr>
        <w:pStyle w:val="1"/>
        <w:rPr>
          <w:lang w:eastAsia="zh-CN"/>
        </w:rPr>
      </w:pPr>
      <w:bookmarkStart w:id="23" w:name="_Toc217332992"/>
      <w:r w:rsidRPr="007823DC">
        <w:rPr>
          <w:lang w:eastAsia="zh-CN"/>
        </w:rPr>
        <w:t>Извлечение платежного уведомления</w:t>
      </w:r>
      <w:bookmarkEnd w:id="23"/>
    </w:p>
    <w:p w14:paraId="133B71EF" w14:textId="274B364D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Payment Advice Extraction ориентирован на извлечение структурированной информации из payment advice (уведомлений о платеже) с использованием ML. Важность функции для процесса сопоставления состоит в превращении неструктурированного текста/документа в набор признаков (позиции, суммы, ссылки на документы), пригодных для автоматического matching.</w:t>
      </w:r>
    </w:p>
    <w:p w14:paraId="65DCAEFF" w14:textId="6A8E97AB" w:rsidR="007823DC" w:rsidRPr="007823DC" w:rsidRDefault="007823DC" w:rsidP="007823DC">
      <w:pPr>
        <w:pStyle w:val="af5"/>
        <w:rPr>
          <w:rFonts w:eastAsia="宋体"/>
          <w:lang w:eastAsia="zh-CN"/>
        </w:rPr>
      </w:pPr>
      <w:r w:rsidRPr="007823DC">
        <w:rPr>
          <w:rFonts w:eastAsia="宋体"/>
          <w:lang w:eastAsia="zh-CN"/>
        </w:rPr>
        <w:t>Для корпоративной системы управления это усиливает «управление на данных»: повышается качество входа для сопоставления, уменьшается неопределенность, а значит растет доля автосопоставления и снижается стоимость обработки исключений. Кроме того, структурированные результаты извлечения удобны для аналитики причин несопоставления: можно видеть, каких данных чаще всего не хватает, где клиентская дисциплина назначения платежа хуже, и какие меры дают улучшение.</w:t>
      </w:r>
    </w:p>
    <w:p w14:paraId="3779A16F" w14:textId="3836E169" w:rsidR="00EA4FA6" w:rsidRDefault="00EA4FA6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br w:type="page"/>
      </w:r>
    </w:p>
    <w:p w14:paraId="6BE4101E" w14:textId="77777777" w:rsidR="0014067D" w:rsidRDefault="0014067D" w:rsidP="007823DC">
      <w:pPr>
        <w:suppressAutoHyphens/>
        <w:spacing w:after="0"/>
        <w:jc w:val="left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55C282F9" w14:textId="77777777" w:rsidR="0014067D" w:rsidRPr="00170BFA" w:rsidRDefault="0014067D" w:rsidP="0014067D">
      <w:pPr>
        <w:pStyle w:val="1"/>
      </w:pPr>
      <w:bookmarkStart w:id="24" w:name="_Toc217332993"/>
      <w:r w:rsidRPr="00170BFA">
        <w:t>Заключение</w:t>
      </w:r>
      <w:bookmarkEnd w:id="24"/>
    </w:p>
    <w:p w14:paraId="45A496F8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В ходе выполнения работы было рассмотрено облачное программное решение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как компонент корпоративных систем управления, ориентированный на автоматизацию сопоставления входящих платежей клиентов с открытой дебиторской задолженностью. Показано, что данная задача имеет высокую практическую значимость: на этапе сопоставления формируется актуальная картина расчетов с контрагентами, которая используется как для управленческого анализа, так и для операционных решений.</w:t>
      </w:r>
    </w:p>
    <w:p w14:paraId="56407D36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Рассмотренные теоретические аспекты управления дебиторской задолженностью демонстрируют, что качество учета поступающих платежей напрямую связано с показателями ликвидности и оборачиваемости оборотного капитала. В условиях роста бизнеса и усложнения платежных сценариев ручные методы обработки приводят к росту затрат и снижению надежности данных, что негативно отражается на всей системе управления.</w:t>
      </w:r>
    </w:p>
    <w:p w14:paraId="03107549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 xml:space="preserve">Проанализированная функциональность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включает автоматическое сопоставление платежей, применение машинного обучения для обработки неоднозначных случаев, а также развитые механизмы обработки исключений и аналитики. Особое значение имеют именно процессы исключений и измерение эффективности: они переводят работу с платежами в управляемую систему, где можно контролировать причины проблем, улучшать входные данные и повышать долю автоматизации.</w:t>
      </w:r>
    </w:p>
    <w:p w14:paraId="29701DE1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t>Облачная модель поставки и архитектурный подход обеспечивают свойства, важные для корпоративных систем управления: масштабируемость в периоды пиковых нагрузок, устойчивость обмена данными и возможность интеграции с учетными и банковскими системами. Для организации это означает снижение эксплуатационных рисков и более предсказуемую модель развития финансовой функции.</w:t>
      </w:r>
    </w:p>
    <w:p w14:paraId="4D370899" w14:textId="77777777" w:rsidR="0014067D" w:rsidRPr="0014067D" w:rsidRDefault="0014067D" w:rsidP="0014067D">
      <w:pPr>
        <w:pStyle w:val="af5"/>
        <w:rPr>
          <w:rFonts w:eastAsia="宋体"/>
          <w:lang w:eastAsia="zh-CN"/>
        </w:rPr>
      </w:pPr>
      <w:r w:rsidRPr="0014067D">
        <w:rPr>
          <w:rFonts w:eastAsia="宋体"/>
          <w:lang w:eastAsia="zh-CN"/>
        </w:rPr>
        <w:lastRenderedPageBreak/>
        <w:t xml:space="preserve">В целом </w:t>
      </w:r>
      <w:r w:rsidRPr="0014067D">
        <w:rPr>
          <w:rFonts w:eastAsia="宋体"/>
          <w:lang w:val="en-US" w:eastAsia="zh-CN"/>
        </w:rPr>
        <w:t>SAP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Cash</w:t>
      </w:r>
      <w:r w:rsidRPr="0014067D">
        <w:rPr>
          <w:rFonts w:eastAsia="宋体"/>
          <w:lang w:eastAsia="zh-CN"/>
        </w:rPr>
        <w:t xml:space="preserve"> </w:t>
      </w:r>
      <w:r w:rsidRPr="0014067D">
        <w:rPr>
          <w:rFonts w:eastAsia="宋体"/>
          <w:lang w:val="en-US" w:eastAsia="zh-CN"/>
        </w:rPr>
        <w:t>Application</w:t>
      </w:r>
      <w:r w:rsidRPr="0014067D">
        <w:rPr>
          <w:rFonts w:eastAsia="宋体"/>
          <w:lang w:eastAsia="zh-CN"/>
        </w:rPr>
        <w:t xml:space="preserve"> можно рассматривать как практический инструмент цифровой трансформации финансов: решение уменьшает долю ручного труда, повышает прозрачность расчетов и улучшает качество управленческой информации. В условиях цифровой экономики подобные облачные сервисы становятся важным элементом развития корпоративных систем управления и повышения конкурентоспособности организаций.</w:t>
      </w:r>
    </w:p>
    <w:p w14:paraId="75B6A72E" w14:textId="77777777" w:rsidR="0014067D" w:rsidRPr="0014067D" w:rsidRDefault="0014067D" w:rsidP="0014067D">
      <w:pPr>
        <w:pStyle w:val="af5"/>
        <w:ind w:firstLine="0"/>
        <w:rPr>
          <w:rFonts w:eastAsia="宋体"/>
          <w:lang w:eastAsia="zh-CN"/>
        </w:rPr>
      </w:pPr>
    </w:p>
    <w:sectPr w:rsidR="0014067D" w:rsidRPr="0014067D" w:rsidSect="00332AE5">
      <w:footerReference w:type="default" r:id="rId9"/>
      <w:pgSz w:w="11906" w:h="16838"/>
      <w:pgMar w:top="851" w:right="850" w:bottom="709" w:left="1418" w:header="0" w:footer="0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401A9" w14:textId="77777777" w:rsidR="001F44E0" w:rsidRDefault="001F44E0" w:rsidP="00436A7B">
      <w:r>
        <w:separator/>
      </w:r>
    </w:p>
    <w:p w14:paraId="15008F42" w14:textId="77777777" w:rsidR="001F44E0" w:rsidRDefault="001F44E0"/>
  </w:endnote>
  <w:endnote w:type="continuationSeparator" w:id="0">
    <w:p w14:paraId="648118A8" w14:textId="77777777" w:rsidR="001F44E0" w:rsidRDefault="001F44E0" w:rsidP="00436A7B">
      <w:r>
        <w:continuationSeparator/>
      </w:r>
    </w:p>
    <w:p w14:paraId="479BCC5B" w14:textId="77777777" w:rsidR="001F44E0" w:rsidRDefault="001F44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7946298"/>
      <w:docPartObj>
        <w:docPartGallery w:val="Page Numbers (Bottom of Page)"/>
        <w:docPartUnique/>
      </w:docPartObj>
    </w:sdtPr>
    <w:sdtContent>
      <w:p w14:paraId="0D87D5FA" w14:textId="77777777" w:rsidR="00777322" w:rsidRDefault="0077732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0F44">
          <w:rPr>
            <w:noProof/>
          </w:rPr>
          <w:t>10</w:t>
        </w:r>
        <w:r>
          <w:fldChar w:fldCharType="end"/>
        </w:r>
      </w:p>
    </w:sdtContent>
  </w:sdt>
  <w:p w14:paraId="2F288A79" w14:textId="77777777" w:rsidR="00777322" w:rsidRDefault="00777322">
    <w:pPr>
      <w:pStyle w:val="ae"/>
    </w:pPr>
  </w:p>
  <w:p w14:paraId="415515B4" w14:textId="77777777" w:rsidR="00777322" w:rsidRDefault="007773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12557" w14:textId="77777777" w:rsidR="001F44E0" w:rsidRDefault="001F44E0" w:rsidP="00436A7B">
      <w:r>
        <w:separator/>
      </w:r>
    </w:p>
    <w:p w14:paraId="12A22EE9" w14:textId="77777777" w:rsidR="001F44E0" w:rsidRDefault="001F44E0"/>
  </w:footnote>
  <w:footnote w:type="continuationSeparator" w:id="0">
    <w:p w14:paraId="3AE1D787" w14:textId="77777777" w:rsidR="001F44E0" w:rsidRDefault="001F44E0" w:rsidP="00436A7B">
      <w:r>
        <w:continuationSeparator/>
      </w:r>
    </w:p>
    <w:p w14:paraId="05162B8A" w14:textId="77777777" w:rsidR="001F44E0" w:rsidRDefault="001F44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A6280"/>
    <w:multiLevelType w:val="multilevel"/>
    <w:tmpl w:val="1A0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E23"/>
    <w:multiLevelType w:val="hybridMultilevel"/>
    <w:tmpl w:val="CBD0761A"/>
    <w:lvl w:ilvl="0" w:tplc="D444CF9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A13A7"/>
    <w:multiLevelType w:val="multilevel"/>
    <w:tmpl w:val="213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1889"/>
    <w:multiLevelType w:val="multilevel"/>
    <w:tmpl w:val="F98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003B"/>
    <w:multiLevelType w:val="multilevel"/>
    <w:tmpl w:val="240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6991"/>
    <w:multiLevelType w:val="multilevel"/>
    <w:tmpl w:val="7AC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196E"/>
    <w:multiLevelType w:val="hybridMultilevel"/>
    <w:tmpl w:val="68B41F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22029"/>
    <w:multiLevelType w:val="multilevel"/>
    <w:tmpl w:val="EED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78AD"/>
    <w:multiLevelType w:val="hybridMultilevel"/>
    <w:tmpl w:val="559A4E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8ED1329"/>
    <w:multiLevelType w:val="multilevel"/>
    <w:tmpl w:val="89D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02EFE"/>
    <w:multiLevelType w:val="hybridMultilevel"/>
    <w:tmpl w:val="00AC3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E5DDB"/>
    <w:multiLevelType w:val="multilevel"/>
    <w:tmpl w:val="BE6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14D3E"/>
    <w:multiLevelType w:val="hybridMultilevel"/>
    <w:tmpl w:val="26C23D6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E01E2"/>
    <w:multiLevelType w:val="hybridMultilevel"/>
    <w:tmpl w:val="BA8E5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03CBB"/>
    <w:multiLevelType w:val="hybridMultilevel"/>
    <w:tmpl w:val="77FA1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1F600B"/>
    <w:multiLevelType w:val="hybridMultilevel"/>
    <w:tmpl w:val="29180222"/>
    <w:lvl w:ilvl="0" w:tplc="DCFE84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4B73437"/>
    <w:multiLevelType w:val="hybridMultilevel"/>
    <w:tmpl w:val="628850E0"/>
    <w:lvl w:ilvl="0" w:tplc="D444CF9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8A758A2"/>
    <w:multiLevelType w:val="multilevel"/>
    <w:tmpl w:val="0E7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C007F"/>
    <w:multiLevelType w:val="hybridMultilevel"/>
    <w:tmpl w:val="60A2843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25" w15:restartNumberingAfterBreak="0">
    <w:nsid w:val="5F93624B"/>
    <w:multiLevelType w:val="hybridMultilevel"/>
    <w:tmpl w:val="67A20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F4698B"/>
    <w:multiLevelType w:val="hybridMultilevel"/>
    <w:tmpl w:val="8842B226"/>
    <w:lvl w:ilvl="0" w:tplc="DCFE84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D453CD"/>
    <w:multiLevelType w:val="multilevel"/>
    <w:tmpl w:val="2AB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C1C3A"/>
    <w:multiLevelType w:val="multilevel"/>
    <w:tmpl w:val="2D2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E3711"/>
    <w:multiLevelType w:val="multilevel"/>
    <w:tmpl w:val="AF7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EC7929"/>
    <w:multiLevelType w:val="hybridMultilevel"/>
    <w:tmpl w:val="F56255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04624">
    <w:abstractNumId w:val="32"/>
  </w:num>
  <w:num w:numId="2" w16cid:durableId="150484993">
    <w:abstractNumId w:val="23"/>
  </w:num>
  <w:num w:numId="3" w16cid:durableId="1985036694">
    <w:abstractNumId w:val="24"/>
    <w:lvlOverride w:ilvl="0">
      <w:startOverride w:val="1"/>
    </w:lvlOverride>
  </w:num>
  <w:num w:numId="4" w16cid:durableId="67850611">
    <w:abstractNumId w:val="12"/>
  </w:num>
  <w:num w:numId="5" w16cid:durableId="965819561">
    <w:abstractNumId w:val="14"/>
  </w:num>
  <w:num w:numId="6" w16cid:durableId="767232176">
    <w:abstractNumId w:val="30"/>
  </w:num>
  <w:num w:numId="7" w16cid:durableId="1786580269">
    <w:abstractNumId w:val="7"/>
  </w:num>
  <w:num w:numId="8" w16cid:durableId="1277525499">
    <w:abstractNumId w:val="16"/>
  </w:num>
  <w:num w:numId="9" w16cid:durableId="434130797">
    <w:abstractNumId w:val="18"/>
  </w:num>
  <w:num w:numId="10" w16cid:durableId="1203205121">
    <w:abstractNumId w:val="9"/>
  </w:num>
  <w:num w:numId="11" w16cid:durableId="1125000055">
    <w:abstractNumId w:val="6"/>
  </w:num>
  <w:num w:numId="12" w16cid:durableId="324171209">
    <w:abstractNumId w:val="11"/>
  </w:num>
  <w:num w:numId="13" w16cid:durableId="1856456135">
    <w:abstractNumId w:val="15"/>
  </w:num>
  <w:num w:numId="14" w16cid:durableId="1056733336">
    <w:abstractNumId w:val="25"/>
  </w:num>
  <w:num w:numId="15" w16cid:durableId="1304429702">
    <w:abstractNumId w:val="31"/>
  </w:num>
  <w:num w:numId="16" w16cid:durableId="1815903944">
    <w:abstractNumId w:val="19"/>
  </w:num>
  <w:num w:numId="17" w16cid:durableId="1196623110">
    <w:abstractNumId w:val="17"/>
  </w:num>
  <w:num w:numId="18" w16cid:durableId="2054502373">
    <w:abstractNumId w:val="26"/>
  </w:num>
  <w:num w:numId="19" w16cid:durableId="1194883856">
    <w:abstractNumId w:val="20"/>
  </w:num>
  <w:num w:numId="20" w16cid:durableId="179977235">
    <w:abstractNumId w:val="22"/>
  </w:num>
  <w:num w:numId="21" w16cid:durableId="1457018566">
    <w:abstractNumId w:val="1"/>
  </w:num>
  <w:num w:numId="22" w16cid:durableId="1888905198">
    <w:abstractNumId w:val="28"/>
  </w:num>
  <w:num w:numId="23" w16cid:durableId="1300384274">
    <w:abstractNumId w:val="27"/>
  </w:num>
  <w:num w:numId="24" w16cid:durableId="1619139827">
    <w:abstractNumId w:val="5"/>
  </w:num>
  <w:num w:numId="25" w16cid:durableId="1235581614">
    <w:abstractNumId w:val="8"/>
  </w:num>
  <w:num w:numId="26" w16cid:durableId="194540137">
    <w:abstractNumId w:val="2"/>
  </w:num>
  <w:num w:numId="27" w16cid:durableId="748305525">
    <w:abstractNumId w:val="4"/>
  </w:num>
  <w:num w:numId="28" w16cid:durableId="758253131">
    <w:abstractNumId w:val="0"/>
  </w:num>
  <w:num w:numId="29" w16cid:durableId="1001391585">
    <w:abstractNumId w:val="0"/>
  </w:num>
  <w:num w:numId="30" w16cid:durableId="666136276">
    <w:abstractNumId w:val="29"/>
  </w:num>
  <w:num w:numId="31" w16cid:durableId="2038851806">
    <w:abstractNumId w:val="29"/>
  </w:num>
  <w:num w:numId="32" w16cid:durableId="973020620">
    <w:abstractNumId w:val="3"/>
  </w:num>
  <w:num w:numId="33" w16cid:durableId="187254009">
    <w:abstractNumId w:val="10"/>
  </w:num>
  <w:num w:numId="34" w16cid:durableId="128280903">
    <w:abstractNumId w:val="21"/>
  </w:num>
  <w:num w:numId="35" w16cid:durableId="2100323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24"/>
    <w:rsid w:val="0001154A"/>
    <w:rsid w:val="0001321C"/>
    <w:rsid w:val="00020864"/>
    <w:rsid w:val="000315F1"/>
    <w:rsid w:val="000321D4"/>
    <w:rsid w:val="00056125"/>
    <w:rsid w:val="00073886"/>
    <w:rsid w:val="000841F9"/>
    <w:rsid w:val="000860E4"/>
    <w:rsid w:val="000871E0"/>
    <w:rsid w:val="00090330"/>
    <w:rsid w:val="000B1934"/>
    <w:rsid w:val="000B559F"/>
    <w:rsid w:val="000C2C07"/>
    <w:rsid w:val="000D2ABF"/>
    <w:rsid w:val="000D7ED9"/>
    <w:rsid w:val="000F22E6"/>
    <w:rsid w:val="000F58F7"/>
    <w:rsid w:val="00114B4D"/>
    <w:rsid w:val="00127FF7"/>
    <w:rsid w:val="00137A46"/>
    <w:rsid w:val="0014067D"/>
    <w:rsid w:val="0014194C"/>
    <w:rsid w:val="001578DB"/>
    <w:rsid w:val="00173525"/>
    <w:rsid w:val="00174F37"/>
    <w:rsid w:val="00192871"/>
    <w:rsid w:val="001C365E"/>
    <w:rsid w:val="001C4440"/>
    <w:rsid w:val="001E6D3D"/>
    <w:rsid w:val="001F012C"/>
    <w:rsid w:val="001F2FC4"/>
    <w:rsid w:val="001F44E0"/>
    <w:rsid w:val="001F7476"/>
    <w:rsid w:val="00240D2C"/>
    <w:rsid w:val="00243139"/>
    <w:rsid w:val="002463FC"/>
    <w:rsid w:val="002634DC"/>
    <w:rsid w:val="00274BF0"/>
    <w:rsid w:val="00280F9A"/>
    <w:rsid w:val="00284E74"/>
    <w:rsid w:val="002A3123"/>
    <w:rsid w:val="002E2030"/>
    <w:rsid w:val="002F722E"/>
    <w:rsid w:val="00302547"/>
    <w:rsid w:val="00305384"/>
    <w:rsid w:val="0032249A"/>
    <w:rsid w:val="00332AE5"/>
    <w:rsid w:val="00336146"/>
    <w:rsid w:val="003527DC"/>
    <w:rsid w:val="003579B2"/>
    <w:rsid w:val="0036040F"/>
    <w:rsid w:val="00364190"/>
    <w:rsid w:val="00366E86"/>
    <w:rsid w:val="00394673"/>
    <w:rsid w:val="003A0EFF"/>
    <w:rsid w:val="003A6165"/>
    <w:rsid w:val="003C18A2"/>
    <w:rsid w:val="003C5F8E"/>
    <w:rsid w:val="003F6D5E"/>
    <w:rsid w:val="00403A50"/>
    <w:rsid w:val="004137B4"/>
    <w:rsid w:val="00416973"/>
    <w:rsid w:val="00426FBE"/>
    <w:rsid w:val="00434F68"/>
    <w:rsid w:val="0043655C"/>
    <w:rsid w:val="00436A7B"/>
    <w:rsid w:val="0044300D"/>
    <w:rsid w:val="0045767C"/>
    <w:rsid w:val="00475034"/>
    <w:rsid w:val="00480067"/>
    <w:rsid w:val="00492F24"/>
    <w:rsid w:val="004A1488"/>
    <w:rsid w:val="004C16DC"/>
    <w:rsid w:val="004D5C52"/>
    <w:rsid w:val="004E10EB"/>
    <w:rsid w:val="004E66EF"/>
    <w:rsid w:val="004E79D0"/>
    <w:rsid w:val="004F7858"/>
    <w:rsid w:val="00515F34"/>
    <w:rsid w:val="0051718C"/>
    <w:rsid w:val="005474E4"/>
    <w:rsid w:val="005521ED"/>
    <w:rsid w:val="00563992"/>
    <w:rsid w:val="005908CF"/>
    <w:rsid w:val="00594791"/>
    <w:rsid w:val="00596C18"/>
    <w:rsid w:val="005A4DD0"/>
    <w:rsid w:val="005B2D90"/>
    <w:rsid w:val="005B6315"/>
    <w:rsid w:val="005D3AD9"/>
    <w:rsid w:val="005E6E98"/>
    <w:rsid w:val="005F32DE"/>
    <w:rsid w:val="006224C8"/>
    <w:rsid w:val="006309D1"/>
    <w:rsid w:val="006351EB"/>
    <w:rsid w:val="00641C13"/>
    <w:rsid w:val="0064542C"/>
    <w:rsid w:val="0064597A"/>
    <w:rsid w:val="006465D0"/>
    <w:rsid w:val="00647AAE"/>
    <w:rsid w:val="0065462B"/>
    <w:rsid w:val="006844C1"/>
    <w:rsid w:val="00690C34"/>
    <w:rsid w:val="0069675F"/>
    <w:rsid w:val="006A12A9"/>
    <w:rsid w:val="006A21E1"/>
    <w:rsid w:val="006B3C55"/>
    <w:rsid w:val="006B7A90"/>
    <w:rsid w:val="006C0459"/>
    <w:rsid w:val="006C1C8D"/>
    <w:rsid w:val="006C57E9"/>
    <w:rsid w:val="006D01DE"/>
    <w:rsid w:val="006D0C1C"/>
    <w:rsid w:val="006D36D1"/>
    <w:rsid w:val="006D6307"/>
    <w:rsid w:val="006E3D8F"/>
    <w:rsid w:val="006E4271"/>
    <w:rsid w:val="006E745F"/>
    <w:rsid w:val="006F2D35"/>
    <w:rsid w:val="007163C1"/>
    <w:rsid w:val="00724E82"/>
    <w:rsid w:val="00733F35"/>
    <w:rsid w:val="007450BD"/>
    <w:rsid w:val="007541B9"/>
    <w:rsid w:val="00777322"/>
    <w:rsid w:val="007823DC"/>
    <w:rsid w:val="00787100"/>
    <w:rsid w:val="00794F9E"/>
    <w:rsid w:val="007C194F"/>
    <w:rsid w:val="007C654F"/>
    <w:rsid w:val="007D0F44"/>
    <w:rsid w:val="007E0FD8"/>
    <w:rsid w:val="008030CA"/>
    <w:rsid w:val="00822CDD"/>
    <w:rsid w:val="0083510F"/>
    <w:rsid w:val="00837BFC"/>
    <w:rsid w:val="00862D4F"/>
    <w:rsid w:val="00871AD2"/>
    <w:rsid w:val="00872019"/>
    <w:rsid w:val="008723AE"/>
    <w:rsid w:val="008754E0"/>
    <w:rsid w:val="008922AE"/>
    <w:rsid w:val="00897158"/>
    <w:rsid w:val="008B6048"/>
    <w:rsid w:val="008C2EDA"/>
    <w:rsid w:val="008C651C"/>
    <w:rsid w:val="008D101A"/>
    <w:rsid w:val="008D5E71"/>
    <w:rsid w:val="008D700C"/>
    <w:rsid w:val="008F4F9C"/>
    <w:rsid w:val="008F57CA"/>
    <w:rsid w:val="008F7034"/>
    <w:rsid w:val="00901923"/>
    <w:rsid w:val="00903986"/>
    <w:rsid w:val="009069A5"/>
    <w:rsid w:val="009105E9"/>
    <w:rsid w:val="00913B5F"/>
    <w:rsid w:val="009235E1"/>
    <w:rsid w:val="00925420"/>
    <w:rsid w:val="009321DA"/>
    <w:rsid w:val="00933C3D"/>
    <w:rsid w:val="009544C1"/>
    <w:rsid w:val="00957F9D"/>
    <w:rsid w:val="0096413B"/>
    <w:rsid w:val="00977848"/>
    <w:rsid w:val="0098627B"/>
    <w:rsid w:val="009A2447"/>
    <w:rsid w:val="009B7E52"/>
    <w:rsid w:val="009C6F82"/>
    <w:rsid w:val="009F71C3"/>
    <w:rsid w:val="00A176DC"/>
    <w:rsid w:val="00A30D0D"/>
    <w:rsid w:val="00A30DCF"/>
    <w:rsid w:val="00A45082"/>
    <w:rsid w:val="00A64C94"/>
    <w:rsid w:val="00A761EA"/>
    <w:rsid w:val="00AA13AB"/>
    <w:rsid w:val="00AA40FA"/>
    <w:rsid w:val="00AC60DA"/>
    <w:rsid w:val="00AD01A7"/>
    <w:rsid w:val="00B01134"/>
    <w:rsid w:val="00B146D7"/>
    <w:rsid w:val="00B36CA0"/>
    <w:rsid w:val="00B72BF6"/>
    <w:rsid w:val="00B734DB"/>
    <w:rsid w:val="00B82A54"/>
    <w:rsid w:val="00B8308D"/>
    <w:rsid w:val="00BA1346"/>
    <w:rsid w:val="00BB0387"/>
    <w:rsid w:val="00BB260A"/>
    <w:rsid w:val="00BC6589"/>
    <w:rsid w:val="00BC7B3B"/>
    <w:rsid w:val="00BD30A2"/>
    <w:rsid w:val="00BD3D74"/>
    <w:rsid w:val="00BF0468"/>
    <w:rsid w:val="00C357F2"/>
    <w:rsid w:val="00C438D0"/>
    <w:rsid w:val="00C50844"/>
    <w:rsid w:val="00C67100"/>
    <w:rsid w:val="00C769E9"/>
    <w:rsid w:val="00C822AB"/>
    <w:rsid w:val="00C83026"/>
    <w:rsid w:val="00C9701F"/>
    <w:rsid w:val="00CA7833"/>
    <w:rsid w:val="00CB0772"/>
    <w:rsid w:val="00CB0E3B"/>
    <w:rsid w:val="00CB1C81"/>
    <w:rsid w:val="00CB4A8E"/>
    <w:rsid w:val="00CC4CCD"/>
    <w:rsid w:val="00CE6040"/>
    <w:rsid w:val="00D006B2"/>
    <w:rsid w:val="00D079CA"/>
    <w:rsid w:val="00D12EF4"/>
    <w:rsid w:val="00D13387"/>
    <w:rsid w:val="00D13A88"/>
    <w:rsid w:val="00D20C9D"/>
    <w:rsid w:val="00D253C8"/>
    <w:rsid w:val="00D30C18"/>
    <w:rsid w:val="00D41D98"/>
    <w:rsid w:val="00D4205C"/>
    <w:rsid w:val="00D45DD5"/>
    <w:rsid w:val="00D60969"/>
    <w:rsid w:val="00D6724D"/>
    <w:rsid w:val="00D711BC"/>
    <w:rsid w:val="00D7301B"/>
    <w:rsid w:val="00D94F3F"/>
    <w:rsid w:val="00DA160F"/>
    <w:rsid w:val="00DE0938"/>
    <w:rsid w:val="00DE0E03"/>
    <w:rsid w:val="00DE509B"/>
    <w:rsid w:val="00DE6154"/>
    <w:rsid w:val="00DE6A11"/>
    <w:rsid w:val="00DF7573"/>
    <w:rsid w:val="00E00DAF"/>
    <w:rsid w:val="00E257E3"/>
    <w:rsid w:val="00E25EF1"/>
    <w:rsid w:val="00E260D1"/>
    <w:rsid w:val="00E376A8"/>
    <w:rsid w:val="00E5267C"/>
    <w:rsid w:val="00E74041"/>
    <w:rsid w:val="00EA4525"/>
    <w:rsid w:val="00EA4FA6"/>
    <w:rsid w:val="00EB5FC3"/>
    <w:rsid w:val="00EB784A"/>
    <w:rsid w:val="00ED18A0"/>
    <w:rsid w:val="00ED4C9A"/>
    <w:rsid w:val="00F024BF"/>
    <w:rsid w:val="00F0714C"/>
    <w:rsid w:val="00F17BC6"/>
    <w:rsid w:val="00F61D4B"/>
    <w:rsid w:val="00F6338D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6BA44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D5E"/>
    <w:pPr>
      <w:suppressAutoHyphens w:val="0"/>
      <w:spacing w:after="200"/>
      <w:jc w:val="both"/>
    </w:pPr>
    <w:rPr>
      <w:rFonts w:ascii="Arial" w:eastAsia="Times New Roman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6040"/>
    <w:pPr>
      <w:keepNext/>
      <w:keepLines/>
      <w:spacing w:after="240" w:line="360" w:lineRule="auto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305384"/>
    <w:pPr>
      <w:spacing w:before="360" w:after="120"/>
      <w:outlineLvl w:val="1"/>
    </w:pPr>
    <w:rPr>
      <w:color w:val="000000"/>
    </w:rPr>
  </w:style>
  <w:style w:type="paragraph" w:styleId="3">
    <w:name w:val="heading 3"/>
    <w:basedOn w:val="a"/>
    <w:link w:val="30"/>
    <w:uiPriority w:val="9"/>
    <w:qFormat/>
    <w:rsid w:val="00305384"/>
    <w:pPr>
      <w:spacing w:before="320" w:after="80" w:line="360" w:lineRule="auto"/>
      <w:outlineLvl w:val="2"/>
    </w:pPr>
    <w:rPr>
      <w:rFonts w:ascii="Times New Roman" w:hAnsi="Times New Roman" w:cs="Times New Roman"/>
      <w:b/>
      <w:bCs/>
      <w:i/>
      <w:iCs/>
      <w:color w:val="434343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微软雅黑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pacing w:before="100" w:beforeAutospacing="1" w:after="142"/>
    </w:pPr>
    <w:rPr>
      <w:rFonts w:ascii="Calibri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pacing w:before="100" w:beforeAutospacing="1" w:after="159" w:line="259" w:lineRule="auto"/>
    </w:pPr>
    <w:rPr>
      <w:rFonts w:ascii="Calibri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/>
    </w:pPr>
  </w:style>
  <w:style w:type="character" w:customStyle="1" w:styleId="ad">
    <w:name w:val="页眉 字符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/>
    </w:pPr>
  </w:style>
  <w:style w:type="character" w:customStyle="1" w:styleId="af">
    <w:name w:val="页脚 字符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pacing w:after="0"/>
      <w:ind w:firstLine="851"/>
    </w:pPr>
    <w:rPr>
      <w:rFonts w:ascii="Times New Roman" w:hAnsi="Times New Roman" w:cs="Times New Roman"/>
      <w:sz w:val="28"/>
      <w:szCs w:val="20"/>
      <w:lang w:eastAsia="ru-RU"/>
    </w:rPr>
  </w:style>
  <w:style w:type="character" w:customStyle="1" w:styleId="30">
    <w:name w:val="标题 3 字符"/>
    <w:basedOn w:val="a0"/>
    <w:link w:val="3"/>
    <w:uiPriority w:val="9"/>
    <w:rsid w:val="00305384"/>
    <w:rPr>
      <w:rFonts w:ascii="Times New Roman" w:eastAsia="Times New Roman" w:hAnsi="Times New Roman" w:cs="Times New Roman"/>
      <w:b/>
      <w:bCs/>
      <w:i/>
      <w:iCs/>
      <w:color w:val="434343"/>
      <w:sz w:val="28"/>
      <w:szCs w:val="28"/>
      <w:lang w:eastAsia="ru-RU"/>
    </w:rPr>
  </w:style>
  <w:style w:type="character" w:styleId="af1">
    <w:name w:val="Hyperlink"/>
    <w:basedOn w:val="a0"/>
    <w:uiPriority w:val="99"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HTML 预设格式 字符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  <w:style w:type="character" w:customStyle="1" w:styleId="10">
    <w:name w:val="标题 1 字符"/>
    <w:basedOn w:val="a0"/>
    <w:link w:val="1"/>
    <w:uiPriority w:val="9"/>
    <w:rsid w:val="00CE604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05384"/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E6A11"/>
    <w:pPr>
      <w:spacing w:line="259" w:lineRule="auto"/>
      <w:outlineLvl w:val="9"/>
    </w:pPr>
    <w:rPr>
      <w:rFonts w:asciiTheme="majorHAnsi" w:hAnsiTheme="majorHAnsi" w:cstheme="majorBidi"/>
      <w:lang w:eastAsia="ru-RU"/>
    </w:rPr>
  </w:style>
  <w:style w:type="paragraph" w:styleId="TOC3">
    <w:name w:val="toc 3"/>
    <w:basedOn w:val="a"/>
    <w:next w:val="a"/>
    <w:autoRedefine/>
    <w:uiPriority w:val="39"/>
    <w:unhideWhenUsed/>
    <w:rsid w:val="00DE6A11"/>
    <w:pPr>
      <w:spacing w:after="100"/>
      <w:ind w:left="440"/>
    </w:pPr>
  </w:style>
  <w:style w:type="paragraph" w:styleId="TOC1">
    <w:name w:val="toc 1"/>
    <w:basedOn w:val="a"/>
    <w:next w:val="a"/>
    <w:autoRedefine/>
    <w:uiPriority w:val="39"/>
    <w:unhideWhenUsed/>
    <w:rsid w:val="00DE6A11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DE6A11"/>
    <w:pPr>
      <w:spacing w:after="100"/>
      <w:ind w:left="220"/>
    </w:pPr>
  </w:style>
  <w:style w:type="table" w:styleId="1-1">
    <w:name w:val="Grid Table 1 Light Accent 1"/>
    <w:basedOn w:val="a1"/>
    <w:uiPriority w:val="46"/>
    <w:rsid w:val="00CB1C81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FollowedHyperlink"/>
    <w:basedOn w:val="a0"/>
    <w:uiPriority w:val="99"/>
    <w:semiHidden/>
    <w:unhideWhenUsed/>
    <w:rsid w:val="000F58F7"/>
    <w:rPr>
      <w:color w:val="800080" w:themeColor="followedHyperlink"/>
      <w:u w:val="single"/>
    </w:rPr>
  </w:style>
  <w:style w:type="paragraph" w:customStyle="1" w:styleId="af5">
    <w:name w:val="Глупый текст"/>
    <w:basedOn w:val="a"/>
    <w:link w:val="af6"/>
    <w:qFormat/>
    <w:rsid w:val="00305384"/>
    <w:pPr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styleId="af7">
    <w:name w:val="Unresolved Mention"/>
    <w:basedOn w:val="a0"/>
    <w:uiPriority w:val="99"/>
    <w:semiHidden/>
    <w:unhideWhenUsed/>
    <w:rsid w:val="006D01DE"/>
    <w:rPr>
      <w:color w:val="605E5C"/>
      <w:shd w:val="clear" w:color="auto" w:fill="E1DFDD"/>
    </w:rPr>
  </w:style>
  <w:style w:type="character" w:customStyle="1" w:styleId="af6">
    <w:name w:val="Глупый текст Знак"/>
    <w:basedOn w:val="a0"/>
    <w:link w:val="af5"/>
    <w:rsid w:val="00305384"/>
    <w:rPr>
      <w:rFonts w:ascii="Times New Roman" w:eastAsia="Times New Roman" w:hAnsi="Times New Roman" w:cs="Times New Roman"/>
      <w:sz w:val="28"/>
      <w:szCs w:val="28"/>
    </w:rPr>
  </w:style>
  <w:style w:type="paragraph" w:customStyle="1" w:styleId="af8">
    <w:name w:val="Картинка"/>
    <w:basedOn w:val="af5"/>
    <w:link w:val="af9"/>
    <w:qFormat/>
    <w:rsid w:val="00E25EF1"/>
    <w:pPr>
      <w:ind w:firstLine="0"/>
      <w:jc w:val="center"/>
    </w:pPr>
    <w:rPr>
      <w:noProof/>
      <w:sz w:val="24"/>
      <w:szCs w:val="24"/>
    </w:rPr>
  </w:style>
  <w:style w:type="character" w:customStyle="1" w:styleId="af9">
    <w:name w:val="Картинка Знак"/>
    <w:basedOn w:val="af6"/>
    <w:link w:val="af8"/>
    <w:rsid w:val="00E25EF1"/>
    <w:rPr>
      <w:rFonts w:ascii="Times New Roman" w:eastAsia="Times New Roman" w:hAnsi="Times New Roman" w:cs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D1A34-C5DF-43C8-A81F-2CBF1786B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4228</Words>
  <Characters>24102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皓禹 许</cp:lastModifiedBy>
  <cp:revision>8</cp:revision>
  <cp:lastPrinted>2021-02-12T20:05:00Z</cp:lastPrinted>
  <dcterms:created xsi:type="dcterms:W3CDTF">2025-12-21T11:20:00Z</dcterms:created>
  <dcterms:modified xsi:type="dcterms:W3CDTF">2025-12-26T08:12:00Z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