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cs="Times New Roman" w:eastAsia="Microsoft YaHei"/>
        </w:rPr>
        <w:t>法律论证标注系统</w:t>
      </w:r>
    </w:p>
    <w:p>
      <w:pPr>
        <w:pStyle w:val="Subtitle"/>
      </w:pPr>
      <w:r>
        <w:rPr>
          <w:rFonts w:ascii="Times New Roman" w:hAnsi="Times New Roman" w:cs="Times New Roman" w:eastAsia="Microsoft YaHei"/>
        </w:rPr>
        <w:t>系统用例设计与项目原型</w:t>
      </w:r>
    </w:p>
    <w:p>
      <w:r>
        <w:rPr>
          <w:rFonts w:ascii="Times New Roman" w:hAnsi="Times New Roman" w:cs="Times New Roman" w:eastAsia="Microsoft YaHei"/>
        </w:rPr>
        <w:t>课程项目交付文档    2026年10月7日</w:t>
      </w:r>
    </w:p>
    <w:p>
      <w:pPr>
        <w:pStyle w:val="Heading1"/>
      </w:pPr>
      <w:r>
        <w:rPr>
          <w:rFonts w:ascii="Times New Roman" w:hAnsi="Times New Roman" w:cs="Times New Roman" w:eastAsia="Microsoft YaHei"/>
        </w:rPr>
        <w:t>1 业务目标与系统边界</w:t>
      </w:r>
    </w:p>
    <w:p>
      <w:r>
        <w:rPr>
          <w:rFonts w:ascii="Times New Roman" w:hAnsi="Times New Roman" w:cs="Times New Roman" w:eastAsia="Microsoft YaHei"/>
        </w:rPr>
        <w:t>系统围绕裁判文书的说理部分，支持指南配置、命题与关系标注、关系裁定及结果反馈。教学目标是帮助学生更快识别事实与规范，更好理解从前提到结论的论证结构。学生先独立判断，提交后再对照标准或裁定结果，并通过差异解释进行反思练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701"/>
        <w:gridCol w:w="4025"/>
        <w:gridCol w:w="3912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284D41"/>
          </w:tcPr>
          <w:p>
            <w:pPr>
              <w:spacing w:line="278" w:lineRule="auto" w:after="20" w:before="20"/>
              <w:jc w:val="center"/>
            </w:pPr>
            <w:r>
              <w:rPr>
                <w:rFonts w:ascii="Times New Roman" w:hAnsi="Times New Roman" w:eastAsia="Microsoft YaHei" w:cs="Times New Roman"/>
                <w:b/>
                <w:color w:val="FFFFFF"/>
                <w:sz w:val="19"/>
              </w:rPr>
              <w:t>业务目标</w:t>
            </w:r>
          </w:p>
        </w:tc>
        <w:tc>
          <w:tcPr>
            <w:tcW w:type="dxa" w:w="4025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284D41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/>
                <w:color w:val="FFFFFF"/>
                <w:sz w:val="19"/>
              </w:rPr>
              <w:t>系统设计</w:t>
            </w:r>
          </w:p>
        </w:tc>
        <w:tc>
          <w:tcPr>
            <w:tcW w:type="dxa" w:w="3912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284D41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/>
                <w:color w:val="FFFFFF"/>
                <w:sz w:val="19"/>
              </w:rPr>
              <w:t>可观察的验收指标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  <w:jc w:val="center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9"/>
              </w:rPr>
              <w:t>更快掌握框架</w:t>
            </w:r>
          </w:p>
        </w:tc>
        <w:tc>
          <w:tcPr>
            <w:tcW w:type="dxa" w:w="4025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9"/>
              </w:rPr>
              <w:t>就地查看标签定义与示例；原文、命题列表和图示联动；按步骤完成练习。</w:t>
            </w:r>
          </w:p>
        </w:tc>
        <w:tc>
          <w:tcPr>
            <w:tcW w:type="dxa" w:w="3912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9"/>
              </w:rPr>
              <w:t>记录同等难度独立练习用时；比较前后测完成时间。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  <w:jc w:val="center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9"/>
              </w:rPr>
              <w:t>更好掌握框架</w:t>
            </w:r>
          </w:p>
        </w:tc>
        <w:tc>
          <w:tcPr>
            <w:tcW w:type="dxa" w:w="4025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9"/>
              </w:rPr>
              <w:t>练习提交后比较边界、标签和关系；展示教师裁定理由；允许新建练习纠错。</w:t>
            </w:r>
          </w:p>
        </w:tc>
        <w:tc>
          <w:tcPr>
            <w:tcW w:type="dxa" w:w="3912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9"/>
              </w:rPr>
              <w:t>比较命题边界与标签一致率、关系结构完整率，以及相同错误再次出现的比例。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  <w:jc w:val="center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9"/>
              </w:rPr>
              <w:t>保证学习可复核</w:t>
            </w:r>
          </w:p>
        </w:tc>
        <w:tc>
          <w:tcPr>
            <w:tcW w:type="dxa" w:w="4025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9"/>
              </w:rPr>
              <w:t>任务绑定指南版本；保留学生原始提交、标准版本和裁定记录。</w:t>
            </w:r>
          </w:p>
        </w:tc>
        <w:tc>
          <w:tcPr>
            <w:tcW w:type="dxa" w:w="3912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9"/>
              </w:rPr>
              <w:t>任一反馈可追溯至原文范围、规则版本及最终关系。</w:t>
            </w:r>
          </w:p>
        </w:tc>
      </w:tr>
    </w:tbl>
    <w:p>
      <w:pPr>
        <w:keepNext w:val="0"/>
        <w:spacing w:after="80" w:before="0" w:line="240" w:lineRule="auto"/>
      </w:pPr>
      <w:r>
        <w:rPr>
          <w:rFonts w:ascii="Times New Roman" w:hAnsi="Times New Roman" w:cs="Times New Roman" w:eastAsia="Microsoft YaHei"/>
          <w:sz w:val="4"/>
        </w:rPr>
      </w:r>
    </w:p>
    <w:p>
      <w:pPr>
        <w:pStyle w:val="Heading2"/>
      </w:pPr>
      <w:r>
        <w:rPr>
          <w:rFonts w:ascii="Times New Roman" w:hAnsi="Times New Roman" w:cs="Times New Roman" w:eastAsia="Microsoft YaHei"/>
        </w:rPr>
        <w:t>参与者与职责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324"/>
        <w:gridCol w:w="7313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284D41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/>
                <w:color w:val="FFFFFF"/>
                <w:sz w:val="19"/>
              </w:rPr>
              <w:t>参与者</w:t>
            </w:r>
          </w:p>
        </w:tc>
        <w:tc>
          <w:tcPr>
            <w:tcW w:type="dxa" w:w="7313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284D41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/>
                <w:color w:val="FFFFFF"/>
                <w:sz w:val="19"/>
              </w:rPr>
              <w:t>主要职责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9"/>
              </w:rPr>
              <w:t>学生或标注者</w:t>
            </w:r>
          </w:p>
        </w:tc>
        <w:tc>
          <w:tcPr>
            <w:tcW w:type="dxa" w:w="7313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9"/>
              </w:rPr>
              <w:t>阅读指南，独立进行命题与关系标注，提交练习，查看差异与解释。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9"/>
              </w:rPr>
              <w:t>教师或任务创建者</w:t>
            </w:r>
          </w:p>
        </w:tc>
        <w:tc>
          <w:tcPr>
            <w:tcW w:type="dxa" w:w="7313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9"/>
              </w:rPr>
              <w:t>导入并确认指南，配置任务和标准样例，维护教学材料。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9"/>
              </w:rPr>
              <w:t>裁定者</w:t>
            </w:r>
          </w:p>
        </w:tc>
        <w:tc>
          <w:tcPr>
            <w:tcW w:type="dxa" w:w="7313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9"/>
              </w:rPr>
              <w:t>教师或专家人工比对独立版本，采用或重标关系，记录理由并定稿。</w:t>
            </w:r>
          </w:p>
        </w:tc>
      </w:tr>
    </w:tbl>
    <w:p>
      <w:pPr>
        <w:keepNext w:val="0"/>
        <w:spacing w:after="80" w:before="0" w:line="240" w:lineRule="auto"/>
      </w:pPr>
      <w:r>
        <w:rPr>
          <w:rFonts w:ascii="Times New Roman" w:hAnsi="Times New Roman" w:cs="Times New Roman" w:eastAsia="Microsoft YaHei"/>
          <w:sz w:val="4"/>
        </w:rPr>
      </w:r>
    </w:p>
    <w:p>
      <w:r>
        <w:rPr>
          <w:rFonts w:ascii="Times New Roman" w:hAnsi="Times New Roman" w:cs="Times New Roman" w:eastAsia="Microsoft YaHei"/>
        </w:rPr>
        <w:t>范围说明：命题性质使用 SF、GF、SM、GM；关系使用 S、A、J、M、I。“裁定关系的标注”是对标注结果进行复核定稿的用例。合同及合同解释按指南正文使用 SM-C。任务创建、标注、裁定和输出分别控制编辑权限；学生练习使用独立入口与临时数据。</w:t>
      </w:r>
    </w:p>
    <w:p>
      <w:r>
        <w:rPr>
          <w:rFonts w:ascii="Times New Roman" w:hAnsi="Times New Roman" w:cs="Times New Roman" w:eastAsia="Microsoft YaHei"/>
        </w:rPr>
        <w:t>学习指标属于后续教学评价方案，原型展示计算与反馈方式，实际学习成效需通过同等难度的前后测验证。</w:t>
      </w:r>
    </w:p>
    <w:p>
      <w:pPr>
        <w:sectPr>
          <w:footerReference w:type="default" r:id="rId9"/>
          <w:pgSz w:w="11906" w:h="16838"/>
          <w:pgMar w:top="1077" w:right="1134" w:bottom="964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Times New Roman" w:hAnsi="Times New Roman" w:cs="Times New Roman" w:eastAsia="Microsoft YaHei"/>
        </w:rPr>
        <w:t>2 系统用例图</w:t>
      </w:r>
    </w:p>
    <w:p>
      <w:pPr>
        <w:jc w:val="center"/>
        <w:spacing w:line="240" w:lineRule="auto" w:after="0"/>
      </w:pPr>
      <w:r>
        <w:rPr>
          <w:rFonts w:ascii="Times New Roman" w:hAnsi="Times New Roman" w:cs="Times New Roman" w:eastAsia="Microsoft YaHei"/>
        </w:rPr>
        <w:drawing>
          <wp:inline xmlns:a="http://schemas.openxmlformats.org/drawingml/2006/main" xmlns:pic="http://schemas.openxmlformats.org/drawingml/2006/picture">
            <wp:extent cx="8856000" cy="4907700"/>
            <wp:docPr id="1" name="Picture 1" descr="系统用例图：学生、教师及裁定者位于系统边界外，关联标注、指南、练习反馈及裁定用例；包含与扩展关系以虚线箭头表示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use-ca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56000" cy="490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cs="Times New Roman" w:eastAsia="Microsoft YaHei"/>
        </w:rPr>
        <w:t>图1  系统用例图</w:t>
      </w:r>
    </w:p>
    <w:p>
      <w:pPr>
        <w:spacing w:line="240" w:lineRule="auto" w:after="0"/>
      </w:pPr>
      <w:r>
        <w:rPr>
          <w:rFonts w:ascii="Times New Roman" w:hAnsi="Times New Roman" w:cs="Times New Roman" w:eastAsia="Microsoft YaHei"/>
        </w:rPr>
        <w:t>«include» 表示每次执行基础用例都必须执行的子用例；«extend» 从可选扩展指向基础用例。“反思并重新练习”在查看反馈且发现差异时扩展“查看学习反馈”。图中的连接表达参与者和功能关系，不表示业务执行先后顺序。</w:t>
      </w:r>
    </w:p>
    <w:p>
      <w:pPr>
        <w:sectPr>
          <w:pgSz w:w="16838" w:h="11906" w:orient="landscape"/>
          <w:pgMar w:top="850" w:right="964" w:bottom="794" w:left="964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Times New Roman" w:hAnsi="Times New Roman" w:cs="Times New Roman" w:eastAsia="Microsoft YaHei"/>
        </w:rPr>
        <w:t>3 从文件导入标注指南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701"/>
        <w:gridCol w:w="7937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284D41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/>
                <w:color w:val="FFFFFF"/>
                <w:sz w:val="18"/>
              </w:rPr>
              <w:t>用例字段</w:t>
            </w:r>
          </w:p>
        </w:tc>
        <w:tc>
          <w:tcPr>
            <w:tcW w:type="dxa" w:w="7937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284D41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/>
                <w:color w:val="FFFFFF"/>
                <w:sz w:val="18"/>
              </w:rPr>
              <w:t>描述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编号与级别</w:t>
            </w:r>
          </w:p>
        </w:tc>
        <w:tc>
          <w:tcPr>
            <w:tcW w:type="dxa" w:w="7937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UC-01  从文件导入标注指南；用户目标级；优先级高。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目标与参与者</w:t>
            </w:r>
          </w:p>
        </w:tc>
        <w:tc>
          <w:tcPr>
            <w:tcW w:type="dxa" w:w="7937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教师或任务创建者将指南文件导入系统，确认规则并形成可追溯的指南版本。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触发事件</w:t>
            </w:r>
          </w:p>
        </w:tc>
        <w:tc>
          <w:tcPr>
            <w:tcW w:type="dxa" w:w="7937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在“标注指南”页选择文件或拖入文件。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前置条件</w:t>
            </w:r>
          </w:p>
        </w:tc>
        <w:tc>
          <w:tcPr>
            <w:tcW w:type="dxa" w:w="7937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用户具有指南配置权限；处于任务准备阶段或正在创建新任务；文件可读取。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成功后置条件</w:t>
            </w:r>
          </w:p>
        </w:tc>
        <w:tc>
          <w:tcPr>
            <w:tcW w:type="dxa" w:w="7937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保存指南名称、版本、来源、标签定义与关系规则；新任务绑定该版本；学生可阅读。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最小保证</w:t>
            </w:r>
          </w:p>
        </w:tc>
        <w:tc>
          <w:tcPr>
            <w:tcW w:type="dxa" w:w="7937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校验失败、用户取消或保存失败时，不替换已启用指南，不修改原任务标注。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输入与输出</w:t>
            </w:r>
          </w:p>
        </w:tc>
        <w:tc>
          <w:tcPr>
            <w:tcW w:type="dxa" w:w="7937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输入指南文件；输出导入预览、问题提示和可启用的新版本。</w:t>
            </w:r>
          </w:p>
        </w:tc>
      </w:tr>
    </w:tbl>
    <w:p>
      <w:pPr>
        <w:keepNext w:val="0"/>
        <w:spacing w:after="80" w:before="0" w:line="240" w:lineRule="auto"/>
      </w:pPr>
      <w:r>
        <w:rPr>
          <w:rFonts w:ascii="Times New Roman" w:hAnsi="Times New Roman" w:cs="Times New Roman" w:eastAsia="Microsoft YaHei"/>
          <w:sz w:val="4"/>
        </w:rPr>
      </w:r>
    </w:p>
    <w:p>
      <w:pPr>
        <w:pStyle w:val="Heading2"/>
      </w:pPr>
      <w:r>
        <w:rPr>
          <w:rFonts w:ascii="Times New Roman" w:hAnsi="Times New Roman" w:cs="Times New Roman" w:eastAsia="Microsoft YaHei"/>
        </w:rPr>
        <w:t>主成功场景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680"/>
        <w:gridCol w:w="3458"/>
        <w:gridCol w:w="5499"/>
      </w:tblGrid>
      <w:tr>
        <w:trPr>
          <w:cantSplit/>
          <w:tblHeader/>
        </w:trPr>
        <w:tc>
          <w:tcPr>
            <w:tcW w:type="dxa" w:w="680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284D41"/>
          </w:tcPr>
          <w:p>
            <w:pPr>
              <w:spacing w:line="278" w:lineRule="auto" w:after="20" w:before="20"/>
              <w:jc w:val="center"/>
            </w:pPr>
            <w:r>
              <w:rPr>
                <w:rFonts w:ascii="Times New Roman" w:hAnsi="Times New Roman" w:eastAsia="Microsoft YaHei" w:cs="Times New Roman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458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284D41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/>
                <w:color w:val="FFFFFF"/>
                <w:sz w:val="18"/>
              </w:rPr>
              <w:t>参与者动作</w:t>
            </w:r>
          </w:p>
        </w:tc>
        <w:tc>
          <w:tcPr>
            <w:tcW w:type="dxa" w:w="5499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284D41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/>
                <w:color w:val="FFFFFF"/>
                <w:sz w:val="18"/>
              </w:rPr>
              <w:t>系统响应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  <w:jc w:val="center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1</w:t>
            </w:r>
          </w:p>
        </w:tc>
        <w:tc>
          <w:tcPr>
            <w:tcW w:type="dxa" w:w="3458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打开指南页并选择导入。</w:t>
            </w:r>
          </w:p>
        </w:tc>
        <w:tc>
          <w:tcPr>
            <w:tcW w:type="dxa" w:w="5499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提示支持格式、大小限制、字段要求和当前指南版本。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  <w:jc w:val="center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2</w:t>
            </w:r>
          </w:p>
        </w:tc>
        <w:tc>
          <w:tcPr>
            <w:tcW w:type="dxa" w:w="3458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选择文件并确认读取。</w:t>
            </w:r>
          </w:p>
        </w:tc>
        <w:tc>
          <w:tcPr>
            <w:tcW w:type="dxa" w:w="5499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检查格式及大小，解析JSON结构或提取PDF、DOCX、TXT正文。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  <w:jc w:val="center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3</w:t>
            </w:r>
          </w:p>
        </w:tc>
        <w:tc>
          <w:tcPr>
            <w:tcW w:type="dxa" w:w="3458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核对名称、版本与正文。</w:t>
            </w:r>
          </w:p>
        </w:tc>
        <w:tc>
          <w:tcPr>
            <w:tcW w:type="dxa" w:w="5499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展示来源、候选规则和定义；非结构化文件明确提示人工确认。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  <w:jc w:val="center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4</w:t>
            </w:r>
          </w:p>
        </w:tc>
        <w:tc>
          <w:tcPr>
            <w:tcW w:type="dxa" w:w="3458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修正候选定义与版本信息。</w:t>
            </w:r>
          </w:p>
        </w:tc>
        <w:tc>
          <w:tcPr>
            <w:tcW w:type="dxa" w:w="5499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检验必填字段、唯一代码和本框架所需的命题与关系类型。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  <w:jc w:val="center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5</w:t>
            </w:r>
          </w:p>
        </w:tc>
        <w:tc>
          <w:tcPr>
            <w:tcW w:type="dxa" w:w="3458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确认规则并启用。</w:t>
            </w:r>
          </w:p>
        </w:tc>
        <w:tc>
          <w:tcPr>
            <w:tcW w:type="dxa" w:w="5499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说明任务绑定及新建练习影响，避免在进行中的任务内替换标签。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  <w:jc w:val="center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6</w:t>
            </w:r>
          </w:p>
        </w:tc>
        <w:tc>
          <w:tcPr>
            <w:tcW w:type="dxa" w:w="3458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确认新任务使用该版本。</w:t>
            </w:r>
          </w:p>
        </w:tc>
        <w:tc>
          <w:tcPr>
            <w:tcW w:type="dxa" w:w="5499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保存新版本与来源，创建绑定该指南的练习，展示成功状态。</w:t>
            </w:r>
          </w:p>
        </w:tc>
      </w:tr>
    </w:tbl>
    <w:p>
      <w:pPr>
        <w:keepNext w:val="0"/>
        <w:spacing w:after="80" w:before="0" w:line="240" w:lineRule="auto"/>
      </w:pPr>
      <w:r>
        <w:rPr>
          <w:rFonts w:ascii="Times New Roman" w:hAnsi="Times New Roman" w:cs="Times New Roman" w:eastAsia="Microsoft YaHei"/>
          <w:sz w:val="4"/>
        </w:rPr>
      </w:r>
    </w:p>
    <w:p>
      <w:pPr>
        <w:pStyle w:val="Heading1"/>
        <w:pageBreakBefore/>
      </w:pPr>
      <w:r>
        <w:rPr>
          <w:rFonts w:ascii="Times New Roman" w:hAnsi="Times New Roman" w:cs="Times New Roman" w:eastAsia="Microsoft YaHei"/>
        </w:rPr>
        <w:t>3 从文件导入标注指南  续</w:t>
      </w:r>
    </w:p>
    <w:p>
      <w:pPr>
        <w:pStyle w:val="Heading2"/>
      </w:pPr>
      <w:r>
        <w:rPr>
          <w:rFonts w:ascii="Times New Roman" w:hAnsi="Times New Roman" w:cs="Times New Roman" w:eastAsia="Microsoft YaHei"/>
        </w:rPr>
        <w:t>替代与异常流程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680"/>
        <w:gridCol w:w="2381"/>
        <w:gridCol w:w="4989"/>
        <w:gridCol w:w="1587"/>
      </w:tblGrid>
      <w:tr>
        <w:trPr>
          <w:cantSplit/>
          <w:tblHeader/>
        </w:trPr>
        <w:tc>
          <w:tcPr>
            <w:tcW w:type="dxa" w:w="680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284D41"/>
          </w:tcPr>
          <w:p>
            <w:pPr>
              <w:spacing w:line="278" w:lineRule="auto" w:after="20" w:before="20"/>
              <w:jc w:val="center"/>
            </w:pPr>
            <w:r>
              <w:rPr>
                <w:rFonts w:ascii="Times New Roman" w:hAnsi="Times New Roman" w:eastAsia="Microsoft YaHei" w:cs="Times New Roman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381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284D41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/>
                <w:color w:val="FFFFFF"/>
                <w:sz w:val="18"/>
              </w:rPr>
              <w:t>对应步骤与条件</w:t>
            </w:r>
          </w:p>
        </w:tc>
        <w:tc>
          <w:tcPr>
            <w:tcW w:type="dxa" w:w="4989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284D41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/>
                <w:color w:val="FFFFFF"/>
                <w:sz w:val="18"/>
              </w:rPr>
              <w:t>系统处理</w:t>
            </w:r>
          </w:p>
        </w:tc>
        <w:tc>
          <w:tcPr>
            <w:tcW w:type="dxa" w:w="1587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284D41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/>
                <w:color w:val="FFFFFF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  <w:jc w:val="center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A1</w:t>
            </w:r>
          </w:p>
        </w:tc>
        <w:tc>
          <w:tcPr>
            <w:tcW w:type="dxa" w:w="2381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步骤2  PDF、DOCX或TXT</w:t>
            </w:r>
          </w:p>
        </w:tc>
        <w:tc>
          <w:tcPr>
            <w:tcW w:type="dxa" w:w="4989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仅提取正文；用课程框架生成规则候选；教师逐项核对后确认，不能把正文直接视为已解析规则。</w:t>
            </w:r>
          </w:p>
        </w:tc>
        <w:tc>
          <w:tcPr>
            <w:tcW w:type="dxa" w:w="1587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转步骤3。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  <w:jc w:val="center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A2</w:t>
            </w:r>
          </w:p>
        </w:tc>
        <w:tc>
          <w:tcPr>
            <w:tcW w:type="dxa" w:w="2381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步骤4  需要修改候选</w:t>
            </w:r>
          </w:p>
        </w:tc>
        <w:tc>
          <w:tcPr>
            <w:tcW w:type="dxa" w:w="4989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允许调整名称、版本和定义；复杂结构先编辑JSON模板后重新导入。</w:t>
            </w:r>
          </w:p>
        </w:tc>
        <w:tc>
          <w:tcPr>
            <w:tcW w:type="dxa" w:w="1587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重新校验。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  <w:jc w:val="center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E1</w:t>
            </w:r>
          </w:p>
        </w:tc>
        <w:tc>
          <w:tcPr>
            <w:tcW w:type="dxa" w:w="2381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步骤2  不支持格式或超过8 MB</w:t>
            </w:r>
          </w:p>
        </w:tc>
        <w:tc>
          <w:tcPr>
            <w:tcW w:type="dxa" w:w="4989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说明具体限制，保留当前指南与任务。</w:t>
            </w:r>
          </w:p>
        </w:tc>
        <w:tc>
          <w:tcPr>
            <w:tcW w:type="dxa" w:w="1587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重新选择或取消。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  <w:jc w:val="center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E2</w:t>
            </w:r>
          </w:p>
        </w:tc>
        <w:tc>
          <w:tcPr>
            <w:tcW w:type="dxa" w:w="2381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步骤2或4  文件损坏、代码重复或字段缺失</w:t>
            </w:r>
          </w:p>
        </w:tc>
        <w:tc>
          <w:tcPr>
            <w:tcW w:type="dxa" w:w="4989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显示明确问题，禁止启用，原版本继续生效。</w:t>
            </w:r>
          </w:p>
        </w:tc>
        <w:tc>
          <w:tcPr>
            <w:tcW w:type="dxa" w:w="1587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修正后重试。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  <w:jc w:val="center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E3</w:t>
            </w:r>
          </w:p>
        </w:tc>
        <w:tc>
          <w:tcPr>
            <w:tcW w:type="dxa" w:w="2381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步骤2  扫描PDF无可提取文字</w:t>
            </w:r>
          </w:p>
        </w:tc>
        <w:tc>
          <w:tcPr>
            <w:tcW w:type="dxa" w:w="4989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提示先进行文字识别或使用结构化模板。</w:t>
            </w:r>
          </w:p>
        </w:tc>
        <w:tc>
          <w:tcPr>
            <w:tcW w:type="dxa" w:w="1587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本次导入失败。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  <w:jc w:val="center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E4</w:t>
            </w:r>
          </w:p>
        </w:tc>
        <w:tc>
          <w:tcPr>
            <w:tcW w:type="dxa" w:w="2381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步骤5或6  取消或保存失败</w:t>
            </w:r>
          </w:p>
        </w:tc>
        <w:tc>
          <w:tcPr>
            <w:tcW w:type="dxa" w:w="4989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取消候选；保存失败不得显示已启用。</w:t>
            </w:r>
          </w:p>
        </w:tc>
        <w:tc>
          <w:tcPr>
            <w:tcW w:type="dxa" w:w="1587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不产生新有效版本。</w:t>
            </w:r>
          </w:p>
        </w:tc>
      </w:tr>
    </w:tbl>
    <w:p>
      <w:pPr>
        <w:keepNext w:val="0"/>
        <w:spacing w:after="80" w:before="0" w:line="240" w:lineRule="auto"/>
      </w:pPr>
      <w:r>
        <w:rPr>
          <w:rFonts w:ascii="Times New Roman" w:hAnsi="Times New Roman" w:cs="Times New Roman" w:eastAsia="Microsoft YaHei"/>
          <w:sz w:val="4"/>
        </w:rPr>
      </w:r>
    </w:p>
    <w:p>
      <w:pPr>
        <w:pStyle w:val="Heading2"/>
      </w:pPr>
      <w:r>
        <w:rPr>
          <w:rFonts w:ascii="Times New Roman" w:hAnsi="Times New Roman" w:cs="Times New Roman" w:eastAsia="Microsoft YaHei"/>
        </w:rPr>
        <w:t>规则与数据要求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701"/>
        <w:gridCol w:w="7937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284D41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937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284D41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/>
                <w:color w:val="FFFFFF"/>
                <w:sz w:val="18"/>
              </w:rPr>
              <w:t>规定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导入边界</w:t>
            </w:r>
          </w:p>
        </w:tc>
        <w:tc>
          <w:tcPr>
            <w:tcW w:type="dxa" w:w="7937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支持 .json、文字型 .pdf、.docx、UTF-8 .txt；原型文件大小上限8 MB，DOCX正文上限4 MB。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标签校验</w:t>
            </w:r>
          </w:p>
        </w:tc>
        <w:tc>
          <w:tcPr>
            <w:tcW w:type="dxa" w:w="7937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SF、GF、SM、GM均有名称和定义；S、A、J、M、I均有关系定义；代码唯一；子类型须属于已支持集合。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版本规则</w:t>
            </w:r>
          </w:p>
        </w:tc>
        <w:tc>
          <w:tcPr>
            <w:tcW w:type="dxa" w:w="7937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以指南正文的版本声明为准；任务开始后规则锁定，指南更新创建新任务，不覆盖旧任务记录。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记录字段</w:t>
            </w:r>
          </w:p>
        </w:tc>
        <w:tc>
          <w:tcPr>
            <w:tcW w:type="dxa" w:w="7937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指南ID、名称、版本、文件名、导入时间、标签及关系定义、原文或来源引用、确认人。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教学价值</w:t>
            </w:r>
          </w:p>
        </w:tc>
        <w:tc>
          <w:tcPr>
            <w:tcW w:type="dxa" w:w="7937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学生可就地查阅统一规则与示例，避免在不同版本之间反复查找和混用概念。</w:t>
            </w:r>
          </w:p>
        </w:tc>
      </w:tr>
    </w:tbl>
    <w:p>
      <w:pPr>
        <w:keepNext w:val="0"/>
        <w:spacing w:after="80" w:before="0" w:line="240" w:lineRule="auto"/>
      </w:pPr>
      <w:r>
        <w:rPr>
          <w:rFonts w:ascii="Times New Roman" w:hAnsi="Times New Roman" w:cs="Times New Roman" w:eastAsia="Microsoft YaHei"/>
          <w:sz w:val="4"/>
        </w:rPr>
      </w:r>
    </w:p>
    <w:p>
      <w:pPr>
        <w:pStyle w:val="Heading2"/>
      </w:pPr>
      <w:r>
        <w:rPr>
          <w:rFonts w:ascii="Times New Roman" w:hAnsi="Times New Roman" w:cs="Times New Roman" w:eastAsia="Microsoft YaHei"/>
        </w:rPr>
        <w:t>验收示例</w:t>
      </w:r>
    </w:p>
    <w:p>
      <w:r>
        <w:rPr>
          <w:rFonts w:ascii="Times New Roman" w:hAnsi="Times New Roman" w:cs="Times New Roman" w:eastAsia="Microsoft YaHei"/>
        </w:rPr>
        <w:t>导入模板JSON，出现完整规则预览；教师确认后新练习显示同一版本。将两项标签改为相同代码，系统明确提示代码重复并禁止启用。导入课程PDF，正文可查阅且必须经过规则候选确认。</w:t>
      </w:r>
    </w:p>
    <w:p>
      <w:pPr>
        <w:pStyle w:val="Heading1"/>
        <w:pageBreakBefore/>
      </w:pPr>
      <w:r>
        <w:rPr>
          <w:rFonts w:ascii="Times New Roman" w:hAnsi="Times New Roman" w:cs="Times New Roman" w:eastAsia="Microsoft YaHei"/>
        </w:rPr>
        <w:t>4 命题标注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701"/>
        <w:gridCol w:w="7937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284D41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/>
                <w:color w:val="FFFFFF"/>
                <w:sz w:val="18"/>
              </w:rPr>
              <w:t>用例字段</w:t>
            </w:r>
          </w:p>
        </w:tc>
        <w:tc>
          <w:tcPr>
            <w:tcW w:type="dxa" w:w="7937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284D41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/>
                <w:color w:val="FFFFFF"/>
                <w:sz w:val="18"/>
              </w:rPr>
              <w:t>描述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编号与级别</w:t>
            </w:r>
          </w:p>
        </w:tc>
        <w:tc>
          <w:tcPr>
            <w:tcW w:type="dxa" w:w="7937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UC-02  命题标注；用户目标级；优先级高。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目标与参与者</w:t>
            </w:r>
          </w:p>
        </w:tc>
        <w:tc>
          <w:tcPr>
            <w:tcW w:type="dxa" w:w="7937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学生或标注者识别文本中完整判断的边界与性质，形成与原文一致的命题记录。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触发事件</w:t>
            </w:r>
          </w:p>
        </w:tc>
        <w:tc>
          <w:tcPr>
            <w:tcW w:type="dxa" w:w="7937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在原文中拖选文字，或选择命题列表中的已有命题。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前置条件</w:t>
            </w:r>
          </w:p>
        </w:tc>
        <w:tc>
          <w:tcPr>
            <w:tcW w:type="dxa" w:w="7937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已获得原文与有效指南；具有本任务标注权限；任务尚未提交或定稿。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成功后置条件</w:t>
            </w:r>
          </w:p>
        </w:tc>
        <w:tc>
          <w:tcPr>
            <w:tcW w:type="dxa" w:w="7937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保存原文范围、标签与稳定标识；命题按原文顺序编号；高亮、列表和图示同步更新。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最小保证</w:t>
            </w:r>
          </w:p>
        </w:tc>
        <w:tc>
          <w:tcPr>
            <w:tcW w:type="dxa" w:w="7937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无效选区或保存失败不产生命题；已提交版本不被覆盖；撤销可回到上一有效状态。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输入与输出</w:t>
            </w:r>
          </w:p>
        </w:tc>
        <w:tc>
          <w:tcPr>
            <w:tcW w:type="dxa" w:w="7937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输入选区及一级、子类型标签；输出命题记录、原文高亮及对应矩形节点。</w:t>
            </w:r>
          </w:p>
        </w:tc>
      </w:tr>
    </w:tbl>
    <w:p>
      <w:pPr>
        <w:keepNext w:val="0"/>
        <w:spacing w:after="80" w:before="0" w:line="240" w:lineRule="auto"/>
      </w:pPr>
      <w:r>
        <w:rPr>
          <w:rFonts w:ascii="Times New Roman" w:hAnsi="Times New Roman" w:cs="Times New Roman" w:eastAsia="Microsoft YaHei"/>
          <w:sz w:val="4"/>
        </w:rPr>
      </w:r>
    </w:p>
    <w:p>
      <w:pPr>
        <w:pStyle w:val="Heading2"/>
      </w:pPr>
      <w:r>
        <w:rPr>
          <w:rFonts w:ascii="Times New Roman" w:hAnsi="Times New Roman" w:cs="Times New Roman" w:eastAsia="Microsoft YaHei"/>
        </w:rPr>
        <w:t>主成功场景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680"/>
        <w:gridCol w:w="3458"/>
        <w:gridCol w:w="5499"/>
      </w:tblGrid>
      <w:tr>
        <w:trPr>
          <w:cantSplit/>
          <w:tblHeader/>
        </w:trPr>
        <w:tc>
          <w:tcPr>
            <w:tcW w:type="dxa" w:w="680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284D41"/>
          </w:tcPr>
          <w:p>
            <w:pPr>
              <w:spacing w:line="278" w:lineRule="auto" w:after="20" w:before="20"/>
              <w:jc w:val="center"/>
            </w:pPr>
            <w:r>
              <w:rPr>
                <w:rFonts w:ascii="Times New Roman" w:hAnsi="Times New Roman" w:eastAsia="Microsoft YaHei" w:cs="Times New Roman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458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284D41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/>
                <w:color w:val="FFFFFF"/>
                <w:sz w:val="18"/>
              </w:rPr>
              <w:t>参与者动作</w:t>
            </w:r>
          </w:p>
        </w:tc>
        <w:tc>
          <w:tcPr>
            <w:tcW w:type="dxa" w:w="5499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284D41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/>
                <w:color w:val="FFFFFF"/>
                <w:sz w:val="18"/>
              </w:rPr>
              <w:t>系统响应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  <w:jc w:val="center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1</w:t>
            </w:r>
          </w:p>
        </w:tc>
        <w:tc>
          <w:tcPr>
            <w:tcW w:type="dxa" w:w="3458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阅读裁判理由并选择一个完整判断。</w:t>
            </w:r>
          </w:p>
        </w:tc>
        <w:tc>
          <w:tcPr>
            <w:tcW w:type="dxa" w:w="5499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计算原文起止索引，展示选中文字和字符数。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  <w:jc w:val="center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2</w:t>
            </w:r>
          </w:p>
        </w:tc>
        <w:tc>
          <w:tcPr>
            <w:tcW w:type="dxa" w:w="3458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查看类型定义及示例。</w:t>
            </w:r>
          </w:p>
        </w:tc>
        <w:tc>
          <w:tcPr>
            <w:tcW w:type="dxa" w:w="5499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就地显示SF、GF、SM、GM区分规则和判断提示。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  <w:jc w:val="center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3</w:t>
            </w:r>
          </w:p>
        </w:tc>
        <w:tc>
          <w:tcPr>
            <w:tcW w:type="dxa" w:w="3458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选择一级标签。</w:t>
            </w:r>
          </w:p>
        </w:tc>
        <w:tc>
          <w:tcPr>
            <w:tcW w:type="dxa" w:w="5499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显示该标签定义；需要细分时提供对应子类型。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  <w:jc w:val="center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4</w:t>
            </w:r>
          </w:p>
        </w:tc>
        <w:tc>
          <w:tcPr>
            <w:tcW w:type="dxa" w:w="3458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选择GM子类型或SM-C等适用子类型。</w:t>
            </w:r>
          </w:p>
        </w:tc>
        <w:tc>
          <w:tcPr>
            <w:tcW w:type="dxa" w:w="5499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根据指南限制可选值，避免重复标签与不适用子类型。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  <w:jc w:val="center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5</w:t>
            </w:r>
          </w:p>
        </w:tc>
        <w:tc>
          <w:tcPr>
            <w:tcW w:type="dxa" w:w="3458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保存命题。</w:t>
            </w:r>
          </w:p>
        </w:tc>
        <w:tc>
          <w:tcPr>
            <w:tcW w:type="dxa" w:w="5499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校验选区不为空、范围有效且无重复或重叠，检查既有关系的约束。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  <w:jc w:val="center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6</w:t>
            </w:r>
          </w:p>
        </w:tc>
        <w:tc>
          <w:tcPr>
            <w:tcW w:type="dxa" w:w="3458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查看保存结果。</w:t>
            </w:r>
          </w:p>
        </w:tc>
        <w:tc>
          <w:tcPr>
            <w:tcW w:type="dxa" w:w="5499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生成稳定ID，按原文位置显示p1、p2等编号，同步高亮、完整文本列表和节点。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  <w:jc w:val="center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7</w:t>
            </w:r>
          </w:p>
        </w:tc>
        <w:tc>
          <w:tcPr>
            <w:tcW w:type="dxa" w:w="3458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继续标注或提交练习。</w:t>
            </w:r>
          </w:p>
        </w:tc>
        <w:tc>
          <w:tcPr>
            <w:tcW w:type="dxa" w:w="5499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保存草稿；提交后锁定本次结果，转入学习反馈。</w:t>
            </w:r>
          </w:p>
        </w:tc>
      </w:tr>
    </w:tbl>
    <w:p>
      <w:pPr>
        <w:keepNext w:val="0"/>
        <w:spacing w:after="80" w:before="0" w:line="240" w:lineRule="auto"/>
      </w:pPr>
      <w:r>
        <w:rPr>
          <w:rFonts w:ascii="Times New Roman" w:hAnsi="Times New Roman" w:cs="Times New Roman" w:eastAsia="Microsoft YaHei"/>
          <w:sz w:val="4"/>
        </w:rPr>
      </w:r>
    </w:p>
    <w:p>
      <w:pPr>
        <w:pStyle w:val="Heading1"/>
        <w:pageBreakBefore/>
      </w:pPr>
      <w:r>
        <w:rPr>
          <w:rFonts w:ascii="Times New Roman" w:hAnsi="Times New Roman" w:cs="Times New Roman" w:eastAsia="Microsoft YaHei"/>
        </w:rPr>
        <w:t>4 命题标注  续</w:t>
      </w:r>
    </w:p>
    <w:p>
      <w:pPr>
        <w:pStyle w:val="Heading2"/>
      </w:pPr>
      <w:r>
        <w:rPr>
          <w:rFonts w:ascii="Times New Roman" w:hAnsi="Times New Roman" w:cs="Times New Roman" w:eastAsia="Microsoft YaHei"/>
        </w:rPr>
        <w:t>替代与异常流程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680"/>
        <w:gridCol w:w="2381"/>
        <w:gridCol w:w="4989"/>
        <w:gridCol w:w="1587"/>
      </w:tblGrid>
      <w:tr>
        <w:trPr>
          <w:cantSplit/>
          <w:tblHeader/>
        </w:trPr>
        <w:tc>
          <w:tcPr>
            <w:tcW w:type="dxa" w:w="680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284D41"/>
          </w:tcPr>
          <w:p>
            <w:pPr>
              <w:spacing w:line="278" w:lineRule="auto" w:after="20" w:before="20"/>
              <w:jc w:val="center"/>
            </w:pPr>
            <w:r>
              <w:rPr>
                <w:rFonts w:ascii="Times New Roman" w:hAnsi="Times New Roman" w:eastAsia="Microsoft YaHei" w:cs="Times New Roman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381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284D41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/>
                <w:color w:val="FFFFFF"/>
                <w:sz w:val="18"/>
              </w:rPr>
              <w:t>对应步骤与条件</w:t>
            </w:r>
          </w:p>
        </w:tc>
        <w:tc>
          <w:tcPr>
            <w:tcW w:type="dxa" w:w="4989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284D41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/>
                <w:color w:val="FFFFFF"/>
                <w:sz w:val="18"/>
              </w:rPr>
              <w:t>系统处理</w:t>
            </w:r>
          </w:p>
        </w:tc>
        <w:tc>
          <w:tcPr>
            <w:tcW w:type="dxa" w:w="1587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284D41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/>
                <w:color w:val="FFFFFF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  <w:jc w:val="center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A1</w:t>
            </w:r>
          </w:p>
        </w:tc>
        <w:tc>
          <w:tcPr>
            <w:tcW w:type="dxa" w:w="2381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步骤1  修改已有命题</w:t>
            </w:r>
          </w:p>
        </w:tc>
        <w:tc>
          <w:tcPr>
            <w:tcW w:type="dxa" w:w="4989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点击列表或原文高亮查看全文；修改类型并校验依赖关系。</w:t>
            </w:r>
          </w:p>
        </w:tc>
        <w:tc>
          <w:tcPr>
            <w:tcW w:type="dxa" w:w="1587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保存后同步更新。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  <w:jc w:val="center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A2</w:t>
            </w:r>
          </w:p>
        </w:tc>
        <w:tc>
          <w:tcPr>
            <w:tcW w:type="dxa" w:w="2381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步骤6  删除或调整边界</w:t>
            </w:r>
          </w:p>
        </w:tc>
        <w:tc>
          <w:tcPr>
            <w:tcW w:type="dxa" w:w="4989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删除命题并提示关联关系处理；边界调整通过删除后重新选择实现。</w:t>
            </w:r>
          </w:p>
        </w:tc>
        <w:tc>
          <w:tcPr>
            <w:tcW w:type="dxa" w:w="1587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依赖关系一并清理。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  <w:jc w:val="center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A3</w:t>
            </w:r>
          </w:p>
        </w:tc>
        <w:tc>
          <w:tcPr>
            <w:tcW w:type="dxa" w:w="2381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步骤6  误操作</w:t>
            </w:r>
          </w:p>
        </w:tc>
        <w:tc>
          <w:tcPr>
            <w:tcW w:type="dxa" w:w="4989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草稿阶段支持撤销、重做；依赖关系与稳定ID随状态一起恢复。</w:t>
            </w:r>
          </w:p>
        </w:tc>
        <w:tc>
          <w:tcPr>
            <w:tcW w:type="dxa" w:w="1587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恢复上一有效版本。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  <w:jc w:val="center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E1</w:t>
            </w:r>
          </w:p>
        </w:tc>
        <w:tc>
          <w:tcPr>
            <w:tcW w:type="dxa" w:w="2381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步骤1或5  空选区、越界、重复或重叠</w:t>
            </w:r>
          </w:p>
        </w:tc>
        <w:tc>
          <w:tcPr>
            <w:tcW w:type="dxa" w:w="4989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解释问题并禁止保存；保留当前有效标注。</w:t>
            </w:r>
          </w:p>
        </w:tc>
        <w:tc>
          <w:tcPr>
            <w:tcW w:type="dxa" w:w="1587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调整选区后重试。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  <w:jc w:val="center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E2</w:t>
            </w:r>
          </w:p>
        </w:tc>
        <w:tc>
          <w:tcPr>
            <w:tcW w:type="dxa" w:w="2381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步骤5  类型修改导致匹配失效</w:t>
            </w:r>
          </w:p>
        </w:tc>
        <w:tc>
          <w:tcPr>
            <w:tcW w:type="dxa" w:w="4989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指出受影响关系；先修改或删除关系，再调整命题标签。</w:t>
            </w:r>
          </w:p>
        </w:tc>
        <w:tc>
          <w:tcPr>
            <w:tcW w:type="dxa" w:w="1587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不保存无效状态。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  <w:jc w:val="center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E3</w:t>
            </w:r>
          </w:p>
        </w:tc>
        <w:tc>
          <w:tcPr>
            <w:tcW w:type="dxa" w:w="2381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任一步骤  已提交或无编辑权限</w:t>
            </w:r>
          </w:p>
        </w:tc>
        <w:tc>
          <w:tcPr>
            <w:tcW w:type="dxa" w:w="4989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标注控制只读；可回看原始结果或开启新练习。</w:t>
            </w:r>
          </w:p>
        </w:tc>
        <w:tc>
          <w:tcPr>
            <w:tcW w:type="dxa" w:w="1587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不覆盖提交版本。</w:t>
            </w:r>
          </w:p>
        </w:tc>
      </w:tr>
    </w:tbl>
    <w:p>
      <w:pPr>
        <w:keepNext w:val="0"/>
        <w:spacing w:after="80" w:before="0" w:line="240" w:lineRule="auto"/>
      </w:pPr>
      <w:r>
        <w:rPr>
          <w:rFonts w:ascii="Times New Roman" w:hAnsi="Times New Roman" w:cs="Times New Roman" w:eastAsia="Microsoft YaHei"/>
          <w:sz w:val="4"/>
        </w:rPr>
      </w:r>
    </w:p>
    <w:p>
      <w:pPr>
        <w:pStyle w:val="Heading2"/>
      </w:pPr>
      <w:r>
        <w:rPr>
          <w:rFonts w:ascii="Times New Roman" w:hAnsi="Times New Roman" w:cs="Times New Roman" w:eastAsia="Microsoft YaHei"/>
        </w:rPr>
        <w:t>规则与数据要求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701"/>
        <w:gridCol w:w="7937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284D41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937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284D41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/>
                <w:color w:val="FFFFFF"/>
                <w:sz w:val="18"/>
              </w:rPr>
              <w:t>规定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边界规则</w:t>
            </w:r>
          </w:p>
        </w:tc>
        <w:tc>
          <w:tcPr>
            <w:tcW w:type="dxa" w:w="7937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以显性文本中的完整判断为单位；去除首尾空白；同一练习不接受重叠命题。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类型规则</w:t>
            </w:r>
          </w:p>
        </w:tc>
        <w:tc>
          <w:tcPr>
            <w:tcW w:type="dxa" w:w="7937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事实与规范、一般与个别分别判断。劳务合同关系的法律定性使用SM；履行事实使用SF。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编号与标识</w:t>
            </w:r>
          </w:p>
        </w:tc>
        <w:tc>
          <w:tcPr>
            <w:tcW w:type="dxa" w:w="7937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展示序号按起始位置排序并动态重排；关系引用稳定ID，不能引用易变化的展示序号。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原文定位</w:t>
            </w:r>
          </w:p>
        </w:tc>
        <w:tc>
          <w:tcPr>
            <w:tcW w:type="dxa" w:w="7937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记录[start,end)字符范围；原型使用UTF-16索引。原文变更需重新校正范围或创建新任务。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记录字段</w:t>
            </w:r>
          </w:p>
        </w:tc>
        <w:tc>
          <w:tcPr>
            <w:tcW w:type="dxa" w:w="7937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任务ID、原文标识、命题ID、起止索引、原文、类型及子类型、指南版本、标注者与时间。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教学价值</w:t>
            </w:r>
          </w:p>
        </w:tc>
        <w:tc>
          <w:tcPr>
            <w:tcW w:type="dxa" w:w="7937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在原文与图示间双向定位，帮助学生把文字判断转化为可见论证要素；提交后反馈边界与标签差异。</w:t>
            </w:r>
          </w:p>
        </w:tc>
      </w:tr>
    </w:tbl>
    <w:p>
      <w:pPr>
        <w:keepNext w:val="0"/>
        <w:spacing w:after="80" w:before="0" w:line="240" w:lineRule="auto"/>
      </w:pPr>
      <w:r>
        <w:rPr>
          <w:rFonts w:ascii="Times New Roman" w:hAnsi="Times New Roman" w:cs="Times New Roman" w:eastAsia="Microsoft YaHei"/>
          <w:sz w:val="4"/>
        </w:rPr>
      </w:r>
    </w:p>
    <w:p>
      <w:pPr>
        <w:pStyle w:val="Heading2"/>
      </w:pPr>
      <w:r>
        <w:rPr>
          <w:rFonts w:ascii="Times New Roman" w:hAnsi="Times New Roman" w:cs="Times New Roman" w:eastAsia="Microsoft YaHei"/>
        </w:rPr>
        <w:t>验收示例</w:t>
      </w:r>
    </w:p>
    <w:p>
      <w:r>
        <w:rPr>
          <w:rFonts w:ascii="Times New Roman" w:hAnsi="Times New Roman" w:cs="Times New Roman" w:eastAsia="Microsoft YaHei"/>
        </w:rPr>
        <w:t>选择“原告已依约提供劳务，”并标为SF，列表显示完整文字且原文高亮。先后选择同一范围时不生成重复命题。删除依赖于关系的命题后不留下悬空引用；撤销恢复命题与相应关系。</w:t>
      </w:r>
    </w:p>
    <w:p>
      <w:pPr>
        <w:pStyle w:val="Heading1"/>
        <w:pageBreakBefore/>
      </w:pPr>
      <w:r>
        <w:rPr>
          <w:rFonts w:ascii="Times New Roman" w:hAnsi="Times New Roman" w:cs="Times New Roman" w:eastAsia="Microsoft YaHei"/>
        </w:rPr>
        <w:t>5 裁定关系的标注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701"/>
        <w:gridCol w:w="7937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284D41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/>
                <w:color w:val="FFFFFF"/>
                <w:sz w:val="18"/>
              </w:rPr>
              <w:t>用例字段</w:t>
            </w:r>
          </w:p>
        </w:tc>
        <w:tc>
          <w:tcPr>
            <w:tcW w:type="dxa" w:w="7937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284D41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/>
                <w:color w:val="FFFFFF"/>
                <w:sz w:val="18"/>
              </w:rPr>
              <w:t>描述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编号与级别</w:t>
            </w:r>
          </w:p>
        </w:tc>
        <w:tc>
          <w:tcPr>
            <w:tcW w:type="dxa" w:w="7937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UC-03  裁定关系的标注；用户目标级；优先级高。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目标与参与者</w:t>
            </w:r>
          </w:p>
        </w:tc>
        <w:tc>
          <w:tcPr>
            <w:tcW w:type="dxa" w:w="7937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裁定者对同一文书的独立关系版本进行人工比对，形成有依据的最终关系版本。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触发事件</w:t>
            </w:r>
          </w:p>
        </w:tc>
        <w:tc>
          <w:tcPr>
            <w:tcW w:type="dxa" w:w="7937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裁定者打开已提交的关系标注，选择一条待复核关系。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前置条件</w:t>
            </w:r>
          </w:p>
        </w:tc>
        <w:tc>
          <w:tcPr>
            <w:tcW w:type="dxa" w:w="7937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具有裁定权限；原文与指南版本已确定；至少存在一个已提交版本；相关命题可定位。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成功后置条件</w:t>
            </w:r>
          </w:p>
        </w:tc>
        <w:tc>
          <w:tcPr>
            <w:tcW w:type="dxa" w:w="7937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保留原始版本；保存最终关系、理由、裁定者与时间；结果锁定并可导出，学生可查阅解释。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最小保证</w:t>
            </w:r>
          </w:p>
        </w:tc>
        <w:tc>
          <w:tcPr>
            <w:tcW w:type="dxa" w:w="7937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取消或校验失败时不定稿；任一原始标注版本不得被裁定操作覆盖。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输入与输出</w:t>
            </w:r>
          </w:p>
        </w:tc>
        <w:tc>
          <w:tcPr>
            <w:tcW w:type="dxa" w:w="7937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输入原文、命题与独立关系版本；输出最终结构、裁定理由及可追溯记录。</w:t>
            </w:r>
          </w:p>
        </w:tc>
      </w:tr>
    </w:tbl>
    <w:p>
      <w:pPr>
        <w:keepNext w:val="0"/>
        <w:spacing w:after="80" w:before="0" w:line="240" w:lineRule="auto"/>
      </w:pPr>
      <w:r>
        <w:rPr>
          <w:rFonts w:ascii="Times New Roman" w:hAnsi="Times New Roman" w:cs="Times New Roman" w:eastAsia="Microsoft YaHei"/>
          <w:sz w:val="4"/>
        </w:rPr>
      </w:r>
    </w:p>
    <w:p>
      <w:pPr>
        <w:pStyle w:val="Heading2"/>
      </w:pPr>
      <w:r>
        <w:rPr>
          <w:rFonts w:ascii="Times New Roman" w:hAnsi="Times New Roman" w:cs="Times New Roman" w:eastAsia="Microsoft YaHei"/>
        </w:rPr>
        <w:t>主成功场景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680"/>
        <w:gridCol w:w="3458"/>
        <w:gridCol w:w="5499"/>
      </w:tblGrid>
      <w:tr>
        <w:trPr>
          <w:cantSplit/>
          <w:tblHeader/>
        </w:trPr>
        <w:tc>
          <w:tcPr>
            <w:tcW w:type="dxa" w:w="680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284D41"/>
          </w:tcPr>
          <w:p>
            <w:pPr>
              <w:spacing w:line="278" w:lineRule="auto" w:after="20" w:before="20"/>
              <w:jc w:val="center"/>
            </w:pPr>
            <w:r>
              <w:rPr>
                <w:rFonts w:ascii="Times New Roman" w:hAnsi="Times New Roman" w:eastAsia="Microsoft YaHei" w:cs="Times New Roman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458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284D41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/>
                <w:color w:val="FFFFFF"/>
                <w:sz w:val="18"/>
              </w:rPr>
              <w:t>参与者动作</w:t>
            </w:r>
          </w:p>
        </w:tc>
        <w:tc>
          <w:tcPr>
            <w:tcW w:type="dxa" w:w="5499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284D41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/>
                <w:color w:val="FFFFFF"/>
                <w:sz w:val="18"/>
              </w:rPr>
              <w:t>系统响应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  <w:jc w:val="center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1</w:t>
            </w:r>
          </w:p>
        </w:tc>
        <w:tc>
          <w:tcPr>
            <w:tcW w:type="dxa" w:w="3458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打开关系裁定工作区并选择条目。</w:t>
            </w:r>
          </w:p>
        </w:tc>
        <w:tc>
          <w:tcPr>
            <w:tcW w:type="dxa" w:w="5499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展示原文、命题编号、指南版本和独立标注版本。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  <w:jc w:val="center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2</w:t>
            </w:r>
          </w:p>
        </w:tc>
        <w:tc>
          <w:tcPr>
            <w:tcW w:type="dxa" w:w="3458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对照原文与规则人工比较版本。</w:t>
            </w:r>
          </w:p>
        </w:tc>
        <w:tc>
          <w:tcPr>
            <w:tcW w:type="dxa" w:w="5499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并排显示完整表达式，便于检查类型、成员、方向和嵌套。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  <w:jc w:val="center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3</w:t>
            </w:r>
          </w:p>
        </w:tc>
        <w:tc>
          <w:tcPr>
            <w:tcW w:type="dxa" w:w="3458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采用某一版本，或重新标注最终关系。</w:t>
            </w:r>
          </w:p>
        </w:tc>
        <w:tc>
          <w:tcPr>
            <w:tcW w:type="dxa" w:w="5499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生成最终候选；重标时可输入合法的嵌套关系表达式。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  <w:jc w:val="center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4</w:t>
            </w:r>
          </w:p>
        </w:tc>
        <w:tc>
          <w:tcPr>
            <w:tcW w:type="dxa" w:w="3458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填写裁定理由。</w:t>
            </w:r>
          </w:p>
        </w:tc>
        <w:tc>
          <w:tcPr>
            <w:tcW w:type="dxa" w:w="5499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要求解释规范依据及差异原因，作为学生可理解的教学反馈。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  <w:jc w:val="center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5</w:t>
            </w:r>
          </w:p>
        </w:tc>
        <w:tc>
          <w:tcPr>
            <w:tcW w:type="dxa" w:w="3458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确认裁定并定稿。</w:t>
            </w:r>
          </w:p>
        </w:tc>
        <w:tc>
          <w:tcPr>
            <w:tcW w:type="dxa" w:w="5499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校验命题存在、参数数量、匹配类型、嵌套结构及理由非空。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  <w:jc w:val="center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6</w:t>
            </w:r>
          </w:p>
        </w:tc>
        <w:tc>
          <w:tcPr>
            <w:tcW w:type="dxa" w:w="3458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查看最终结果。</w:t>
            </w:r>
          </w:p>
        </w:tc>
        <w:tc>
          <w:tcPr>
            <w:tcW w:type="dxa" w:w="5499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保存候选、来源版本、裁定理由及时间，保持原始版本不变并锁定最终结果。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  <w:jc w:val="center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7</w:t>
            </w:r>
          </w:p>
        </w:tc>
        <w:tc>
          <w:tcPr>
            <w:tcW w:type="dxa" w:w="3458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导出或查看反馈。</w:t>
            </w:r>
          </w:p>
        </w:tc>
        <w:tc>
          <w:tcPr>
            <w:tcW w:type="dxa" w:w="5499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全部条目定稿后导出最终结果；对照学生结果时显示差异与理由。</w:t>
            </w:r>
          </w:p>
        </w:tc>
      </w:tr>
    </w:tbl>
    <w:p>
      <w:pPr>
        <w:keepNext w:val="0"/>
        <w:spacing w:after="80" w:before="0" w:line="240" w:lineRule="auto"/>
      </w:pPr>
      <w:r>
        <w:rPr>
          <w:rFonts w:ascii="Times New Roman" w:hAnsi="Times New Roman" w:cs="Times New Roman" w:eastAsia="Microsoft YaHei"/>
          <w:sz w:val="4"/>
        </w:rPr>
      </w:r>
    </w:p>
    <w:p>
      <w:pPr>
        <w:pStyle w:val="Heading1"/>
        <w:pageBreakBefore/>
      </w:pPr>
      <w:r>
        <w:rPr>
          <w:rFonts w:ascii="Times New Roman" w:hAnsi="Times New Roman" w:cs="Times New Roman" w:eastAsia="Microsoft YaHei"/>
        </w:rPr>
        <w:t>5 裁定关系的标注  续</w:t>
      </w:r>
    </w:p>
    <w:p>
      <w:pPr>
        <w:pStyle w:val="Heading2"/>
      </w:pPr>
      <w:r>
        <w:rPr>
          <w:rFonts w:ascii="Times New Roman" w:hAnsi="Times New Roman" w:cs="Times New Roman" w:eastAsia="Microsoft YaHei"/>
        </w:rPr>
        <w:t>替代与异常流程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680"/>
        <w:gridCol w:w="2381"/>
        <w:gridCol w:w="4989"/>
        <w:gridCol w:w="1587"/>
      </w:tblGrid>
      <w:tr>
        <w:trPr>
          <w:cantSplit/>
          <w:tblHeader/>
        </w:trPr>
        <w:tc>
          <w:tcPr>
            <w:tcW w:type="dxa" w:w="680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284D41"/>
          </w:tcPr>
          <w:p>
            <w:pPr>
              <w:spacing w:line="278" w:lineRule="auto" w:after="20" w:before="20"/>
              <w:jc w:val="center"/>
            </w:pPr>
            <w:r>
              <w:rPr>
                <w:rFonts w:ascii="Times New Roman" w:hAnsi="Times New Roman" w:eastAsia="Microsoft YaHei" w:cs="Times New Roman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381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284D41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/>
                <w:color w:val="FFFFFF"/>
                <w:sz w:val="18"/>
              </w:rPr>
              <w:t>对应步骤与条件</w:t>
            </w:r>
          </w:p>
        </w:tc>
        <w:tc>
          <w:tcPr>
            <w:tcW w:type="dxa" w:w="4989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284D41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/>
                <w:color w:val="FFFFFF"/>
                <w:sz w:val="18"/>
              </w:rPr>
              <w:t>系统处理</w:t>
            </w:r>
          </w:p>
        </w:tc>
        <w:tc>
          <w:tcPr>
            <w:tcW w:type="dxa" w:w="1587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284D41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/>
                <w:color w:val="FFFFFF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  <w:jc w:val="center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A1</w:t>
            </w:r>
          </w:p>
        </w:tc>
        <w:tc>
          <w:tcPr>
            <w:tcW w:type="dxa" w:w="2381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步骤1  只有一个版本</w:t>
            </w:r>
          </w:p>
        </w:tc>
        <w:tc>
          <w:tcPr>
            <w:tcW w:type="dxa" w:w="4989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仍展示该版本供复核；不因没有分歧而跳过最终确认。</w:t>
            </w:r>
          </w:p>
        </w:tc>
        <w:tc>
          <w:tcPr>
            <w:tcW w:type="dxa" w:w="1587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进入步骤2。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  <w:jc w:val="center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A2</w:t>
            </w:r>
          </w:p>
        </w:tc>
        <w:tc>
          <w:tcPr>
            <w:tcW w:type="dxa" w:w="2381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步骤3  两个版本均不适合</w:t>
            </w:r>
          </w:p>
        </w:tc>
        <w:tc>
          <w:tcPr>
            <w:tcW w:type="dxa" w:w="4989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选择重新标注，创建有效结构并说明原因。</w:t>
            </w:r>
          </w:p>
        </w:tc>
        <w:tc>
          <w:tcPr>
            <w:tcW w:type="dxa" w:w="1587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重标版本作为候选。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  <w:jc w:val="center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A3</w:t>
            </w:r>
          </w:p>
        </w:tc>
        <w:tc>
          <w:tcPr>
            <w:tcW w:type="dxa" w:w="2381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步骤2  难以判断</w:t>
            </w:r>
          </w:p>
        </w:tc>
        <w:tc>
          <w:tcPr>
            <w:tcW w:type="dxa" w:w="4989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正式系统保存待讨论状态，专家线下讨论后由裁定者记录理由并确认。</w:t>
            </w:r>
          </w:p>
        </w:tc>
        <w:tc>
          <w:tcPr>
            <w:tcW w:type="dxa" w:w="1587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暂不定稿。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  <w:jc w:val="center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E1</w:t>
            </w:r>
          </w:p>
        </w:tc>
        <w:tc>
          <w:tcPr>
            <w:tcW w:type="dxa" w:w="2381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步骤5  起终点缺失、方向或嵌套不合法</w:t>
            </w:r>
          </w:p>
        </w:tc>
        <w:tc>
          <w:tcPr>
            <w:tcW w:type="dxa" w:w="4989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指出具体错误；保持候选与原始版本。</w:t>
            </w:r>
          </w:p>
        </w:tc>
        <w:tc>
          <w:tcPr>
            <w:tcW w:type="dxa" w:w="1587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修正后重新确认。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  <w:jc w:val="center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E2</w:t>
            </w:r>
          </w:p>
        </w:tc>
        <w:tc>
          <w:tcPr>
            <w:tcW w:type="dxa" w:w="2381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步骤5  理由为空或保存失败</w:t>
            </w:r>
          </w:p>
        </w:tc>
        <w:tc>
          <w:tcPr>
            <w:tcW w:type="dxa" w:w="4989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禁止定稿，不更新已生效结果，提示补充或重试。</w:t>
            </w:r>
          </w:p>
        </w:tc>
        <w:tc>
          <w:tcPr>
            <w:tcW w:type="dxa" w:w="1587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条目保持待裁定。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  <w:jc w:val="center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E3</w:t>
            </w:r>
          </w:p>
        </w:tc>
        <w:tc>
          <w:tcPr>
            <w:tcW w:type="dxa" w:w="2381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步骤6后  请求修改最终结果</w:t>
            </w:r>
          </w:p>
        </w:tc>
        <w:tc>
          <w:tcPr>
            <w:tcW w:type="dxa" w:w="4989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只读显示；纠错需新任务或正式系统的受控修订流程。</w:t>
            </w:r>
          </w:p>
        </w:tc>
        <w:tc>
          <w:tcPr>
            <w:tcW w:type="dxa" w:w="1587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保留原定稿记录。</w:t>
            </w:r>
          </w:p>
        </w:tc>
      </w:tr>
    </w:tbl>
    <w:p>
      <w:pPr>
        <w:keepNext w:val="0"/>
        <w:spacing w:after="80" w:before="0" w:line="240" w:lineRule="auto"/>
      </w:pPr>
      <w:r>
        <w:rPr>
          <w:rFonts w:ascii="Times New Roman" w:hAnsi="Times New Roman" w:cs="Times New Roman" w:eastAsia="Microsoft YaHei"/>
          <w:sz w:val="4"/>
        </w:rPr>
      </w:r>
    </w:p>
    <w:p>
      <w:pPr>
        <w:pStyle w:val="Heading2"/>
      </w:pPr>
      <w:r>
        <w:rPr>
          <w:rFonts w:ascii="Times New Roman" w:hAnsi="Times New Roman" w:cs="Times New Roman" w:eastAsia="Microsoft YaHei"/>
        </w:rPr>
        <w:t>规则与数据要求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701"/>
        <w:gridCol w:w="7937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284D41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937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284D41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/>
                <w:color w:val="FFFFFF"/>
                <w:sz w:val="18"/>
              </w:rPr>
              <w:t>规定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关系规则</w:t>
            </w:r>
          </w:p>
        </w:tc>
        <w:tc>
          <w:tcPr>
            <w:tcW w:type="dxa" w:w="7937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S、A、M具有方向；J、I至少两个成员。M由个别判断指向一般判断。A可指向命题或已有支持关系。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嵌套规则</w:t>
            </w:r>
          </w:p>
        </w:tc>
        <w:tc>
          <w:tcPr>
            <w:tcW w:type="dxa" w:w="7937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支持S(J(...),p)、M(J(...),p)、S(M(...),p)、A(p,S(...))等；逐层保存关系单元，不省略中间结构。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裁定原则</w:t>
            </w:r>
          </w:p>
        </w:tc>
        <w:tc>
          <w:tcPr>
            <w:tcW w:type="dxa" w:w="7937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依据文本所声称的逻辑联系和已绑定指南进行复核；裁定理由解释标注选择，不能只给出“正确”结论。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记录字段</w:t>
            </w:r>
          </w:p>
        </w:tc>
        <w:tc>
          <w:tcPr>
            <w:tcW w:type="dxa" w:w="7937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任务与条目ID、原始版本引用、最终关系、采用或重标方式、理由、指南版本、裁定者、时间与状态。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教学价值</w:t>
            </w:r>
          </w:p>
        </w:tc>
        <w:tc>
          <w:tcPr>
            <w:tcW w:type="dxa" w:w="7937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学生从不同关系结构及裁定理由理解前提、结论、方向与组合之间的差别，再进行独立重练。</w:t>
            </w:r>
          </w:p>
        </w:tc>
      </w:tr>
    </w:tbl>
    <w:p>
      <w:pPr>
        <w:keepNext w:val="0"/>
        <w:spacing w:after="80" w:before="0" w:line="240" w:lineRule="auto"/>
      </w:pPr>
      <w:r>
        <w:rPr>
          <w:rFonts w:ascii="Times New Roman" w:hAnsi="Times New Roman" w:cs="Times New Roman" w:eastAsia="Microsoft YaHei"/>
          <w:sz w:val="4"/>
        </w:rPr>
      </w:r>
    </w:p>
    <w:p>
      <w:pPr>
        <w:pStyle w:val="Heading2"/>
      </w:pPr>
      <w:r>
        <w:rPr>
          <w:rFonts w:ascii="Times New Roman" w:hAnsi="Times New Roman" w:cs="Times New Roman" w:eastAsia="Microsoft YaHei"/>
        </w:rPr>
        <w:t>验收示例</w:t>
      </w:r>
    </w:p>
    <w:p>
      <w:r>
        <w:rPr>
          <w:rFonts w:ascii="Times New Roman" w:hAnsi="Times New Roman" w:cs="Times New Roman" w:eastAsia="Microsoft YaHei"/>
        </w:rPr>
        <w:t>当A版本为S(p6,p5)、B版本为S(p5,p6)时，裁定者采用从证据判断指向欠款事实的版本，填写理由后定稿。裁定结果记录最终结构和来源，双方原始版本仍可查看；理由为空时不得定稿。</w:t>
      </w:r>
    </w:p>
    <w:p>
      <w:pPr>
        <w:pStyle w:val="Heading1"/>
        <w:pageBreakBefore/>
      </w:pPr>
      <w:r>
        <w:rPr>
          <w:rFonts w:ascii="Times New Roman" w:hAnsi="Times New Roman" w:cs="Times New Roman" w:eastAsia="Microsoft YaHei"/>
        </w:rPr>
        <w:t>6 项目原型与演示说明</w:t>
      </w:r>
    </w:p>
    <w:p>
      <w:r>
        <w:rPr>
          <w:rFonts w:ascii="Times New Roman" w:hAnsi="Times New Roman" w:cs="Times New Roman" w:eastAsia="Microsoft YaHei"/>
        </w:rPr>
        <w:t>原型采用“原文阅读—命题识别—关系构建—提交反馈”的学习工作台。教师通过同一原型的演示角色入口导入指南、核对规则，并在裁定页比较固定教学案例。</w:t>
      </w:r>
    </w:p>
    <w:p>
      <w:r>
        <w:rPr>
          <w:rFonts w:ascii="Times New Roman" w:hAnsi="Times New Roman" w:cs="Times New Roman" w:eastAsia="Microsoft YaHei"/>
        </w:rPr>
        <w:drawing>
          <wp:inline xmlns:a="http://schemas.openxmlformats.org/drawingml/2006/main" xmlns:pic="http://schemas.openxmlformats.org/drawingml/2006/picture">
            <wp:extent cx="6120000" cy="4176900"/>
            <wp:docPr id="2" name="Picture 2" descr="法律论证标注教学原型：原文、命题列表、学习助手和论证图示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deskt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176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cs="Times New Roman" w:eastAsia="Microsoft YaHei"/>
        </w:rPr>
        <w:t>图2  原型学习工作台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701"/>
        <w:gridCol w:w="7937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284D41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/>
                <w:color w:val="FFFFFF"/>
                <w:sz w:val="18"/>
              </w:rPr>
              <w:t>演示步骤</w:t>
            </w:r>
          </w:p>
        </w:tc>
        <w:tc>
          <w:tcPr>
            <w:tcW w:type="dxa" w:w="7937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284D41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/>
                <w:color w:val="FFFFFF"/>
                <w:sz w:val="18"/>
              </w:rPr>
              <w:t>操作与预期结果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导入指南</w:t>
            </w:r>
          </w:p>
        </w:tc>
        <w:tc>
          <w:tcPr>
            <w:tcW w:type="dxa" w:w="7937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切换教师 / 裁定者，打开标注指南；导入JSON模板或课程PDF；核对候选后创建新练习。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命题标注</w:t>
            </w:r>
          </w:p>
        </w:tc>
        <w:tc>
          <w:tcPr>
            <w:tcW w:type="dxa" w:w="7937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在裁判理由中拖选文字，选择类型并保存；列表、高亮和节点同时更新；可撤销与重做。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关系构建</w:t>
            </w:r>
          </w:p>
        </w:tc>
        <w:tc>
          <w:tcPr>
            <w:tcW w:type="dxa" w:w="7937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选择S、A、J、M、I及有效对象；先创建组合，再构建匹配或支持；查看完整嵌套表达式。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裁定关系</w:t>
            </w:r>
          </w:p>
        </w:tc>
        <w:tc>
          <w:tcPr>
            <w:tcW w:type="dxa" w:w="7937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FFFFF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打开关系裁定；采用A或B版本，或重标；填写理由后定稿；完成后导出最终版本。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查看反馈</w:t>
            </w:r>
          </w:p>
        </w:tc>
        <w:tc>
          <w:tcPr>
            <w:tcW w:type="dxa" w:w="7937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fill="F1F5F3"/>
          </w:tcPr>
          <w:p>
            <w:pPr>
              <w:spacing w:line="278" w:lineRule="auto" w:after="20" w:before="20"/>
            </w:pPr>
            <w:r>
              <w:rPr>
                <w:rFonts w:ascii="Times New Roman" w:hAnsi="Times New Roman" w:eastAsia="Microsoft YaHei" w:cs="Times New Roman"/>
                <w:b w:val="0"/>
                <w:color w:val="27362D"/>
                <w:sz w:val="18"/>
              </w:rPr>
              <w:t>学生提交练习后分别对照命题边界、标签和关系结构；查看解释、用时并重新独立练习。</w:t>
            </w:r>
          </w:p>
        </w:tc>
      </w:tr>
    </w:tbl>
    <w:p>
      <w:pPr>
        <w:keepNext w:val="0"/>
        <w:spacing w:after="80" w:before="0" w:line="240" w:lineRule="auto"/>
      </w:pPr>
      <w:r>
        <w:rPr>
          <w:rFonts w:ascii="Times New Roman" w:hAnsi="Times New Roman" w:cs="Times New Roman" w:eastAsia="Microsoft YaHei"/>
          <w:sz w:val="4"/>
        </w:rPr>
      </w:r>
    </w:p>
    <w:p>
      <w:pPr>
        <w:pStyle w:val="Heading1"/>
        <w:pageBreakBefore/>
      </w:pPr>
      <w:r>
        <w:rPr>
          <w:rFonts w:ascii="Times New Roman" w:hAnsi="Times New Roman" w:cs="Times New Roman" w:eastAsia="Microsoft YaHei"/>
        </w:rPr>
        <w:t>7 实现范围与资料依据</w:t>
      </w:r>
    </w:p>
    <w:p>
      <w:r>
        <w:rPr>
          <w:rFonts w:ascii="Times New Roman" w:hAnsi="Times New Roman" w:cs="Times New Roman" w:eastAsia="Microsoft YaHei"/>
        </w:rPr>
        <w:t>已实现：指南文件读取与预览、命题标注和依赖清理、五种关系及嵌套、实时图示、撤销重做、本机草稿、JSON导出、固定案例裁定、练习对照反馈，以及桌面和手机布局。</w:t>
      </w:r>
    </w:p>
    <w:p>
      <w:r>
        <w:rPr>
          <w:rFonts w:ascii="Times New Roman" w:hAnsi="Times New Roman" w:cs="Times New Roman" w:eastAsia="Microsoft YaHei"/>
        </w:rPr>
        <w:t>原型采用浏览器本地存储及演示角色切换；正式多人协作、服务器权限校验、任务批量分配、真实多人版本对齐、受控修订和Excel导出属于后续开发范围。导出的JSON包含指南版本与字符索引。</w:t>
      </w:r>
    </w:p>
    <w:p>
      <w:pPr>
        <w:pStyle w:val="Heading2"/>
      </w:pPr>
      <w:r>
        <w:rPr>
          <w:rFonts w:ascii="Times New Roman" w:hAnsi="Times New Roman" w:cs="Times New Roman" w:eastAsia="Microsoft YaHei"/>
        </w:rPr>
        <w:t>资料依据</w:t>
      </w:r>
    </w:p>
    <w:p>
      <w:r>
        <w:rPr>
          <w:rFonts w:ascii="Times New Roman" w:hAnsi="Times New Roman" w:cs="Times New Roman" w:eastAsia="Microsoft YaHei"/>
        </w:rPr>
        <w:t>1  裁判文书标记需求_按阶段组织（2）.docx，文档版本v1.1，整理日期2026年4月14日。</w:t>
        <w:br/>
        <w:t>2  中文裁判文书说理部分法律论证结构标注与图示指南，重点参照命题分类、五种关系、图示规则、标注示例及培训反馈要求。压缩包文件名标为v1.2，正文声明为v1.1；本原型按正文标识版本。</w:t>
      </w:r>
    </w:p>
    <w:sectPr w:rsidR="00FC693F" w:rsidRPr="0006063C" w:rsidSect="00034616">
      <w:pgSz w:w="11906" w:h="16838"/>
      <w:pgMar w:top="1077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icrosoft JhengHei"/>
  <w:font w:name="Microsoft YaHei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cs="Times New Roman" w:eastAsia="Microsoft YaHei"/>
        <w:color w:val="748076"/>
        <w:sz w:val="16"/>
      </w:rPr>
      <w:t xml:space="preserve">法律论证标注系统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 w:cs="Times New Roman" w:eastAsia="Microsoft YaHei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 w:cs="Times New Roman" w:eastAsia="Microsoft YaHei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 w:cs="Times New Roman" w:eastAsia="Microsoft YaHei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 w:cs="Times New Roman" w:eastAsia="Microsoft YaHe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Microsoft YaHe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40"/>
    </w:pPr>
    <w:rPr>
      <w:rFonts w:ascii="Times New Roman" w:hAnsi="Times New Roman" w:eastAsia="Microsoft YaHei" w:cs="Times New Roma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Microsoft YaHe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cs="Times New Roman" w:eastAsia="Microsoft YaHe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Microsoft YaHe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cs="Times New Roman" w:eastAsia="Microsoft YaHe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200"/>
      <w:outlineLvl w:val="0"/>
    </w:pPr>
    <w:rPr>
      <w:rFonts w:ascii="Times New Roman" w:hAnsi="Times New Roman" w:eastAsia="Microsoft YaHei" w:cs="Times New Roman"/>
      <w:b/>
      <w:bCs/>
      <w:i w:val="0"/>
      <w:color w:val="000000"/>
      <w:sz w:val="3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/>
      <w:outlineLvl w:val="1"/>
    </w:pPr>
    <w:rPr>
      <w:rFonts w:ascii="Times New Roman" w:hAnsi="Times New Roman" w:eastAsia="Microsoft YaHei" w:cs="Times New Roman"/>
      <w:b/>
      <w:bCs/>
      <w:i w:val="0"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Microsoft YaHei" w:cs="Times New Roman"/>
      <w:b/>
      <w:bCs/>
      <w:i w:val="0"/>
      <w:color w:val="000000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Microsoft YaHe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Microsoft YaHe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Microsoft YaHe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Microsoft YaHe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cs="Times New Roman" w:eastAsia="Microsoft YaHei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Times New Roman" w:hAnsi="Times New Roman" w:cs="Times New Roman" w:eastAsia="Microsoft YaHei"/>
    </w:r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 w:eastAsia="Microsoft YaHe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Microsoft YaHe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Microsoft YaHe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Microsoft YaHe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 w:eastAsia="Microsoft YaHei" w:cs="Times New Roman"/>
      <w:i w:val="0"/>
      <w:color w:val="000000"/>
      <w:spacing w:val="5"/>
      <w:kern w:val="28"/>
      <w:sz w:val="5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Microsoft YaHe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Microsoft YaHei" w:cs="Times New Roman"/>
      <w:i w:val="0"/>
      <w:iCs/>
      <w:color w:val="000000"/>
      <w:spacing w:val="15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Microsoft YaHe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Microsoft YaHe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cs="Times New Roman" w:eastAsia="Microsoft YaHe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 w:eastAsia="Microsoft YaHe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cs="Times New Roman" w:eastAsia="Microsoft YaHe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 w:eastAsia="Microsoft YaHe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cs="Times New Roman" w:eastAsia="Microsoft YaHe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 w:eastAsia="Microsoft YaHe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Microsoft YaHe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Microsoft YaHe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Microsoft YaHe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Microsoft YaHe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Microsoft YaHe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Microsoft YaHe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Microsoft YaHe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cs="Times New Roman" w:eastAsia="Microsoft YaHe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cs="Times New Roman" w:eastAsia="Microsoft YaHe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cs="Times New Roman" w:eastAsia="Microsoft YaHe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Microsoft YaHe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Microsoft YaHe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cs="Times New Roman" w:eastAsia="Microsoft YaHe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 w:eastAsia="Microsoft YaHe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Microsoft YaHe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Microsoft YaHe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Microsoft YaHe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Microsoft YaHe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Microsoft YaHe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Microsoft YaHe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Microsoft YaHei" w:cs="Times New Roman"/>
      <w:b/>
      <w:bCs/>
      <w:i w:val="0"/>
      <w:color w:val="000000"/>
      <w:sz w:val="18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cs="Times New Roman" w:eastAsia="Microsoft YaHe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cs="Times New Roman" w:eastAsia="Microsoft YaHe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cs="Times New Roman" w:eastAsia="Microsoft YaHe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 w:eastAsia="Microsoft YaHe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cs="Times New Roman" w:eastAsia="Microsoft YaHe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cs="Times New Roman" w:eastAsia="Microsoft YaHe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cs="Times New Roman" w:eastAsia="Microsoft YaHe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cs="Times New Roman" w:eastAsia="Microsoft YaHe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cs="Times New Roman" w:eastAsia="Microsoft YaHe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Microsoft YaHe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Times New Roman" w:hAnsi="Times New Roman" w:cs="Times New Roman" w:eastAsia="Microsoft YaHei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Microsoft YaHe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Microsoft YaHe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Microsoft YaHe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Microsoft YaHe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Microsoft YaHe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Microsoft YaHe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Microsoft YaHe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Times New Roman" w:hAnsi="Times New Roman" w:cs="Times New Roman" w:eastAsia="Microsoft YaHei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Times New Roman" w:hAnsi="Times New Roman" w:cs="Times New Roman" w:eastAsia="Microsoft YaHei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Times New Roman" w:hAnsi="Times New Roman" w:cs="Times New Roman" w:eastAsia="Microsoft YaHei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Times New Roman" w:hAnsi="Times New Roman" w:cs="Times New Roman" w:eastAsia="Microsoft YaHei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Times New Roman" w:hAnsi="Times New Roman" w:cs="Times New Roman" w:eastAsia="Microsoft YaHei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Times New Roman" w:hAnsi="Times New Roman" w:cs="Times New Roman" w:eastAsia="Microsoft YaHei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Times New Roman" w:hAnsi="Times New Roman" w:cs="Times New Roman" w:eastAsia="Microsoft YaHei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Times New Roman" w:hAnsi="Times New Roman" w:cs="Times New Roman" w:eastAsia="Microsoft YaHei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Times New Roman" w:hAnsi="Times New Roman" w:cs="Times New Roman" w:eastAsia="Microsoft YaHei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Times New Roman" w:hAnsi="Times New Roman" w:cs="Times New Roman" w:eastAsia="Microsoft YaHei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Times New Roman" w:hAnsi="Times New Roman" w:cs="Times New Roman" w:eastAsia="Microsoft YaHei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Times New Roman" w:hAnsi="Times New Roman" w:cs="Times New Roman" w:eastAsia="Microsoft YaHei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Times New Roman" w:hAnsi="Times New Roman" w:cs="Times New Roman" w:eastAsia="Microsoft YaHei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Times New Roman" w:hAnsi="Times New Roman" w:cs="Times New Roman" w:eastAsia="Microsoft YaHei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Microsoft YaHei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Microsoft YaHei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Microsoft YaHei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Microsoft YaHei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Microsoft YaHei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Microsoft YaHei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Microsoft YaHei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Microsoft YaHei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Microsoft YaHei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Microsoft YaHei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Microsoft YaHei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Microsoft YaHei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Microsoft YaHei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Microsoft YaHei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Microsoft YaHei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Microsoft YaHei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Microsoft YaHei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Microsoft YaHei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Microsoft YaHei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Microsoft YaHei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Microsoft YaHei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Microsoft YaHei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Microsoft YaHei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Microsoft YaHei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Microsoft YaHei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Microsoft YaHei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Microsoft YaHei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Microsoft YaHei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Microsoft YaHe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rFonts w:ascii="Times New Roman" w:hAnsi="Times New Roman" w:cs="Times New Roman" w:eastAsia="Microsoft YaHei"/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Microsoft YaHe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ascii="Times New Roman" w:hAnsi="Times New Roman" w:cs="Times New Roman" w:eastAsia="Microsoft YaHei"/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Microsoft YaHe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rFonts w:ascii="Times New Roman" w:hAnsi="Times New Roman" w:cs="Times New Roman" w:eastAsia="Microsoft YaHei"/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Microsoft YaHe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rFonts w:ascii="Times New Roman" w:hAnsi="Times New Roman" w:cs="Times New Roman" w:eastAsia="Microsoft YaHei"/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Microsoft YaHe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rFonts w:ascii="Times New Roman" w:hAnsi="Times New Roman" w:cs="Times New Roman" w:eastAsia="Microsoft YaHei"/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Microsoft YaHe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rFonts w:ascii="Times New Roman" w:hAnsi="Times New Roman" w:cs="Times New Roman" w:eastAsia="Microsoft YaHei"/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Microsoft YaHe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rFonts w:ascii="Times New Roman" w:hAnsi="Times New Roman" w:cs="Times New Roman" w:eastAsia="Microsoft YaHei"/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Microsoft YaHei"/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Microsoft YaHei"/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Microsoft YaHei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Microsoft YaHei"/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Microsoft YaHei"/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Microsoft YaHei"/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Microsoft YaHei"/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Times New Roman" w:hAnsi="Times New Roman" w:cs="Times New Roman" w:eastAsia="Microsoft YaHei"/>
        <w:b/>
        <w:bCs/>
      </w:rPr>
    </w:tblStylePr>
    <w:tblStylePr w:type="lastRow">
      <w:rPr>
        <w:rFonts w:ascii="Times New Roman" w:hAnsi="Times New Roman" w:cs="Times New Roman" w:eastAsia="Microsoft YaHei"/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cs="Times New Roman" w:eastAsia="Microsoft YaHei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Times New Roman" w:hAnsi="Times New Roman" w:cs="Times New Roman" w:eastAsia="Microsoft YaHei"/>
        <w:b/>
        <w:bCs/>
      </w:rPr>
    </w:tblStylePr>
    <w:tblStylePr w:type="lastRow">
      <w:rPr>
        <w:rFonts w:ascii="Times New Roman" w:hAnsi="Times New Roman" w:cs="Times New Roman" w:eastAsia="Microsoft YaHei"/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cs="Times New Roman" w:eastAsia="Microsoft YaHei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Times New Roman" w:hAnsi="Times New Roman" w:cs="Times New Roman" w:eastAsia="Microsoft YaHei"/>
        <w:b/>
        <w:bCs/>
      </w:rPr>
    </w:tblStylePr>
    <w:tblStylePr w:type="lastRow">
      <w:rPr>
        <w:rFonts w:ascii="Times New Roman" w:hAnsi="Times New Roman" w:cs="Times New Roman" w:eastAsia="Microsoft YaHei"/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cs="Times New Roman" w:eastAsia="Microsoft YaHei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Times New Roman" w:hAnsi="Times New Roman" w:cs="Times New Roman" w:eastAsia="Microsoft YaHei"/>
        <w:b/>
        <w:bCs/>
      </w:rPr>
    </w:tblStylePr>
    <w:tblStylePr w:type="lastRow">
      <w:rPr>
        <w:rFonts w:ascii="Times New Roman" w:hAnsi="Times New Roman" w:cs="Times New Roman" w:eastAsia="Microsoft YaHei"/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cs="Times New Roman" w:eastAsia="Microsoft YaHei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Times New Roman" w:hAnsi="Times New Roman" w:cs="Times New Roman" w:eastAsia="Microsoft YaHei"/>
        <w:b/>
        <w:bCs/>
      </w:rPr>
    </w:tblStylePr>
    <w:tblStylePr w:type="lastRow">
      <w:rPr>
        <w:rFonts w:ascii="Times New Roman" w:hAnsi="Times New Roman" w:cs="Times New Roman" w:eastAsia="Microsoft YaHei"/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cs="Times New Roman" w:eastAsia="Microsoft YaHei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Times New Roman" w:hAnsi="Times New Roman" w:cs="Times New Roman" w:eastAsia="Microsoft YaHei"/>
        <w:b/>
        <w:bCs/>
      </w:rPr>
    </w:tblStylePr>
    <w:tblStylePr w:type="lastRow">
      <w:rPr>
        <w:rFonts w:ascii="Times New Roman" w:hAnsi="Times New Roman" w:cs="Times New Roman" w:eastAsia="Microsoft YaHei"/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cs="Times New Roman" w:eastAsia="Microsoft YaHei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Times New Roman" w:hAnsi="Times New Roman" w:cs="Times New Roman" w:eastAsia="Microsoft YaHei"/>
        <w:b/>
        <w:bCs/>
      </w:rPr>
    </w:tblStylePr>
    <w:tblStylePr w:type="lastRow">
      <w:rPr>
        <w:rFonts w:ascii="Times New Roman" w:hAnsi="Times New Roman" w:cs="Times New Roman" w:eastAsia="Microsoft YaHei"/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cs="Times New Roman" w:eastAsia="Microsoft YaHei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Times New Roman" w:hAnsi="Times New Roman" w:cs="Times New Roman" w:eastAsia="Microsoft YaHei"/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rFonts w:ascii="Times New Roman" w:hAnsi="Times New Roman" w:cs="Times New Roman" w:eastAsia="Microsoft YaHei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Microsoft YaHei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Microsoft YaHei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Times New Roman" w:hAnsi="Times New Roman" w:cs="Times New Roman" w:eastAsia="Microsoft YaHei"/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rFonts w:ascii="Times New Roman" w:hAnsi="Times New Roman" w:cs="Times New Roman" w:eastAsia="Microsoft YaHei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Microsoft YaHei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Microsoft YaHei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Times New Roman" w:hAnsi="Times New Roman" w:cs="Times New Roman" w:eastAsia="Microsoft YaHei"/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rFonts w:ascii="Times New Roman" w:hAnsi="Times New Roman" w:cs="Times New Roman" w:eastAsia="Microsoft YaHei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Microsoft YaHei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Microsoft YaHei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Times New Roman" w:hAnsi="Times New Roman" w:cs="Times New Roman" w:eastAsia="Microsoft YaHei"/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rFonts w:ascii="Times New Roman" w:hAnsi="Times New Roman" w:cs="Times New Roman" w:eastAsia="Microsoft YaHei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Microsoft YaHei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Microsoft YaHei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Times New Roman" w:hAnsi="Times New Roman" w:cs="Times New Roman" w:eastAsia="Microsoft YaHei"/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rFonts w:ascii="Times New Roman" w:hAnsi="Times New Roman" w:cs="Times New Roman" w:eastAsia="Microsoft YaHei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Microsoft YaHei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Microsoft YaHei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Times New Roman" w:hAnsi="Times New Roman" w:cs="Times New Roman" w:eastAsia="Microsoft YaHei"/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rFonts w:ascii="Times New Roman" w:hAnsi="Times New Roman" w:cs="Times New Roman" w:eastAsia="Microsoft YaHei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Microsoft YaHei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Microsoft YaHei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Times New Roman" w:hAnsi="Times New Roman" w:cs="Times New Roman" w:eastAsia="Microsoft YaHei"/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rFonts w:ascii="Times New Roman" w:hAnsi="Times New Roman" w:cs="Times New Roman" w:eastAsia="Microsoft YaHei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Microsoft YaHei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Microsoft YaHei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Times New Roman" w:hAnsi="Times New Roman" w:cs="Times New Roman" w:eastAsia="Microsoft YaHei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rFonts w:ascii="Times New Roman" w:hAnsi="Times New Roman" w:cs="Times New Roman" w:eastAsia="Microsoft YaHei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rFonts w:ascii="Times New Roman" w:hAnsi="Times New Roman" w:cs="Times New Roman" w:eastAsia="Microsoft YaHei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Times New Roman" w:hAnsi="Times New Roman" w:cs="Times New Roman" w:eastAsia="Microsoft YaHei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Times New Roman" w:hAnsi="Times New Roman" w:cs="Times New Roman" w:eastAsia="Microsoft YaHei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Times New Roman" w:hAnsi="Times New Roman" w:cs="Times New Roman" w:eastAsia="Microsoft YaHei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rFonts w:ascii="Times New Roman" w:hAnsi="Times New Roman" w:cs="Times New Roman" w:eastAsia="Microsoft YaHei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rFonts w:ascii="Times New Roman" w:hAnsi="Times New Roman" w:cs="Times New Roman" w:eastAsia="Microsoft YaHei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Times New Roman" w:hAnsi="Times New Roman" w:cs="Times New Roman" w:eastAsia="Microsoft YaHei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Times New Roman" w:hAnsi="Times New Roman" w:cs="Times New Roman" w:eastAsia="Microsoft YaHei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Times New Roman" w:hAnsi="Times New Roman" w:cs="Times New Roman" w:eastAsia="Microsoft YaHei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rFonts w:ascii="Times New Roman" w:hAnsi="Times New Roman" w:cs="Times New Roman" w:eastAsia="Microsoft YaHei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rFonts w:ascii="Times New Roman" w:hAnsi="Times New Roman" w:cs="Times New Roman" w:eastAsia="Microsoft YaHei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Times New Roman" w:hAnsi="Times New Roman" w:cs="Times New Roman" w:eastAsia="Microsoft YaHei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Times New Roman" w:hAnsi="Times New Roman" w:cs="Times New Roman" w:eastAsia="Microsoft YaHei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Times New Roman" w:hAnsi="Times New Roman" w:cs="Times New Roman" w:eastAsia="Microsoft YaHei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rFonts w:ascii="Times New Roman" w:hAnsi="Times New Roman" w:cs="Times New Roman" w:eastAsia="Microsoft YaHei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rFonts w:ascii="Times New Roman" w:hAnsi="Times New Roman" w:cs="Times New Roman" w:eastAsia="Microsoft YaHei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Times New Roman" w:hAnsi="Times New Roman" w:cs="Times New Roman" w:eastAsia="Microsoft YaHei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Times New Roman" w:hAnsi="Times New Roman" w:cs="Times New Roman" w:eastAsia="Microsoft YaHei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Times New Roman" w:hAnsi="Times New Roman" w:cs="Times New Roman" w:eastAsia="Microsoft YaHei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rFonts w:ascii="Times New Roman" w:hAnsi="Times New Roman" w:cs="Times New Roman" w:eastAsia="Microsoft YaHei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rFonts w:ascii="Times New Roman" w:hAnsi="Times New Roman" w:cs="Times New Roman" w:eastAsia="Microsoft YaHei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Times New Roman" w:hAnsi="Times New Roman" w:cs="Times New Roman" w:eastAsia="Microsoft YaHei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Times New Roman" w:hAnsi="Times New Roman" w:cs="Times New Roman" w:eastAsia="Microsoft YaHei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Times New Roman" w:hAnsi="Times New Roman" w:cs="Times New Roman" w:eastAsia="Microsoft YaHei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rFonts w:ascii="Times New Roman" w:hAnsi="Times New Roman" w:cs="Times New Roman" w:eastAsia="Microsoft YaHei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rFonts w:ascii="Times New Roman" w:hAnsi="Times New Roman" w:cs="Times New Roman" w:eastAsia="Microsoft YaHei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Times New Roman" w:hAnsi="Times New Roman" w:cs="Times New Roman" w:eastAsia="Microsoft YaHei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Times New Roman" w:hAnsi="Times New Roman" w:cs="Times New Roman" w:eastAsia="Microsoft YaHei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Times New Roman" w:hAnsi="Times New Roman" w:cs="Times New Roman" w:eastAsia="Microsoft YaHei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rFonts w:ascii="Times New Roman" w:hAnsi="Times New Roman" w:cs="Times New Roman" w:eastAsia="Microsoft YaHei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rFonts w:ascii="Times New Roman" w:hAnsi="Times New Roman" w:cs="Times New Roman" w:eastAsia="Microsoft YaHei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Times New Roman" w:hAnsi="Times New Roman" w:cs="Times New Roman" w:eastAsia="Microsoft YaHei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Times New Roman" w:hAnsi="Times New Roman" w:cs="Times New Roman" w:eastAsia="Microsoft YaHei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rFonts w:ascii="Times New Roman" w:hAnsi="Times New Roman" w:cs="Times New Roman" w:eastAsia="Microsoft YaHei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rFonts w:ascii="Times New Roman" w:hAnsi="Times New Roman" w:cs="Times New Roman" w:eastAsia="Microsoft YaHei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rFonts w:ascii="Times New Roman" w:hAnsi="Times New Roman" w:cs="Times New Roman" w:eastAsia="Microsoft YaHei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rFonts w:ascii="Times New Roman" w:hAnsi="Times New Roman" w:cs="Times New Roman" w:eastAsia="Microsoft YaHei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rFonts w:ascii="Times New Roman" w:hAnsi="Times New Roman" w:cs="Times New Roman" w:eastAsia="Microsoft YaHei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rFonts w:ascii="Times New Roman" w:hAnsi="Times New Roman" w:cs="Times New Roman" w:eastAsia="Microsoft YaHei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rFonts w:ascii="Times New Roman" w:hAnsi="Times New Roman" w:cs="Times New Roman" w:eastAsia="Microsoft YaHei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ascii="Times New Roman" w:hAnsi="Times New Roman" w:cs="Times New Roman" w:eastAsia="Microsoft YaHei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rFonts w:ascii="Times New Roman" w:hAnsi="Times New Roman" w:cs="Times New Roman" w:eastAsia="Microsoft YaHei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rFonts w:ascii="Times New Roman" w:hAnsi="Times New Roman" w:cs="Times New Roman" w:eastAsia="Microsoft YaHei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rFonts w:ascii="Times New Roman" w:hAnsi="Times New Roman" w:cs="Times New Roman" w:eastAsia="Microsoft YaHei"/>
        <w:color w:val="000000" w:themeColor="text1"/>
      </w:rPr>
    </w:tblStylePr>
    <w:tblStylePr w:type="nwCell">
      <w:rPr>
        <w:rFonts w:ascii="Times New Roman" w:hAnsi="Times New Roman" w:cs="Times New Roman" w:eastAsia="Microsoft YaHei"/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Times New Roman" w:hAnsi="Times New Roman" w:cs="Times New Roman" w:eastAsia="Microsoft YaHei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rFonts w:ascii="Times New Roman" w:hAnsi="Times New Roman" w:cs="Times New Roman" w:eastAsia="Microsoft YaHei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rFonts w:ascii="Times New Roman" w:hAnsi="Times New Roman" w:cs="Times New Roman" w:eastAsia="Microsoft YaHei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rFonts w:ascii="Times New Roman" w:hAnsi="Times New Roman" w:cs="Times New Roman" w:eastAsia="Microsoft YaHei"/>
        <w:color w:val="000000" w:themeColor="text1"/>
      </w:rPr>
    </w:tblStylePr>
    <w:tblStylePr w:type="nwCell">
      <w:rPr>
        <w:rFonts w:ascii="Times New Roman" w:hAnsi="Times New Roman" w:cs="Times New Roman" w:eastAsia="Microsoft YaHei"/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Times New Roman" w:hAnsi="Times New Roman" w:cs="Times New Roman" w:eastAsia="Microsoft YaHei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rFonts w:ascii="Times New Roman" w:hAnsi="Times New Roman" w:cs="Times New Roman" w:eastAsia="Microsoft YaHei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rFonts w:ascii="Times New Roman" w:hAnsi="Times New Roman" w:cs="Times New Roman" w:eastAsia="Microsoft YaHei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ascii="Times New Roman" w:hAnsi="Times New Roman" w:cs="Times New Roman" w:eastAsia="Microsoft YaHei"/>
        <w:color w:val="000000" w:themeColor="text1"/>
      </w:rPr>
    </w:tblStylePr>
    <w:tblStylePr w:type="nwCell">
      <w:rPr>
        <w:rFonts w:ascii="Times New Roman" w:hAnsi="Times New Roman" w:cs="Times New Roman" w:eastAsia="Microsoft YaHei"/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Times New Roman" w:hAnsi="Times New Roman" w:cs="Times New Roman" w:eastAsia="Microsoft YaHei"/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rFonts w:ascii="Times New Roman" w:hAnsi="Times New Roman" w:cs="Times New Roman" w:eastAsia="Microsoft YaHei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rFonts w:ascii="Times New Roman" w:hAnsi="Times New Roman" w:cs="Times New Roman" w:eastAsia="Microsoft YaHei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ascii="Times New Roman" w:hAnsi="Times New Roman" w:cs="Times New Roman" w:eastAsia="Microsoft YaHei"/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rFonts w:ascii="Times New Roman" w:hAnsi="Times New Roman" w:cs="Times New Roman" w:eastAsia="Microsoft YaHei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rFonts w:ascii="Times New Roman" w:hAnsi="Times New Roman" w:cs="Times New Roman" w:eastAsia="Microsoft YaHei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ascii="Times New Roman" w:hAnsi="Times New Roman" w:cs="Times New Roman" w:eastAsia="Microsoft YaHei"/>
        <w:color w:val="000000" w:themeColor="text1"/>
      </w:rPr>
    </w:tblStylePr>
    <w:tblStylePr w:type="nwCell">
      <w:rPr>
        <w:rFonts w:ascii="Times New Roman" w:hAnsi="Times New Roman" w:cs="Times New Roman" w:eastAsia="Microsoft YaHei"/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Times New Roman" w:hAnsi="Times New Roman" w:cs="Times New Roman" w:eastAsia="Microsoft YaHei"/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rFonts w:ascii="Times New Roman" w:hAnsi="Times New Roman" w:cs="Times New Roman" w:eastAsia="Microsoft YaHei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rFonts w:ascii="Times New Roman" w:hAnsi="Times New Roman" w:cs="Times New Roman" w:eastAsia="Microsoft YaHei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ascii="Times New Roman" w:hAnsi="Times New Roman" w:cs="Times New Roman" w:eastAsia="Microsoft YaHei"/>
        <w:color w:val="000000" w:themeColor="text1"/>
      </w:rPr>
    </w:tblStylePr>
    <w:tblStylePr w:type="nwCell">
      <w:rPr>
        <w:rFonts w:ascii="Times New Roman" w:hAnsi="Times New Roman" w:cs="Times New Roman" w:eastAsia="Microsoft YaHei"/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Times New Roman" w:hAnsi="Times New Roman" w:cs="Times New Roman" w:eastAsia="Microsoft YaHei"/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rFonts w:ascii="Times New Roman" w:hAnsi="Times New Roman" w:cs="Times New Roman" w:eastAsia="Microsoft YaHei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rFonts w:ascii="Times New Roman" w:hAnsi="Times New Roman" w:cs="Times New Roman" w:eastAsia="Microsoft YaHei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ascii="Times New Roman" w:hAnsi="Times New Roman" w:cs="Times New Roman" w:eastAsia="Microsoft YaHei"/>
        <w:color w:val="000000" w:themeColor="text1"/>
      </w:rPr>
    </w:tblStylePr>
    <w:tblStylePr w:type="nwCell">
      <w:rPr>
        <w:rFonts w:ascii="Times New Roman" w:hAnsi="Times New Roman" w:cs="Times New Roman" w:eastAsia="Microsoft YaHei"/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hAnsi="Times New Roman" w:cs="Times New Roman" w:eastAsia="Microsoft YaHei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hAnsi="Times New Roman" w:cs="Times New Roman" w:eastAsia="Microsoft YaHei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hAnsi="Times New Roman" w:cs="Times New Roman" w:eastAsia="Microsoft YaHei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rFonts w:ascii="Times New Roman" w:hAnsi="Times New Roman" w:cs="Times New Roman" w:eastAsia="Microsoft YaHei"/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rFonts w:ascii="Times New Roman" w:hAnsi="Times New Roman" w:cs="Times New Roman" w:eastAsia="Microsoft YaHei"/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rFonts w:ascii="Times New Roman" w:hAnsi="Times New Roman" w:cs="Times New Roman" w:eastAsia="Microsoft YaHei"/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rFonts w:ascii="Times New Roman" w:hAnsi="Times New Roman" w:cs="Times New Roman" w:eastAsia="Microsoft YaHei"/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rFonts w:ascii="Times New Roman" w:hAnsi="Times New Roman" w:cs="Times New Roman" w:eastAsia="Microsoft YaHei"/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rFonts w:ascii="Times New Roman" w:hAnsi="Times New Roman" w:cs="Times New Roman" w:eastAsia="Microsoft YaHei"/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rFonts w:ascii="Times New Roman" w:hAnsi="Times New Roman" w:cs="Times New Roman" w:eastAsia="Microsoft YaHei"/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rFonts w:ascii="Times New Roman" w:hAnsi="Times New Roman" w:cs="Times New Roman" w:eastAsia="Microsoft YaHei"/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rFonts w:ascii="Times New Roman" w:hAnsi="Times New Roman" w:cs="Times New Roman" w:eastAsia="Microsoft YaHei"/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rFonts w:ascii="Times New Roman" w:hAnsi="Times New Roman" w:cs="Times New Roman" w:eastAsia="Microsoft YaHei"/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rFonts w:ascii="Times New Roman" w:hAnsi="Times New Roman" w:cs="Times New Roman" w:eastAsia="Microsoft YaHei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rFonts w:ascii="Times New Roman" w:hAnsi="Times New Roman" w:cs="Times New Roman" w:eastAsia="Microsoft YaHei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rFonts w:ascii="Times New Roman" w:hAnsi="Times New Roman" w:cs="Times New Roman" w:eastAsia="Microsoft YaHei"/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rFonts w:ascii="Times New Roman" w:hAnsi="Times New Roman" w:cs="Times New Roman" w:eastAsia="Microsoft YaHei"/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rFonts w:ascii="Times New Roman" w:hAnsi="Times New Roman" w:cs="Times New Roman" w:eastAsia="Microsoft YaHei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rFonts w:ascii="Times New Roman" w:hAnsi="Times New Roman" w:cs="Times New Roman" w:eastAsia="Microsoft YaHei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rFonts w:ascii="Times New Roman" w:hAnsi="Times New Roman" w:cs="Times New Roman" w:eastAsia="Microsoft YaHei"/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rFonts w:ascii="Times New Roman" w:hAnsi="Times New Roman" w:cs="Times New Roman" w:eastAsia="Microsoft YaHei"/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rFonts w:ascii="Times New Roman" w:hAnsi="Times New Roman" w:cs="Times New Roman" w:eastAsia="Microsoft YaHei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rFonts w:ascii="Times New Roman" w:hAnsi="Times New Roman" w:cs="Times New Roman" w:eastAsia="Microsoft YaHei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rFonts w:ascii="Times New Roman" w:hAnsi="Times New Roman" w:cs="Times New Roman" w:eastAsia="Microsoft YaHei"/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rFonts w:ascii="Times New Roman" w:hAnsi="Times New Roman" w:cs="Times New Roman" w:eastAsia="Microsoft YaHei"/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rFonts w:ascii="Times New Roman" w:hAnsi="Times New Roman" w:cs="Times New Roman" w:eastAsia="Microsoft YaHei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rFonts w:ascii="Times New Roman" w:hAnsi="Times New Roman" w:cs="Times New Roman" w:eastAsia="Microsoft YaHei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rFonts w:ascii="Times New Roman" w:hAnsi="Times New Roman" w:cs="Times New Roman" w:eastAsia="Microsoft YaHei"/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rFonts w:ascii="Times New Roman" w:hAnsi="Times New Roman" w:cs="Times New Roman" w:eastAsia="Microsoft YaHei"/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rFonts w:ascii="Times New Roman" w:hAnsi="Times New Roman" w:cs="Times New Roman" w:eastAsia="Microsoft YaHei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rFonts w:ascii="Times New Roman" w:hAnsi="Times New Roman" w:cs="Times New Roman" w:eastAsia="Microsoft YaHei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rFonts w:ascii="Times New Roman" w:hAnsi="Times New Roman" w:cs="Times New Roman" w:eastAsia="Microsoft YaHei"/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rFonts w:ascii="Times New Roman" w:hAnsi="Times New Roman" w:cs="Times New Roman" w:eastAsia="Microsoft YaHei"/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rFonts w:ascii="Times New Roman" w:hAnsi="Times New Roman" w:cs="Times New Roman" w:eastAsia="Microsoft YaHei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rFonts w:ascii="Times New Roman" w:hAnsi="Times New Roman" w:cs="Times New Roman" w:eastAsia="Microsoft YaHei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Microsoft YaHe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Microsoft YaHe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Microsoft YaHe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Microsoft YaHe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Microsoft YaHe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Microsoft YaHe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cs="Times New Roman" w:eastAsia="Microsoft YaHei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Times New Roman" w:hAnsi="Times New Roman" w:cs="Times New Roman" w:eastAsia="Microsoft YaHei"/>
    </w:r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 w:eastAsia="Microsoft YaHe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Microsoft YaHe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Microsoft YaHe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Microsoft YaHe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Microsoft YaHe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Microsoft YaHe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Microsoft YaHe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cs="Times New Roman" w:eastAsia="Microsoft YaHe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 w:eastAsia="Microsoft YaHe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cs="Times New Roman" w:eastAsia="Microsoft YaHe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 w:eastAsia="Microsoft YaHe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cs="Times New Roman" w:eastAsia="Microsoft YaHe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 w:eastAsia="Microsoft YaHe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Microsoft YaHe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Microsoft YaHe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Microsoft YaHe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Microsoft YaHe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Microsoft YaHe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Microsoft YaHe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Microsoft YaHe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cs="Times New Roman" w:eastAsia="Microsoft YaHe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cs="Times New Roman" w:eastAsia="Microsoft YaHe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cs="Times New Roman" w:eastAsia="Microsoft YaHe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Microsoft YaHe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Microsoft YaHe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cs="Times New Roman" w:eastAsia="Microsoft YaHe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 w:eastAsia="Microsoft YaHe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Microsoft YaHe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Microsoft YaHe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Microsoft YaHe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Microsoft YaHe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Microsoft YaHe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Microsoft YaHe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cs="Times New Roman" w:eastAsia="Microsoft YaHe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cs="Times New Roman" w:eastAsia="Microsoft YaHe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cs="Times New Roman" w:eastAsia="Microsoft YaHe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cs="Times New Roman" w:eastAsia="Microsoft YaHe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 w:eastAsia="Microsoft YaHe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cs="Times New Roman" w:eastAsia="Microsoft YaHe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cs="Times New Roman" w:eastAsia="Microsoft YaHe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cs="Times New Roman" w:eastAsia="Microsoft YaHe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cs="Times New Roman" w:eastAsia="Microsoft YaHe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cs="Times New Roman" w:eastAsia="Microsoft YaHe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Microsoft YaHe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Times New Roman" w:hAnsi="Times New Roman" w:cs="Times New Roman" w:eastAsia="Microsoft YaHei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Microsoft YaHe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Microsoft YaHe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Microsoft YaHe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Microsoft YaHe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Microsoft YaHe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Microsoft YaHe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Microsoft YaHe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Times New Roman" w:hAnsi="Times New Roman" w:cs="Times New Roman" w:eastAsia="Microsoft YaHei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Times New Roman" w:hAnsi="Times New Roman" w:cs="Times New Roman" w:eastAsia="Microsoft YaHei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Times New Roman" w:hAnsi="Times New Roman" w:cs="Times New Roman" w:eastAsia="Microsoft YaHei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Times New Roman" w:hAnsi="Times New Roman" w:cs="Times New Roman" w:eastAsia="Microsoft YaHei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Times New Roman" w:hAnsi="Times New Roman" w:cs="Times New Roman" w:eastAsia="Microsoft YaHei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Times New Roman" w:hAnsi="Times New Roman" w:cs="Times New Roman" w:eastAsia="Microsoft YaHei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Times New Roman" w:hAnsi="Times New Roman" w:cs="Times New Roman" w:eastAsia="Microsoft YaHei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Times New Roman" w:hAnsi="Times New Roman" w:cs="Times New Roman" w:eastAsia="Microsoft YaHei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Times New Roman" w:hAnsi="Times New Roman" w:cs="Times New Roman" w:eastAsia="Microsoft YaHei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Times New Roman" w:hAnsi="Times New Roman" w:cs="Times New Roman" w:eastAsia="Microsoft YaHei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Times New Roman" w:hAnsi="Times New Roman" w:cs="Times New Roman" w:eastAsia="Microsoft YaHei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Times New Roman" w:hAnsi="Times New Roman" w:cs="Times New Roman" w:eastAsia="Microsoft YaHei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Times New Roman" w:hAnsi="Times New Roman" w:cs="Times New Roman" w:eastAsia="Microsoft YaHei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Times New Roman" w:hAnsi="Times New Roman" w:cs="Times New Roman" w:eastAsia="Microsoft YaHei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Microsoft YaHei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Microsoft YaHei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Microsoft YaHei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Microsoft YaHei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Microsoft YaHei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Microsoft YaHei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Microsoft YaHei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Microsoft YaHei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Microsoft YaHei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Microsoft YaHei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Microsoft YaHei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Microsoft YaHei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Microsoft YaHei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Microsoft YaHei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Microsoft YaHei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Microsoft YaHei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Microsoft YaHei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Microsoft YaHei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Microsoft YaHei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Microsoft YaHei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Microsoft YaHei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Microsoft YaHei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Microsoft YaHei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Microsoft YaHei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Microsoft YaHei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Microsoft YaHei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Microsoft YaHei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Microsoft YaHei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Microsoft YaHe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rFonts w:ascii="Times New Roman" w:hAnsi="Times New Roman" w:cs="Times New Roman" w:eastAsia="Microsoft YaHei"/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Microsoft YaHe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ascii="Times New Roman" w:hAnsi="Times New Roman" w:cs="Times New Roman" w:eastAsia="Microsoft YaHei"/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Microsoft YaHe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rFonts w:ascii="Times New Roman" w:hAnsi="Times New Roman" w:cs="Times New Roman" w:eastAsia="Microsoft YaHei"/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Microsoft YaHe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rFonts w:ascii="Times New Roman" w:hAnsi="Times New Roman" w:cs="Times New Roman" w:eastAsia="Microsoft YaHei"/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Microsoft YaHe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rFonts w:ascii="Times New Roman" w:hAnsi="Times New Roman" w:cs="Times New Roman" w:eastAsia="Microsoft YaHei"/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Microsoft YaHe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rFonts w:ascii="Times New Roman" w:hAnsi="Times New Roman" w:cs="Times New Roman" w:eastAsia="Microsoft YaHei"/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Microsoft YaHe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rFonts w:ascii="Times New Roman" w:hAnsi="Times New Roman" w:cs="Times New Roman" w:eastAsia="Microsoft YaHei"/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Microsoft YaHei"/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Microsoft YaHei"/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Microsoft YaHei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Microsoft YaHei"/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Microsoft YaHei"/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Microsoft YaHei"/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Microsoft YaHei"/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Times New Roman" w:hAnsi="Times New Roman" w:cs="Times New Roman" w:eastAsia="Microsoft YaHei"/>
        <w:b/>
        <w:bCs/>
      </w:rPr>
    </w:tblStylePr>
    <w:tblStylePr w:type="lastRow">
      <w:rPr>
        <w:rFonts w:ascii="Times New Roman" w:hAnsi="Times New Roman" w:cs="Times New Roman" w:eastAsia="Microsoft YaHei"/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cs="Times New Roman" w:eastAsia="Microsoft YaHei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Times New Roman" w:hAnsi="Times New Roman" w:cs="Times New Roman" w:eastAsia="Microsoft YaHei"/>
        <w:b/>
        <w:bCs/>
      </w:rPr>
    </w:tblStylePr>
    <w:tblStylePr w:type="lastRow">
      <w:rPr>
        <w:rFonts w:ascii="Times New Roman" w:hAnsi="Times New Roman" w:cs="Times New Roman" w:eastAsia="Microsoft YaHei"/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cs="Times New Roman" w:eastAsia="Microsoft YaHei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Times New Roman" w:hAnsi="Times New Roman" w:cs="Times New Roman" w:eastAsia="Microsoft YaHei"/>
        <w:b/>
        <w:bCs/>
      </w:rPr>
    </w:tblStylePr>
    <w:tblStylePr w:type="lastRow">
      <w:rPr>
        <w:rFonts w:ascii="Times New Roman" w:hAnsi="Times New Roman" w:cs="Times New Roman" w:eastAsia="Microsoft YaHei"/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cs="Times New Roman" w:eastAsia="Microsoft YaHei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Times New Roman" w:hAnsi="Times New Roman" w:cs="Times New Roman" w:eastAsia="Microsoft YaHei"/>
        <w:b/>
        <w:bCs/>
      </w:rPr>
    </w:tblStylePr>
    <w:tblStylePr w:type="lastRow">
      <w:rPr>
        <w:rFonts w:ascii="Times New Roman" w:hAnsi="Times New Roman" w:cs="Times New Roman" w:eastAsia="Microsoft YaHei"/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cs="Times New Roman" w:eastAsia="Microsoft YaHei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Times New Roman" w:hAnsi="Times New Roman" w:cs="Times New Roman" w:eastAsia="Microsoft YaHei"/>
        <w:b/>
        <w:bCs/>
      </w:rPr>
    </w:tblStylePr>
    <w:tblStylePr w:type="lastRow">
      <w:rPr>
        <w:rFonts w:ascii="Times New Roman" w:hAnsi="Times New Roman" w:cs="Times New Roman" w:eastAsia="Microsoft YaHei"/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cs="Times New Roman" w:eastAsia="Microsoft YaHei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Times New Roman" w:hAnsi="Times New Roman" w:cs="Times New Roman" w:eastAsia="Microsoft YaHei"/>
        <w:b/>
        <w:bCs/>
      </w:rPr>
    </w:tblStylePr>
    <w:tblStylePr w:type="lastRow">
      <w:rPr>
        <w:rFonts w:ascii="Times New Roman" w:hAnsi="Times New Roman" w:cs="Times New Roman" w:eastAsia="Microsoft YaHei"/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cs="Times New Roman" w:eastAsia="Microsoft YaHei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Times New Roman" w:hAnsi="Times New Roman" w:cs="Times New Roman" w:eastAsia="Microsoft YaHei"/>
        <w:b/>
        <w:bCs/>
      </w:rPr>
    </w:tblStylePr>
    <w:tblStylePr w:type="lastRow">
      <w:rPr>
        <w:rFonts w:ascii="Times New Roman" w:hAnsi="Times New Roman" w:cs="Times New Roman" w:eastAsia="Microsoft YaHei"/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cs="Times New Roman" w:eastAsia="Microsoft YaHei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Times New Roman" w:hAnsi="Times New Roman" w:cs="Times New Roman" w:eastAsia="Microsoft YaHei"/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rFonts w:ascii="Times New Roman" w:hAnsi="Times New Roman" w:cs="Times New Roman" w:eastAsia="Microsoft YaHei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Microsoft YaHei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Microsoft YaHei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Times New Roman" w:hAnsi="Times New Roman" w:cs="Times New Roman" w:eastAsia="Microsoft YaHei"/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rFonts w:ascii="Times New Roman" w:hAnsi="Times New Roman" w:cs="Times New Roman" w:eastAsia="Microsoft YaHei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Microsoft YaHei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Microsoft YaHei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Times New Roman" w:hAnsi="Times New Roman" w:cs="Times New Roman" w:eastAsia="Microsoft YaHei"/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rFonts w:ascii="Times New Roman" w:hAnsi="Times New Roman" w:cs="Times New Roman" w:eastAsia="Microsoft YaHei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Microsoft YaHei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Microsoft YaHei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Times New Roman" w:hAnsi="Times New Roman" w:cs="Times New Roman" w:eastAsia="Microsoft YaHei"/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rFonts w:ascii="Times New Roman" w:hAnsi="Times New Roman" w:cs="Times New Roman" w:eastAsia="Microsoft YaHei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Microsoft YaHei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Microsoft YaHei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Times New Roman" w:hAnsi="Times New Roman" w:cs="Times New Roman" w:eastAsia="Microsoft YaHei"/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rFonts w:ascii="Times New Roman" w:hAnsi="Times New Roman" w:cs="Times New Roman" w:eastAsia="Microsoft YaHei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Microsoft YaHei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Microsoft YaHei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Times New Roman" w:hAnsi="Times New Roman" w:cs="Times New Roman" w:eastAsia="Microsoft YaHei"/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rFonts w:ascii="Times New Roman" w:hAnsi="Times New Roman" w:cs="Times New Roman" w:eastAsia="Microsoft YaHei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Microsoft YaHei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Microsoft YaHei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Times New Roman" w:hAnsi="Times New Roman" w:cs="Times New Roman" w:eastAsia="Microsoft YaHei"/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rFonts w:ascii="Times New Roman" w:hAnsi="Times New Roman" w:cs="Times New Roman" w:eastAsia="Microsoft YaHei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Microsoft YaHei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Microsoft YaHei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Times New Roman" w:hAnsi="Times New Roman" w:cs="Times New Roman" w:eastAsia="Microsoft YaHei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rFonts w:ascii="Times New Roman" w:hAnsi="Times New Roman" w:cs="Times New Roman" w:eastAsia="Microsoft YaHei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rFonts w:ascii="Times New Roman" w:hAnsi="Times New Roman" w:cs="Times New Roman" w:eastAsia="Microsoft YaHei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Times New Roman" w:hAnsi="Times New Roman" w:cs="Times New Roman" w:eastAsia="Microsoft YaHei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Times New Roman" w:hAnsi="Times New Roman" w:cs="Times New Roman" w:eastAsia="Microsoft YaHei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Times New Roman" w:hAnsi="Times New Roman" w:cs="Times New Roman" w:eastAsia="Microsoft YaHei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rFonts w:ascii="Times New Roman" w:hAnsi="Times New Roman" w:cs="Times New Roman" w:eastAsia="Microsoft YaHei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rFonts w:ascii="Times New Roman" w:hAnsi="Times New Roman" w:cs="Times New Roman" w:eastAsia="Microsoft YaHei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Times New Roman" w:hAnsi="Times New Roman" w:cs="Times New Roman" w:eastAsia="Microsoft YaHei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Times New Roman" w:hAnsi="Times New Roman" w:cs="Times New Roman" w:eastAsia="Microsoft YaHei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Times New Roman" w:hAnsi="Times New Roman" w:cs="Times New Roman" w:eastAsia="Microsoft YaHei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rFonts w:ascii="Times New Roman" w:hAnsi="Times New Roman" w:cs="Times New Roman" w:eastAsia="Microsoft YaHei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rFonts w:ascii="Times New Roman" w:hAnsi="Times New Roman" w:cs="Times New Roman" w:eastAsia="Microsoft YaHei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Times New Roman" w:hAnsi="Times New Roman" w:cs="Times New Roman" w:eastAsia="Microsoft YaHei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Times New Roman" w:hAnsi="Times New Roman" w:cs="Times New Roman" w:eastAsia="Microsoft YaHei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Times New Roman" w:hAnsi="Times New Roman" w:cs="Times New Roman" w:eastAsia="Microsoft YaHei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rFonts w:ascii="Times New Roman" w:hAnsi="Times New Roman" w:cs="Times New Roman" w:eastAsia="Microsoft YaHei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rFonts w:ascii="Times New Roman" w:hAnsi="Times New Roman" w:cs="Times New Roman" w:eastAsia="Microsoft YaHei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Times New Roman" w:hAnsi="Times New Roman" w:cs="Times New Roman" w:eastAsia="Microsoft YaHei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Times New Roman" w:hAnsi="Times New Roman" w:cs="Times New Roman" w:eastAsia="Microsoft YaHei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Times New Roman" w:hAnsi="Times New Roman" w:cs="Times New Roman" w:eastAsia="Microsoft YaHei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rFonts w:ascii="Times New Roman" w:hAnsi="Times New Roman" w:cs="Times New Roman" w:eastAsia="Microsoft YaHei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rFonts w:ascii="Times New Roman" w:hAnsi="Times New Roman" w:cs="Times New Roman" w:eastAsia="Microsoft YaHei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Times New Roman" w:hAnsi="Times New Roman" w:cs="Times New Roman" w:eastAsia="Microsoft YaHei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Times New Roman" w:hAnsi="Times New Roman" w:cs="Times New Roman" w:eastAsia="Microsoft YaHei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Times New Roman" w:hAnsi="Times New Roman" w:cs="Times New Roman" w:eastAsia="Microsoft YaHei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rFonts w:ascii="Times New Roman" w:hAnsi="Times New Roman" w:cs="Times New Roman" w:eastAsia="Microsoft YaHei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rFonts w:ascii="Times New Roman" w:hAnsi="Times New Roman" w:cs="Times New Roman" w:eastAsia="Microsoft YaHei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Times New Roman" w:hAnsi="Times New Roman" w:cs="Times New Roman" w:eastAsia="Microsoft YaHei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Times New Roman" w:hAnsi="Times New Roman" w:cs="Times New Roman" w:eastAsia="Microsoft YaHei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Times New Roman" w:hAnsi="Times New Roman" w:cs="Times New Roman" w:eastAsia="Microsoft YaHei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rFonts w:ascii="Times New Roman" w:hAnsi="Times New Roman" w:cs="Times New Roman" w:eastAsia="Microsoft YaHei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rFonts w:ascii="Times New Roman" w:hAnsi="Times New Roman" w:cs="Times New Roman" w:eastAsia="Microsoft YaHei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Times New Roman" w:hAnsi="Times New Roman" w:cs="Times New Roman" w:eastAsia="Microsoft YaHei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Times New Roman" w:hAnsi="Times New Roman" w:cs="Times New Roman" w:eastAsia="Microsoft YaHei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rFonts w:ascii="Times New Roman" w:hAnsi="Times New Roman" w:cs="Times New Roman" w:eastAsia="Microsoft YaHei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rFonts w:ascii="Times New Roman" w:hAnsi="Times New Roman" w:cs="Times New Roman" w:eastAsia="Microsoft YaHei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rFonts w:ascii="Times New Roman" w:hAnsi="Times New Roman" w:cs="Times New Roman" w:eastAsia="Microsoft YaHei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rFonts w:ascii="Times New Roman" w:hAnsi="Times New Roman" w:cs="Times New Roman" w:eastAsia="Microsoft YaHei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rFonts w:ascii="Times New Roman" w:hAnsi="Times New Roman" w:cs="Times New Roman" w:eastAsia="Microsoft YaHei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rFonts w:ascii="Times New Roman" w:hAnsi="Times New Roman" w:cs="Times New Roman" w:eastAsia="Microsoft YaHei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rFonts w:ascii="Times New Roman" w:hAnsi="Times New Roman" w:cs="Times New Roman" w:eastAsia="Microsoft YaHei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ascii="Times New Roman" w:hAnsi="Times New Roman" w:cs="Times New Roman" w:eastAsia="Microsoft YaHei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rFonts w:ascii="Times New Roman" w:hAnsi="Times New Roman" w:cs="Times New Roman" w:eastAsia="Microsoft YaHei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rFonts w:ascii="Times New Roman" w:hAnsi="Times New Roman" w:cs="Times New Roman" w:eastAsia="Microsoft YaHei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rFonts w:ascii="Times New Roman" w:hAnsi="Times New Roman" w:cs="Times New Roman" w:eastAsia="Microsoft YaHei"/>
        <w:color w:val="000000" w:themeColor="text1"/>
      </w:rPr>
    </w:tblStylePr>
    <w:tblStylePr w:type="nwCell">
      <w:rPr>
        <w:rFonts w:ascii="Times New Roman" w:hAnsi="Times New Roman" w:cs="Times New Roman" w:eastAsia="Microsoft YaHei"/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Times New Roman" w:hAnsi="Times New Roman" w:cs="Times New Roman" w:eastAsia="Microsoft YaHei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rFonts w:ascii="Times New Roman" w:hAnsi="Times New Roman" w:cs="Times New Roman" w:eastAsia="Microsoft YaHei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rFonts w:ascii="Times New Roman" w:hAnsi="Times New Roman" w:cs="Times New Roman" w:eastAsia="Microsoft YaHei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rFonts w:ascii="Times New Roman" w:hAnsi="Times New Roman" w:cs="Times New Roman" w:eastAsia="Microsoft YaHei"/>
        <w:color w:val="000000" w:themeColor="text1"/>
      </w:rPr>
    </w:tblStylePr>
    <w:tblStylePr w:type="nwCell">
      <w:rPr>
        <w:rFonts w:ascii="Times New Roman" w:hAnsi="Times New Roman" w:cs="Times New Roman" w:eastAsia="Microsoft YaHei"/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Times New Roman" w:hAnsi="Times New Roman" w:cs="Times New Roman" w:eastAsia="Microsoft YaHei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rFonts w:ascii="Times New Roman" w:hAnsi="Times New Roman" w:cs="Times New Roman" w:eastAsia="Microsoft YaHei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rFonts w:ascii="Times New Roman" w:hAnsi="Times New Roman" w:cs="Times New Roman" w:eastAsia="Microsoft YaHei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ascii="Times New Roman" w:hAnsi="Times New Roman" w:cs="Times New Roman" w:eastAsia="Microsoft YaHei"/>
        <w:color w:val="000000" w:themeColor="text1"/>
      </w:rPr>
    </w:tblStylePr>
    <w:tblStylePr w:type="nwCell">
      <w:rPr>
        <w:rFonts w:ascii="Times New Roman" w:hAnsi="Times New Roman" w:cs="Times New Roman" w:eastAsia="Microsoft YaHei"/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Times New Roman" w:hAnsi="Times New Roman" w:cs="Times New Roman" w:eastAsia="Microsoft YaHei"/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rFonts w:ascii="Times New Roman" w:hAnsi="Times New Roman" w:cs="Times New Roman" w:eastAsia="Microsoft YaHei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rFonts w:ascii="Times New Roman" w:hAnsi="Times New Roman" w:cs="Times New Roman" w:eastAsia="Microsoft YaHei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ascii="Times New Roman" w:hAnsi="Times New Roman" w:cs="Times New Roman" w:eastAsia="Microsoft YaHei"/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rFonts w:ascii="Times New Roman" w:hAnsi="Times New Roman" w:cs="Times New Roman" w:eastAsia="Microsoft YaHei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rFonts w:ascii="Times New Roman" w:hAnsi="Times New Roman" w:cs="Times New Roman" w:eastAsia="Microsoft YaHei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ascii="Times New Roman" w:hAnsi="Times New Roman" w:cs="Times New Roman" w:eastAsia="Microsoft YaHei"/>
        <w:color w:val="000000" w:themeColor="text1"/>
      </w:rPr>
    </w:tblStylePr>
    <w:tblStylePr w:type="nwCell">
      <w:rPr>
        <w:rFonts w:ascii="Times New Roman" w:hAnsi="Times New Roman" w:cs="Times New Roman" w:eastAsia="Microsoft YaHei"/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Times New Roman" w:hAnsi="Times New Roman" w:cs="Times New Roman" w:eastAsia="Microsoft YaHei"/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rFonts w:ascii="Times New Roman" w:hAnsi="Times New Roman" w:cs="Times New Roman" w:eastAsia="Microsoft YaHei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rFonts w:ascii="Times New Roman" w:hAnsi="Times New Roman" w:cs="Times New Roman" w:eastAsia="Microsoft YaHei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ascii="Times New Roman" w:hAnsi="Times New Roman" w:cs="Times New Roman" w:eastAsia="Microsoft YaHei"/>
        <w:color w:val="000000" w:themeColor="text1"/>
      </w:rPr>
    </w:tblStylePr>
    <w:tblStylePr w:type="nwCell">
      <w:rPr>
        <w:rFonts w:ascii="Times New Roman" w:hAnsi="Times New Roman" w:cs="Times New Roman" w:eastAsia="Microsoft YaHei"/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Times New Roman" w:hAnsi="Times New Roman" w:cs="Times New Roman" w:eastAsia="Microsoft YaHei"/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rFonts w:ascii="Times New Roman" w:hAnsi="Times New Roman" w:cs="Times New Roman" w:eastAsia="Microsoft YaHei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rFonts w:ascii="Times New Roman" w:hAnsi="Times New Roman" w:cs="Times New Roman" w:eastAsia="Microsoft YaHei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ascii="Times New Roman" w:hAnsi="Times New Roman" w:cs="Times New Roman" w:eastAsia="Microsoft YaHei"/>
        <w:color w:val="000000" w:themeColor="text1"/>
      </w:rPr>
    </w:tblStylePr>
    <w:tblStylePr w:type="nwCell">
      <w:rPr>
        <w:rFonts w:ascii="Times New Roman" w:hAnsi="Times New Roman" w:cs="Times New Roman" w:eastAsia="Microsoft YaHei"/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hAnsi="Times New Roman" w:cs="Times New Roman" w:eastAsia="Microsoft YaHei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hAnsi="Times New Roman" w:cs="Times New Roman" w:eastAsia="Microsoft YaHei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hAnsi="Times New Roman" w:cs="Times New Roman" w:eastAsia="Microsoft YaHei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rFonts w:ascii="Times New Roman" w:hAnsi="Times New Roman" w:cs="Times New Roman" w:eastAsia="Microsoft YaHei"/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rFonts w:ascii="Times New Roman" w:hAnsi="Times New Roman" w:cs="Times New Roman" w:eastAsia="Microsoft YaHei"/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rFonts w:ascii="Times New Roman" w:hAnsi="Times New Roman" w:cs="Times New Roman" w:eastAsia="Microsoft YaHei"/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Times New Roman" w:hAnsi="Times New Roman" w:cs="Times New Roman" w:eastAsia="Microsoft YaHei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rFonts w:ascii="Times New Roman" w:hAnsi="Times New Roman" w:cs="Times New Roman" w:eastAsia="Microsoft YaHei"/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Microsoft YaHei"/>
        <w:b/>
        <w:bCs/>
      </w:rPr>
    </w:tblStylePr>
    <w:tblStylePr w:type="lastCol">
      <w:rPr>
        <w:rFonts w:ascii="Times New Roman" w:hAnsi="Times New Roman" w:cs="Times New Roman" w:eastAsia="Microsoft YaHei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rFonts w:ascii="Times New Roman" w:hAnsi="Times New Roman" w:cs="Times New Roman" w:eastAsia="Microsoft YaHei"/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rFonts w:ascii="Times New Roman" w:hAnsi="Times New Roman" w:cs="Times New Roman" w:eastAsia="Microsoft YaHei"/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rFonts w:ascii="Times New Roman" w:hAnsi="Times New Roman" w:cs="Times New Roman" w:eastAsia="Microsoft YaHei"/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rFonts w:ascii="Times New Roman" w:hAnsi="Times New Roman" w:cs="Times New Roman" w:eastAsia="Microsoft YaHei"/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rFonts w:ascii="Times New Roman" w:hAnsi="Times New Roman" w:cs="Times New Roman" w:eastAsia="Microsoft YaHei"/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rFonts w:ascii="Times New Roman" w:hAnsi="Times New Roman" w:cs="Times New Roman" w:eastAsia="Microsoft YaHei"/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rFonts w:ascii="Times New Roman" w:hAnsi="Times New Roman" w:cs="Times New Roman" w:eastAsia="Microsoft YaHei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rFonts w:ascii="Times New Roman" w:hAnsi="Times New Roman" w:cs="Times New Roman" w:eastAsia="Microsoft YaHei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rFonts w:ascii="Times New Roman" w:hAnsi="Times New Roman" w:cs="Times New Roman" w:eastAsia="Microsoft YaHei"/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rFonts w:ascii="Times New Roman" w:hAnsi="Times New Roman" w:cs="Times New Roman" w:eastAsia="Microsoft YaHei"/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rFonts w:ascii="Times New Roman" w:hAnsi="Times New Roman" w:cs="Times New Roman" w:eastAsia="Microsoft YaHei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rFonts w:ascii="Times New Roman" w:hAnsi="Times New Roman" w:cs="Times New Roman" w:eastAsia="Microsoft YaHei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rFonts w:ascii="Times New Roman" w:hAnsi="Times New Roman" w:cs="Times New Roman" w:eastAsia="Microsoft YaHei"/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rFonts w:ascii="Times New Roman" w:hAnsi="Times New Roman" w:cs="Times New Roman" w:eastAsia="Microsoft YaHei"/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rFonts w:ascii="Times New Roman" w:hAnsi="Times New Roman" w:cs="Times New Roman" w:eastAsia="Microsoft YaHei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rFonts w:ascii="Times New Roman" w:hAnsi="Times New Roman" w:cs="Times New Roman" w:eastAsia="Microsoft YaHei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rFonts w:ascii="Times New Roman" w:hAnsi="Times New Roman" w:cs="Times New Roman" w:eastAsia="Microsoft YaHei"/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rFonts w:ascii="Times New Roman" w:hAnsi="Times New Roman" w:cs="Times New Roman" w:eastAsia="Microsoft YaHei"/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rFonts w:ascii="Times New Roman" w:hAnsi="Times New Roman" w:cs="Times New Roman" w:eastAsia="Microsoft YaHei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rFonts w:ascii="Times New Roman" w:hAnsi="Times New Roman" w:cs="Times New Roman" w:eastAsia="Microsoft YaHei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rFonts w:ascii="Times New Roman" w:hAnsi="Times New Roman" w:cs="Times New Roman" w:eastAsia="Microsoft YaHei"/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rFonts w:ascii="Times New Roman" w:hAnsi="Times New Roman" w:cs="Times New Roman" w:eastAsia="Microsoft YaHei"/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rFonts w:ascii="Times New Roman" w:hAnsi="Times New Roman" w:cs="Times New Roman" w:eastAsia="Microsoft YaHei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rFonts w:ascii="Times New Roman" w:hAnsi="Times New Roman" w:cs="Times New Roman" w:eastAsia="Microsoft YaHei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rFonts w:ascii="Times New Roman" w:hAnsi="Times New Roman" w:cs="Times New Roman" w:eastAsia="Microsoft YaHei"/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rFonts w:ascii="Times New Roman" w:hAnsi="Times New Roman" w:cs="Times New Roman" w:eastAsia="Microsoft YaHei"/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rFonts w:ascii="Times New Roman" w:hAnsi="Times New Roman" w:cs="Times New Roman" w:eastAsia="Microsoft YaHei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rFonts w:ascii="Times New Roman" w:hAnsi="Times New Roman" w:cs="Times New Roman" w:eastAsia="Microsoft YaHei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Microsoft YaHei"/>
        <a:cs typeface="Times New Roman"/>
        <a:font script="Jpan" typeface="ＭＳ ゴシック"/>
        <a:font script="Hang" typeface="맑은 고딕"/>
        <a:font script="Hans" typeface="Microsoft YaHei"/>
        <a:font script="Hant" typeface="Microsoft YaHei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Microsoft YaHei"/>
        <a:cs typeface="Times New Roman"/>
        <a:font script="Jpan" typeface="ＭＳ 明朝"/>
        <a:font script="Hang" typeface="맑은 고딕"/>
        <a:font script="Hans" typeface="Microsoft YaHei"/>
        <a:font script="Hant" typeface="Microsoft YaHei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法律论证标注系统用例设计与项目原型</dc:title>
  <dc:subject>系统用例图和三个核心用例描述</dc:subject>
  <dc:creator/>
  <cp:keywords>法律论证 标注 用例 教学 原型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