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Arial" w:hAnsi="Arial"/>
          <w:b w:val="0"/>
          <w:sz w:val="36"/>
        </w:rPr>
      </w:pPr>
      <w:bookmarkStart w:id="1" w:name="_f93puumh4psd"/>
      <w:bookmarkEnd w:id="1"/>
      <w:bookmarkStart w:id="2" w:name="_fo7hxob1zfi0"/>
      <w:bookmarkEnd w:id="2"/>
      <w:bookmarkStart w:id="3" w:name="_5szumpb8cpjk"/>
      <w:bookmarkEnd w:id="3"/>
      <w:r>
        <w:t>Приёмка работы</w:t>
      </w:r>
    </w:p>
    <w:p w14:paraId="02000000">
      <w:pPr>
        <w:ind/>
        <w:jc w:val="both"/>
      </w:pPr>
    </w:p>
    <w:tbl>
      <w:tblPr>
        <w:tblStyle w:val="Style_2"/>
        <w:tblInd w:type="dxa" w:w="-405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2448"/>
        <w:gridCol w:w="2715"/>
        <w:gridCol w:w="2388"/>
        <w:gridCol w:w="1884"/>
      </w:tblGrid>
      <w:t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D0E0E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3000000">
            <w:pPr>
              <w:widowControl w:val="0"/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Действия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D0E0E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4000000">
            <w:pPr>
              <w:widowControl w:val="0"/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Предусловие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D0E0E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5000000">
            <w:pPr>
              <w:widowControl w:val="0"/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Результат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D0E0E3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6000000">
            <w:pPr>
              <w:widowControl w:val="0"/>
              <w:spacing w:line="240" w:lineRule="auto"/>
              <w:ind/>
              <w:rPr>
                <w:b w:val="1"/>
              </w:rPr>
            </w:pPr>
            <w:r>
              <w:rPr>
                <w:b w:val="1"/>
              </w:rPr>
              <w:t>Компонент</w:t>
            </w:r>
          </w:p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700000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 w:left="720"/>
              <w:jc w:val="center"/>
              <w:rPr>
                <w:b w:val="1"/>
              </w:rPr>
            </w:pPr>
            <w:r>
              <w:rPr>
                <w:b w:val="1"/>
              </w:rPr>
              <w:t>Поиск товара через строку поиска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8000000">
            <w:pPr>
              <w:widowControl w:val="0"/>
              <w:spacing w:line="240" w:lineRule="auto"/>
              <w:ind/>
            </w:pPr>
            <w:r>
              <w:t>Ввод названия товара в строку поиска.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9000000">
            <w:pPr>
              <w:widowControl w:val="0"/>
              <w:spacing w:line="240" w:lineRule="auto"/>
              <w:ind/>
            </w:pPr>
            <w:r>
              <w:t>Ввести название несуществующего товара. Например, «1234».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A000000">
            <w:pPr>
              <w:widowControl w:val="0"/>
              <w:spacing w:line="240" w:lineRule="auto"/>
              <w:ind/>
            </w:pPr>
            <w:r>
              <w:t>Заглушка «Товар не найден».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B000000">
            <w:pPr>
              <w:widowControl w:val="0"/>
              <w:spacing w:line="240" w:lineRule="auto"/>
              <w:ind/>
            </w:pPr>
            <w:r>
              <w:t>Строка поиска.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C000000">
            <w:pPr>
              <w:widowControl w:val="0"/>
              <w:spacing w:line="240" w:lineRule="auto"/>
              <w:ind/>
            </w:pPr>
            <w:r>
              <w:t>Ввести название существующего товара.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D000000">
            <w:pPr>
              <w:widowControl w:val="0"/>
              <w:spacing w:line="240" w:lineRule="auto"/>
              <w:ind/>
            </w:pPr>
            <w:r>
              <w:t>Страница с найденным товаром.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E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2. Просмотр товаров по категориям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F000000">
            <w:pPr>
              <w:widowControl w:val="0"/>
              <w:spacing w:line="240" w:lineRule="auto"/>
              <w:ind/>
            </w:pPr>
            <w:r>
              <w:t>Нажатие на кнопку/ссылку с категорией товара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0000000">
            <w:pPr>
              <w:widowControl w:val="0"/>
              <w:spacing w:line="240" w:lineRule="auto"/>
              <w:ind/>
            </w:pPr>
            <w:r>
              <w:t>Нажать на кнопку/ссылку категория товара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1000000">
            <w:pPr>
              <w:widowControl w:val="0"/>
              <w:spacing w:line="240" w:lineRule="auto"/>
              <w:ind/>
            </w:pPr>
            <w:r>
              <w:t>Открывается страница с товарами одной категории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2000000">
            <w:pPr>
              <w:widowControl w:val="0"/>
              <w:spacing w:line="240" w:lineRule="auto"/>
              <w:ind/>
            </w:pPr>
            <w:r>
              <w:t>Список товаров</w:t>
            </w:r>
          </w:p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3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3. Просмотр карточки товара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4000000">
            <w:pPr>
              <w:widowControl w:val="0"/>
              <w:spacing w:line="240" w:lineRule="auto"/>
              <w:ind/>
            </w:pPr>
            <w:r>
              <w:t>Нажатие на карточку товара из списка категорий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5000000">
            <w:pPr>
              <w:widowControl w:val="0"/>
              <w:spacing w:line="240" w:lineRule="auto"/>
              <w:ind/>
            </w:pPr>
            <w:r>
              <w:t>Нажать на карточку товара в списке категорий</w:t>
            </w:r>
          </w:p>
        </w:tc>
        <w:tc>
          <w:tcPr>
            <w:tcW w:type="dxa" w:w="238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6000000">
            <w:pPr>
              <w:widowControl w:val="0"/>
              <w:spacing w:line="240" w:lineRule="auto"/>
              <w:ind/>
            </w:pPr>
            <w:r>
              <w:t>Открывается страница с описанием товара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7000000">
            <w:pPr>
              <w:widowControl w:val="0"/>
              <w:spacing w:line="240" w:lineRule="auto"/>
              <w:ind/>
            </w:pPr>
            <w:r>
              <w:t>Страница товара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8000000">
            <w:pPr>
              <w:widowControl w:val="0"/>
              <w:spacing w:line="240" w:lineRule="auto"/>
              <w:ind/>
            </w:pPr>
            <w:r>
              <w:t>Нажать на карточку товара из списка акций</w:t>
            </w:r>
          </w:p>
        </w:tc>
        <w:tc>
          <w:tcPr>
            <w:tcW w:type="dxa" w:w="238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9000000">
            <w:pPr>
              <w:widowControl w:val="0"/>
              <w:spacing w:line="240" w:lineRule="auto"/>
              <w:ind/>
            </w:pPr>
            <w:r>
              <w:t xml:space="preserve">Найти товар через строку поиска и нажать на карточку товара </w:t>
            </w:r>
          </w:p>
        </w:tc>
        <w:tc>
          <w:tcPr>
            <w:tcW w:type="dxa" w:w="238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A000000">
            <w:pPr>
              <w:widowControl w:val="0"/>
              <w:spacing w:line="240" w:lineRule="auto"/>
              <w:ind/>
            </w:pPr>
            <w:r>
              <w:t>Нажатие на кнопку добавления товара в карточке товара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B000000">
            <w:pPr>
              <w:widowControl w:val="0"/>
              <w:spacing w:line="240" w:lineRule="auto"/>
              <w:ind/>
            </w:pPr>
            <w:r>
              <w:t>Нажать на кнопку добавления товара(корзина) в карточке товара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C000000">
            <w:pPr>
              <w:widowControl w:val="0"/>
              <w:spacing w:line="240" w:lineRule="auto"/>
              <w:ind/>
            </w:pPr>
            <w:r>
              <w:t>Товар из карточки добавляется в корзину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D000000">
            <w:pPr>
              <w:widowControl w:val="0"/>
              <w:spacing w:line="240" w:lineRule="auto"/>
              <w:ind/>
            </w:pPr>
            <w:r>
              <w:t>Страница товара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E000000">
            <w:pPr>
              <w:widowControl w:val="0"/>
              <w:spacing w:line="240" w:lineRule="auto"/>
              <w:ind/>
            </w:pPr>
            <w:r>
              <w:t xml:space="preserve">Выбор параметров размера и цвета  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F000000">
            <w:pPr>
              <w:widowControl w:val="0"/>
              <w:spacing w:line="240" w:lineRule="auto"/>
              <w:ind/>
            </w:pPr>
            <w:r>
              <w:t>Выбрать в карточке товара размер и цвет из списка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0000000">
            <w:pPr>
              <w:widowControl w:val="0"/>
              <w:spacing w:line="240" w:lineRule="auto"/>
              <w:ind/>
            </w:pPr>
            <w:r>
              <w:t>Выбранный из списка размер и цвет отображается в соответствующей графе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1000000">
            <w:pPr>
              <w:widowControl w:val="0"/>
              <w:spacing w:line="240" w:lineRule="auto"/>
              <w:ind/>
            </w:pPr>
            <w:r>
              <w:t>Страница товара</w:t>
            </w:r>
          </w:p>
          <w:p w14:paraId="22000000">
            <w:pPr>
              <w:widowControl w:val="0"/>
              <w:spacing w:line="240" w:lineRule="auto"/>
              <w:ind/>
            </w:pP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3000000">
            <w:pPr>
              <w:widowControl w:val="0"/>
              <w:spacing w:line="240" w:lineRule="auto"/>
              <w:ind/>
            </w:pPr>
            <w:r>
              <w:t>Не заполнять поля размера и цвета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4000000">
            <w:pPr>
              <w:widowControl w:val="0"/>
              <w:spacing w:line="240" w:lineRule="auto"/>
              <w:ind/>
            </w:pPr>
            <w:r>
              <w:t>Поля размера и цвета отображаются дефолтные либо пустые в зависимости от реализации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5000000">
            <w:pPr>
              <w:widowControl w:val="0"/>
              <w:spacing w:line="240" w:lineRule="auto"/>
              <w:ind/>
            </w:pPr>
            <w:r>
              <w:t xml:space="preserve">Заполнить вводом с клавиатуры </w:t>
            </w:r>
          </w:p>
          <w:p w14:paraId="26000000">
            <w:pPr>
              <w:widowControl w:val="0"/>
              <w:spacing w:line="240" w:lineRule="auto"/>
              <w:ind/>
            </w:pPr>
            <w:r>
              <w:t xml:space="preserve">в карточке товара размер (валидное  число) и цвет 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7000000">
            <w:pPr>
              <w:widowControl w:val="0"/>
              <w:spacing w:line="240" w:lineRule="auto"/>
              <w:ind/>
            </w:pPr>
            <w:r>
              <w:t>Размер и цвет отображается в соответствующей графе</w:t>
            </w:r>
          </w:p>
          <w:p w14:paraId="28000000">
            <w:pPr>
              <w:widowControl w:val="0"/>
              <w:spacing w:line="240" w:lineRule="auto"/>
              <w:ind/>
            </w:pP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9000000">
            <w:pPr>
              <w:widowControl w:val="0"/>
              <w:spacing w:line="240" w:lineRule="auto"/>
              <w:ind/>
            </w:pPr>
            <w:r>
              <w:t xml:space="preserve">Заполнить вводом с клавиатуры </w:t>
            </w:r>
          </w:p>
          <w:p w14:paraId="2A000000">
            <w:pPr>
              <w:widowControl w:val="0"/>
              <w:spacing w:line="240" w:lineRule="auto"/>
              <w:ind/>
            </w:pPr>
            <w:r>
              <w:t xml:space="preserve"> в карточке товара размер(невалидное  число) и несуществующий цвет 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B000000">
            <w:pPr>
              <w:widowControl w:val="0"/>
              <w:spacing w:line="240" w:lineRule="auto"/>
              <w:ind/>
            </w:pPr>
            <w:r>
              <w:t>Комбобокс не дает ввести невалидное значение и несуществующий цвет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C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4. Возможность добавлять заказ в корзину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D000000">
            <w:pPr>
              <w:widowControl w:val="0"/>
              <w:spacing w:line="240" w:lineRule="auto"/>
              <w:ind/>
            </w:pPr>
            <w:r>
              <w:t>Нажатие на кнопку Купить в карточке товара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E000000">
            <w:pPr>
              <w:widowControl w:val="0"/>
              <w:spacing w:line="240" w:lineRule="auto"/>
              <w:ind/>
            </w:pPr>
            <w:r>
              <w:t>Нажать на кнопку Купить в карточке товара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2F000000">
            <w:pPr>
              <w:widowControl w:val="0"/>
              <w:spacing w:line="240" w:lineRule="auto"/>
              <w:ind/>
            </w:pPr>
            <w:r>
              <w:t>Товар из карточки добавляется в корзину, пользователь остается на странице товара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0000000">
            <w:pPr>
              <w:widowControl w:val="0"/>
              <w:spacing w:line="240" w:lineRule="auto"/>
              <w:ind/>
            </w:pPr>
            <w:r>
              <w:t>Страница корзины</w:t>
            </w:r>
          </w:p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1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5. Возможность редактировать корзину заказов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2000000">
            <w:pPr>
              <w:widowControl w:val="0"/>
              <w:spacing w:line="240" w:lineRule="auto"/>
              <w:ind/>
            </w:pPr>
            <w:r>
              <w:t>Редактирование заказов в корзине</w:t>
            </w:r>
          </w:p>
          <w:p w14:paraId="33000000">
            <w:pPr>
              <w:widowControl w:val="0"/>
              <w:spacing w:line="240" w:lineRule="auto"/>
              <w:ind/>
            </w:pPr>
            <w:r>
              <w:t xml:space="preserve"> 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4000000">
            <w:pPr>
              <w:widowControl w:val="0"/>
              <w:spacing w:line="240" w:lineRule="auto"/>
              <w:ind/>
            </w:pPr>
            <w:r>
              <w:t>Увеличить количество товаров в корзине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5000000">
            <w:pPr>
              <w:widowControl w:val="0"/>
              <w:spacing w:line="240" w:lineRule="auto"/>
              <w:ind/>
            </w:pPr>
            <w:r>
              <w:t xml:space="preserve">Количество товаров в корзине увеличилось 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6000000">
            <w:pPr>
              <w:widowControl w:val="0"/>
              <w:spacing w:line="240" w:lineRule="auto"/>
              <w:ind/>
            </w:pPr>
            <w:r>
              <w:t>Страница корзины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7000000">
            <w:pPr>
              <w:widowControl w:val="0"/>
              <w:spacing w:line="240" w:lineRule="auto"/>
              <w:ind/>
            </w:pPr>
            <w:r>
              <w:t>Уменьшить количество товара в корзине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8000000">
            <w:pPr>
              <w:widowControl w:val="0"/>
              <w:spacing w:line="240" w:lineRule="auto"/>
              <w:ind/>
            </w:pPr>
            <w:r>
              <w:t xml:space="preserve">Количество товара в корзине уменьшилось 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9000000">
            <w:pPr>
              <w:widowControl w:val="0"/>
              <w:spacing w:line="240" w:lineRule="auto"/>
              <w:ind/>
            </w:pPr>
            <w:r>
              <w:t>Удалить товар из списка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A000000">
            <w:pPr>
              <w:widowControl w:val="0"/>
              <w:spacing w:line="240" w:lineRule="auto"/>
              <w:ind/>
            </w:pPr>
            <w:r>
              <w:t>Товар удалился из списка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B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6. Возможность ввести промокод или сертификат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C000000">
            <w:pPr>
              <w:widowControl w:val="0"/>
              <w:spacing w:line="240" w:lineRule="auto"/>
              <w:ind/>
            </w:pPr>
            <w:r>
              <w:t>Использование сертификата или промокода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D000000">
            <w:pPr>
              <w:widowControl w:val="0"/>
              <w:spacing w:line="240" w:lineRule="auto"/>
              <w:ind/>
            </w:pPr>
            <w:r>
              <w:t xml:space="preserve">Ввести в поле промокод или сертификат в соответствующее поле. 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E000000">
            <w:pPr>
              <w:widowControl w:val="0"/>
              <w:spacing w:line="240" w:lineRule="auto"/>
              <w:ind/>
            </w:pPr>
            <w:r>
              <w:t>Сумма заказа автоматически пересчитывается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3F000000">
            <w:pPr>
              <w:widowControl w:val="0"/>
              <w:spacing w:line="240" w:lineRule="auto"/>
              <w:ind/>
            </w:pPr>
            <w:r>
              <w:t>Страница корзины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0000000">
            <w:pPr>
              <w:widowControl w:val="0"/>
              <w:spacing w:line="240" w:lineRule="auto"/>
              <w:ind/>
            </w:pPr>
            <w:r>
              <w:t>Ввести несуществующий промокод или сертификат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1000000">
            <w:pPr>
              <w:widowControl w:val="0"/>
              <w:spacing w:line="240" w:lineRule="auto"/>
              <w:ind/>
            </w:pPr>
            <w:r>
              <w:t>Форма не дает ввести невалидный код, появляется сообщение валидности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2000000">
            <w:pPr>
              <w:widowControl w:val="0"/>
              <w:spacing w:line="240" w:lineRule="auto"/>
              <w:ind/>
            </w:pPr>
            <w:r>
              <w:t>Ввести сертификат в акционном товаре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3000000">
            <w:pPr>
              <w:widowControl w:val="0"/>
              <w:spacing w:line="240" w:lineRule="auto"/>
              <w:ind/>
            </w:pPr>
            <w:r>
              <w:t>Сумма заказа автоматически пересчитывается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4000000">
            <w:pPr>
              <w:widowControl w:val="0"/>
              <w:spacing w:line="240" w:lineRule="auto"/>
              <w:ind/>
            </w:pPr>
            <w:r>
              <w:t>Ввести промокод в акционном товаре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5000000">
            <w:pPr>
              <w:widowControl w:val="0"/>
              <w:spacing w:line="240" w:lineRule="auto"/>
              <w:ind/>
            </w:pPr>
            <w:r>
              <w:t>Нельзя оплатить акционный товар по промокоду. Появляется сообщение об ошибке.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6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7. Калькулятор расчета суммы заказа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7000000">
            <w:pPr>
              <w:widowControl w:val="0"/>
              <w:spacing w:line="240" w:lineRule="auto"/>
              <w:ind/>
            </w:pPr>
            <w:r>
              <w:t>Расчет суммы заказа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8000000">
            <w:pPr>
              <w:widowControl w:val="0"/>
              <w:spacing w:line="240" w:lineRule="auto"/>
              <w:ind/>
            </w:pPr>
            <w:r>
              <w:t>Увеличить количество товаров в корзине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9000000">
            <w:pPr>
              <w:widowControl w:val="0"/>
              <w:spacing w:line="240" w:lineRule="auto"/>
              <w:ind/>
            </w:pPr>
            <w:r>
              <w:t>Сумма заказа увеличилась эквивалентно стоимости добавленного товара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A000000">
            <w:pPr>
              <w:widowControl w:val="0"/>
              <w:spacing w:line="240" w:lineRule="auto"/>
              <w:ind/>
            </w:pPr>
            <w:r>
              <w:t>Калькулятор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B000000">
            <w:pPr>
              <w:widowControl w:val="0"/>
              <w:spacing w:line="240" w:lineRule="auto"/>
              <w:ind/>
            </w:pPr>
            <w:r>
              <w:t>Уменьшить количество товара в корзине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C000000">
            <w:pPr>
              <w:widowControl w:val="0"/>
              <w:spacing w:line="240" w:lineRule="auto"/>
              <w:ind/>
            </w:pPr>
            <w:r>
              <w:t>Сумма заказа уменьшилась эквивалентно стоимости товара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D000000">
            <w:pPr>
              <w:widowControl w:val="0"/>
              <w:spacing w:line="240" w:lineRule="auto"/>
              <w:ind/>
            </w:pPr>
            <w:r>
              <w:t>Удалить товар из списка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E000000">
            <w:pPr>
              <w:widowControl w:val="0"/>
              <w:spacing w:line="240" w:lineRule="auto"/>
              <w:ind/>
            </w:pPr>
            <w:r>
              <w:t>Сумма заказа уменьшилась эквивалентно стоимости удаленного товара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4F000000">
            <w:pPr>
              <w:widowControl w:val="0"/>
              <w:spacing w:line="240" w:lineRule="auto"/>
              <w:ind/>
            </w:pPr>
            <w:r>
              <w:t>Ввести сертификат или промокод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0000000">
            <w:pPr>
              <w:widowControl w:val="0"/>
              <w:spacing w:line="240" w:lineRule="auto"/>
              <w:ind/>
            </w:pPr>
            <w:r>
              <w:t>Сумма пересчиталась с учетом скидки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1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8. Оформление доставки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2000000">
            <w:pPr>
              <w:widowControl w:val="0"/>
              <w:spacing w:line="240" w:lineRule="auto"/>
              <w:ind/>
            </w:pPr>
            <w:r>
              <w:t>Выбор способа доставки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3000000">
            <w:pPr>
              <w:widowControl w:val="0"/>
              <w:spacing w:line="240" w:lineRule="auto"/>
              <w:ind/>
            </w:pPr>
            <w:r>
              <w:t>Выбрать курьерскую доставку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4000000">
            <w:pPr>
              <w:widowControl w:val="0"/>
              <w:spacing w:line="240" w:lineRule="auto"/>
              <w:ind/>
            </w:pPr>
            <w:r>
              <w:t>Финальная стоимость увеличилась на 150р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5000000">
            <w:pPr>
              <w:widowControl w:val="0"/>
              <w:spacing w:line="240" w:lineRule="auto"/>
              <w:ind/>
            </w:pPr>
            <w:r>
              <w:t>Страница доставки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6000000">
            <w:pPr>
              <w:widowControl w:val="0"/>
              <w:spacing w:line="240" w:lineRule="auto"/>
              <w:ind/>
            </w:pPr>
            <w:r>
              <w:t>Выбрать самовывоз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7000000">
            <w:pPr>
              <w:widowControl w:val="0"/>
              <w:spacing w:line="240" w:lineRule="auto"/>
              <w:ind/>
            </w:pPr>
            <w:r>
              <w:t>Финальная стоимость не изменилась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8000000">
            <w:pPr>
              <w:widowControl w:val="0"/>
              <w:spacing w:line="240" w:lineRule="auto"/>
              <w:ind/>
            </w:pPr>
            <w:r>
              <w:t>Выбрать Почту РФ первый класс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9000000">
            <w:pPr>
              <w:widowControl w:val="0"/>
              <w:spacing w:line="240" w:lineRule="auto"/>
              <w:ind/>
            </w:pPr>
            <w:r>
              <w:t>Финальная стоимость увеличилась на 350р.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A000000">
            <w:pPr>
              <w:widowControl w:val="0"/>
              <w:spacing w:line="240" w:lineRule="auto"/>
              <w:ind/>
            </w:pPr>
            <w:r>
              <w:t>Выбрать транспортную компанию “Деловые линии”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B000000">
            <w:pPr>
              <w:widowControl w:val="0"/>
              <w:spacing w:line="240" w:lineRule="auto"/>
              <w:ind/>
            </w:pPr>
            <w:r>
              <w:t>Финальная стоимость увеличилась на 450р.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C000000">
            <w:pPr>
              <w:widowControl w:val="0"/>
              <w:spacing w:line="240" w:lineRule="auto"/>
              <w:ind/>
            </w:pPr>
            <w:r>
              <w:t>Ничего не выбирать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D000000">
            <w:pPr>
              <w:widowControl w:val="0"/>
              <w:spacing w:line="240" w:lineRule="auto"/>
              <w:ind/>
            </w:pPr>
            <w:r>
              <w:t>Появление сообщения о необходимости выбрать способ доставки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E000000">
            <w:pPr>
              <w:widowControl w:val="0"/>
              <w:spacing w:line="240" w:lineRule="auto"/>
              <w:ind/>
            </w:pPr>
            <w:r>
              <w:t>Выбрать несколько вариантов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5F000000">
            <w:pPr>
              <w:widowControl w:val="0"/>
              <w:spacing w:line="240" w:lineRule="auto"/>
              <w:ind/>
            </w:pPr>
            <w:r>
              <w:t>Элемент радиобаттон не позволяет выбрать несколько вариантов доставки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0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9. Организация онлайн оплаты, прием платежей</w:t>
            </w:r>
          </w:p>
        </w:tc>
      </w:tr>
      <w:tr>
        <w:trPr>
          <w:trHeight w:hRule="atLeast" w:val="420"/>
        </w:trPr>
        <w:tc>
          <w:tcPr>
            <w:tcW w:type="dxa" w:w="2448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1000000">
            <w:pPr>
              <w:widowControl w:val="0"/>
              <w:spacing w:line="240" w:lineRule="auto"/>
              <w:ind/>
            </w:pPr>
            <w:r>
              <w:t>Выбор способа оплаты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2000000">
            <w:pPr>
              <w:widowControl w:val="0"/>
              <w:spacing w:line="240" w:lineRule="auto"/>
              <w:ind/>
            </w:pPr>
            <w:r>
              <w:t>Выбрать наличные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3000000">
            <w:pPr>
              <w:widowControl w:val="0"/>
              <w:spacing w:line="240" w:lineRule="auto"/>
              <w:ind/>
            </w:pPr>
            <w:r>
              <w:t>Выбран один результат “наличные”</w:t>
            </w:r>
          </w:p>
        </w:tc>
        <w:tc>
          <w:tcPr>
            <w:tcW w:type="dxa" w:w="1884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4000000">
            <w:pPr>
              <w:widowControl w:val="0"/>
              <w:spacing w:line="240" w:lineRule="auto"/>
              <w:ind/>
            </w:pPr>
            <w:r>
              <w:t>Страница выбора оплаты</w:t>
            </w:r>
          </w:p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5000000">
            <w:pPr>
              <w:widowControl w:val="0"/>
              <w:spacing w:line="240" w:lineRule="auto"/>
              <w:ind/>
            </w:pPr>
            <w:r>
              <w:t>Выбрать VISA/MasterCard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6000000">
            <w:pPr>
              <w:widowControl w:val="0"/>
              <w:spacing w:line="240" w:lineRule="auto"/>
              <w:ind/>
            </w:pPr>
            <w:r>
              <w:t>Выбран один результат VISA/MasterCard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7000000">
            <w:pPr>
              <w:widowControl w:val="0"/>
              <w:spacing w:line="240" w:lineRule="auto"/>
              <w:ind/>
            </w:pPr>
            <w:r>
              <w:t>Выбрать WebMoney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8000000">
            <w:pPr>
              <w:widowControl w:val="0"/>
              <w:spacing w:line="240" w:lineRule="auto"/>
              <w:ind/>
            </w:pPr>
            <w:r>
              <w:t>Выбран один результат WebMoney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9000000">
            <w:pPr>
              <w:widowControl w:val="0"/>
              <w:spacing w:line="240" w:lineRule="auto"/>
              <w:ind/>
            </w:pPr>
            <w:r>
              <w:t>Выбрать Яндекс.Деньги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A000000">
            <w:pPr>
              <w:widowControl w:val="0"/>
              <w:spacing w:line="240" w:lineRule="auto"/>
              <w:ind/>
            </w:pPr>
            <w:r>
              <w:t>Выбран один результат Яндекс.Деньги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B000000">
            <w:pPr>
              <w:widowControl w:val="0"/>
              <w:spacing w:line="240" w:lineRule="auto"/>
              <w:ind/>
            </w:pPr>
            <w:r>
              <w:t>Ничего не выбирать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C000000">
            <w:pPr>
              <w:widowControl w:val="0"/>
              <w:spacing w:line="240" w:lineRule="auto"/>
              <w:ind/>
            </w:pPr>
            <w:r>
              <w:t>Появление сообщения о необходимости выбрать способ доставки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2448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D000000">
            <w:pPr>
              <w:widowControl w:val="0"/>
              <w:spacing w:line="240" w:lineRule="auto"/>
              <w:ind/>
            </w:pPr>
            <w:r>
              <w:t>Выбрать несколько вариантов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E000000">
            <w:pPr>
              <w:widowControl w:val="0"/>
              <w:spacing w:line="240" w:lineRule="auto"/>
              <w:ind/>
            </w:pPr>
            <w:r>
              <w:t>Элемент радиобаттон не позволяет выбрать несколько вариантов оплаты</w:t>
            </w:r>
          </w:p>
        </w:tc>
        <w:tc>
          <w:tcPr>
            <w:tcW w:type="dxa" w:w="1884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6F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10. Статичные баннеры с акционными товарами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0000000">
            <w:pPr>
              <w:widowControl w:val="0"/>
              <w:spacing w:line="240" w:lineRule="auto"/>
              <w:ind/>
            </w:pPr>
            <w:r>
              <w:t>Нажатие на баннер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1000000">
            <w:pPr>
              <w:widowControl w:val="0"/>
              <w:spacing w:line="240" w:lineRule="auto"/>
              <w:ind/>
            </w:pPr>
            <w:r>
              <w:t>Нажать на баннер с акционным товаром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2000000">
            <w:pPr>
              <w:widowControl w:val="0"/>
              <w:spacing w:line="240" w:lineRule="auto"/>
              <w:ind/>
            </w:pPr>
            <w:r>
              <w:t>Открывается акционный товар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3000000">
            <w:pPr>
              <w:widowControl w:val="0"/>
              <w:spacing w:line="240" w:lineRule="auto"/>
              <w:ind/>
            </w:pPr>
            <w:r>
              <w:t>Статичные баннеры с акционными товарами</w:t>
            </w:r>
          </w:p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4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11. Контакты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5000000">
            <w:pPr>
              <w:widowControl w:val="0"/>
              <w:spacing w:line="240" w:lineRule="auto"/>
              <w:ind/>
            </w:pPr>
            <w:r>
              <w:t>Нажатие на вкладку “Контакты”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6000000">
            <w:pPr>
              <w:widowControl w:val="0"/>
              <w:spacing w:line="240" w:lineRule="auto"/>
              <w:ind/>
            </w:pPr>
            <w:r>
              <w:t>Нажать на вкладку “Контакты”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7000000">
            <w:pPr>
              <w:widowControl w:val="0"/>
              <w:spacing w:line="240" w:lineRule="auto"/>
              <w:ind/>
            </w:pPr>
            <w:r>
              <w:t>Открывается окно, где указаны номера телефонов отдела продаж и контроля качества обслуживания, электронная почта, куда можно отправить письмо с обратной связью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8000000">
            <w:pPr>
              <w:widowControl w:val="0"/>
              <w:spacing w:line="240" w:lineRule="auto"/>
              <w:ind/>
            </w:pPr>
            <w:r>
              <w:t>Страница “Контакты”</w:t>
            </w:r>
          </w:p>
        </w:tc>
      </w:tr>
      <w:tr>
        <w:trPr>
          <w:trHeight w:hRule="atLeast" w:val="420"/>
        </w:trPr>
        <w:tc>
          <w:tcPr>
            <w:tcW w:type="dxa" w:w="9434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9000000">
            <w:pPr>
              <w:widowControl w:val="0"/>
              <w:spacing w:line="240" w:lineRule="auto"/>
              <w:ind/>
              <w:jc w:val="center"/>
              <w:rPr>
                <w:b w:val="1"/>
              </w:rPr>
            </w:pPr>
            <w:r>
              <w:rPr>
                <w:b w:val="1"/>
              </w:rPr>
              <w:t>12. Помощь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A000000">
            <w:pPr>
              <w:widowControl w:val="0"/>
              <w:spacing w:line="240" w:lineRule="auto"/>
              <w:ind/>
            </w:pPr>
            <w:r>
              <w:t>Нажатие на вкладку “Помощь”</w:t>
            </w: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B000000">
            <w:pPr>
              <w:widowControl w:val="0"/>
              <w:spacing w:line="240" w:lineRule="auto"/>
              <w:ind/>
            </w:pPr>
            <w:r>
              <w:t>Нажать на вкладку “Помощь”</w:t>
            </w: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C000000">
            <w:pPr>
              <w:widowControl w:val="0"/>
              <w:spacing w:line="240" w:lineRule="auto"/>
              <w:ind/>
            </w:pPr>
            <w:r>
              <w:t>Открывается страница с чатом тех. поддержки</w:t>
            </w: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D000000">
            <w:pPr>
              <w:widowControl w:val="0"/>
              <w:spacing w:line="240" w:lineRule="auto"/>
              <w:ind/>
            </w:pPr>
            <w:r>
              <w:t>Страница “Помощь”</w:t>
            </w:r>
          </w:p>
        </w:tc>
      </w:tr>
      <w:tr>
        <w:trPr>
          <w:trHeight w:hRule="atLeast" w:val="420"/>
        </w:trPr>
        <w:tc>
          <w:tcPr>
            <w:tcW w:type="dxa" w:w="24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E000000">
            <w:pPr>
              <w:widowControl w:val="0"/>
              <w:spacing w:line="240" w:lineRule="auto"/>
              <w:ind/>
            </w:pPr>
          </w:p>
        </w:tc>
        <w:tc>
          <w:tcPr>
            <w:tcW w:type="dxa" w:w="271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7F000000">
            <w:pPr>
              <w:widowControl w:val="0"/>
              <w:spacing w:line="240" w:lineRule="auto"/>
              <w:ind/>
            </w:pPr>
          </w:p>
        </w:tc>
        <w:tc>
          <w:tcPr>
            <w:tcW w:type="dxa" w:w="238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80000000">
            <w:pPr>
              <w:widowControl w:val="0"/>
              <w:spacing w:line="240" w:lineRule="auto"/>
              <w:ind/>
            </w:pPr>
          </w:p>
        </w:tc>
        <w:tc>
          <w:tcPr>
            <w:tcW w:type="dxa" w:w="188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81000000">
            <w:pPr>
              <w:widowControl w:val="0"/>
              <w:spacing w:line="240" w:lineRule="auto"/>
              <w:ind/>
            </w:pPr>
          </w:p>
        </w:tc>
      </w:tr>
    </w:tbl>
    <w:p w14:paraId="82000000">
      <w:pPr>
        <w:spacing w:before="240"/>
        <w:ind w:firstLine="0" w:left="0"/>
      </w:pPr>
    </w:p>
    <w:p w14:paraId="83000000">
      <w:pPr>
        <w:spacing w:before="240"/>
        <w:ind w:firstLine="0" w:left="0"/>
      </w:pPr>
    </w:p>
    <w:p w14:paraId="84000000">
      <w:pPr>
        <w:rPr>
          <w:rFonts w:ascii="Helvetica Neue" w:hAnsi="Helvetica Neue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rFonts w:ascii="Helvetica Neue" w:hAnsi="Helvetica Neue"/>
      <w:sz w:val="24"/>
    </w:rPr>
  </w:style>
  <w:style w:styleId="Style_8_ch" w:type="character">
    <w:name w:val="heading 3"/>
    <w:basedOn w:val="Style_3_ch"/>
    <w:link w:val="Style_8"/>
    <w:rPr>
      <w:rFonts w:ascii="Helvetica Neue" w:hAnsi="Helvetica Neue"/>
      <w:sz w:val="24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3"/>
    <w:next w:val="Style_3"/>
    <w:link w:val="Style_10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3_ch"/>
    <w:link w:val="Style_10"/>
    <w:rPr>
      <w:color w:val="666666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spacing w:after="240" w:before="240"/>
      <w:ind/>
      <w:outlineLvl w:val="0"/>
    </w:pPr>
    <w:rPr>
      <w:rFonts w:ascii="Helvetica Neue" w:hAnsi="Helvetica Neue"/>
      <w:b w:val="1"/>
      <w:sz w:val="28"/>
    </w:rPr>
  </w:style>
  <w:style w:styleId="Style_1_ch" w:type="character">
    <w:name w:val="heading 1"/>
    <w:basedOn w:val="Style_3_ch"/>
    <w:link w:val="Style_1"/>
    <w:rPr>
      <w:rFonts w:ascii="Helvetica Neue" w:hAnsi="Helvetica Neue"/>
      <w:b w:val="1"/>
      <w:sz w:val="2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3"/>
    <w:next w:val="Style_3"/>
    <w:link w:val="Style_18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8_ch" w:type="character">
    <w:name w:val="Subtitle"/>
    <w:basedOn w:val="Style_3_ch"/>
    <w:link w:val="Style_18"/>
    <w:rPr>
      <w:rFonts w:ascii="Arial" w:hAnsi="Arial"/>
      <w:i w:val="0"/>
      <w:color w:val="666666"/>
      <w:sz w:val="30"/>
    </w:rPr>
  </w:style>
  <w:style w:styleId="Style_19" w:type="paragraph">
    <w:name w:val="Title"/>
    <w:basedOn w:val="Style_3"/>
    <w:next w:val="Style_3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3_ch"/>
    <w:link w:val="Style_19"/>
    <w:rPr>
      <w:sz w:val="52"/>
    </w:rPr>
  </w:style>
  <w:style w:styleId="Style_20" w:type="paragraph">
    <w:name w:val="heading 4"/>
    <w:basedOn w:val="Style_3"/>
    <w:next w:val="Style_3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3_ch"/>
    <w:link w:val="Style_20"/>
    <w:rPr>
      <w:color w:val="666666"/>
      <w:sz w:val="24"/>
    </w:rPr>
  </w:style>
  <w:style w:styleId="Style_21" w:type="paragraph">
    <w:name w:val="heading 2"/>
    <w:basedOn w:val="Style_3"/>
    <w:next w:val="Style_3"/>
    <w:link w:val="Style_21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1_ch" w:type="character">
    <w:name w:val="heading 2"/>
    <w:basedOn w:val="Style_3_ch"/>
    <w:link w:val="Style_21"/>
    <w:rPr>
      <w:b w:val="0"/>
      <w:sz w:val="32"/>
    </w:rPr>
  </w:style>
  <w:style w:styleId="Style_22" w:type="paragraph">
    <w:name w:val="heading 6"/>
    <w:basedOn w:val="Style_3"/>
    <w:next w:val="Style_3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2_ch" w:type="character">
    <w:name w:val="heading 6"/>
    <w:basedOn w:val="Style_3_ch"/>
    <w:link w:val="Style_22"/>
    <w:rPr>
      <w:i w:val="1"/>
      <w:color w:val="666666"/>
      <w:sz w:val="22"/>
    </w:rPr>
  </w:style>
  <w:style w:styleId="Style_2" w:type="table">
    <w:basedOn w:val="Style_23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2023-09-21T14:06:33Z</dcterms:modified>
</cp:coreProperties>
</file>