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0b6571f3d665392a1e2b67c64f1e7571fa8e2a"/>
    <w:p>
      <w:pPr>
        <w:pStyle w:val="Heading1"/>
      </w:pPr>
      <w:r>
        <w:t xml:space="preserve">Анкета для оценки состояния информационной безопасности (киберустойчивости)</w:t>
      </w:r>
    </w:p>
    <w:p>
      <w:pPr>
        <w:pStyle w:val="FirstParagraph"/>
      </w:pPr>
      <w:r>
        <w:rPr>
          <w:b/>
          <w:bCs/>
        </w:rPr>
        <w:t xml:space="preserve">Обновлённая версия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2026-06-24 ·</w:t>
      </w:r>
      <w:r>
        <w:t xml:space="preserve"> </w:t>
      </w: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«ГС Ритейл»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ПО на базе искусственного интеллекта для банковских процессов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Договор с заказчиком</w:t>
            </w:r>
          </w:p>
        </w:tc>
        <w:tc>
          <w:tcPr/>
          <w:p>
            <w:pPr>
              <w:pStyle w:val="Compact"/>
            </w:pPr>
            <w:r>
              <w:t xml:space="preserve">№ 14-03/2026 (ОАО «АСБ Беларусбанк»)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Контактное лицо</w:t>
            </w:r>
          </w:p>
        </w:tc>
        <w:tc>
          <w:tcPr/>
          <w:p>
            <w:pPr>
              <w:pStyle w:val="Compact"/>
            </w:pPr>
            <w:r>
              <w:t xml:space="preserve">Пономарев А.В., +375 29 6678873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Подпись от имени организации</w:t>
            </w:r>
          </w:p>
        </w:tc>
        <w:tc>
          <w:tcPr/>
          <w:p>
            <w:pPr>
              <w:pStyle w:val="Compact"/>
            </w:pPr>
            <w:r>
              <w:t xml:space="preserve">Директор — Есис Геннадий Владимирович</w:t>
            </w:r>
          </w:p>
        </w:tc>
      </w:tr>
    </w:tbl>
    <w:p>
      <w:pPr>
        <w:pStyle w:val="BlockText"/>
      </w:pPr>
      <w:r>
        <w:t xml:space="preserve">Ниже указаны</w:t>
      </w:r>
      <w:r>
        <w:t xml:space="preserve"> </w:t>
      </w:r>
      <w:r>
        <w:rPr>
          <w:b/>
          <w:bCs/>
        </w:rPr>
        <w:t xml:space="preserve">изменённые и ключевые</w:t>
      </w:r>
      <w:r>
        <w:t xml:space="preserve"> </w:t>
      </w:r>
      <w:r>
        <w:t xml:space="preserve">ответы относительно первоначальной анкеты (incoming/anketa-zapolnennaya.pdf). Остальные ответы без изменений.</w:t>
      </w:r>
    </w:p>
    <w:p>
      <w:r>
        <w:pict>
          <v:rect style="width:0;height:1.5pt" o:hralign="center" o:hrstd="t" o:hr="t"/>
        </w:pict>
      </w:r>
    </w:p>
    <w:bookmarkStart w:id="20" w:name="изменённые-ответы"/>
    <w:p>
      <w:pPr>
        <w:pStyle w:val="Heading2"/>
      </w:pPr>
      <w:r>
        <w:t xml:space="preserve">Изменённые ответы</w:t>
      </w:r>
    </w:p>
    <w:bookmarkStart w:id="9" w:name="направления-в-зоне-ответственности-иб"/>
    <w:p>
      <w:pPr>
        <w:pStyle w:val="Heading3"/>
      </w:pPr>
      <w:r>
        <w:t xml:space="preserve">6. Направления в зоне ответственности ИБ</w:t>
      </w:r>
    </w:p>
    <w:p>
      <w:pPr>
        <w:pStyle w:val="FirstParagraph"/>
      </w:pPr>
      <w:r>
        <w:rPr>
          <w:b/>
          <w:bCs/>
        </w:rPr>
        <w:t xml:space="preserve">Отмечено (дополнительно к прежним):</w:t>
      </w:r>
    </w:p>
    <w:p>
      <w:pPr>
        <w:pStyle w:val="Compact"/>
        <w:numPr>
          <w:ilvl w:val="0"/>
          <w:numId w:val="1001"/>
        </w:numPr>
      </w:pPr>
      <w:r>
        <w:t xml:space="preserve">Обучение сотрудников</w:t>
      </w:r>
    </w:p>
    <w:p>
      <w:pPr>
        <w:pStyle w:val="Compact"/>
        <w:numPr>
          <w:ilvl w:val="0"/>
          <w:numId w:val="1002"/>
        </w:numPr>
      </w:pPr>
      <w:r>
        <w:t xml:space="preserve">Обеспечение сетевой безопасности</w:t>
      </w:r>
    </w:p>
    <w:p>
      <w:pPr>
        <w:pStyle w:val="Compact"/>
        <w:numPr>
          <w:ilvl w:val="0"/>
          <w:numId w:val="1003"/>
        </w:numPr>
      </w:pPr>
      <w:r>
        <w:t xml:space="preserve">Контроль прав доступа</w:t>
      </w:r>
    </w:p>
    <w:p>
      <w:pPr>
        <w:pStyle w:val="Compact"/>
        <w:numPr>
          <w:ilvl w:val="0"/>
          <w:numId w:val="1004"/>
        </w:numPr>
      </w:pPr>
      <w:r>
        <w:t xml:space="preserve">Обеспечение антивирусной защиты информации</w:t>
      </w:r>
    </w:p>
    <w:p>
      <w:pPr>
        <w:pStyle w:val="Compact"/>
        <w:numPr>
          <w:ilvl w:val="0"/>
          <w:numId w:val="1005"/>
        </w:numPr>
      </w:pPr>
      <w:r>
        <w:t xml:space="preserve">Управление уязвимостями</w:t>
      </w:r>
    </w:p>
    <w:p>
      <w:pPr>
        <w:pStyle w:val="FirstParagraph"/>
      </w:pPr>
      <w:r>
        <w:rPr>
          <w:i/>
          <w:iCs/>
        </w:rPr>
        <w:t xml:space="preserve">Основание:</w:t>
      </w:r>
      <w:r>
        <w:t xml:space="preserve"> </w:t>
      </w:r>
      <w:r>
        <w:t xml:space="preserve">политика ИБ (</w:t>
      </w:r>
      <w:r>
        <w:rPr>
          <w:rStyle w:val="VerbatimChar"/>
        </w:rPr>
        <w:t xml:space="preserve">politika-informacionnoj-bezopasnosti.md</w:t>
      </w:r>
      <w:r>
        <w:t xml:space="preserve">).</w:t>
      </w:r>
    </w:p>
    <w:bookmarkEnd w:id="9"/>
    <w:bookmarkStart w:id="10" w:name="система-защиты-информации-приказ-оац-66"/>
    <w:p>
      <w:pPr>
        <w:pStyle w:val="Heading3"/>
      </w:pPr>
      <w:r>
        <w:t xml:space="preserve">7. Система защиты информации (Приказ ОАЦ № 66)</w:t>
      </w:r>
    </w:p>
    <w:p>
      <w:pPr>
        <w:pStyle w:val="Compact"/>
        <w:numPr>
          <w:ilvl w:val="0"/>
          <w:numId w:val="1006"/>
        </w:numPr>
      </w:pPr>
      <w:r>
        <w:t xml:space="preserve">Да, внедрена и официально аттестована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Система защиты информации внедрена, но не аттестована</w:t>
      </w:r>
    </w:p>
    <w:p>
      <w:pPr>
        <w:pStyle w:val="Compact"/>
        <w:numPr>
          <w:ilvl w:val="0"/>
          <w:numId w:val="1008"/>
        </w:numPr>
      </w:pPr>
      <w:r>
        <w:t xml:space="preserve">Нет</w:t>
      </w:r>
    </w:p>
    <w:p>
      <w:pPr>
        <w:pStyle w:val="FirstParagraph"/>
      </w:pPr>
      <w:r>
        <w:rPr>
          <w:i/>
          <w:iCs/>
        </w:rPr>
        <w:t xml:space="preserve">Подтверждение:</w:t>
      </w:r>
      <w:r>
        <w:t xml:space="preserve"> </w:t>
      </w:r>
      <w:r>
        <w:t xml:space="preserve">дорожная карта аттестации СЗИ (</w:t>
      </w:r>
      <w:r>
        <w:rPr>
          <w:rStyle w:val="VerbatimChar"/>
        </w:rPr>
        <w:t xml:space="preserve">dorozhnaya-karta-attestacii-szi.md</w:t>
      </w:r>
      <w:r>
        <w:t xml:space="preserve">); компенсирующие меры: MFA, сегментация сети, резервное копирование критичных активов, формализованные политики и регламенты ИБ.</w:t>
      </w:r>
    </w:p>
    <w:bookmarkEnd w:id="10"/>
    <w:bookmarkStart w:id="11" w:name="политика-информационной-безопасности"/>
    <w:p>
      <w:pPr>
        <w:pStyle w:val="Heading3"/>
      </w:pPr>
      <w:r>
        <w:t xml:space="preserve">8. Политика информационной безопасности</w:t>
      </w:r>
    </w:p>
    <w:p>
      <w:pPr>
        <w:pStyle w:val="Compact"/>
        <w:numPr>
          <w:ilvl w:val="0"/>
          <w:numId w:val="1009"/>
        </w:numPr>
      </w:pPr>
      <w:r>
        <w:t xml:space="preserve">За последние 12 месяцев проводились пересмотр Политики и её обновление</w:t>
      </w:r>
    </w:p>
    <w:p>
      <w:pPr>
        <w:pStyle w:val="Compact"/>
        <w:numPr>
          <w:ilvl w:val="0"/>
          <w:numId w:val="1010"/>
        </w:numPr>
      </w:pPr>
      <w:r>
        <w:t xml:space="preserve">Политика официально утверждена высшим руководством организации</w:t>
      </w:r>
    </w:p>
    <w:p>
      <w:pPr>
        <w:pStyle w:val="Compact"/>
        <w:numPr>
          <w:ilvl w:val="0"/>
          <w:numId w:val="1011"/>
        </w:numPr>
      </w:pPr>
      <w:r>
        <w:t xml:space="preserve">В политике регламентированы принципы организации и функционирования системы ИБ</w:t>
      </w:r>
    </w:p>
    <w:p>
      <w:pPr>
        <w:pStyle w:val="Compact"/>
        <w:numPr>
          <w:ilvl w:val="0"/>
          <w:numId w:val="1012"/>
        </w:numPr>
      </w:pPr>
      <w:r>
        <w:t xml:space="preserve">В политике рассматриваются правовые аспекты обеспечения безопасности</w:t>
      </w:r>
    </w:p>
    <w:p>
      <w:pPr>
        <w:pStyle w:val="Compact"/>
        <w:numPr>
          <w:ilvl w:val="0"/>
          <w:numId w:val="1013"/>
        </w:numPr>
      </w:pPr>
      <w:r>
        <w:t xml:space="preserve">Политика доведена до сведения работников (штат, подрядчики)</w:t>
      </w:r>
    </w:p>
    <w:p>
      <w:pPr>
        <w:pStyle w:val="Compact"/>
        <w:numPr>
          <w:ilvl w:val="0"/>
          <w:numId w:val="1014"/>
        </w:numPr>
      </w:pPr>
      <w:r>
        <w:t xml:space="preserve">В политике определены требования к перечню частных политик</w:t>
      </w:r>
    </w:p>
    <w:p>
      <w:pPr>
        <w:pStyle w:val="Compact"/>
        <w:numPr>
          <w:ilvl w:val="0"/>
          <w:numId w:val="1015"/>
        </w:numPr>
      </w:pPr>
      <w:r>
        <w:rPr>
          <w:strike/>
        </w:rPr>
        <w:t xml:space="preserve">Необходимость создания единой политики ИБ отсутствует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снято</w:t>
      </w:r>
    </w:p>
    <w:p>
      <w:pPr>
        <w:pStyle w:val="FirstParagraph"/>
      </w:pPr>
      <w:r>
        <w:rPr>
          <w:i/>
          <w:iCs/>
        </w:rPr>
        <w:t xml:space="preserve">Приложение:</w:t>
      </w:r>
      <w:r>
        <w:t xml:space="preserve"> </w:t>
      </w:r>
      <w:r>
        <w:rPr>
          <w:rStyle w:val="VerbatimChar"/>
        </w:rPr>
        <w:t xml:space="preserve">politika-informacionnoj-bezopasnosti.docx</w:t>
      </w:r>
    </w:p>
    <w:bookmarkEnd w:id="11"/>
    <w:bookmarkStart w:id="12" w:name="разделы-определённые-политикой-иб"/>
    <w:p>
      <w:pPr>
        <w:pStyle w:val="Heading3"/>
      </w:pPr>
      <w:r>
        <w:t xml:space="preserve">9. Разделы, определённые политикой ИБ</w:t>
      </w:r>
    </w:p>
    <w:p>
      <w:pPr>
        <w:pStyle w:val="FirstParagraph"/>
      </w:pPr>
      <w:r>
        <w:rPr>
          <w:b/>
          <w:bCs/>
        </w:rPr>
        <w:t xml:space="preserve">Дополнительно отмечено:</w:t>
      </w:r>
    </w:p>
    <w:p>
      <w:pPr>
        <w:pStyle w:val="Compact"/>
        <w:numPr>
          <w:ilvl w:val="0"/>
          <w:numId w:val="1016"/>
        </w:numPr>
      </w:pPr>
      <w:r>
        <w:t xml:space="preserve">Классификация данных/информации</w:t>
      </w:r>
    </w:p>
    <w:p>
      <w:pPr>
        <w:pStyle w:val="Compact"/>
        <w:numPr>
          <w:ilvl w:val="0"/>
          <w:numId w:val="1017"/>
        </w:numPr>
      </w:pPr>
      <w:r>
        <w:t xml:space="preserve">Обеспечение конфиденциальности данных/защита персональных данных</w:t>
      </w:r>
    </w:p>
    <w:p>
      <w:pPr>
        <w:pStyle w:val="Compact"/>
        <w:numPr>
          <w:ilvl w:val="0"/>
          <w:numId w:val="1018"/>
        </w:numPr>
      </w:pPr>
      <w:r>
        <w:t xml:space="preserve">Хранение/уничтожение данных/информации</w:t>
      </w:r>
    </w:p>
    <w:bookmarkEnd w:id="12"/>
    <w:bookmarkStart w:id="13" w:name="X933b21ad3b31835c242eade0bf51febf0fe13f0"/>
    <w:p>
      <w:pPr>
        <w:pStyle w:val="Heading3"/>
      </w:pPr>
      <w:r>
        <w:t xml:space="preserve">12. Контроль утечки конфиденциальной информации</w:t>
      </w:r>
    </w:p>
    <w:p>
      <w:pPr>
        <w:pStyle w:val="Compact"/>
        <w:numPr>
          <w:ilvl w:val="0"/>
          <w:numId w:val="1019"/>
        </w:numPr>
      </w:pPr>
      <w:r>
        <w:t xml:space="preserve">Разработана специальная политика в отношении классификации конфиденциальной информации и порядка работы с ней</w:t>
      </w:r>
    </w:p>
    <w:p>
      <w:pPr>
        <w:pStyle w:val="Compact"/>
        <w:numPr>
          <w:ilvl w:val="0"/>
          <w:numId w:val="1020"/>
        </w:numPr>
      </w:pPr>
      <w:r>
        <w:t xml:space="preserve">Ограничено/запрещено использование систем мгновенного обмена сообщениями или электронной почты для передачи конфиденциальной информации</w:t>
      </w:r>
    </w:p>
    <w:p>
      <w:pPr>
        <w:pStyle w:val="FirstParagraph"/>
      </w:pPr>
      <w:r>
        <w:rPr>
          <w:i/>
          <w:iCs/>
        </w:rPr>
        <w:t xml:space="preserve">Приложение:</w:t>
      </w:r>
      <w:r>
        <w:t xml:space="preserve"> </w:t>
      </w:r>
      <w:r>
        <w:rPr>
          <w:rStyle w:val="VerbatimChar"/>
        </w:rPr>
        <w:t xml:space="preserve">politika-kontrolya-konfidencialnoj-informacii.docx</w:t>
      </w:r>
    </w:p>
    <w:bookmarkEnd w:id="13"/>
    <w:bookmarkStart w:id="14" w:name="управление-уязвимостями"/>
    <w:p>
      <w:pPr>
        <w:pStyle w:val="Heading3"/>
      </w:pPr>
      <w:r>
        <w:t xml:space="preserve">16. Управление уязвимостями</w:t>
      </w:r>
    </w:p>
    <w:p>
      <w:pPr>
        <w:pStyle w:val="Compact"/>
        <w:numPr>
          <w:ilvl w:val="0"/>
          <w:numId w:val="1021"/>
        </w:numPr>
      </w:pPr>
      <w:r>
        <w:t xml:space="preserve">Выявление уязвимостей происходит в соответствии с планом-графиком сканирования (ежеквартально)</w:t>
      </w:r>
    </w:p>
    <w:p>
      <w:pPr>
        <w:pStyle w:val="Compact"/>
        <w:numPr>
          <w:ilvl w:val="0"/>
          <w:numId w:val="1022"/>
        </w:numPr>
      </w:pPr>
      <w:r>
        <w:t xml:space="preserve">Обнаруженные уязвимости в программном обеспечении устраняются в установленные SLA (критичные — до 30 дней)</w:t>
      </w:r>
    </w:p>
    <w:p>
      <w:pPr>
        <w:pStyle w:val="Compact"/>
        <w:numPr>
          <w:ilvl w:val="0"/>
          <w:numId w:val="1023"/>
        </w:numPr>
      </w:pPr>
      <w:r>
        <w:rPr>
          <w:strike/>
        </w:rPr>
        <w:t xml:space="preserve">Выявление вручную, по результатам анализа версий ПО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заменено регламентом</w:t>
      </w:r>
    </w:p>
    <w:p>
      <w:pPr>
        <w:pStyle w:val="FirstParagraph"/>
      </w:pPr>
      <w:r>
        <w:rPr>
          <w:i/>
          <w:iCs/>
        </w:rPr>
        <w:t xml:space="preserve">Приложение:</w:t>
      </w:r>
      <w:r>
        <w:t xml:space="preserve"> </w:t>
      </w:r>
      <w:r>
        <w:rPr>
          <w:rStyle w:val="VerbatimChar"/>
        </w:rPr>
        <w:t xml:space="preserve">reglament-upravleniya-uyazvimostyami.docx</w:t>
      </w:r>
    </w:p>
    <w:bookmarkEnd w:id="14"/>
    <w:bookmarkStart w:id="15" w:name="защита-электронной-почты"/>
    <w:p>
      <w:pPr>
        <w:pStyle w:val="Heading3"/>
      </w:pPr>
      <w:r>
        <w:t xml:space="preserve">23. Защита электронной почты</w:t>
      </w:r>
    </w:p>
    <w:p>
      <w:pPr>
        <w:pStyle w:val="FirstParagraph"/>
      </w:pPr>
      <w:r>
        <w:rPr>
          <w:b/>
          <w:bCs/>
        </w:rPr>
        <w:t xml:space="preserve">Сохранено из первоначальной анкеты:</w:t>
      </w:r>
    </w:p>
    <w:p>
      <w:pPr>
        <w:pStyle w:val="Compact"/>
        <w:numPr>
          <w:ilvl w:val="0"/>
          <w:numId w:val="1024"/>
        </w:numPr>
      </w:pPr>
      <w:r>
        <w:t xml:space="preserve">Последние версии браузеров и почтовых клиентов</w:t>
      </w:r>
    </w:p>
    <w:p>
      <w:pPr>
        <w:pStyle w:val="Compact"/>
        <w:numPr>
          <w:ilvl w:val="0"/>
          <w:numId w:val="1025"/>
        </w:numPr>
      </w:pPr>
      <w:r>
        <w:t xml:space="preserve">Блокировка опасных расширений на почтовом шлюзе</w:t>
      </w:r>
    </w:p>
    <w:p>
      <w:pPr>
        <w:pStyle w:val="Compact"/>
        <w:numPr>
          <w:ilvl w:val="0"/>
          <w:numId w:val="1026"/>
        </w:numPr>
      </w:pPr>
      <w:r>
        <w:t xml:space="preserve">Сканирование вложений антивирусными средствами</w:t>
      </w:r>
    </w:p>
    <w:p>
      <w:pPr>
        <w:pStyle w:val="FirstParagraph"/>
      </w:pPr>
      <w:r>
        <w:rPr>
          <w:b/>
          <w:bCs/>
        </w:rPr>
        <w:t xml:space="preserve">Добавлено:</w:t>
      </w:r>
    </w:p>
    <w:p>
      <w:pPr>
        <w:pStyle w:val="Compact"/>
        <w:numPr>
          <w:ilvl w:val="0"/>
          <w:numId w:val="1027"/>
        </w:numPr>
      </w:pPr>
      <w:r>
        <w:t xml:space="preserve">Службы DNS-фильтрации (внедрение завершить до Q3 2026; регламент утверждён)</w:t>
      </w:r>
    </w:p>
    <w:p>
      <w:pPr>
        <w:pStyle w:val="FirstParagraph"/>
      </w:pPr>
      <w:r>
        <w:rPr>
          <w:i/>
          <w:iCs/>
        </w:rPr>
        <w:t xml:space="preserve">Приложение:</w:t>
      </w:r>
      <w:r>
        <w:t xml:space="preserve"> </w:t>
      </w:r>
      <w:r>
        <w:rPr>
          <w:rStyle w:val="VerbatimChar"/>
        </w:rPr>
        <w:t xml:space="preserve">reglament-zashchity-elektronnoj-pochty.docx</w:t>
      </w:r>
    </w:p>
    <w:bookmarkEnd w:id="15"/>
    <w:bookmarkStart w:id="16" w:name="обучение-сотрудников-основам-иб"/>
    <w:p>
      <w:pPr>
        <w:pStyle w:val="Heading3"/>
      </w:pPr>
      <w:r>
        <w:t xml:space="preserve">27. Обучение сотрудников основам ИБ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Проводится</w:t>
      </w:r>
      <w:r>
        <w:t xml:space="preserve"> </w:t>
      </w:r>
      <w:r>
        <w:t xml:space="preserve">(не реже раза в год)</w:t>
      </w:r>
    </w:p>
    <w:p>
      <w:pPr>
        <w:pStyle w:val="Compact"/>
        <w:numPr>
          <w:ilvl w:val="0"/>
          <w:numId w:val="1029"/>
        </w:numPr>
      </w:pPr>
      <w:r>
        <w:t xml:space="preserve">Не проводится —</w:t>
      </w:r>
      <w:r>
        <w:t xml:space="preserve"> </w:t>
      </w:r>
      <w:r>
        <w:rPr>
          <w:b/>
          <w:bCs/>
        </w:rPr>
        <w:t xml:space="preserve">снято</w:t>
      </w:r>
    </w:p>
    <w:p>
      <w:pPr>
        <w:pStyle w:val="FirstParagraph"/>
      </w:pPr>
      <w:r>
        <w:rPr>
          <w:i/>
          <w:iCs/>
        </w:rPr>
        <w:t xml:space="preserve">Подтверждение:</w:t>
      </w:r>
      <w:r>
        <w:t xml:space="preserve"> </w:t>
      </w:r>
      <w:r>
        <w:t xml:space="preserve">план обучения ИБ; первый провод — Q3 2026 (</w:t>
      </w:r>
      <w:r>
        <w:rPr>
          <w:rStyle w:val="VerbatimChar"/>
        </w:rPr>
        <w:t xml:space="preserve">plan-obucheniya-ib.docx</w:t>
      </w:r>
      <w:r>
        <w:t xml:space="preserve">).</w:t>
      </w:r>
    </w:p>
    <w:bookmarkEnd w:id="16"/>
    <w:bookmarkStart w:id="17" w:name="реагирование-на-инциденты"/>
    <w:p>
      <w:pPr>
        <w:pStyle w:val="Heading3"/>
      </w:pPr>
      <w:r>
        <w:t xml:space="preserve">28. Реагирование на инциденты</w:t>
      </w:r>
    </w:p>
    <w:p>
      <w:pPr>
        <w:pStyle w:val="Compact"/>
        <w:numPr>
          <w:ilvl w:val="0"/>
          <w:numId w:val="1030"/>
        </w:numPr>
      </w:pPr>
      <w:r>
        <w:t xml:space="preserve">Назначен работник, отвечающий за координацию (Пономарев А.В., технический директор)</w:t>
      </w:r>
    </w:p>
    <w:p>
      <w:pPr>
        <w:pStyle w:val="Compact"/>
        <w:numPr>
          <w:ilvl w:val="0"/>
          <w:numId w:val="1031"/>
        </w:numPr>
      </w:pPr>
      <w:r>
        <w:t xml:space="preserve">Разработан регламент реагирования на инциденты</w:t>
      </w:r>
    </w:p>
    <w:p>
      <w:pPr>
        <w:pStyle w:val="Compact"/>
        <w:numPr>
          <w:ilvl w:val="0"/>
          <w:numId w:val="1032"/>
        </w:numPr>
      </w:pPr>
      <w:r>
        <w:t xml:space="preserve">Проводятся разборы инцидентов после их устранения</w:t>
      </w:r>
    </w:p>
    <w:p>
      <w:pPr>
        <w:pStyle w:val="FirstParagraph"/>
      </w:pPr>
      <w:r>
        <w:rPr>
          <w:i/>
          <w:iCs/>
        </w:rPr>
        <w:t xml:space="preserve">Приложение:</w:t>
      </w:r>
      <w:r>
        <w:t xml:space="preserve"> </w:t>
      </w:r>
      <w:r>
        <w:rPr>
          <w:rStyle w:val="VerbatimChar"/>
        </w:rPr>
        <w:t xml:space="preserve">reglament-reagirovaniya-na-incidenty.docx</w:t>
      </w:r>
    </w:p>
    <w:bookmarkEnd w:id="17"/>
    <w:bookmarkStart w:id="18" w:name="тестирование-на-проникновение"/>
    <w:p>
      <w:pPr>
        <w:pStyle w:val="Heading3"/>
      </w:pPr>
      <w:r>
        <w:t xml:space="preserve">29. Тестирование на проникновение</w:t>
      </w:r>
    </w:p>
    <w:p>
      <w:pPr>
        <w:pStyle w:val="Compact"/>
        <w:numPr>
          <w:ilvl w:val="0"/>
          <w:numId w:val="1033"/>
        </w:numPr>
      </w:pPr>
      <w:r>
        <w:t xml:space="preserve">Разработаны и поддерживаются программы тестирования на проникновение</w:t>
      </w:r>
    </w:p>
    <w:p>
      <w:pPr>
        <w:pStyle w:val="Compact"/>
        <w:numPr>
          <w:ilvl w:val="0"/>
          <w:numId w:val="1034"/>
        </w:numPr>
      </w:pPr>
      <w:r>
        <w:t xml:space="preserve">Периодически выполняются внешние тесты на проникновение (не реже одного раза в год; первый — до 31.12.2026)</w:t>
      </w:r>
    </w:p>
    <w:p>
      <w:pPr>
        <w:pStyle w:val="FirstParagraph"/>
      </w:pPr>
      <w:r>
        <w:rPr>
          <w:i/>
          <w:iCs/>
        </w:rPr>
        <w:t xml:space="preserve">Основание:</w:t>
      </w:r>
      <w:r>
        <w:t xml:space="preserve"> </w:t>
      </w:r>
      <w:r>
        <w:rPr>
          <w:rStyle w:val="VerbatimChar"/>
        </w:rPr>
        <w:t xml:space="preserve">reglament-upravleniya-uyazvimostyami.md</w:t>
      </w:r>
      <w:r>
        <w:t xml:space="preserve"> </w:t>
      </w:r>
      <w:r>
        <w:t xml:space="preserve">§7.</w:t>
      </w:r>
    </w:p>
    <w:bookmarkEnd w:id="18"/>
    <w:bookmarkStart w:id="19" w:name="X228c5454c54e91cef3e850456bad832237289a8"/>
    <w:p>
      <w:pPr>
        <w:pStyle w:val="Heading3"/>
      </w:pPr>
      <w:r>
        <w:t xml:space="preserve">31. Обмен информацией ограниченного распространения</w:t>
      </w:r>
    </w:p>
    <w:p>
      <w:pPr>
        <w:pStyle w:val="Compact"/>
        <w:numPr>
          <w:ilvl w:val="0"/>
          <w:numId w:val="1035"/>
        </w:numPr>
      </w:pPr>
      <w:r>
        <w:t xml:space="preserve">Корпоративная почта (для операционной переписки)</w:t>
      </w:r>
    </w:p>
    <w:p>
      <w:pPr>
        <w:pStyle w:val="Compact"/>
        <w:numPr>
          <w:ilvl w:val="0"/>
          <w:numId w:val="1036"/>
        </w:numPr>
      </w:pPr>
      <w:r>
        <w:t xml:space="preserve">VPN / BelVPN — для доступа к ресурсам банка и защищённого обмена в рамках договора № 14-03/2026</w:t>
      </w:r>
    </w:p>
    <w:p>
      <w:pPr>
        <w:pStyle w:val="FirstParagraph"/>
      </w:pPr>
      <w:r>
        <w:rPr>
          <w:i/>
          <w:iCs/>
        </w:rPr>
        <w:t xml:space="preserve">Основание:</w:t>
      </w:r>
      <w:r>
        <w:t xml:space="preserve"> </w:t>
      </w:r>
      <w:r>
        <w:t xml:space="preserve">политика контроля конфиденциальной информации; условия договора с банком.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перечень-приложений-к-анкете"/>
    <w:p>
      <w:pPr>
        <w:pStyle w:val="Heading2"/>
      </w:pPr>
      <w:r>
        <w:t xml:space="preserve">Перечень приложений к анкете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Политика информационной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Регламент реагирования на инциденты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Регламент управления уязвимостями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Регламент защиты электронной почты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Политика контроля конфиденциальной информации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План обучения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Дорожная карта аттестации СЗИ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подтверждение"/>
    <w:p>
      <w:pPr>
        <w:pStyle w:val="Heading2"/>
      </w:pPr>
      <w:r>
        <w:t xml:space="preserve">Подтверждение</w:t>
      </w:r>
    </w:p>
    <w:p>
      <w:pPr>
        <w:pStyle w:val="FirstParagraph"/>
      </w:pPr>
      <w:r>
        <w:t xml:space="preserve">Настоящим подтверждаем, что представленная информация является полной и достоверной на момент подписания настоящей Анкеты. Не возражаем против проверки ОАО «АСБ Беларусбанк» всех сведений, содержащихся в настоящей Анкете и приложениях.</w:t>
      </w:r>
    </w:p>
    <w:p>
      <w:pPr>
        <w:pStyle w:val="BodyText"/>
      </w:pPr>
      <w:r>
        <w:rPr>
          <w:b/>
          <w:bCs/>
        </w:rPr>
        <w:t xml:space="preserve">Директор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Есис Г.В.</w:t>
      </w:r>
      <w:r>
        <w:t xml:space="preserve"> </w:t>
      </w:r>
      <w:r>
        <w:t xml:space="preserve">·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2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2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2026-06-24T07:52:06Z</dcterms:created>
  <dcterms:modified xsi:type="dcterms:W3CDTF">2026-06-24T07:52:06Z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