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Дорожная карта аттестации системы защиты информации (СЗИ)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bookmarkStart w:id="0" w:name="контекст-и-назначение"/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</w:t>
      </w:r>
      <w:r>
        <w:rPr>
          <w:rFonts w:ascii="Arial" w:hAnsi="Arial"/>
          <w:lang w:val="ru-RU"/>
        </w:rPr>
        <w:t>Общее описание</w:t>
      </w:r>
      <w:r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bookmarkStart w:id="1" w:name="контекст"/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Общее описание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Система защиты информации (СЗИ) в ООО «ГС Ритейл» реализована частично: действуют организационные документы и отдельные технические меры. </w:t>
      </w:r>
      <w:r>
        <w:rPr>
          <w:rFonts w:ascii="Arial" w:hAnsi="Arial"/>
          <w:b/>
          <w:bCs/>
        </w:rPr>
        <w:t>Аттестат соответствия СЗИ отсутствует</w:t>
      </w:r>
      <w:r>
        <w:rPr>
          <w:rFonts w:ascii="Arial" w:hAnsi="Arial"/>
        </w:rPr>
        <w:t>, что было отражено в анкете киберустойчивости.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Полная аттестация по требованиям законодательства Республики Беларусь (в т.ч. Приказ ОАЦ от 20.02.2020 № 66) — длительный процесс. Дорожная карта фиксирует этапы достижения аттестации и </w:t>
      </w:r>
      <w:r>
        <w:rPr>
          <w:rFonts w:ascii="Arial" w:hAnsi="Arial"/>
          <w:b/>
          <w:bCs/>
        </w:rPr>
        <w:t>компенсирующие меры</w:t>
      </w:r>
      <w:r>
        <w:rPr>
          <w:rFonts w:ascii="Arial" w:hAnsi="Arial"/>
        </w:rPr>
        <w:t xml:space="preserve"> на переходный период.</w:t>
      </w:r>
      <w:bookmarkEnd w:id="1"/>
    </w:p>
    <w:p>
      <w:pPr>
        <w:pStyle w:val="Heading3"/>
        <w:rPr>
          <w:rFonts w:ascii="Arial" w:hAnsi="Arial"/>
        </w:rPr>
      </w:pPr>
      <w:bookmarkStart w:id="2" w:name="назначение"/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bookmarkStart w:id="3" w:name="назначение"/>
      <w:r>
        <w:rPr>
          <w:rFonts w:ascii="Arial" w:hAnsi="Arial"/>
        </w:rPr>
        <w:t>Определить этапы, сроки, ответственных и компенсирующие меры до получения аттестата соответствия СЗИ.</w:t>
      </w:r>
      <w:bookmarkEnd w:id="3"/>
    </w:p>
    <w:p>
      <w:pPr>
        <w:pStyle w:val="Heading3"/>
        <w:rPr>
          <w:rFonts w:ascii="Arial" w:hAnsi="Arial"/>
        </w:rPr>
      </w:pPr>
      <w:bookmarkStart w:id="4" w:name="область-действия"/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Информационные ресурсы </w:t>
      </w:r>
      <w:r>
        <w:rPr>
          <w:rFonts w:ascii="Arial" w:hAnsi="Arial"/>
          <w:lang w:val="ru-RU"/>
        </w:rPr>
        <w:t>ООО «ГС Ритейл»</w:t>
      </w:r>
      <w:r>
        <w:rPr>
          <w:rFonts w:ascii="Arial" w:hAnsi="Arial"/>
        </w:rPr>
        <w:t xml:space="preserve">, используемые при выполнении </w:t>
      </w:r>
      <w:r>
        <w:rPr>
          <w:rFonts w:ascii="Arial" w:hAnsi="Arial"/>
          <w:lang w:val="ru-RU"/>
        </w:rPr>
        <w:t>Д</w:t>
      </w:r>
      <w:r>
        <w:rPr>
          <w:rFonts w:ascii="Arial" w:hAnsi="Arial"/>
        </w:rPr>
        <w:t>оговора.</w:t>
      </w:r>
      <w:bookmarkEnd w:id="0"/>
      <w:bookmarkEnd w:id="4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Глоссарий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Термины используются в значениях, согласованных с политикой информационной безопасности. Ниже — общие и специальные термины настоящего документа.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защищённость информации (конфиденциальность, целостность, доступность).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Викторович; ответственный за реализацию мер ИБ.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(Пономарев А.В. или уполномоченный инженер).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 — координация команды проекта «{PROJECT}».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(приём, перевод, увольнение).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 заказчика и организации, доступ к которым ограничен (договор, ТЗ, доступы, данные банка).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СЗИ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Система защиты информации — совокупность организационных и технических мер.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Аттестат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Документ, подтверждающий соответствие СЗИ установленным требованиям.</w:t>
            </w:r>
          </w:p>
        </w:tc>
      </w:tr>
      <w:tr>
        <w:trPr/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ОАЦ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Оперативно-аналитический центр при Президенте Республики Беларусь.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Компенсирующая мера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Временная мера защиты, применяемая до завершения аттестации.</w:t>
            </w:r>
            <w:bookmarkStart w:id="5" w:name="глоссарий"/>
            <w:bookmarkEnd w:id="5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Цели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Дорожная карта преследует две цели: </w:t>
      </w:r>
      <w:r>
        <w:rPr>
          <w:rFonts w:ascii="Arial" w:hAnsi="Arial"/>
          <w:b/>
          <w:bCs/>
        </w:rPr>
        <w:t>(1)</w:t>
      </w:r>
      <w:r>
        <w:rPr>
          <w:rFonts w:ascii="Arial" w:hAnsi="Arial"/>
        </w:rPr>
        <w:t xml:space="preserve"> спланировать получение аттестата в реалистичные сроки; </w:t>
      </w:r>
      <w:r>
        <w:rPr>
          <w:rFonts w:ascii="Arial" w:hAnsi="Arial"/>
          <w:b/>
          <w:bCs/>
        </w:rPr>
        <w:t>(2)</w:t>
      </w:r>
      <w:r>
        <w:rPr>
          <w:rFonts w:ascii="Arial" w:hAnsi="Arial"/>
        </w:rPr>
        <w:t xml:space="preserve"> до его получения поддерживать приемлемый уровень защиты за счёт компенсирующих мер, зафиксированных в политиках и регламентах проекта.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732"/>
        <w:gridCol w:w="3012"/>
        <w:gridCol w:w="3860"/>
        <w:gridCol w:w="1756"/>
      </w:tblGrid>
      <w:tr>
        <w:trPr>
          <w:tblHeader w:val="true"/>
        </w:trPr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3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3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7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Оценить необходимость и объекты аттестации</w:t>
            </w:r>
          </w:p>
        </w:tc>
        <w:tc>
          <w:tcPr>
            <w:tcW w:w="38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3-ий квартал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2026</w:t>
            </w:r>
          </w:p>
        </w:tc>
      </w:tr>
      <w:tr>
        <w:trPr/>
        <w:tc>
          <w:tcPr>
            <w:tcW w:w="7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Выбрать аттестующую организацию</w:t>
            </w:r>
          </w:p>
        </w:tc>
        <w:tc>
          <w:tcPr>
            <w:tcW w:w="38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4-ый квартал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2026</w:t>
            </w:r>
          </w:p>
        </w:tc>
      </w:tr>
      <w:tr>
        <w:trPr/>
        <w:tc>
          <w:tcPr>
            <w:tcW w:w="7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Доработать СЗИ по предписаниям</w:t>
            </w:r>
          </w:p>
        </w:tc>
        <w:tc>
          <w:tcPr>
            <w:tcW w:w="38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2027</w:t>
            </w:r>
          </w:p>
        </w:tc>
      </w:tr>
      <w:tr>
        <w:trPr/>
        <w:tc>
          <w:tcPr>
            <w:tcW w:w="7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Пройти аттестацию</w:t>
            </w:r>
          </w:p>
        </w:tc>
        <w:tc>
          <w:tcPr>
            <w:tcW w:w="38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2027</w:t>
            </w:r>
          </w:p>
        </w:tc>
      </w:tr>
      <w:tr>
        <w:trPr/>
        <w:tc>
          <w:tcPr>
            <w:tcW w:w="7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Поддерживать компенсирующие меры</w:t>
            </w:r>
          </w:p>
        </w:tc>
        <w:tc>
          <w:tcPr>
            <w:tcW w:w="38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 аттестации</w:t>
            </w:r>
            <w:bookmarkStart w:id="6" w:name="задачи"/>
            <w:bookmarkEnd w:id="6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28"/>
        <w:gridCol w:w="2484"/>
        <w:gridCol w:w="4548"/>
      </w:tblGrid>
      <w:tr>
        <w:trPr>
          <w:tblHeader w:val="true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4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Обязанности в рамках настоящего документа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документы; выделяет ресурсы; общая ответственность за ИБ.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Разработка регламентов; координация мер ИБ; согласование критичных доступов; обучение.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соблюдения регламентов командой; инициирование заявок; связь с заказчиком по операционным вопросам.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Кадровые события; служебные записки для открытия/закрытия доступов.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Техническая реализация мер: УЗ, сеть, AV, резервные копии, патчи.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сообщение об инцидентах и уязвимостях.</w:t>
            </w:r>
          </w:p>
        </w:tc>
      </w:tr>
      <w:tr>
        <w:trPr/>
        <w:tc>
          <w:tcPr>
            <w:tcW w:w="2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45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безопасное использование тестовых сред.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Текущее состояние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Параметр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СЗИ внедрена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Частично (организационные документы, AD, MFA, VPN, AV, резервное копирование)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Аттестат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Отсутствует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 за дорожную карту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 (Пономарев А.В.)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7. Этапы дорожной карты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40"/>
        <w:gridCol w:w="2646"/>
        <w:gridCol w:w="1386"/>
        <w:gridCol w:w="2469"/>
        <w:gridCol w:w="2019"/>
      </w:tblGrid>
      <w:tr>
        <w:trPr>
          <w:tblHeader w:val="true"/>
        </w:trPr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Этап</w:t>
            </w:r>
          </w:p>
        </w:tc>
        <w:tc>
          <w:tcPr>
            <w:tcW w:w="2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Мероприятия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2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Результат</w:t>
            </w:r>
          </w:p>
        </w:tc>
      </w:tr>
      <w:tr>
        <w:trPr/>
        <w:tc>
          <w:tcPr>
            <w:tcW w:w="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Анализ применимости требований ОАЦ № 66; определение объектов аттестации</w:t>
            </w:r>
          </w:p>
        </w:tc>
        <w:tc>
          <w:tcPr>
            <w:tcW w:w="13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3-ий квартал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2026</w:t>
            </w:r>
          </w:p>
        </w:tc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Заключение, перечень объектов</w:t>
            </w:r>
          </w:p>
        </w:tc>
      </w:tr>
      <w:tr>
        <w:trPr/>
        <w:tc>
          <w:tcPr>
            <w:tcW w:w="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GAP-анализ: разрывы между текущим состоянием и требованиями</w:t>
            </w:r>
          </w:p>
        </w:tc>
        <w:tc>
          <w:tcPr>
            <w:tcW w:w="13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3-ий квартал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2026</w:t>
            </w:r>
          </w:p>
        </w:tc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План доработок</w:t>
            </w:r>
          </w:p>
        </w:tc>
      </w:tr>
      <w:tr>
        <w:trPr/>
        <w:tc>
          <w:tcPr>
            <w:tcW w:w="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Выбор аттестующей организации, заключение договора</w:t>
            </w:r>
          </w:p>
        </w:tc>
        <w:tc>
          <w:tcPr>
            <w:tcW w:w="13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4-ый квартал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2026</w:t>
            </w:r>
          </w:p>
        </w:tc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Договор</w:t>
            </w:r>
          </w:p>
        </w:tc>
      </w:tr>
      <w:tr>
        <w:trPr/>
        <w:tc>
          <w:tcPr>
            <w:tcW w:w="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Доработка СЗИ: документы, технические меры, обучение</w:t>
            </w:r>
          </w:p>
        </w:tc>
        <w:tc>
          <w:tcPr>
            <w:tcW w:w="13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2027</w:t>
            </w:r>
          </w:p>
        </w:tc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 + администратор ИТ</w:t>
            </w:r>
          </w:p>
        </w:tc>
        <w:tc>
          <w:tcPr>
            <w:tcW w:w="2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Комплект для аттестации</w:t>
            </w:r>
          </w:p>
        </w:tc>
      </w:tr>
      <w:tr>
        <w:trPr/>
        <w:tc>
          <w:tcPr>
            <w:tcW w:w="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Прохождение процедуры аттестации</w:t>
            </w:r>
          </w:p>
        </w:tc>
        <w:tc>
          <w:tcPr>
            <w:tcW w:w="13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2027</w:t>
            </w:r>
          </w:p>
        </w:tc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0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Аттестат (при положительном результате)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8. Компенсирующие меры (до получения аттестата)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До завершения аттестации ООО «ГС Ритейл» применяет следующие меры, подтверждаемые комплектом документов проекта:</w:t>
      </w:r>
    </w:p>
    <w:p>
      <w:pPr>
        <w:pStyle w:val="Compact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Утверждённая </w:t>
      </w:r>
      <w:r>
        <w:rPr>
          <w:rFonts w:ascii="Arial" w:hAnsi="Arial"/>
          <w:b/>
          <w:bCs/>
        </w:rPr>
        <w:t>политика ИБ</w:t>
      </w:r>
      <w:r>
        <w:rPr>
          <w:rFonts w:ascii="Arial" w:hAnsi="Arial"/>
        </w:rPr>
        <w:t xml:space="preserve"> и регламенты (IR, уязвимости, почта, конфиденциальность).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/>
          <w:bCs/>
        </w:rPr>
        <w:t>MFA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  <w:bCs/>
        </w:rPr>
        <w:t>VPN/BelVPN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  <w:bCs/>
        </w:rPr>
        <w:t>AD</w:t>
      </w:r>
      <w:r>
        <w:rPr>
          <w:rFonts w:ascii="Arial" w:hAnsi="Arial"/>
        </w:rPr>
        <w:t>, антивирус, резервное копирование критичных активов.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/>
          <w:bCs/>
        </w:rPr>
        <w:t>Журналы</w:t>
      </w:r>
      <w:r>
        <w:rPr>
          <w:rFonts w:ascii="Arial" w:hAnsi="Arial"/>
        </w:rPr>
        <w:t xml:space="preserve"> инцидентов, уязвимостей, доступов.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/>
          <w:bCs/>
        </w:rPr>
        <w:t>Ежегодное обучение</w:t>
      </w:r>
      <w:r>
        <w:rPr>
          <w:rFonts w:ascii="Arial" w:hAnsi="Arial"/>
        </w:rPr>
        <w:t xml:space="preserve"> и pentest.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/>
          <w:bCs/>
        </w:rPr>
        <w:t>Регулярный пересмотр</w:t>
      </w:r>
      <w:r>
        <w:rPr>
          <w:rFonts w:ascii="Arial" w:hAnsi="Arial"/>
        </w:rPr>
        <w:t xml:space="preserve"> документов ИБ.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Компенсирующие меры пересматриваются координатором ИБ </w:t>
      </w:r>
      <w:r>
        <w:rPr>
          <w:rFonts w:ascii="Arial" w:hAnsi="Arial"/>
          <w:b/>
          <w:bCs/>
        </w:rPr>
        <w:t>ежеквартально</w:t>
      </w:r>
      <w:r>
        <w:rPr>
          <w:rFonts w:ascii="Arial" w:hAnsi="Arial"/>
        </w:rPr>
        <w:t xml:space="preserve"> и отражаются в обновлении настоящей дорожной карты.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Связанные документы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7" w:name="связанные-документы"/>
            <w:bookmarkEnd w:id="7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Пересмотр и актуализация</w:t>
      </w:r>
    </w:p>
    <w:p>
      <w:pPr>
        <w:pStyle w:val="Compact"/>
        <w:numPr>
          <w:ilvl w:val="0"/>
          <w:numId w:val="5"/>
        </w:numPr>
        <w:rPr>
          <w:rFonts w:ascii="Arial" w:hAnsi="Arial"/>
        </w:rPr>
      </w:pPr>
      <w:r>
        <w:rPr>
          <w:rFonts w:ascii="Arial" w:hAnsi="Arial"/>
        </w:rPr>
        <w:t xml:space="preserve">Документ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изменении требований заказчика, инцидентах, изменении инфраструктуры.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widowControl/>
        <w:numPr>
          <w:ilvl w:val="0"/>
          <w:numId w:val="1"/>
        </w:numPr>
        <w:bidi w:val="0"/>
        <w:jc w:val="left"/>
        <w:rPr>
          <w:rFonts w:ascii="Arial" w:hAnsi="Arial"/>
        </w:rPr>
      </w:pPr>
      <w:bookmarkStart w:id="8" w:name="X03b8414e910b7386f5e397605b50c72cd40e851"/>
      <w:r>
        <w:rPr>
          <w:rFonts w:ascii="Arial" w:hAnsi="Arial"/>
        </w:rPr>
        <w:t>При изменении документа участники проекта повторно ознакамливаются под роспись в течение 10 рабочих дней.</w:t>
      </w:r>
      <w:bookmarkEnd w:id="8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4"/>
        <w:gridCol w:w="2571"/>
        <w:gridCol w:w="2676"/>
        <w:gridCol w:w="1635"/>
        <w:gridCol w:w="1654"/>
      </w:tblGrid>
      <w:tr>
        <w:trPr>
          <w:tblHeader w:val="true"/>
        </w:trPr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9" w:name="лист-ознакомления_Копия_1"/>
            <w:bookmarkStart w:id="10" w:name="лист-ознакомления_Копия_1"/>
            <w:bookmarkEnd w:id="10"/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01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user">
    <w:name w:val="Содержимое врезки (user)"/>
    <w:basedOn w:val="Normal"/>
    <w:qFormat/>
    <w:pPr/>
    <w:rPr/>
  </w:style>
  <w:style w:type="paragraph" w:styleId="Style9">
    <w:name w:val="Содержимое таблицы"/>
    <w:basedOn w:val="Normal"/>
    <w:qFormat/>
    <w:pPr>
      <w:widowControl w:val="false"/>
      <w:suppressLineNumbers/>
    </w:pPr>
    <w:rPr/>
  </w:style>
  <w:style w:type="paragraph" w:styleId="Style10">
    <w:name w:val="Заголовок таблицы"/>
    <w:basedOn w:val="Style9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LibreOffice/25.8.7.3$Windows_X86_64 LibreOffice_project/30742500f2d3eb4366ac312fa33d3dcabdb3eba5</Application>
  <AppVersion>15.0000</AppVersion>
  <Pages>6</Pages>
  <Words>776</Words>
  <Characters>5777</Characters>
  <CharactersWithSpaces>6364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2026-06-24T07:52:05Z</dcterms:created>
  <dc:creator/>
  <dc:description/>
  <dc:language>ru-RU</dc:language>
  <cp:lastModifiedBy/>
  <dcterms:modified xsi:type="dcterms:W3CDTF">2026-06-24T12:53:56Z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