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Arial" w:hAnsi="Arial"/>
        </w:rPr>
      </w:pPr>
      <w:r>
        <w:rPr>
          <w:rFonts w:eastAsia="Times New Roman" w:cs="Times New Roman" w:ascii="Arial" w:hAnsi="Arial"/>
          <w:sz w:val="28"/>
          <w:szCs w:val="28"/>
          <w:lang w:val="ru-RU"/>
        </w:rPr>
        <w:t>ОБЩЕСТВО С ОГРАНИЧЕННОЙ ОТВЕТСТВЕННОСТЬЮ</w:t>
      </w:r>
    </w:p>
    <w:p>
      <w:pPr>
        <w:pStyle w:val="Normal"/>
        <w:spacing w:before="0" w:after="0"/>
        <w:jc w:val="center"/>
        <w:rPr>
          <w:rFonts w:ascii="Arial" w:hAnsi="Arial"/>
        </w:rPr>
      </w:pPr>
      <w:r>
        <w:rPr>
          <w:rFonts w:eastAsia="Times New Roman" w:cs="Times New Roman" w:ascii="Arial" w:hAnsi="Arial"/>
          <w:sz w:val="28"/>
          <w:szCs w:val="28"/>
          <w:lang w:val="ru-RU"/>
        </w:rPr>
        <w:t>“</w:t>
      </w:r>
      <w:r>
        <w:rPr>
          <w:rFonts w:eastAsia="Times New Roman" w:cs="Times New Roman" w:ascii="Arial" w:hAnsi="Arial"/>
          <w:sz w:val="28"/>
          <w:szCs w:val="28"/>
          <w:lang w:val="ru-RU"/>
        </w:rPr>
        <w:t>ГС РИТЕЙЛ”</w:t>
      </w:r>
    </w:p>
    <w:p>
      <w:pPr>
        <w:pStyle w:val="Normal"/>
        <w:spacing w:lineRule="auto" w:line="360" w:before="0" w:after="0"/>
        <w:ind w:firstLine="709"/>
        <w:jc w:val="both"/>
        <w:rPr>
          <w:rFonts w:ascii="Arial" w:hAnsi="Arial" w:eastAsia="Times New Roman" w:cs="Times New Roman"/>
          <w:lang w:val="ru-RU"/>
        </w:rPr>
      </w:pPr>
      <w:r>
        <w:rPr>
          <w:rFonts w:eastAsia="Times New Roman" w:cs="Times New Roman" w:ascii="Arial" w:hAnsi="Arial"/>
          <w:lang w:val="ru-RU"/>
        </w:rPr>
        <mc:AlternateContent>
          <mc:Choice Requires="wps">
            <w:drawing>
              <wp:anchor distT="0" distB="0" distL="0" distR="0" simplePos="0" relativeHeight="10" behindDoc="0" locked="0" layoutInCell="1" allowOverlap="1" wp14:anchorId="6BB750F4">
                <wp:simplePos x="0" y="0"/>
                <wp:positionH relativeFrom="column">
                  <wp:posOffset>66675</wp:posOffset>
                </wp:positionH>
                <wp:positionV relativeFrom="paragraph">
                  <wp:posOffset>367665</wp:posOffset>
                </wp:positionV>
                <wp:extent cx="3009900" cy="1826260"/>
                <wp:effectExtent l="0" t="0" r="0" b="0"/>
                <wp:wrapNone/>
                <wp:docPr id="1" name="Надпись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60" cy="1826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9"/>
                              <w:spacing w:lineRule="auto" w:line="281" w:before="0" w:after="120"/>
                              <w:ind w:right="-4239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  <w:lang w:val="ru-RU"/>
                              </w:rPr>
                              <w:t>РАЗРАБОТАНО</w:t>
                            </w:r>
                          </w:p>
                          <w:p>
                            <w:pPr>
                              <w:pStyle w:val="Style9"/>
                              <w:spacing w:lineRule="auto" w:line="281" w:before="0" w:after="0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  <w:lang w:val="ru-RU"/>
                              </w:rPr>
                              <w:t>Технический д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</w:rPr>
                              <w:t xml:space="preserve">иректор ООО “ГС Ритейл”  </w:t>
                            </w:r>
                          </w:p>
                          <w:p>
                            <w:pPr>
                              <w:pStyle w:val="Style9"/>
                              <w:spacing w:lineRule="auto" w:line="281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Style9"/>
                              <w:spacing w:lineRule="auto" w:line="281" w:before="0" w:after="0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  <w:u w:val="single"/>
                              </w:rPr>
                              <w:t>_______________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  <w:lang w:val="ru-RU"/>
                              </w:rPr>
                              <w:t>А.В. Пономарев</w:t>
                            </w:r>
                          </w:p>
                          <w:p>
                            <w:pPr>
                              <w:pStyle w:val="Style9"/>
                              <w:spacing w:lineRule="auto" w:line="281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Style9"/>
                              <w:spacing w:lineRule="auto" w:line="281" w:before="0" w:after="0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</w:rPr>
                              <w:t>«___» ____________2026 г.</w:t>
                            </w:r>
                          </w:p>
                        </w:txbxContent>
                      </wps:txbx>
                      <wps:bodyPr tIns="91440" bIns="9144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5.25pt;margin-top:28.95pt;width:236.95pt;height:143.75pt;mso-wrap-style:square;v-text-anchor:top" wp14:anchorId="6BB750F4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9"/>
                        <w:spacing w:lineRule="auto" w:line="281" w:before="0" w:after="120"/>
                        <w:ind w:right="-4239"/>
                        <w:rPr>
                          <w:lang w:val="ru-RU"/>
                        </w:rPr>
                      </w:pP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  <w:lang w:val="ru-RU"/>
                        </w:rPr>
                        <w:t>РАЗРАБОТАНО</w:t>
                      </w:r>
                    </w:p>
                    <w:p>
                      <w:pPr>
                        <w:pStyle w:val="Style9"/>
                        <w:spacing w:lineRule="auto" w:line="281" w:before="0" w:after="0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  <w:lang w:val="ru-RU"/>
                        </w:rPr>
                        <w:t>Технический д</w:t>
                      </w: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</w:rPr>
                        <w:t xml:space="preserve">иректор ООО “ГС Ритейл”  </w:t>
                      </w:r>
                    </w:p>
                    <w:p>
                      <w:pPr>
                        <w:pStyle w:val="Style9"/>
                        <w:spacing w:lineRule="auto" w:line="281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Style9"/>
                        <w:spacing w:lineRule="auto" w:line="281" w:before="0" w:after="0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  <w:u w:val="single"/>
                        </w:rPr>
                        <w:t>_______________</w:t>
                      </w: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</w:rPr>
                        <w:t xml:space="preserve"> </w:t>
                      </w: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  <w:lang w:val="ru-RU"/>
                        </w:rPr>
                        <w:t>А.В. Пономарев</w:t>
                      </w:r>
                    </w:p>
                    <w:p>
                      <w:pPr>
                        <w:pStyle w:val="Style9"/>
                        <w:spacing w:lineRule="auto" w:line="281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Style9"/>
                        <w:spacing w:lineRule="auto" w:line="281" w:before="0" w:after="0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</w:rPr>
                        <w:t>«___» ____________2026 г.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12" behindDoc="0" locked="0" layoutInCell="1" allowOverlap="1" wp14:anchorId="6DB23110">
                <wp:simplePos x="0" y="0"/>
                <wp:positionH relativeFrom="column">
                  <wp:posOffset>3181350</wp:posOffset>
                </wp:positionH>
                <wp:positionV relativeFrom="paragraph">
                  <wp:posOffset>325755</wp:posOffset>
                </wp:positionV>
                <wp:extent cx="3009900" cy="1791970"/>
                <wp:effectExtent l="0" t="0" r="0" b="0"/>
                <wp:wrapNone/>
                <wp:docPr id="2" name="Надпись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960" cy="17920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9"/>
                              <w:spacing w:lineRule="auto" w:line="281" w:before="0" w:after="120"/>
                              <w:ind w:right="-4239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</w:rPr>
                              <w:t>УТВЕРЖДАЮ</w:t>
                            </w:r>
                          </w:p>
                          <w:p>
                            <w:pPr>
                              <w:pStyle w:val="Style9"/>
                              <w:spacing w:lineRule="auto" w:line="281" w:before="0" w:after="0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</w:rPr>
                              <w:t xml:space="preserve">Директор ООО “ГС Ритейл” </w:t>
                            </w:r>
                          </w:p>
                          <w:p>
                            <w:pPr>
                              <w:pStyle w:val="Style9"/>
                              <w:spacing w:lineRule="auto" w:line="281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Style9"/>
                              <w:spacing w:lineRule="auto" w:line="281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Style9"/>
                              <w:spacing w:lineRule="auto" w:line="281" w:before="0" w:after="0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  <w:u w:val="single"/>
                              </w:rPr>
                              <w:t>_______________</w:t>
                            </w: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</w:rPr>
                              <w:t xml:space="preserve"> Г.В.Есис</w:t>
                            </w:r>
                          </w:p>
                          <w:p>
                            <w:pPr>
                              <w:pStyle w:val="Style9"/>
                              <w:spacing w:lineRule="auto" w:line="281" w:before="0" w:after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  <w:p>
                            <w:pPr>
                              <w:pStyle w:val="Style9"/>
                              <w:spacing w:lineRule="auto" w:line="281" w:before="0" w:after="0"/>
                              <w:rPr/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color w:val="000000"/>
                                <w:sz w:val="28"/>
                              </w:rPr>
                              <w:t>«___» ____________2026 г.</w:t>
                            </w:r>
                          </w:p>
                        </w:txbxContent>
                      </wps:txbx>
                      <wps:bodyPr tIns="91440" bIns="9144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250.5pt;margin-top:25.65pt;width:236.95pt;height:141.05pt;mso-wrap-style:square;v-text-anchor:top" wp14:anchorId="6DB23110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9"/>
                        <w:spacing w:lineRule="auto" w:line="281" w:before="0" w:after="120"/>
                        <w:ind w:right="-4239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</w:rPr>
                        <w:t>УТВЕРЖДАЮ</w:t>
                      </w:r>
                    </w:p>
                    <w:p>
                      <w:pPr>
                        <w:pStyle w:val="Style9"/>
                        <w:spacing w:lineRule="auto" w:line="281" w:before="0" w:after="0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</w:rPr>
                        <w:t xml:space="preserve">Директор ООО “ГС Ритейл” </w:t>
                      </w:r>
                    </w:p>
                    <w:p>
                      <w:pPr>
                        <w:pStyle w:val="Style9"/>
                        <w:spacing w:lineRule="auto" w:line="281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Style9"/>
                        <w:spacing w:lineRule="auto" w:line="281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Style9"/>
                        <w:spacing w:lineRule="auto" w:line="281" w:before="0" w:after="0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  <w:u w:val="single"/>
                        </w:rPr>
                        <w:t>_______________</w:t>
                      </w: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</w:rPr>
                        <w:t xml:space="preserve"> Г.В.Есис</w:t>
                      </w:r>
                    </w:p>
                    <w:p>
                      <w:pPr>
                        <w:pStyle w:val="Style9"/>
                        <w:spacing w:lineRule="auto" w:line="281" w:before="0" w:after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  <w:p>
                      <w:pPr>
                        <w:pStyle w:val="Style9"/>
                        <w:spacing w:lineRule="auto" w:line="281" w:before="0" w:after="0"/>
                        <w:rPr/>
                      </w:pPr>
                      <w:r>
                        <w:rPr>
                          <w:rFonts w:eastAsia="Times New Roman" w:cs="Times New Roman" w:ascii="Times New Roman" w:hAnsi="Times New Roman"/>
                          <w:color w:val="000000"/>
                          <w:sz w:val="28"/>
                        </w:rPr>
                        <w:t>«___» ____________2026 г.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1"/>
        <w:jc w:val="center"/>
        <w:rPr>
          <w:rFonts w:ascii="Arial" w:hAnsi="Arial"/>
        </w:rPr>
      </w:pPr>
      <w:r>
        <w:rPr>
          <w:rFonts w:ascii="Arial" w:hAnsi="Arial"/>
        </w:rPr>
        <w:t>Политика информационной безопасности ООО «ГС Ритейл»</w:t>
      </w:r>
    </w:p>
    <w:p>
      <w:pPr>
        <w:pStyle w:val="BodyText"/>
        <w:jc w:val="center"/>
        <w:rPr>
          <w:rFonts w:ascii="Arial" w:hAnsi="Arial"/>
        </w:rPr>
      </w:pPr>
      <w:r>
        <w:rPr>
          <w:rFonts w:ascii="Arial" w:hAnsi="Arial"/>
        </w:rPr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0" w:lastRow="0" w:firstColumn="0" w:lastColumn="0" w:noHBand="0" w:val="0000"/>
      </w:tblPr>
      <w:tblGrid>
        <w:gridCol w:w="4679"/>
        <w:gridCol w:w="4681"/>
      </w:tblGrid>
      <w:tr>
        <w:trPr/>
        <w:tc>
          <w:tcPr>
            <w:tcW w:w="46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Организация</w:t>
            </w:r>
          </w:p>
        </w:tc>
        <w:tc>
          <w:tcPr>
            <w:tcW w:w="46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ООО «ГС Ритейл»</w:t>
            </w:r>
          </w:p>
        </w:tc>
      </w:tr>
      <w:tr>
        <w:trPr/>
        <w:tc>
          <w:tcPr>
            <w:tcW w:w="46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Проект</w:t>
            </w:r>
          </w:p>
        </w:tc>
        <w:tc>
          <w:tcPr>
            <w:tcW w:w="46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ПО на базе искусственного интеллекта для банковских процессов</w:t>
            </w:r>
          </w:p>
        </w:tc>
      </w:tr>
      <w:tr>
        <w:trPr/>
        <w:tc>
          <w:tcPr>
            <w:tcW w:w="46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Договор с заказчиком</w:t>
            </w:r>
          </w:p>
        </w:tc>
        <w:tc>
          <w:tcPr>
            <w:tcW w:w="46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 xml:space="preserve">№ </w:t>
            </w: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14-03/2026 (ОАО «АСБ Беларусбанк»)</w:t>
            </w:r>
          </w:p>
        </w:tc>
      </w:tr>
      <w:tr>
        <w:trPr/>
        <w:tc>
          <w:tcPr>
            <w:tcW w:w="46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Разработал</w:t>
            </w:r>
          </w:p>
        </w:tc>
        <w:tc>
          <w:tcPr>
            <w:tcW w:w="46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Технический директор — Пономарев Андрей Викторович</w:t>
            </w:r>
          </w:p>
        </w:tc>
      </w:tr>
      <w:tr>
        <w:trPr/>
        <w:tc>
          <w:tcPr>
            <w:tcW w:w="46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Утвердил</w:t>
            </w:r>
          </w:p>
        </w:tc>
        <w:tc>
          <w:tcPr>
            <w:tcW w:w="46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Директор — Есис Геннадий Владимирович</w:t>
            </w:r>
          </w:p>
        </w:tc>
      </w:tr>
    </w:tbl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FirstParagraph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  <w:t>1.</w:t>
      </w:r>
      <w:r>
        <w:rPr>
          <w:rFonts w:ascii="Arial" w:hAnsi="Arial"/>
          <w:lang w:val="ru-RU"/>
        </w:rPr>
        <w:t xml:space="preserve"> Общее описание </w:t>
      </w:r>
      <w:r>
        <w:rPr>
          <w:rFonts w:ascii="Arial" w:hAnsi="Arial"/>
        </w:rPr>
        <w:t>и назначение</w:t>
      </w:r>
    </w:p>
    <w:p>
      <w:pPr>
        <w:pStyle w:val="Heading3"/>
        <w:rPr>
          <w:rFonts w:ascii="Arial" w:hAnsi="Arial"/>
        </w:rPr>
      </w:pPr>
      <w:r>
        <w:rPr>
          <w:rFonts w:ascii="Arial" w:hAnsi="Arial"/>
        </w:rPr>
        <w:t xml:space="preserve">1.1. </w:t>
      </w:r>
      <w:r>
        <w:rPr>
          <w:rFonts w:ascii="Arial" w:hAnsi="Arial"/>
          <w:lang w:val="ru-RU"/>
        </w:rPr>
        <w:t>Общее описание</w:t>
      </w:r>
    </w:p>
    <w:p>
      <w:pPr>
        <w:pStyle w:val="FirstParagraph"/>
        <w:rPr>
          <w:rFonts w:ascii="Arial" w:hAnsi="Arial"/>
        </w:rPr>
      </w:pPr>
      <w:r>
        <w:rPr>
          <w:rFonts w:ascii="Arial" w:hAnsi="Arial"/>
        </w:rPr>
        <w:t xml:space="preserve">ООО «ГС Ритейл» выполняет работы по договору № 14-03/2026 с ОАО «АСБ Беларусбанк» — разработка и внедрение </w:t>
      </w:r>
      <w:r>
        <w:rPr>
          <w:rFonts w:ascii="Arial" w:hAnsi="Arial"/>
          <w:b/>
          <w:bCs/>
        </w:rPr>
        <w:t>«ПО на базе искусственного интеллекта для банковских процессов»</w:t>
      </w:r>
      <w:r>
        <w:rPr>
          <w:rFonts w:ascii="Arial" w:hAnsi="Arial"/>
        </w:rPr>
        <w:t>. В рамках проекта организация обрабатывает техническую документацию, исходный код, конфигурации, учётные данные доступа к инфраструктуре заказчика и иные сведения, отнесённые к конфиденциальным.</w:t>
      </w:r>
    </w:p>
    <w:p>
      <w:pPr>
        <w:pStyle w:val="BodyText"/>
        <w:rPr>
          <w:rFonts w:ascii="Arial" w:hAnsi="Arial"/>
        </w:rPr>
      </w:pPr>
      <w:bookmarkStart w:id="0" w:name="контекст"/>
      <w:r>
        <w:rPr>
          <w:rFonts w:ascii="Arial" w:hAnsi="Arial"/>
        </w:rPr>
        <w:t>Настоящий документ устанавливает обязательные для всех сотрудников, задействованных на проекте, правила и процедуры защиты информации.</w:t>
      </w:r>
      <w:bookmarkEnd w:id="0"/>
    </w:p>
    <w:p>
      <w:pPr>
        <w:pStyle w:val="Heading3"/>
        <w:rPr>
          <w:rFonts w:ascii="Arial" w:hAnsi="Arial"/>
        </w:rPr>
      </w:pPr>
      <w:r>
        <w:rPr>
          <w:rFonts w:ascii="Arial" w:hAnsi="Arial"/>
        </w:rPr>
        <w:t>1.2. Назначение</w:t>
      </w:r>
    </w:p>
    <w:p>
      <w:pPr>
        <w:pStyle w:val="FirstParagraph"/>
        <w:rPr>
          <w:rFonts w:ascii="Arial" w:hAnsi="Arial"/>
        </w:rPr>
      </w:pPr>
      <w:r>
        <w:rPr>
          <w:rFonts w:ascii="Arial" w:hAnsi="Arial"/>
        </w:rPr>
        <w:t>Политика определяет:</w:t>
      </w:r>
    </w:p>
    <w:p>
      <w:pPr>
        <w:pStyle w:val="Compact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цели и задачи ИБ в организации и на проекте;</w:t>
      </w:r>
    </w:p>
    <w:p>
      <w:pPr>
        <w:pStyle w:val="Compact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роли, права и обязанности участников;</w:t>
      </w:r>
    </w:p>
    <w:p>
      <w:pPr>
        <w:pStyle w:val="Compact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требования к классификации, обработке и передаче информации;</w:t>
      </w:r>
    </w:p>
    <w:p>
      <w:pPr>
        <w:pStyle w:val="Compact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порядок предоставления, изменения и отзыва доступов;</w:t>
      </w:r>
    </w:p>
    <w:p>
      <w:pPr>
        <w:pStyle w:val="Compact"/>
        <w:numPr>
          <w:ilvl w:val="0"/>
          <w:numId w:val="1"/>
        </w:numPr>
        <w:rPr>
          <w:rFonts w:ascii="Arial" w:hAnsi="Arial"/>
        </w:rPr>
      </w:pPr>
      <w:bookmarkStart w:id="1" w:name="назначение"/>
      <w:r>
        <w:rPr>
          <w:rFonts w:ascii="Arial" w:hAnsi="Arial"/>
        </w:rPr>
        <w:t>минимальный набор технических и организационных мер защиты.</w:t>
      </w:r>
      <w:bookmarkEnd w:id="1"/>
    </w:p>
    <w:p>
      <w:pPr>
        <w:pStyle w:val="Heading3"/>
        <w:rPr>
          <w:rFonts w:ascii="Arial" w:hAnsi="Arial"/>
        </w:rPr>
      </w:pPr>
      <w:r>
        <w:rPr>
          <w:rFonts w:ascii="Arial" w:hAnsi="Arial"/>
        </w:rPr>
        <w:t>1.3. Область действия</w:t>
      </w:r>
    </w:p>
    <w:p>
      <w:pPr>
        <w:pStyle w:val="FirstParagraph"/>
        <w:rPr>
          <w:rFonts w:ascii="Arial" w:hAnsi="Arial"/>
        </w:rPr>
      </w:pPr>
      <w:r>
        <w:rPr>
          <w:rFonts w:ascii="Arial" w:hAnsi="Arial"/>
        </w:rPr>
        <w:t>Политика распространяется на:</w:t>
      </w:r>
    </w:p>
    <w:p>
      <w:pPr>
        <w:pStyle w:val="Compact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всех сотрудников ООО «ГС Ритейл», участвующих в проекте «ПО на базе искусственного интеллекта для банковских процессов»;</w:t>
      </w:r>
    </w:p>
    <w:p>
      <w:pPr>
        <w:pStyle w:val="Compact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арендуемые и собственные информационные ресурсы (рабочие станции, серверы, сетевое оборудование, облачные и корпоративные сервисы), используемые при выполнении договора;</w:t>
      </w:r>
    </w:p>
    <w:p>
      <w:pPr>
        <w:pStyle w:val="Compact"/>
        <w:numPr>
          <w:ilvl w:val="0"/>
          <w:numId w:val="1"/>
        </w:numPr>
        <w:rPr>
          <w:rFonts w:ascii="Arial" w:hAnsi="Arial"/>
        </w:rPr>
      </w:pPr>
      <w:bookmarkStart w:id="2" w:name="область-действия"/>
      <w:r>
        <w:rPr>
          <w:rFonts w:ascii="Arial" w:hAnsi="Arial"/>
        </w:rPr>
        <w:t>информацию заказчика, полученную в рамках договора № 14-03/2026.</w:t>
      </w:r>
      <w:bookmarkEnd w:id="2"/>
    </w:p>
    <w:p>
      <w:pPr>
        <w:pStyle w:val="Heading3"/>
        <w:rPr>
          <w:rFonts w:ascii="Arial" w:hAnsi="Arial"/>
        </w:rPr>
      </w:pPr>
      <w:r>
        <w:rPr>
          <w:rFonts w:ascii="Arial" w:hAnsi="Arial"/>
        </w:rPr>
        <w:t>1.4. Нормативная база</w:t>
      </w:r>
    </w:p>
    <w:p>
      <w:pPr>
        <w:pStyle w:val="Compact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Закон Республики Беларусь «О защите персональных данных»;</w:t>
      </w:r>
    </w:p>
    <w:p>
      <w:pPr>
        <w:pStyle w:val="Compact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иные акты законодательства Республики Беларусь в области защиты информации;</w:t>
      </w:r>
    </w:p>
    <w:p>
      <w:pPr>
        <w:pStyle w:val="Compact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договор № 14-03/2026 и технические требования заказчика (Приложение 1);</w:t>
      </w:r>
    </w:p>
    <w:p>
      <w:pPr>
        <w:pStyle w:val="Compact"/>
        <w:numPr>
          <w:ilvl w:val="0"/>
          <w:numId w:val="1"/>
        </w:numPr>
        <w:rPr>
          <w:rFonts w:ascii="Arial" w:hAnsi="Arial"/>
        </w:rPr>
      </w:pPr>
      <w:bookmarkStart w:id="3" w:name="нормативная-база"/>
      <w:bookmarkStart w:id="4" w:name="контекст-и-назначение"/>
      <w:r>
        <w:rPr>
          <w:rFonts w:ascii="Arial" w:hAnsi="Arial"/>
        </w:rPr>
        <w:t>внутренние регламенты организации (см. раздел 15).</w:t>
      </w:r>
      <w:bookmarkEnd w:id="3"/>
      <w:bookmarkEnd w:id="4"/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  <w:t>2. Глоссарий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4079"/>
        <w:gridCol w:w="5281"/>
      </w:tblGrid>
      <w:tr>
        <w:trPr>
          <w:tblHeader w:val="true"/>
        </w:trPr>
        <w:tc>
          <w:tcPr>
            <w:tcW w:w="40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Термин</w:t>
            </w:r>
          </w:p>
        </w:tc>
        <w:tc>
          <w:tcPr>
            <w:tcW w:w="52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Определение</w:t>
            </w:r>
          </w:p>
        </w:tc>
      </w:tr>
      <w:tr>
        <w:trPr/>
        <w:tc>
          <w:tcPr>
            <w:tcW w:w="40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ИБ</w:t>
            </w:r>
          </w:p>
        </w:tc>
        <w:tc>
          <w:tcPr>
            <w:tcW w:w="52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Информационная безопасность — состояние защищённости информации от угроз, обеспечивающее её конфиденциальность, целостность и доступность.</w:t>
            </w:r>
          </w:p>
        </w:tc>
      </w:tr>
      <w:tr>
        <w:trPr/>
        <w:tc>
          <w:tcPr>
            <w:tcW w:w="40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Конфиденциальная информация</w:t>
            </w:r>
          </w:p>
        </w:tc>
        <w:tc>
          <w:tcPr>
            <w:tcW w:w="52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Сведения, доступ к которым ограничен в интересах организации или заказчика (данные банка, договор, ТЗ, учётные записи, ключи, исходный код с данными заказчика).</w:t>
            </w:r>
          </w:p>
        </w:tc>
      </w:tr>
      <w:tr>
        <w:trPr/>
        <w:tc>
          <w:tcPr>
            <w:tcW w:w="40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Персональные данные (ПДн)</w:t>
            </w:r>
          </w:p>
        </w:tc>
        <w:tc>
          <w:tcPr>
            <w:tcW w:w="52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Любая информация, относящаяся к идентифицированному или идентифицируемому физическому лицу.</w:t>
            </w:r>
          </w:p>
        </w:tc>
      </w:tr>
      <w:tr>
        <w:trPr/>
        <w:tc>
          <w:tcPr>
            <w:tcW w:w="40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Учётная запись (УЗ)</w:t>
            </w:r>
          </w:p>
        </w:tc>
        <w:tc>
          <w:tcPr>
            <w:tcW w:w="52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Совокупность данных, позволяющих идентифицировать субъекта доступа в информационной системе.</w:t>
            </w:r>
          </w:p>
        </w:tc>
      </w:tr>
      <w:tr>
        <w:trPr/>
        <w:tc>
          <w:tcPr>
            <w:tcW w:w="40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MFA (2FA)</w:t>
            </w:r>
          </w:p>
        </w:tc>
        <w:tc>
          <w:tcPr>
            <w:tcW w:w="52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Многофакторная аутентификация — подтверждение личности двумя и более независимыми факторами.</w:t>
            </w:r>
          </w:p>
        </w:tc>
      </w:tr>
      <w:tr>
        <w:trPr/>
        <w:tc>
          <w:tcPr>
            <w:tcW w:w="40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AD (Active Directory)</w:t>
            </w:r>
          </w:p>
        </w:tc>
        <w:tc>
          <w:tcPr>
            <w:tcW w:w="52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Служба каталогов Microsoft для централизованного управления учётными записями и группами.</w:t>
            </w:r>
          </w:p>
        </w:tc>
      </w:tr>
      <w:tr>
        <w:trPr/>
        <w:tc>
          <w:tcPr>
            <w:tcW w:w="40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VPN / BelVPN</w:t>
            </w:r>
          </w:p>
        </w:tc>
        <w:tc>
          <w:tcPr>
            <w:tcW w:w="52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Виртуальная частная сеть; BelVPN — согласованный с банком канал удалённого доступа к ресурсам заказчика.</w:t>
            </w:r>
          </w:p>
        </w:tc>
      </w:tr>
      <w:tr>
        <w:trPr/>
        <w:tc>
          <w:tcPr>
            <w:tcW w:w="40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Инцидент ИБ</w:t>
            </w:r>
          </w:p>
        </w:tc>
        <w:tc>
          <w:tcPr>
            <w:tcW w:w="52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Событие или серия событий, нарушающие или создающие угрозу нарушения конфиденциальности, целостности или доступности информации.</w:t>
            </w:r>
          </w:p>
        </w:tc>
      </w:tr>
      <w:tr>
        <w:trPr/>
        <w:tc>
          <w:tcPr>
            <w:tcW w:w="40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Need-to-know</w:t>
            </w:r>
          </w:p>
        </w:tc>
        <w:tc>
          <w:tcPr>
            <w:tcW w:w="52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Принцип предоставления доступа только к той информации, которая необходима для выполнения служебных обязанностей.</w:t>
            </w:r>
          </w:p>
        </w:tc>
      </w:tr>
      <w:tr>
        <w:trPr/>
        <w:tc>
          <w:tcPr>
            <w:tcW w:w="40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Least privilege</w:t>
            </w:r>
          </w:p>
        </w:tc>
        <w:tc>
          <w:tcPr>
            <w:tcW w:w="52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Принцип минимально необходимых привилегий — пользователь получает только те права, без которых невозможно выполнить задачу.</w:t>
            </w:r>
          </w:p>
        </w:tc>
      </w:tr>
      <w:tr>
        <w:trPr/>
        <w:tc>
          <w:tcPr>
            <w:tcW w:w="40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Координатор ИБ</w:t>
            </w:r>
          </w:p>
        </w:tc>
        <w:tc>
          <w:tcPr>
            <w:tcW w:w="52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Технический директор организации — ответственный за реализацию мер ИБ (Пономарев А.В.).</w:t>
            </w:r>
          </w:p>
        </w:tc>
      </w:tr>
      <w:tr>
        <w:trPr/>
        <w:tc>
          <w:tcPr>
            <w:tcW w:w="40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HR-менеджер</w:t>
            </w:r>
          </w:p>
        </w:tc>
        <w:tc>
          <w:tcPr>
            <w:tcW w:w="52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Лицо, ответственное за кадровое администрирование в ООО «ГС Ритейл» (оформление приёма, перевода, увольнения).</w:t>
            </w:r>
          </w:p>
        </w:tc>
      </w:tr>
      <w:tr>
        <w:trPr/>
        <w:tc>
          <w:tcPr>
            <w:tcW w:w="40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Администратор ИТ</w:t>
            </w:r>
          </w:p>
        </w:tc>
        <w:tc>
          <w:tcPr>
            <w:tcW w:w="528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Сотрудник, выполняющий техническое администрирование систем (назначается приказом директора; по умолчанию — технический директор или уполномоченный инженер).</w:t>
            </w:r>
          </w:p>
        </w:tc>
      </w:tr>
      <w:tr>
        <w:trPr/>
        <w:tc>
          <w:tcPr>
            <w:tcW w:w="40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Журнал доступов</w:t>
            </w:r>
          </w:p>
        </w:tc>
        <w:tc>
          <w:tcPr>
            <w:tcW w:w="52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Реестр заявок на предоставление, изменение и отзыв доступов с указанием оснований, сроков и исполнителей.</w:t>
            </w:r>
          </w:p>
        </w:tc>
      </w:tr>
    </w:tbl>
    <w:p>
      <w:pPr>
        <w:pStyle w:val="Normal"/>
        <w:rPr>
          <w:rFonts w:ascii="Arial" w:hAnsi="Arial"/>
        </w:rPr>
      </w:pPr>
      <w:bookmarkStart w:id="5" w:name="глоссарий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3" name="Фигура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5"/>
    </w:p>
    <w:p>
      <w:pPr>
        <w:pStyle w:val="Heading2"/>
        <w:rPr>
          <w:rFonts w:ascii="Arial" w:hAnsi="Arial"/>
        </w:rPr>
      </w:pPr>
      <w:bookmarkStart w:id="6" w:name="цели-политики"/>
      <w:r>
        <w:rPr>
          <w:rFonts w:ascii="Arial" w:hAnsi="Arial"/>
        </w:rPr>
        <w:t>3. Цели политики</w:t>
      </w:r>
    </w:p>
    <w:p>
      <w:pPr>
        <w:pStyle w:val="Compact"/>
        <w:numPr>
          <w:ilvl w:val="0"/>
          <w:numId w:val="9"/>
        </w:numPr>
        <w:rPr>
          <w:rFonts w:ascii="Arial" w:hAnsi="Arial"/>
        </w:rPr>
      </w:pPr>
      <w:r>
        <w:rPr>
          <w:rFonts w:ascii="Arial" w:hAnsi="Arial"/>
          <w:b/>
          <w:bCs/>
        </w:rPr>
        <w:t>Конфиденциальность</w:t>
      </w:r>
      <w:r>
        <w:rPr>
          <w:rFonts w:ascii="Arial" w:hAnsi="Arial"/>
        </w:rPr>
        <w:t xml:space="preserve"> — предотвращение несанкционированного раскрытия информации заказчика и организации.</w:t>
      </w:r>
    </w:p>
    <w:p>
      <w:pPr>
        <w:pStyle w:val="Compact"/>
        <w:numPr>
          <w:ilvl w:val="0"/>
          <w:numId w:val="3"/>
        </w:numPr>
        <w:rPr>
          <w:rFonts w:ascii="Arial" w:hAnsi="Arial"/>
        </w:rPr>
      </w:pPr>
      <w:r>
        <w:rPr>
          <w:rFonts w:ascii="Arial" w:hAnsi="Arial"/>
          <w:b/>
          <w:bCs/>
        </w:rPr>
        <w:t>Целостность</w:t>
      </w:r>
      <w:r>
        <w:rPr>
          <w:rFonts w:ascii="Arial" w:hAnsi="Arial"/>
        </w:rPr>
        <w:t xml:space="preserve"> — защита информации от несанкционированного изменения и уничтожения.</w:t>
      </w:r>
    </w:p>
    <w:p>
      <w:pPr>
        <w:pStyle w:val="Compact"/>
        <w:numPr>
          <w:ilvl w:val="0"/>
          <w:numId w:val="3"/>
        </w:numPr>
        <w:rPr>
          <w:rFonts w:ascii="Arial" w:hAnsi="Arial"/>
        </w:rPr>
      </w:pPr>
      <w:r>
        <w:rPr>
          <w:rFonts w:ascii="Arial" w:hAnsi="Arial"/>
          <w:b/>
          <w:bCs/>
        </w:rPr>
        <w:t>Доступность</w:t>
      </w:r>
      <w:r>
        <w:rPr>
          <w:rFonts w:ascii="Arial" w:hAnsi="Arial"/>
        </w:rPr>
        <w:t xml:space="preserve"> — обеспечение работоспособности информационных ресурсов, необходимых для выполнения договора № 14-03/2026.</w:t>
      </w:r>
    </w:p>
    <w:p>
      <w:pPr>
        <w:pStyle w:val="Compact"/>
        <w:numPr>
          <w:ilvl w:val="0"/>
          <w:numId w:val="3"/>
        </w:numPr>
        <w:rPr>
          <w:rFonts w:ascii="Arial" w:hAnsi="Arial"/>
        </w:rPr>
      </w:pPr>
      <w:r>
        <w:rPr>
          <w:rFonts w:ascii="Arial" w:hAnsi="Arial"/>
          <w:b/>
          <w:bCs/>
        </w:rPr>
        <w:t>Соответствие</w:t>
      </w:r>
      <w:r>
        <w:rPr>
          <w:rFonts w:ascii="Arial" w:hAnsi="Arial"/>
        </w:rPr>
        <w:t xml:space="preserve"> — выполнение требований законодательства РБ и условий договора с банком.</w:t>
      </w:r>
    </w:p>
    <w:p>
      <w:pPr>
        <w:pStyle w:val="Compact"/>
        <w:numPr>
          <w:ilvl w:val="0"/>
          <w:numId w:val="3"/>
        </w:numPr>
        <w:rPr>
          <w:rFonts w:ascii="Arial" w:hAnsi="Arial"/>
        </w:rPr>
      </w:pPr>
      <w:r>
        <w:rPr>
          <w:rFonts w:ascii="Arial" w:hAnsi="Arial"/>
          <w:b/>
          <w:bCs/>
        </w:rPr>
        <w:t>Устойчивость</w:t>
      </w:r>
      <w:r>
        <w:rPr>
          <w:rFonts w:ascii="Arial" w:hAnsi="Arial"/>
        </w:rPr>
        <w:t xml:space="preserve"> — снижение последствий инцидентов ИБ за счёт регламентированных процессов реагирования и восстановления.</w:t>
      </w:r>
      <w:bookmarkEnd w:id="6"/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  <w:t>4. Задачи политики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1275"/>
        <w:gridCol w:w="3403"/>
        <w:gridCol w:w="4682"/>
      </w:tblGrid>
      <w:tr>
        <w:trPr>
          <w:tblHeader w:val="true"/>
        </w:trPr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№</w:t>
            </w:r>
          </w:p>
        </w:tc>
        <w:tc>
          <w:tcPr>
            <w:tcW w:w="3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Задача</w:t>
            </w:r>
          </w:p>
        </w:tc>
        <w:tc>
          <w:tcPr>
            <w:tcW w:w="46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Результат</w:t>
            </w:r>
          </w:p>
        </w:tc>
      </w:tr>
      <w:tr>
        <w:trPr/>
        <w:tc>
          <w:tcPr>
            <w:tcW w:w="127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340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Утвердить единые правила ИБ для проекта «ПО на базе искусственного интеллекта для банковских процессов»</w:t>
            </w:r>
          </w:p>
        </w:tc>
        <w:tc>
          <w:tcPr>
            <w:tcW w:w="46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Настоящая политика и связанные регламенты</w:t>
            </w:r>
          </w:p>
        </w:tc>
      </w:tr>
      <w:tr>
        <w:trPr/>
        <w:tc>
          <w:tcPr>
            <w:tcW w:w="127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340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Назначить ответственных и распределить полномочия</w:t>
            </w:r>
          </w:p>
        </w:tc>
        <w:tc>
          <w:tcPr>
            <w:tcW w:w="46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Матрица ролей (раздел 5)</w:t>
            </w:r>
          </w:p>
        </w:tc>
      </w:tr>
      <w:tr>
        <w:trPr/>
        <w:tc>
          <w:tcPr>
            <w:tcW w:w="127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340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Регламентировать жизненный цикл доступов</w:t>
            </w:r>
          </w:p>
        </w:tc>
        <w:tc>
          <w:tcPr>
            <w:tcW w:w="46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Процедуры раздела 8</w:t>
            </w:r>
          </w:p>
        </w:tc>
      </w:tr>
      <w:tr>
        <w:trPr/>
        <w:tc>
          <w:tcPr>
            <w:tcW w:w="127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340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Обеспечить классификацию и маркировку информации</w:t>
            </w:r>
          </w:p>
        </w:tc>
        <w:tc>
          <w:tcPr>
            <w:tcW w:w="46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Раздел 7</w:t>
            </w:r>
          </w:p>
        </w:tc>
      </w:tr>
      <w:tr>
        <w:trPr/>
        <w:tc>
          <w:tcPr>
            <w:tcW w:w="127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5</w:t>
            </w:r>
          </w:p>
        </w:tc>
        <w:tc>
          <w:tcPr>
            <w:tcW w:w="340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Внедрить технические меры (AD, MFA, VPN, AV, резервное копирование)</w:t>
            </w:r>
          </w:p>
        </w:tc>
        <w:tc>
          <w:tcPr>
            <w:tcW w:w="46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Разделы 9–13</w:t>
            </w:r>
          </w:p>
        </w:tc>
      </w:tr>
      <w:tr>
        <w:trPr/>
        <w:tc>
          <w:tcPr>
            <w:tcW w:w="127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6</w:t>
            </w:r>
          </w:p>
        </w:tc>
        <w:tc>
          <w:tcPr>
            <w:tcW w:w="340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Организовать обучение и ознакомление сотрудников</w:t>
            </w:r>
          </w:p>
        </w:tc>
        <w:tc>
          <w:tcPr>
            <w:tcW w:w="46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plan-obucheniya-ib.md</w:t>
            </w:r>
          </w:p>
        </w:tc>
      </w:tr>
      <w:tr>
        <w:trPr/>
        <w:tc>
          <w:tcPr>
            <w:tcW w:w="127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7</w:t>
            </w:r>
          </w:p>
        </w:tc>
        <w:tc>
          <w:tcPr>
            <w:tcW w:w="340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Обеспечить учёт инцидентов и уязвимостей</w:t>
            </w:r>
          </w:p>
        </w:tc>
        <w:tc>
          <w:tcPr>
            <w:tcW w:w="46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Связанные регламенты</w:t>
            </w:r>
          </w:p>
        </w:tc>
      </w:tr>
      <w:tr>
        <w:trPr/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34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Подготовить организацию к повторной оценке киберустойчивости</w:t>
            </w:r>
          </w:p>
        </w:tc>
        <w:tc>
          <w:tcPr>
            <w:tcW w:w="46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Комплект подтверждающих документов</w:t>
            </w:r>
          </w:p>
        </w:tc>
      </w:tr>
    </w:tbl>
    <w:p>
      <w:pPr>
        <w:pStyle w:val="Normal"/>
        <w:rPr>
          <w:rFonts w:ascii="Arial" w:hAnsi="Arial"/>
        </w:rPr>
      </w:pPr>
      <w:bookmarkStart w:id="7" w:name="задачи-политики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4" name="Фигура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7"/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  <w:t>5. Роли, права и ответственность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2315"/>
        <w:gridCol w:w="2041"/>
        <w:gridCol w:w="5004"/>
      </w:tblGrid>
      <w:tr>
        <w:trPr>
          <w:tblHeader w:val="true"/>
        </w:trPr>
        <w:tc>
          <w:tcPr>
            <w:tcW w:w="231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Роль</w:t>
            </w:r>
          </w:p>
        </w:tc>
        <w:tc>
          <w:tcPr>
            <w:tcW w:w="204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ФИО</w:t>
            </w:r>
          </w:p>
        </w:tc>
        <w:tc>
          <w:tcPr>
            <w:tcW w:w="500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Основные обязанности</w:t>
            </w:r>
          </w:p>
        </w:tc>
      </w:tr>
      <w:tr>
        <w:trPr/>
        <w:tc>
          <w:tcPr>
            <w:tcW w:w="2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Директор</w:t>
            </w:r>
          </w:p>
        </w:tc>
        <w:tc>
          <w:tcPr>
            <w:tcW w:w="20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Есис Геннадий Владимирович</w:t>
            </w:r>
          </w:p>
        </w:tc>
        <w:tc>
          <w:tcPr>
            <w:tcW w:w="5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Утверждает политику и регламенты; выделяет ресурсы; несёт общую ответственность за ИБ в организации.</w:t>
            </w:r>
          </w:p>
        </w:tc>
      </w:tr>
      <w:tr>
        <w:trPr/>
        <w:tc>
          <w:tcPr>
            <w:tcW w:w="231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Технический директор / Координатор ИБ</w:t>
            </w:r>
          </w:p>
        </w:tc>
        <w:tc>
          <w:tcPr>
            <w:tcW w:w="204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Пономарев Андрей Викторович</w:t>
            </w:r>
          </w:p>
        </w:tc>
        <w:tc>
          <w:tcPr>
            <w:tcW w:w="500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Разрабатывает политику и регламенты; назначает администраторов ИТ; утверждает заявки на доступ к критичным системам; координирует реагирование на инциденты; организует обучение ИБ.</w:t>
            </w:r>
          </w:p>
        </w:tc>
      </w:tr>
      <w:tr>
        <w:trPr/>
        <w:tc>
          <w:tcPr>
            <w:tcW w:w="231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Руководитель проекта</w:t>
            </w:r>
          </w:p>
        </w:tc>
        <w:tc>
          <w:tcPr>
            <w:tcW w:w="204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Толкачев Геннадий Александрович</w:t>
            </w:r>
          </w:p>
        </w:tc>
        <w:tc>
          <w:tcPr>
            <w:tcW w:w="500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Определяет состав доступов участников проекта; инициирует заявки на доступ; контролирует соблюдение политики командой; сообщает координатору ИБ о кадровых изменениях.</w:t>
            </w:r>
          </w:p>
        </w:tc>
      </w:tr>
      <w:tr>
        <w:trPr/>
        <w:tc>
          <w:tcPr>
            <w:tcW w:w="231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HR-менеджер</w:t>
            </w:r>
          </w:p>
        </w:tc>
        <w:tc>
          <w:tcPr>
            <w:tcW w:w="204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i/>
                <w:iCs/>
                <w:kern w:val="0"/>
                <w:sz w:val="24"/>
                <w:szCs w:val="24"/>
                <w:lang w:val="en-US" w:eastAsia="zh-CN" w:bidi="ar-SA"/>
              </w:rPr>
              <w:t>назначается приказом директора</w:t>
            </w:r>
          </w:p>
        </w:tc>
        <w:tc>
          <w:tcPr>
            <w:tcW w:w="500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Оформляет приём, перевод, увольнение; направляет служебные записки администратору ИТ для открытия/закрытия доступов; ведёт кадровый учёт.</w:t>
            </w:r>
          </w:p>
        </w:tc>
      </w:tr>
      <w:tr>
        <w:trPr/>
        <w:tc>
          <w:tcPr>
            <w:tcW w:w="231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Администратор ИТ</w:t>
            </w:r>
          </w:p>
        </w:tc>
        <w:tc>
          <w:tcPr>
            <w:tcW w:w="204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Пономарев А.В. / уполномоченный инженер</w:t>
            </w:r>
          </w:p>
        </w:tc>
        <w:tc>
          <w:tcPr>
            <w:tcW w:w="500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Создаёт, изменяет, блокирует учётные записи; настраивает группы AD; ведёт журнал доступов; выполняет резервное копирование; применяет патчи по регламенту уязвимостей.</w:t>
            </w:r>
          </w:p>
        </w:tc>
      </w:tr>
      <w:tr>
        <w:trPr/>
        <w:tc>
          <w:tcPr>
            <w:tcW w:w="231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Инженер-разработчик</w:t>
            </w:r>
          </w:p>
        </w:tc>
        <w:tc>
          <w:tcPr>
            <w:tcW w:w="204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Кисель А.П., Краснов Н.А., Кабин М.В.</w:t>
            </w:r>
          </w:p>
        </w:tc>
        <w:tc>
          <w:tcPr>
            <w:tcW w:w="500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Соблюдает политику; хранит код и конфигурации в согласованных репозиториях; не передаёт конфиденциальные данные через неразрешённые каналы; сообщает об инцидентах.</w:t>
            </w:r>
          </w:p>
        </w:tc>
      </w:tr>
      <w:tr>
        <w:trPr/>
        <w:tc>
          <w:tcPr>
            <w:tcW w:w="231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Специалист по тестированию ПО</w:t>
            </w:r>
          </w:p>
        </w:tc>
        <w:tc>
          <w:tcPr>
            <w:tcW w:w="204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Захарчук А.Д.</w:t>
            </w:r>
          </w:p>
        </w:tc>
        <w:tc>
          <w:tcPr>
            <w:tcW w:w="500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Соблюдает политику; использует тестовые данные без ПДн заказчика, если иное не согласовано; сообщает об инцидентах.</w:t>
            </w:r>
          </w:p>
        </w:tc>
      </w:tr>
    </w:tbl>
    <w:p>
      <w:pPr>
        <w:pStyle w:val="Normal"/>
        <w:rPr>
          <w:rFonts w:ascii="Arial" w:hAnsi="Arial"/>
        </w:rPr>
      </w:pPr>
      <w:bookmarkStart w:id="8" w:name="роли-права-и-ответственность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" name="Фигура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8"/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  <w:t>6. Классификация информации</w:t>
      </w:r>
    </w:p>
    <w:p>
      <w:pPr>
        <w:pStyle w:val="Heading3"/>
        <w:rPr>
          <w:rFonts w:ascii="Arial" w:hAnsi="Arial"/>
        </w:rPr>
      </w:pPr>
      <w:r>
        <w:rPr>
          <w:rFonts w:ascii="Arial" w:hAnsi="Arial"/>
        </w:rPr>
        <w:t>6.1. Уровни классификации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1979"/>
        <w:gridCol w:w="2785"/>
        <w:gridCol w:w="2027"/>
        <w:gridCol w:w="2569"/>
      </w:tblGrid>
      <w:tr>
        <w:trPr>
          <w:tblHeader w:val="true"/>
        </w:trPr>
        <w:tc>
          <w:tcPr>
            <w:tcW w:w="1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Уровень</w:t>
            </w:r>
          </w:p>
        </w:tc>
        <w:tc>
          <w:tcPr>
            <w:tcW w:w="27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Описание</w:t>
            </w:r>
          </w:p>
        </w:tc>
        <w:tc>
          <w:tcPr>
            <w:tcW w:w="20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Примеры</w:t>
            </w:r>
          </w:p>
        </w:tc>
        <w:tc>
          <w:tcPr>
            <w:tcW w:w="25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Кто маркирует</w:t>
            </w:r>
          </w:p>
        </w:tc>
      </w:tr>
      <w:tr>
        <w:trPr/>
        <w:tc>
          <w:tcPr>
            <w:tcW w:w="19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Открытая</w:t>
            </w:r>
          </w:p>
        </w:tc>
        <w:tc>
          <w:tcPr>
            <w:tcW w:w="278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Допускается публичное распространение</w:t>
            </w:r>
          </w:p>
        </w:tc>
        <w:tc>
          <w:tcPr>
            <w:tcW w:w="202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Сайт компании, публичные пресс-материалы</w:t>
            </w:r>
          </w:p>
        </w:tc>
        <w:tc>
          <w:tcPr>
            <w:tcW w:w="256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Автор материала</w:t>
            </w:r>
          </w:p>
        </w:tc>
      </w:tr>
      <w:tr>
        <w:trPr/>
        <w:tc>
          <w:tcPr>
            <w:tcW w:w="19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Внутренняя</w:t>
            </w:r>
          </w:p>
        </w:tc>
        <w:tc>
          <w:tcPr>
            <w:tcW w:w="278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Только для сотрудников организации</w:t>
            </w:r>
          </w:p>
        </w:tc>
        <w:tc>
          <w:tcPr>
            <w:tcW w:w="202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Внутренняя переписка, код без данных банка</w:t>
            </w:r>
          </w:p>
        </w:tc>
        <w:tc>
          <w:tcPr>
            <w:tcW w:w="256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Автор / руководитель проекта</w:t>
            </w:r>
          </w:p>
        </w:tc>
      </w:tr>
      <w:tr>
        <w:trPr/>
        <w:tc>
          <w:tcPr>
            <w:tcW w:w="19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Конфиденциальная</w:t>
            </w:r>
          </w:p>
        </w:tc>
        <w:tc>
          <w:tcPr>
            <w:tcW w:w="278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Ограниченный доступ</w:t>
            </w:r>
          </w:p>
        </w:tc>
        <w:tc>
          <w:tcPr>
            <w:tcW w:w="202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Договор, ТЗ, доступы, данные банка, исходный код с интеграциями банка</w:t>
            </w:r>
          </w:p>
        </w:tc>
        <w:tc>
          <w:tcPr>
            <w:tcW w:w="256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Руководитель проекта / координатор ИБ</w:t>
            </w:r>
          </w:p>
        </w:tc>
      </w:tr>
      <w:tr>
        <w:trPr/>
        <w:tc>
          <w:tcPr>
            <w:tcW w:w="197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Ограниченного распространения</w:t>
            </w:r>
          </w:p>
        </w:tc>
        <w:tc>
          <w:tcPr>
            <w:tcW w:w="278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По согласованию с банком</w:t>
            </w:r>
          </w:p>
        </w:tc>
        <w:tc>
          <w:tcPr>
            <w:tcW w:w="202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Материалы, переданные банком с ограничениями</w:t>
            </w:r>
          </w:p>
        </w:tc>
        <w:tc>
          <w:tcPr>
            <w:tcW w:w="256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Координатор ИБ</w:t>
            </w:r>
            <w:bookmarkStart w:id="9" w:name="уровни-классификации"/>
            <w:bookmarkEnd w:id="9"/>
          </w:p>
        </w:tc>
      </w:tr>
    </w:tbl>
    <w:p>
      <w:pPr>
        <w:pStyle w:val="Heading3"/>
        <w:rPr>
          <w:rFonts w:ascii="Arial" w:hAnsi="Arial"/>
        </w:rPr>
      </w:pPr>
      <w:r>
        <w:rPr>
          <w:rFonts w:ascii="Arial" w:hAnsi="Arial"/>
        </w:rPr>
        <w:t>6.2. Правила обработки</w:t>
      </w:r>
    </w:p>
    <w:p>
      <w:pPr>
        <w:pStyle w:val="Compact"/>
        <w:numPr>
          <w:ilvl w:val="0"/>
          <w:numId w:val="10"/>
        </w:numPr>
        <w:rPr>
          <w:rFonts w:ascii="Arial" w:hAnsi="Arial"/>
        </w:rPr>
      </w:pPr>
      <w:r>
        <w:rPr>
          <w:rFonts w:ascii="Arial" w:hAnsi="Arial"/>
          <w:b/>
          <w:bCs/>
        </w:rPr>
        <w:t>Конфиденциальная</w:t>
      </w:r>
      <w:r>
        <w:rPr>
          <w:rFonts w:ascii="Arial" w:hAnsi="Arial"/>
        </w:rPr>
        <w:t xml:space="preserve"> и </w:t>
      </w:r>
      <w:r>
        <w:rPr>
          <w:rFonts w:ascii="Arial" w:hAnsi="Arial"/>
          <w:b/>
          <w:bCs/>
        </w:rPr>
        <w:t>ограниченного распространения</w:t>
      </w:r>
      <w:r>
        <w:rPr>
          <w:rFonts w:ascii="Arial" w:hAnsi="Arial"/>
        </w:rPr>
        <w:t xml:space="preserve"> информация не передаётся через мессенджеры, личную почту и личные облачные хранилища.</w:t>
      </w:r>
    </w:p>
    <w:p>
      <w:pPr>
        <w:pStyle w:val="Compact"/>
        <w:numPr>
          <w:ilvl w:val="0"/>
          <w:numId w:val="3"/>
        </w:numPr>
        <w:rPr>
          <w:rFonts w:ascii="Arial" w:hAnsi="Arial"/>
        </w:rPr>
      </w:pPr>
      <w:r>
        <w:rPr>
          <w:rFonts w:ascii="Arial" w:hAnsi="Arial"/>
        </w:rPr>
        <w:t>Хранение — на корпоративных ресурсах (файловый сервер, согласованный Git, корпоративная почта).</w:t>
      </w:r>
    </w:p>
    <w:p>
      <w:pPr>
        <w:pStyle w:val="Compact"/>
        <w:numPr>
          <w:ilvl w:val="0"/>
          <w:numId w:val="3"/>
        </w:numPr>
        <w:rPr>
          <w:rFonts w:ascii="Arial" w:hAnsi="Arial"/>
        </w:rPr>
      </w:pPr>
      <w:r>
        <w:rPr>
          <w:rFonts w:ascii="Arial" w:hAnsi="Arial"/>
        </w:rPr>
        <w:t>При передаче заказчику — только через согласованные каналы (корпоративная почта, BelVPN; при требовании банка — СКЗИ).</w:t>
      </w:r>
    </w:p>
    <w:p>
      <w:pPr>
        <w:pStyle w:val="Compact"/>
        <w:numPr>
          <w:ilvl w:val="0"/>
          <w:numId w:val="3"/>
        </w:numPr>
        <w:rPr>
          <w:rFonts w:ascii="Arial" w:hAnsi="Arial"/>
        </w:rPr>
      </w:pPr>
      <w:bookmarkStart w:id="10" w:name="классификация-информации"/>
      <w:r>
        <w:rPr>
          <w:rFonts w:ascii="Arial" w:hAnsi="Arial"/>
        </w:rPr>
        <w:t>При выявлении неправильной классификации сотрудник сообщает руководителю проекта или координатору ИБ.</w:t>
      </w:r>
      <w:bookmarkEnd w:id="10"/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  <w:t>7. Управление учётными записями и доступами</w:t>
      </w:r>
    </w:p>
    <w:p>
      <w:pPr>
        <w:pStyle w:val="Heading3"/>
        <w:rPr>
          <w:rFonts w:ascii="Arial" w:hAnsi="Arial"/>
        </w:rPr>
      </w:pPr>
      <w:r>
        <w:rPr>
          <w:rFonts w:ascii="Arial" w:hAnsi="Arial"/>
        </w:rPr>
        <w:t>7.1. Общие принципы</w:t>
      </w:r>
    </w:p>
    <w:p>
      <w:pPr>
        <w:pStyle w:val="Compact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 xml:space="preserve">Доступ предоставляется на основании </w:t>
      </w:r>
      <w:r>
        <w:rPr>
          <w:rFonts w:ascii="Arial" w:hAnsi="Arial"/>
          <w:b/>
          <w:bCs/>
        </w:rPr>
        <w:t>оформленной заявки</w:t>
      </w:r>
      <w:r>
        <w:rPr>
          <w:rFonts w:ascii="Arial" w:hAnsi="Arial"/>
        </w:rPr>
        <w:t xml:space="preserve"> и по принципам </w:t>
      </w:r>
      <w:r>
        <w:rPr>
          <w:rFonts w:ascii="Arial" w:hAnsi="Arial"/>
          <w:b/>
          <w:bCs/>
        </w:rPr>
        <w:t>need-to-know</w:t>
      </w:r>
      <w:r>
        <w:rPr>
          <w:rFonts w:ascii="Arial" w:hAnsi="Arial"/>
        </w:rPr>
        <w:t xml:space="preserve"> и </w:t>
      </w:r>
      <w:r>
        <w:rPr>
          <w:rFonts w:ascii="Arial" w:hAnsi="Arial"/>
          <w:b/>
          <w:bCs/>
        </w:rPr>
        <w:t>least privilege</w:t>
      </w:r>
      <w:r>
        <w:rPr>
          <w:rFonts w:ascii="Arial" w:hAnsi="Arial"/>
        </w:rPr>
        <w:t>.</w:t>
      </w:r>
    </w:p>
    <w:p>
      <w:pPr>
        <w:pStyle w:val="Compact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Учётные записи персональные; передача паролей третьим лицам запрещена.</w:t>
      </w:r>
    </w:p>
    <w:p>
      <w:pPr>
        <w:pStyle w:val="Compact"/>
        <w:numPr>
          <w:ilvl w:val="0"/>
          <w:numId w:val="1"/>
        </w:numPr>
        <w:rPr>
          <w:rFonts w:ascii="Arial" w:hAnsi="Arial"/>
        </w:rPr>
      </w:pPr>
      <w:bookmarkStart w:id="11" w:name="общие-принципы"/>
      <w:r>
        <w:rPr>
          <w:rFonts w:ascii="Arial" w:hAnsi="Arial"/>
        </w:rPr>
        <w:t>Административные учётные записи используются только для администрирования и не применяются для повседневной работы.</w:t>
      </w:r>
      <w:bookmarkEnd w:id="11"/>
    </w:p>
    <w:p>
      <w:pPr>
        <w:pStyle w:val="Heading3"/>
        <w:rPr>
          <w:rFonts w:ascii="Arial" w:hAnsi="Arial"/>
        </w:rPr>
      </w:pPr>
      <w:r>
        <w:rPr>
          <w:rFonts w:ascii="Arial" w:hAnsi="Arial"/>
        </w:rPr>
        <w:t>7.2. Предоставление доступа при приёме на работу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911"/>
        <w:gridCol w:w="4080"/>
        <w:gridCol w:w="2716"/>
        <w:gridCol w:w="1653"/>
      </w:tblGrid>
      <w:tr>
        <w:trPr>
          <w:tblHeader w:val="true"/>
        </w:trPr>
        <w:tc>
          <w:tcPr>
            <w:tcW w:w="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Шаг</w:t>
            </w:r>
          </w:p>
        </w:tc>
        <w:tc>
          <w:tcPr>
            <w:tcW w:w="4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Действие</w:t>
            </w:r>
          </w:p>
        </w:tc>
        <w:tc>
          <w:tcPr>
            <w:tcW w:w="27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Исполнитель</w:t>
            </w:r>
          </w:p>
        </w:tc>
        <w:tc>
          <w:tcPr>
            <w:tcW w:w="1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Срок</w:t>
            </w:r>
          </w:p>
        </w:tc>
      </w:tr>
      <w:tr>
        <w:trPr/>
        <w:tc>
          <w:tcPr>
            <w:tcW w:w="91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408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Оформление приёма; определение должности и участия в проекте «ПО на базе искусственного интеллекта для банковских процессов»</w:t>
            </w:r>
          </w:p>
        </w:tc>
        <w:tc>
          <w:tcPr>
            <w:tcW w:w="271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HR-менеджер</w:t>
            </w:r>
          </w:p>
        </w:tc>
        <w:tc>
          <w:tcPr>
            <w:tcW w:w="165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День приёма</w:t>
            </w:r>
          </w:p>
        </w:tc>
      </w:tr>
      <w:tr>
        <w:trPr/>
        <w:tc>
          <w:tcPr>
            <w:tcW w:w="91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408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 xml:space="preserve">Направление </w:t>
            </w: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служебной записки</w:t>
            </w: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 xml:space="preserve"> администратору ИТ с указанием: ФИО, должность, дата начала, перечень необходимых ресурсов (AD, почта, VPN, репозиторий, системы банка — по роли)</w:t>
            </w:r>
          </w:p>
        </w:tc>
        <w:tc>
          <w:tcPr>
            <w:tcW w:w="271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HR-менеджер</w:t>
            </w:r>
          </w:p>
        </w:tc>
        <w:tc>
          <w:tcPr>
            <w:tcW w:w="165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Не позднее 1 раб. дня до выхода</w:t>
            </w:r>
          </w:p>
        </w:tc>
      </w:tr>
      <w:tr>
        <w:trPr/>
        <w:tc>
          <w:tcPr>
            <w:tcW w:w="91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408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Согласование перечня доступов с руководителем проекта</w:t>
            </w:r>
          </w:p>
        </w:tc>
        <w:tc>
          <w:tcPr>
            <w:tcW w:w="271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Администратор ИТ + Толкачев Г.А.</w:t>
            </w:r>
          </w:p>
        </w:tc>
        <w:tc>
          <w:tcPr>
            <w:tcW w:w="165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1 раб. день</w:t>
            </w:r>
          </w:p>
        </w:tc>
      </w:tr>
      <w:tr>
        <w:trPr/>
        <w:tc>
          <w:tcPr>
            <w:tcW w:w="91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408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Создание учётной записи в AD; назначение групп; создание корпоративной почты</w:t>
            </w:r>
          </w:p>
        </w:tc>
        <w:tc>
          <w:tcPr>
            <w:tcW w:w="271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Администратор ИТ</w:t>
            </w:r>
          </w:p>
        </w:tc>
        <w:tc>
          <w:tcPr>
            <w:tcW w:w="165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До начала работ</w:t>
            </w:r>
          </w:p>
        </w:tc>
      </w:tr>
      <w:tr>
        <w:trPr/>
        <w:tc>
          <w:tcPr>
            <w:tcW w:w="91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5</w:t>
            </w:r>
          </w:p>
        </w:tc>
        <w:tc>
          <w:tcPr>
            <w:tcW w:w="408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Настройка MFA для удалённого доступа и внешних сервисов</w:t>
            </w:r>
          </w:p>
        </w:tc>
        <w:tc>
          <w:tcPr>
            <w:tcW w:w="271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Администратор ИТ</w:t>
            </w:r>
          </w:p>
        </w:tc>
        <w:tc>
          <w:tcPr>
            <w:tcW w:w="165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До начала работ</w:t>
            </w:r>
          </w:p>
        </w:tc>
      </w:tr>
      <w:tr>
        <w:trPr/>
        <w:tc>
          <w:tcPr>
            <w:tcW w:w="91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6</w:t>
            </w:r>
          </w:p>
        </w:tc>
        <w:tc>
          <w:tcPr>
            <w:tcW w:w="408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 xml:space="preserve">Выдача первичного пароля </w:t>
            </w: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лично</w:t>
            </w: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 xml:space="preserve"> или через защищённый канал; обязательная смена при первом входе</w:t>
            </w:r>
          </w:p>
        </w:tc>
        <w:tc>
          <w:tcPr>
            <w:tcW w:w="271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Администратор ИТ</w:t>
            </w:r>
          </w:p>
        </w:tc>
        <w:tc>
          <w:tcPr>
            <w:tcW w:w="165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День начала работ</w:t>
            </w:r>
          </w:p>
        </w:tc>
      </w:tr>
      <w:tr>
        <w:trPr/>
        <w:tc>
          <w:tcPr>
            <w:tcW w:w="9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7</w:t>
            </w:r>
          </w:p>
        </w:tc>
        <w:tc>
          <w:tcPr>
            <w:tcW w:w="40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Ознакомление с политикой ИБ и регламентами под роспись</w:t>
            </w:r>
          </w:p>
        </w:tc>
        <w:tc>
          <w:tcPr>
            <w:tcW w:w="27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HR-менеджер / руководитель проекта</w:t>
            </w:r>
          </w:p>
        </w:tc>
        <w:tc>
          <w:tcPr>
            <w:tcW w:w="16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В течение 5 раб. дней</w:t>
            </w:r>
          </w:p>
        </w:tc>
      </w:tr>
      <w:tr>
        <w:trPr/>
        <w:tc>
          <w:tcPr>
            <w:tcW w:w="91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8</w:t>
            </w:r>
          </w:p>
        </w:tc>
        <w:tc>
          <w:tcPr>
            <w:tcW w:w="408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Вводный инструктаж по ИБ</w:t>
            </w:r>
          </w:p>
        </w:tc>
        <w:tc>
          <w:tcPr>
            <w:tcW w:w="271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Координатор ИБ (Пономарев А.В.)</w:t>
            </w:r>
          </w:p>
        </w:tc>
        <w:tc>
          <w:tcPr>
            <w:tcW w:w="165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В течение 5 раб. дней</w:t>
            </w:r>
          </w:p>
        </w:tc>
      </w:tr>
      <w:tr>
        <w:trPr/>
        <w:tc>
          <w:tcPr>
            <w:tcW w:w="91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9</w:t>
            </w:r>
          </w:p>
        </w:tc>
        <w:tc>
          <w:tcPr>
            <w:tcW w:w="408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 xml:space="preserve">Запись в </w:t>
            </w: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журнал доступов</w:t>
            </w: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 xml:space="preserve"> (дата, ФИО, ресурсы, основание — служебная записка HR)</w:t>
            </w:r>
          </w:p>
        </w:tc>
        <w:tc>
          <w:tcPr>
            <w:tcW w:w="271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Администратор ИТ</w:t>
            </w:r>
          </w:p>
        </w:tc>
        <w:tc>
          <w:tcPr>
            <w:tcW w:w="165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В день создания УЗ</w:t>
            </w:r>
            <w:bookmarkStart w:id="12" w:name="Xe3425086b886277bf0aff2be3385c57df97de9b"/>
            <w:bookmarkEnd w:id="12"/>
          </w:p>
        </w:tc>
      </w:tr>
    </w:tbl>
    <w:p>
      <w:pPr>
        <w:pStyle w:val="Heading3"/>
        <w:rPr>
          <w:rFonts w:ascii="Arial" w:hAnsi="Arial"/>
        </w:rPr>
      </w:pPr>
      <w:r>
        <w:rPr>
          <w:rFonts w:ascii="Arial" w:hAnsi="Arial"/>
        </w:rPr>
        <w:t>7.3. Изменение доступов (перевод, расширение полномочий)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935"/>
        <w:gridCol w:w="5016"/>
        <w:gridCol w:w="3409"/>
      </w:tblGrid>
      <w:tr>
        <w:trPr>
          <w:tblHeader w:val="true"/>
        </w:trPr>
        <w:tc>
          <w:tcPr>
            <w:tcW w:w="9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Шаг</w:t>
            </w:r>
          </w:p>
        </w:tc>
        <w:tc>
          <w:tcPr>
            <w:tcW w:w="5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Действие</w:t>
            </w:r>
          </w:p>
        </w:tc>
        <w:tc>
          <w:tcPr>
            <w:tcW w:w="3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Исполнитель</w:t>
            </w:r>
          </w:p>
        </w:tc>
      </w:tr>
      <w:tr>
        <w:trPr/>
        <w:tc>
          <w:tcPr>
            <w:tcW w:w="93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501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Служебная записка HR или заявка руководителя проекта с обоснованием</w:t>
            </w:r>
          </w:p>
        </w:tc>
        <w:tc>
          <w:tcPr>
            <w:tcW w:w="34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HR / Толкачев Г.А.</w:t>
            </w:r>
          </w:p>
        </w:tc>
      </w:tr>
      <w:tr>
        <w:trPr/>
        <w:tc>
          <w:tcPr>
            <w:tcW w:w="93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501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Согласование координатором ИБ — для доступа к системам банка и административных прав</w:t>
            </w:r>
          </w:p>
        </w:tc>
        <w:tc>
          <w:tcPr>
            <w:tcW w:w="34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Пономарев А.В.</w:t>
            </w:r>
          </w:p>
        </w:tc>
      </w:tr>
      <w:tr>
        <w:trPr/>
        <w:tc>
          <w:tcPr>
            <w:tcW w:w="93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501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Изменение групп AD / прав в сервисах</w:t>
            </w:r>
          </w:p>
        </w:tc>
        <w:tc>
          <w:tcPr>
            <w:tcW w:w="34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Администратор ИТ</w:t>
            </w:r>
          </w:p>
        </w:tc>
      </w:tr>
      <w:tr>
        <w:trPr/>
        <w:tc>
          <w:tcPr>
            <w:tcW w:w="93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501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Запись в журнал доступов</w:t>
            </w:r>
          </w:p>
        </w:tc>
        <w:tc>
          <w:tcPr>
            <w:tcW w:w="340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Администратор ИТ</w:t>
            </w:r>
          </w:p>
        </w:tc>
      </w:tr>
    </w:tbl>
    <w:p>
      <w:pPr>
        <w:pStyle w:val="Heading3"/>
        <w:rPr>
          <w:rFonts w:ascii="Arial" w:hAnsi="Arial"/>
        </w:rPr>
      </w:pPr>
      <w:r>
        <w:rPr>
          <w:rFonts w:ascii="Arial" w:hAnsi="Arial"/>
        </w:rPr>
        <w:t>7.4. Отзыв доступа при увольнении или завершении участия в проекте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960"/>
        <w:gridCol w:w="3744"/>
        <w:gridCol w:w="2435"/>
        <w:gridCol w:w="2221"/>
      </w:tblGrid>
      <w:tr>
        <w:trPr>
          <w:tblHeader w:val="true"/>
        </w:trPr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Шаг</w:t>
            </w:r>
          </w:p>
        </w:tc>
        <w:tc>
          <w:tcPr>
            <w:tcW w:w="3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Действие</w:t>
            </w:r>
          </w:p>
        </w:tc>
        <w:tc>
          <w:tcPr>
            <w:tcW w:w="24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Исполнитель</w:t>
            </w:r>
          </w:p>
        </w:tc>
        <w:tc>
          <w:tcPr>
            <w:tcW w:w="22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Срок</w:t>
            </w:r>
          </w:p>
        </w:tc>
      </w:tr>
      <w:tr>
        <w:trPr/>
        <w:tc>
          <w:tcPr>
            <w:tcW w:w="96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374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Служебная записка HR об увольнении или отстранении от проекта</w:t>
            </w:r>
          </w:p>
        </w:tc>
        <w:tc>
          <w:tcPr>
            <w:tcW w:w="243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HR-менеджер</w:t>
            </w:r>
          </w:p>
        </w:tc>
        <w:tc>
          <w:tcPr>
            <w:tcW w:w="22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Немедленно при принятии решения</w:t>
            </w:r>
          </w:p>
        </w:tc>
      </w:tr>
      <w:tr>
        <w:trPr/>
        <w:tc>
          <w:tcPr>
            <w:tcW w:w="96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374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Блокировка учётной записи AD; отключение почты, VPN, доступов к репозиториям и системам банка</w:t>
            </w:r>
          </w:p>
        </w:tc>
        <w:tc>
          <w:tcPr>
            <w:tcW w:w="243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Администратор ИТ</w:t>
            </w:r>
          </w:p>
        </w:tc>
        <w:tc>
          <w:tcPr>
            <w:tcW w:w="22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Не позднее последнего рабочего дня</w:t>
            </w: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 xml:space="preserve"> (предпочтительно — в день уведомления)</w:t>
            </w:r>
          </w:p>
        </w:tc>
      </w:tr>
      <w:tr>
        <w:trPr/>
        <w:tc>
          <w:tcPr>
            <w:tcW w:w="96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374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Инвентаризация выданного оборудования; смена паролей общих ресурсов при необходимости</w:t>
            </w:r>
          </w:p>
        </w:tc>
        <w:tc>
          <w:tcPr>
            <w:tcW w:w="243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Администратор ИТ</w:t>
            </w:r>
          </w:p>
        </w:tc>
        <w:tc>
          <w:tcPr>
            <w:tcW w:w="22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Последний раб. день</w:t>
            </w:r>
          </w:p>
        </w:tc>
      </w:tr>
      <w:tr>
        <w:trPr/>
        <w:tc>
          <w:tcPr>
            <w:tcW w:w="96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374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Запись в журнал доступов</w:t>
            </w:r>
          </w:p>
        </w:tc>
        <w:tc>
          <w:tcPr>
            <w:tcW w:w="243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Администратор ИТ</w:t>
            </w:r>
          </w:p>
        </w:tc>
        <w:tc>
          <w:tcPr>
            <w:tcW w:w="2221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День блокировки</w:t>
            </w:r>
          </w:p>
        </w:tc>
      </w:tr>
      <w:tr>
        <w:trPr/>
        <w:tc>
          <w:tcPr>
            <w:tcW w:w="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5</w:t>
            </w:r>
          </w:p>
        </w:tc>
        <w:tc>
          <w:tcPr>
            <w:tcW w:w="37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Контроль факта блокировки</w:t>
            </w:r>
          </w:p>
        </w:tc>
        <w:tc>
          <w:tcPr>
            <w:tcW w:w="24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Координатор ИБ</w:t>
            </w:r>
          </w:p>
        </w:tc>
        <w:tc>
          <w:tcPr>
            <w:tcW w:w="22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1 раб. день после увольнения</w:t>
            </w:r>
          </w:p>
        </w:tc>
      </w:tr>
    </w:tbl>
    <w:p>
      <w:pPr>
        <w:pStyle w:val="Heading3"/>
        <w:rPr>
          <w:rFonts w:ascii="Arial" w:hAnsi="Arial"/>
        </w:rPr>
      </w:pPr>
      <w:r>
        <w:rPr>
          <w:rFonts w:ascii="Arial" w:hAnsi="Arial"/>
        </w:rPr>
        <w:t>7.5. Периодический пересмотр доступов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3120"/>
        <w:gridCol w:w="3270"/>
        <w:gridCol w:w="2970"/>
      </w:tblGrid>
      <w:tr>
        <w:trPr>
          <w:tblHeader w:val="true"/>
        </w:trPr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Мероприятие</w:t>
            </w:r>
          </w:p>
        </w:tc>
        <w:tc>
          <w:tcPr>
            <w:tcW w:w="32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Периодичность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Исполнитель</w:t>
            </w:r>
          </w:p>
        </w:tc>
      </w:tr>
      <w:tr>
        <w:trPr/>
        <w:tc>
          <w:tcPr>
            <w:tcW w:w="312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Сверка списка активных УЗ с штатным расписанием / составом проекта</w:t>
            </w:r>
          </w:p>
        </w:tc>
        <w:tc>
          <w:tcPr>
            <w:tcW w:w="327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Ежеквартально</w:t>
            </w:r>
          </w:p>
        </w:tc>
        <w:tc>
          <w:tcPr>
            <w:tcW w:w="29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Администратор ИТ + HR</w:t>
            </w:r>
          </w:p>
        </w:tc>
      </w:tr>
      <w:tr>
        <w:trPr/>
        <w:tc>
          <w:tcPr>
            <w:tcW w:w="312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 xml:space="preserve">Отключение неиспользуемых УЗ (без входа более </w:t>
            </w: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45 дней</w:t>
            </w: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)</w:t>
            </w:r>
          </w:p>
        </w:tc>
        <w:tc>
          <w:tcPr>
            <w:tcW w:w="327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Ежемесячная проверка</w:t>
            </w:r>
          </w:p>
        </w:tc>
        <w:tc>
          <w:tcPr>
            <w:tcW w:w="29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Администратор ИТ</w:t>
            </w:r>
          </w:p>
        </w:tc>
      </w:tr>
      <w:tr>
        <w:trPr/>
        <w:tc>
          <w:tcPr>
            <w:tcW w:w="312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Пересмотр прав администраторов и доступа к системам банка</w:t>
            </w:r>
          </w:p>
        </w:tc>
        <w:tc>
          <w:tcPr>
            <w:tcW w:w="327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Ежеквартально</w:t>
            </w:r>
          </w:p>
        </w:tc>
        <w:tc>
          <w:tcPr>
            <w:tcW w:w="29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Координатор ИБ</w:t>
            </w:r>
          </w:p>
        </w:tc>
      </w:tr>
    </w:tbl>
    <w:p>
      <w:pPr>
        <w:pStyle w:val="Heading3"/>
        <w:rPr>
          <w:rFonts w:ascii="Arial" w:hAnsi="Arial"/>
        </w:rPr>
      </w:pPr>
      <w:r>
        <w:rPr>
          <w:rFonts w:ascii="Arial" w:hAnsi="Arial"/>
        </w:rPr>
        <w:t>7.6. Доступ к системам заказчика (банк)</w:t>
      </w:r>
    </w:p>
    <w:p>
      <w:pPr>
        <w:pStyle w:val="Compact"/>
        <w:numPr>
          <w:ilvl w:val="0"/>
          <w:numId w:val="11"/>
        </w:numPr>
        <w:rPr>
          <w:rFonts w:ascii="Arial" w:hAnsi="Arial"/>
        </w:rPr>
      </w:pPr>
      <w:r>
        <w:rPr>
          <w:rFonts w:ascii="Arial" w:hAnsi="Arial"/>
        </w:rPr>
        <w:t>Инициатор — руководитель проекта (обоснование необходимости).</w:t>
      </w:r>
    </w:p>
    <w:p>
      <w:pPr>
        <w:pStyle w:val="Compact"/>
        <w:numPr>
          <w:ilvl w:val="0"/>
          <w:numId w:val="3"/>
        </w:numPr>
        <w:rPr>
          <w:rFonts w:ascii="Arial" w:hAnsi="Arial"/>
        </w:rPr>
      </w:pPr>
      <w:r>
        <w:rPr>
          <w:rFonts w:ascii="Arial" w:hAnsi="Arial"/>
        </w:rPr>
        <w:t>Согласование — координатор ИБ.</w:t>
      </w:r>
    </w:p>
    <w:p>
      <w:pPr>
        <w:pStyle w:val="Compact"/>
        <w:numPr>
          <w:ilvl w:val="0"/>
          <w:numId w:val="3"/>
        </w:numPr>
        <w:rPr>
          <w:rFonts w:ascii="Arial" w:hAnsi="Arial"/>
        </w:rPr>
      </w:pPr>
      <w:r>
        <w:rPr>
          <w:rFonts w:ascii="Arial" w:hAnsi="Arial"/>
        </w:rPr>
        <w:t>Запрос учётных данных / групп — через согласованный канал с представителем банка.</w:t>
      </w:r>
    </w:p>
    <w:p>
      <w:pPr>
        <w:pStyle w:val="Compact"/>
        <w:numPr>
          <w:ilvl w:val="0"/>
          <w:numId w:val="3"/>
        </w:numPr>
        <w:rPr>
          <w:rFonts w:ascii="Arial" w:hAnsi="Arial"/>
        </w:rPr>
      </w:pPr>
      <w:bookmarkStart w:id="13" w:name="управление-учётными-записями-и-доступами"/>
      <w:r>
        <w:rPr>
          <w:rFonts w:ascii="Arial" w:hAnsi="Arial"/>
        </w:rPr>
        <w:t>Учёт выданных доступов — в журнале доступов (отдельная графа «ресурсы банка»).</w:t>
      </w:r>
      <w:bookmarkEnd w:id="13"/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  <w:t>8. Аутентификация и пароли</w:t>
      </w:r>
    </w:p>
    <w:p>
      <w:pPr>
        <w:pStyle w:val="Heading3"/>
        <w:rPr>
          <w:rFonts w:ascii="Arial" w:hAnsi="Arial"/>
        </w:rPr>
      </w:pPr>
      <w:bookmarkStart w:id="14" w:name="требования-к-паролям"/>
      <w:r>
        <w:rPr>
          <w:rFonts w:ascii="Arial" w:hAnsi="Arial"/>
        </w:rPr>
        <w:t>8.1. Требования к паролям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4254"/>
        <w:gridCol w:w="5106"/>
      </w:tblGrid>
      <w:tr>
        <w:trPr>
          <w:tblHeader w:val="true"/>
        </w:trPr>
        <w:tc>
          <w:tcPr>
            <w:tcW w:w="4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Параметр</w:t>
            </w:r>
          </w:p>
        </w:tc>
        <w:tc>
          <w:tcPr>
            <w:tcW w:w="5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Требование</w:t>
            </w:r>
          </w:p>
        </w:tc>
      </w:tr>
      <w:tr>
        <w:trPr/>
        <w:tc>
          <w:tcPr>
            <w:tcW w:w="425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Минимальная длина</w:t>
            </w:r>
          </w:p>
        </w:tc>
        <w:tc>
          <w:tcPr>
            <w:tcW w:w="510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12 символов</w:t>
            </w:r>
          </w:p>
        </w:tc>
      </w:tr>
      <w:tr>
        <w:trPr/>
        <w:tc>
          <w:tcPr>
            <w:tcW w:w="425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Состав</w:t>
            </w:r>
          </w:p>
        </w:tc>
        <w:tc>
          <w:tcPr>
            <w:tcW w:w="510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Буквы верхнего и нижнего регистра, цифры, спецсимволы (рекомендуется)</w:t>
            </w:r>
          </w:p>
        </w:tc>
      </w:tr>
      <w:tr>
        <w:trPr/>
        <w:tc>
          <w:tcPr>
            <w:tcW w:w="425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Срок действия</w:t>
            </w:r>
          </w:p>
        </w:tc>
        <w:tc>
          <w:tcPr>
            <w:tcW w:w="510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Смена при компрометации или по решению координатора ИБ</w:t>
            </w:r>
          </w:p>
        </w:tc>
      </w:tr>
      <w:tr>
        <w:trPr/>
        <w:tc>
          <w:tcPr>
            <w:tcW w:w="425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Запрет</w:t>
            </w:r>
          </w:p>
        </w:tc>
        <w:tc>
          <w:tcPr>
            <w:tcW w:w="510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Повторное использование последних 5 паролей; передача третьим лицам; хранение в открытом виде</w:t>
            </w:r>
          </w:p>
        </w:tc>
      </w:tr>
    </w:tbl>
    <w:p>
      <w:pPr>
        <w:pStyle w:val="BodyText"/>
        <w:rPr>
          <w:rFonts w:ascii="Arial" w:hAnsi="Arial"/>
        </w:rPr>
      </w:pPr>
      <w:r>
        <w:rPr>
          <w:rFonts w:ascii="Arial" w:hAnsi="Arial"/>
          <w:b/>
          <w:bCs/>
        </w:rPr>
        <w:t>Кто контролирует:</w:t>
      </w:r>
      <w:r>
        <w:rPr>
          <w:rFonts w:ascii="Arial" w:hAnsi="Arial"/>
        </w:rPr>
        <w:t xml:space="preserve"> администратор ИТ настраивает политику паролей в AD; координатор ИБ проверяет соблюдение при аудите.</w:t>
      </w:r>
      <w:bookmarkEnd w:id="14"/>
    </w:p>
    <w:p>
      <w:pPr>
        <w:pStyle w:val="Heading3"/>
        <w:rPr>
          <w:rFonts w:ascii="Arial" w:hAnsi="Arial"/>
        </w:rPr>
      </w:pPr>
      <w:r>
        <w:rPr>
          <w:rFonts w:ascii="Arial" w:hAnsi="Arial"/>
        </w:rPr>
        <w:t>8.2. Многофакторная аутентификация (MFA)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3342"/>
        <w:gridCol w:w="3401"/>
        <w:gridCol w:w="2617"/>
      </w:tblGrid>
      <w:tr>
        <w:trPr>
          <w:tblHeader w:val="true"/>
        </w:trPr>
        <w:tc>
          <w:tcPr>
            <w:tcW w:w="33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Сценарий</w:t>
            </w:r>
          </w:p>
        </w:tc>
        <w:tc>
          <w:tcPr>
            <w:tcW w:w="34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MFA</w:t>
            </w:r>
          </w:p>
        </w:tc>
        <w:tc>
          <w:tcPr>
            <w:tcW w:w="26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Настраивает</w:t>
            </w:r>
          </w:p>
        </w:tc>
      </w:tr>
      <w:tr>
        <w:trPr/>
        <w:tc>
          <w:tcPr>
            <w:tcW w:w="334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Удалённый доступ (VPN)</w:t>
            </w:r>
          </w:p>
        </w:tc>
        <w:tc>
          <w:tcPr>
            <w:tcW w:w="340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Обязательно</w:t>
            </w:r>
          </w:p>
        </w:tc>
        <w:tc>
          <w:tcPr>
            <w:tcW w:w="26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Администратор ИТ</w:t>
            </w:r>
          </w:p>
        </w:tc>
      </w:tr>
      <w:tr>
        <w:trPr/>
        <w:tc>
          <w:tcPr>
            <w:tcW w:w="334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Корпоративная почта (веб)</w:t>
            </w:r>
          </w:p>
        </w:tc>
        <w:tc>
          <w:tcPr>
            <w:tcW w:w="340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Обязательно, где поддерживается</w:t>
            </w:r>
          </w:p>
        </w:tc>
        <w:tc>
          <w:tcPr>
            <w:tcW w:w="26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Администратор ИТ</w:t>
            </w:r>
          </w:p>
        </w:tc>
      </w:tr>
      <w:tr>
        <w:trPr/>
        <w:tc>
          <w:tcPr>
            <w:tcW w:w="334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Git / CI / облачные сервисы проекта</w:t>
            </w:r>
          </w:p>
        </w:tc>
        <w:tc>
          <w:tcPr>
            <w:tcW w:w="340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Обязательно</w:t>
            </w:r>
          </w:p>
        </w:tc>
        <w:tc>
          <w:tcPr>
            <w:tcW w:w="26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Администратор ИТ</w:t>
            </w:r>
          </w:p>
        </w:tc>
      </w:tr>
      <w:tr>
        <w:trPr/>
        <w:tc>
          <w:tcPr>
            <w:tcW w:w="334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Внутренняя сеть офиса</w:t>
            </w:r>
          </w:p>
        </w:tc>
        <w:tc>
          <w:tcPr>
            <w:tcW w:w="340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По решению координатора ИБ</w:t>
            </w:r>
          </w:p>
        </w:tc>
        <w:tc>
          <w:tcPr>
            <w:tcW w:w="261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Администратор ИТ</w:t>
            </w:r>
          </w:p>
        </w:tc>
      </w:tr>
    </w:tbl>
    <w:p>
      <w:pPr>
        <w:pStyle w:val="Normal"/>
        <w:rPr>
          <w:rFonts w:ascii="Arial" w:hAnsi="Arial"/>
        </w:rPr>
      </w:pPr>
      <w:bookmarkStart w:id="15" w:name="многофакторная-аутентификация-mfa"/>
      <w:bookmarkStart w:id="16" w:name="аутентификация-и-пароли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6" name="Фигура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5"/>
      <w:bookmarkEnd w:id="16"/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  <w:t>9. Сетевая безопасность и удалённый доступ</w:t>
      </w:r>
    </w:p>
    <w:p>
      <w:pPr>
        <w:pStyle w:val="Heading3"/>
        <w:rPr>
          <w:rFonts w:ascii="Arial" w:hAnsi="Arial"/>
        </w:rPr>
      </w:pPr>
      <w:r>
        <w:rPr>
          <w:rFonts w:ascii="Arial" w:hAnsi="Arial"/>
        </w:rPr>
        <w:t>9.1. Меры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2375"/>
        <w:gridCol w:w="3912"/>
        <w:gridCol w:w="3073"/>
      </w:tblGrid>
      <w:tr>
        <w:trPr>
          <w:tblHeader w:val="true"/>
        </w:trPr>
        <w:tc>
          <w:tcPr>
            <w:tcW w:w="23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Мера</w:t>
            </w:r>
          </w:p>
        </w:tc>
        <w:tc>
          <w:tcPr>
            <w:tcW w:w="39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Описание</w:t>
            </w:r>
          </w:p>
        </w:tc>
        <w:tc>
          <w:tcPr>
            <w:tcW w:w="30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Ответственный</w:t>
            </w:r>
          </w:p>
        </w:tc>
      </w:tr>
      <w:tr>
        <w:trPr/>
        <w:tc>
          <w:tcPr>
            <w:tcW w:w="237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Сегментация</w:t>
            </w:r>
          </w:p>
        </w:tc>
        <w:tc>
          <w:tcPr>
            <w:tcW w:w="39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Разделение пользовательской и серверной зон</w:t>
            </w:r>
          </w:p>
        </w:tc>
        <w:tc>
          <w:tcPr>
            <w:tcW w:w="30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Администратор ИТ</w:t>
            </w:r>
          </w:p>
        </w:tc>
      </w:tr>
      <w:tr>
        <w:trPr/>
        <w:tc>
          <w:tcPr>
            <w:tcW w:w="237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Межсетевой экран</w:t>
            </w:r>
          </w:p>
        </w:tc>
        <w:tc>
          <w:tcPr>
            <w:tcW w:w="39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Фильтрация входящего/исходящего трафика</w:t>
            </w:r>
          </w:p>
        </w:tc>
        <w:tc>
          <w:tcPr>
            <w:tcW w:w="30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Администратор ИТ</w:t>
            </w:r>
          </w:p>
        </w:tc>
      </w:tr>
      <w:tr>
        <w:trPr/>
        <w:tc>
          <w:tcPr>
            <w:tcW w:w="237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VPN / BelVPN</w:t>
            </w:r>
          </w:p>
        </w:tc>
        <w:tc>
          <w:tcPr>
            <w:tcW w:w="39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Удалённый доступ только через VPN; BelVPN — для ресурсов банка</w:t>
            </w:r>
          </w:p>
        </w:tc>
        <w:tc>
          <w:tcPr>
            <w:tcW w:w="30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Администратор ИТ</w:t>
            </w:r>
          </w:p>
        </w:tc>
      </w:tr>
      <w:tr>
        <w:trPr/>
        <w:tc>
          <w:tcPr>
            <w:tcW w:w="237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Запрет открытых портов</w:t>
            </w:r>
          </w:p>
        </w:tc>
        <w:tc>
          <w:tcPr>
            <w:tcW w:w="391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Публикация сервисов только при необходимости, по согласованию координатора ИБ</w:t>
            </w:r>
          </w:p>
        </w:tc>
        <w:tc>
          <w:tcPr>
            <w:tcW w:w="307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Администратор ИТ</w:t>
            </w:r>
            <w:bookmarkStart w:id="17" w:name="меры"/>
            <w:bookmarkEnd w:id="17"/>
          </w:p>
        </w:tc>
      </w:tr>
    </w:tbl>
    <w:p>
      <w:pPr>
        <w:pStyle w:val="Heading3"/>
        <w:rPr>
          <w:rFonts w:ascii="Arial" w:hAnsi="Arial"/>
        </w:rPr>
      </w:pPr>
      <w:r>
        <w:rPr>
          <w:rFonts w:ascii="Arial" w:hAnsi="Arial"/>
        </w:rPr>
        <w:t>9.2. Правила для сотрудников</w:t>
      </w:r>
    </w:p>
    <w:p>
      <w:pPr>
        <w:pStyle w:val="Compact"/>
        <w:numPr>
          <w:ilvl w:val="0"/>
          <w:numId w:val="12"/>
        </w:numPr>
        <w:rPr>
          <w:rFonts w:ascii="Arial" w:hAnsi="Arial"/>
        </w:rPr>
      </w:pPr>
      <w:r>
        <w:rPr>
          <w:rFonts w:ascii="Arial" w:hAnsi="Arial"/>
        </w:rPr>
        <w:t xml:space="preserve">Подключаться к ресурсам банка </w:t>
      </w:r>
      <w:r>
        <w:rPr>
          <w:rFonts w:ascii="Arial" w:hAnsi="Arial"/>
          <w:b/>
          <w:bCs/>
        </w:rPr>
        <w:t>только</w:t>
      </w:r>
      <w:r>
        <w:rPr>
          <w:rFonts w:ascii="Arial" w:hAnsi="Arial"/>
        </w:rPr>
        <w:t xml:space="preserve"> через BelVPN с рабочей учётной записи.</w:t>
      </w:r>
    </w:p>
    <w:p>
      <w:pPr>
        <w:pStyle w:val="Compact"/>
        <w:numPr>
          <w:ilvl w:val="0"/>
          <w:numId w:val="3"/>
        </w:numPr>
        <w:rPr>
          <w:rFonts w:ascii="Arial" w:hAnsi="Arial"/>
        </w:rPr>
      </w:pPr>
      <w:r>
        <w:rPr>
          <w:rFonts w:ascii="Arial" w:hAnsi="Arial"/>
        </w:rPr>
        <w:t>Не подключать корпоративные устройства к незащищённым общественным Wi</w:t>
        <w:noBreakHyphen/>
        <w:t>Fi без VPN.</w:t>
      </w:r>
    </w:p>
    <w:p>
      <w:pPr>
        <w:pStyle w:val="Compact"/>
        <w:numPr>
          <w:ilvl w:val="0"/>
          <w:numId w:val="3"/>
        </w:numPr>
        <w:rPr>
          <w:rFonts w:ascii="Arial" w:hAnsi="Arial"/>
        </w:rPr>
      </w:pPr>
      <w:bookmarkStart w:id="18" w:name="сетевая-безопасность-и-удалённый-доступ"/>
      <w:r>
        <w:rPr>
          <w:rFonts w:ascii="Arial" w:hAnsi="Arial"/>
        </w:rPr>
        <w:t>Не отключать антивирус и межсетевой экран.</w:t>
      </w:r>
      <w:bookmarkEnd w:id="18"/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  <w:t>10. Антивирусная защита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2968"/>
        <w:gridCol w:w="3422"/>
        <w:gridCol w:w="2970"/>
      </w:tblGrid>
      <w:tr>
        <w:trPr>
          <w:tblHeader w:val="true"/>
        </w:trPr>
        <w:tc>
          <w:tcPr>
            <w:tcW w:w="2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Мероприятие</w:t>
            </w:r>
          </w:p>
        </w:tc>
        <w:tc>
          <w:tcPr>
            <w:tcW w:w="3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Периодичность</w:t>
            </w:r>
          </w:p>
        </w:tc>
        <w:tc>
          <w:tcPr>
            <w:tcW w:w="29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Исполнитель</w:t>
            </w:r>
          </w:p>
        </w:tc>
      </w:tr>
      <w:tr>
        <w:trPr/>
        <w:tc>
          <w:tcPr>
            <w:tcW w:w="2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Установка антивируса на все рабочие станции и серверы</w:t>
            </w:r>
          </w:p>
        </w:tc>
        <w:tc>
          <w:tcPr>
            <w:tcW w:w="342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При вводе в эксплуатацию</w:t>
            </w:r>
          </w:p>
        </w:tc>
        <w:tc>
          <w:tcPr>
            <w:tcW w:w="29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Администратор ИТ</w:t>
            </w:r>
          </w:p>
        </w:tc>
      </w:tr>
      <w:tr>
        <w:trPr/>
        <w:tc>
          <w:tcPr>
            <w:tcW w:w="2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Автообновление сигнатур</w:t>
            </w:r>
          </w:p>
        </w:tc>
        <w:tc>
          <w:tcPr>
            <w:tcW w:w="342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Ежедневно (автоматически)</w:t>
            </w:r>
          </w:p>
        </w:tc>
        <w:tc>
          <w:tcPr>
            <w:tcW w:w="29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Администратор ИТ</w:t>
            </w:r>
          </w:p>
        </w:tc>
      </w:tr>
      <w:tr>
        <w:trPr/>
        <w:tc>
          <w:tcPr>
            <w:tcW w:w="2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Полное сканирование</w:t>
            </w:r>
          </w:p>
        </w:tc>
        <w:tc>
          <w:tcPr>
            <w:tcW w:w="342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Не реже 1 раза в неделю</w:t>
            </w:r>
          </w:p>
        </w:tc>
        <w:tc>
          <w:tcPr>
            <w:tcW w:w="29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Автоматически + контроль</w:t>
            </w:r>
          </w:p>
        </w:tc>
      </w:tr>
      <w:tr>
        <w:trPr/>
        <w:tc>
          <w:tcPr>
            <w:tcW w:w="296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Реагирование на обнаружение ВПО</w:t>
            </w:r>
          </w:p>
        </w:tc>
        <w:tc>
          <w:tcPr>
            <w:tcW w:w="3422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Немедленно — изоляция узла, регистрация инцидента</w:t>
            </w:r>
          </w:p>
        </w:tc>
        <w:tc>
          <w:tcPr>
            <w:tcW w:w="29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Администратор ИТ → координатор ИБ</w:t>
            </w:r>
          </w:p>
        </w:tc>
      </w:tr>
    </w:tbl>
    <w:p>
      <w:pPr>
        <w:pStyle w:val="Normal"/>
        <w:rPr>
          <w:rFonts w:ascii="Arial" w:hAnsi="Arial"/>
        </w:rPr>
      </w:pPr>
      <w:bookmarkStart w:id="19" w:name="антивирусная-защита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" name="Фигура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9"/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  <w:t>11. Резервное копирование</w:t>
      </w:r>
    </w:p>
    <w:p>
      <w:pPr>
        <w:pStyle w:val="Heading3"/>
        <w:rPr>
          <w:rFonts w:ascii="Arial" w:hAnsi="Arial"/>
        </w:rPr>
      </w:pPr>
      <w:r>
        <w:rPr>
          <w:rFonts w:ascii="Arial" w:hAnsi="Arial"/>
        </w:rPr>
        <w:t>11.1. Объекты резервного копирования</w:t>
      </w:r>
    </w:p>
    <w:p>
      <w:pPr>
        <w:pStyle w:val="Compact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Исходный код проекта (Git — основной; дополнительно периодический экспорт);</w:t>
      </w:r>
    </w:p>
    <w:p>
      <w:pPr>
        <w:pStyle w:val="Compact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Конфигурации серверов и CI/CD;</w:t>
      </w:r>
    </w:p>
    <w:p>
      <w:pPr>
        <w:pStyle w:val="Compact"/>
        <w:numPr>
          <w:ilvl w:val="0"/>
          <w:numId w:val="1"/>
        </w:numPr>
        <w:rPr>
          <w:rFonts w:ascii="Arial" w:hAnsi="Arial"/>
        </w:rPr>
      </w:pPr>
      <w:r>
        <w:rPr>
          <w:rFonts w:ascii="Arial" w:hAnsi="Arial"/>
        </w:rPr>
        <w:t>Документы проекта (ТЗ, протоколы, политики);</w:t>
      </w:r>
    </w:p>
    <w:p>
      <w:pPr>
        <w:pStyle w:val="Compact"/>
        <w:numPr>
          <w:ilvl w:val="0"/>
          <w:numId w:val="1"/>
        </w:numPr>
        <w:rPr>
          <w:rFonts w:ascii="Arial" w:hAnsi="Arial"/>
        </w:rPr>
      </w:pPr>
      <w:bookmarkStart w:id="20" w:name="объекты-резервного-копирования"/>
      <w:r>
        <w:rPr>
          <w:rFonts w:ascii="Arial" w:hAnsi="Arial"/>
        </w:rPr>
        <w:t>Базы данных разработки/тестирования (при наличии).</w:t>
      </w:r>
      <w:bookmarkEnd w:id="20"/>
    </w:p>
    <w:p>
      <w:pPr>
        <w:pStyle w:val="Heading3"/>
        <w:rPr>
          <w:rFonts w:ascii="Arial" w:hAnsi="Arial"/>
        </w:rPr>
      </w:pPr>
      <w:r>
        <w:rPr>
          <w:rFonts w:ascii="Arial" w:hAnsi="Arial"/>
        </w:rPr>
        <w:t>11.2. Порядок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2375"/>
        <w:gridCol w:w="4201"/>
        <w:gridCol w:w="2784"/>
      </w:tblGrid>
      <w:tr>
        <w:trPr>
          <w:tblHeader w:val="true"/>
        </w:trPr>
        <w:tc>
          <w:tcPr>
            <w:tcW w:w="23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Параметр</w:t>
            </w:r>
          </w:p>
        </w:tc>
        <w:tc>
          <w:tcPr>
            <w:tcW w:w="4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Значение</w:t>
            </w:r>
          </w:p>
        </w:tc>
        <w:tc>
          <w:tcPr>
            <w:tcW w:w="27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Исполнитель</w:t>
            </w:r>
          </w:p>
        </w:tc>
      </w:tr>
      <w:tr>
        <w:trPr/>
        <w:tc>
          <w:tcPr>
            <w:tcW w:w="237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Регулярность</w:t>
            </w:r>
          </w:p>
        </w:tc>
        <w:tc>
          <w:tcPr>
            <w:tcW w:w="420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Ежедневно — критичные данные; еженедельно — полный цикл</w:t>
            </w:r>
          </w:p>
        </w:tc>
        <w:tc>
          <w:tcPr>
            <w:tcW w:w="27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Администратор ИТ</w:t>
            </w:r>
          </w:p>
        </w:tc>
      </w:tr>
      <w:tr>
        <w:trPr/>
        <w:tc>
          <w:tcPr>
            <w:tcW w:w="237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Хранение</w:t>
            </w:r>
          </w:p>
        </w:tc>
        <w:tc>
          <w:tcPr>
            <w:tcW w:w="420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Не менее 30 дней для оперативных копий; 1 год — архивные снимки по решению координатора ИБ</w:t>
            </w:r>
          </w:p>
        </w:tc>
        <w:tc>
          <w:tcPr>
            <w:tcW w:w="27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Администратор ИТ</w:t>
            </w:r>
          </w:p>
        </w:tc>
      </w:tr>
      <w:tr>
        <w:trPr/>
        <w:tc>
          <w:tcPr>
            <w:tcW w:w="237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Проверка восстановления</w:t>
            </w:r>
          </w:p>
        </w:tc>
        <w:tc>
          <w:tcPr>
            <w:tcW w:w="420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Не реже 1 раза в полгода</w:t>
            </w:r>
          </w:p>
        </w:tc>
        <w:tc>
          <w:tcPr>
            <w:tcW w:w="27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Администратор ИТ + координатор ИБ</w:t>
            </w:r>
          </w:p>
        </w:tc>
      </w:tr>
      <w:tr>
        <w:trPr/>
        <w:tc>
          <w:tcPr>
            <w:tcW w:w="237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Журнал</w:t>
            </w:r>
          </w:p>
        </w:tc>
        <w:tc>
          <w:tcPr>
            <w:tcW w:w="420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Дата, объём, статус, ошибки</w:t>
            </w:r>
          </w:p>
        </w:tc>
        <w:tc>
          <w:tcPr>
            <w:tcW w:w="278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Администратор ИТ</w:t>
            </w:r>
          </w:p>
        </w:tc>
      </w:tr>
    </w:tbl>
    <w:p>
      <w:pPr>
        <w:pStyle w:val="Normal"/>
        <w:rPr>
          <w:rFonts w:ascii="Arial" w:hAnsi="Arial"/>
        </w:rPr>
      </w:pPr>
      <w:bookmarkStart w:id="21" w:name="порядок"/>
      <w:bookmarkStart w:id="22" w:name="резервное-копирование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8" name="Фигура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1"/>
      <w:bookmarkEnd w:id="22"/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  <w:t>12. Журналирование и аудит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3120"/>
        <w:gridCol w:w="3347"/>
        <w:gridCol w:w="2893"/>
      </w:tblGrid>
      <w:tr>
        <w:trPr>
          <w:tblHeader w:val="true"/>
        </w:trPr>
        <w:tc>
          <w:tcPr>
            <w:tcW w:w="31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Мероприятие</w:t>
            </w:r>
          </w:p>
        </w:tc>
        <w:tc>
          <w:tcPr>
            <w:tcW w:w="33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Описание</w:t>
            </w:r>
          </w:p>
        </w:tc>
        <w:tc>
          <w:tcPr>
            <w:tcW w:w="2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Исполнитель</w:t>
            </w:r>
          </w:p>
        </w:tc>
      </w:tr>
      <w:tr>
        <w:trPr/>
        <w:tc>
          <w:tcPr>
            <w:tcW w:w="312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Сбор журналов ОС и ключевых приложений</w:t>
            </w:r>
          </w:p>
        </w:tc>
        <w:tc>
          <w:tcPr>
            <w:tcW w:w="334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Включено на серверах и рабочих станциях проекта</w:t>
            </w:r>
          </w:p>
        </w:tc>
        <w:tc>
          <w:tcPr>
            <w:tcW w:w="28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Администратор ИТ</w:t>
            </w:r>
          </w:p>
        </w:tc>
      </w:tr>
      <w:tr>
        <w:trPr/>
        <w:tc>
          <w:tcPr>
            <w:tcW w:w="312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Срок хранения</w:t>
            </w:r>
          </w:p>
        </w:tc>
        <w:tc>
          <w:tcPr>
            <w:tcW w:w="334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 xml:space="preserve">Не менее </w:t>
            </w:r>
            <w:r>
              <w:rPr>
                <w:rFonts w:eastAsia="" w:cs="" w:ascii="Arial" w:hAnsi="Arial"/>
                <w:b/>
                <w:bCs/>
                <w:kern w:val="0"/>
                <w:sz w:val="24"/>
                <w:szCs w:val="24"/>
                <w:lang w:val="en-US" w:eastAsia="zh-CN" w:bidi="ar-SA"/>
              </w:rPr>
              <w:t>1 года</w:t>
            </w:r>
          </w:p>
        </w:tc>
        <w:tc>
          <w:tcPr>
            <w:tcW w:w="28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Администратор ИТ</w:t>
            </w:r>
          </w:p>
        </w:tc>
      </w:tr>
      <w:tr>
        <w:trPr/>
        <w:tc>
          <w:tcPr>
            <w:tcW w:w="312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Анализ при инцидентах</w:t>
            </w:r>
          </w:p>
        </w:tc>
        <w:tc>
          <w:tcPr>
            <w:tcW w:w="334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По регламенту IR</w:t>
            </w:r>
          </w:p>
        </w:tc>
        <w:tc>
          <w:tcPr>
            <w:tcW w:w="28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Координатор ИБ</w:t>
            </w:r>
          </w:p>
        </w:tc>
      </w:tr>
      <w:tr>
        <w:trPr/>
        <w:tc>
          <w:tcPr>
            <w:tcW w:w="3120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Внутренняя проверка соблюдения политики</w:t>
            </w:r>
          </w:p>
        </w:tc>
        <w:tc>
          <w:tcPr>
            <w:tcW w:w="334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Ежегодно</w:t>
            </w:r>
          </w:p>
        </w:tc>
        <w:tc>
          <w:tcPr>
            <w:tcW w:w="2893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Координатор ИБ</w:t>
            </w:r>
          </w:p>
        </w:tc>
      </w:tr>
    </w:tbl>
    <w:p>
      <w:pPr>
        <w:pStyle w:val="Normal"/>
        <w:rPr>
          <w:rFonts w:ascii="Arial" w:hAnsi="Arial"/>
        </w:rPr>
      </w:pPr>
      <w:bookmarkStart w:id="23" w:name="журналирование-и-аудит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9" name="Фигура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3"/>
    </w:p>
    <w:p>
      <w:pPr>
        <w:pStyle w:val="Heading2"/>
        <w:rPr>
          <w:rFonts w:ascii="Arial" w:hAnsi="Arial"/>
        </w:rPr>
      </w:pPr>
      <w:bookmarkStart w:id="24" w:name="обучение-и-ознакомление"/>
      <w:r>
        <w:rPr>
          <w:rFonts w:ascii="Arial" w:hAnsi="Arial"/>
        </w:rPr>
        <w:t>13. Обучение и ознакомление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2207"/>
        <w:gridCol w:w="2221"/>
        <w:gridCol w:w="2065"/>
        <w:gridCol w:w="2867"/>
      </w:tblGrid>
      <w:tr>
        <w:trPr>
          <w:tblHeader w:val="true"/>
        </w:trPr>
        <w:tc>
          <w:tcPr>
            <w:tcW w:w="22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Мероприятие</w:t>
            </w:r>
          </w:p>
        </w:tc>
        <w:tc>
          <w:tcPr>
            <w:tcW w:w="22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Когда</w:t>
            </w:r>
          </w:p>
        </w:tc>
        <w:tc>
          <w:tcPr>
            <w:tcW w:w="20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Кто проводит</w:t>
            </w:r>
          </w:p>
        </w:tc>
        <w:tc>
          <w:tcPr>
            <w:tcW w:w="2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Кто участвует</w:t>
            </w:r>
          </w:p>
        </w:tc>
      </w:tr>
      <w:tr>
        <w:trPr/>
        <w:tc>
          <w:tcPr>
            <w:tcW w:w="220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Ознакомление с политикой под роспись</w:t>
            </w:r>
          </w:p>
        </w:tc>
        <w:tc>
          <w:tcPr>
            <w:tcW w:w="22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При приёме; при изменении политики</w:t>
            </w:r>
          </w:p>
        </w:tc>
        <w:tc>
          <w:tcPr>
            <w:tcW w:w="20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HR / руководитель проекта</w:t>
            </w:r>
          </w:p>
        </w:tc>
        <w:tc>
          <w:tcPr>
            <w:tcW w:w="286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Все участники проекта</w:t>
            </w:r>
          </w:p>
        </w:tc>
      </w:tr>
      <w:tr>
        <w:trPr/>
        <w:tc>
          <w:tcPr>
            <w:tcW w:w="220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Вводный инструктаж ИБ</w:t>
            </w:r>
          </w:p>
        </w:tc>
        <w:tc>
          <w:tcPr>
            <w:tcW w:w="22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В течение 5 раб. дней после приёма</w:t>
            </w:r>
          </w:p>
        </w:tc>
        <w:tc>
          <w:tcPr>
            <w:tcW w:w="20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Координатор ИБ</w:t>
            </w:r>
          </w:p>
        </w:tc>
        <w:tc>
          <w:tcPr>
            <w:tcW w:w="286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Новый сотрудник</w:t>
            </w:r>
          </w:p>
        </w:tc>
      </w:tr>
      <w:tr>
        <w:trPr/>
        <w:tc>
          <w:tcPr>
            <w:tcW w:w="220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Ежегодное обучение</w:t>
            </w:r>
          </w:p>
        </w:tc>
        <w:tc>
          <w:tcPr>
            <w:tcW w:w="22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Не реже 1 раза в год</w:t>
            </w:r>
          </w:p>
        </w:tc>
        <w:tc>
          <w:tcPr>
            <w:tcW w:w="206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Координатор ИБ</w:t>
            </w:r>
          </w:p>
        </w:tc>
        <w:tc>
          <w:tcPr>
            <w:tcW w:w="286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Все участники проекта</w:t>
            </w:r>
          </w:p>
        </w:tc>
      </w:tr>
    </w:tbl>
    <w:p>
      <w:pPr>
        <w:pStyle w:val="BodyText"/>
        <w:rPr>
          <w:rFonts w:ascii="Arial" w:hAnsi="Arial"/>
        </w:rPr>
      </w:pPr>
      <w:r>
        <w:rPr>
          <w:rFonts w:ascii="Arial" w:hAnsi="Arial"/>
        </w:rPr>
        <w:t>Подробности — в документе</w:t>
      </w:r>
      <w:r>
        <w:rPr>
          <w:rFonts w:ascii="Arial" w:hAnsi="Arial"/>
          <w:lang w:val="ru-RU"/>
        </w:rPr>
        <w:t xml:space="preserve"> «План обучения»</w:t>
      </w:r>
      <w:r>
        <w:rPr>
          <w:rFonts w:ascii="Arial" w:hAnsi="Arial"/>
        </w:rPr>
        <w:t>.</w:t>
      </w:r>
      <w:bookmarkEnd w:id="24"/>
    </w:p>
    <w:p>
      <w:pPr>
        <w:pStyle w:val="Heading2"/>
        <w:rPr>
          <w:rFonts w:ascii="Arial" w:hAnsi="Arial"/>
        </w:rPr>
      </w:pPr>
      <w:bookmarkStart w:id="25" w:name="инциденты-информационной-безопасности"/>
      <w:r>
        <w:rPr>
          <w:rFonts w:ascii="Arial" w:hAnsi="Arial"/>
        </w:rPr>
        <w:t>14. Инциденты информационной безопасности</w:t>
      </w:r>
    </w:p>
    <w:p>
      <w:pPr>
        <w:pStyle w:val="FirstParagraph"/>
        <w:rPr>
          <w:rFonts w:ascii="Arial" w:hAnsi="Arial"/>
        </w:rPr>
      </w:pPr>
      <w:r>
        <w:rPr>
          <w:rFonts w:ascii="Arial" w:hAnsi="Arial"/>
        </w:rPr>
        <w:t xml:space="preserve">При подозрении на инцидент сотрудник </w:t>
      </w:r>
      <w:r>
        <w:rPr>
          <w:rFonts w:ascii="Arial" w:hAnsi="Arial"/>
          <w:b/>
          <w:bCs/>
        </w:rPr>
        <w:t>немедленно</w:t>
      </w:r>
      <w:r>
        <w:rPr>
          <w:rFonts w:ascii="Arial" w:hAnsi="Arial"/>
        </w:rPr>
        <w:t xml:space="preserve"> сообщает координатору ИБ (Пономарев А.В.) или руководителю проекта.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  <w:t>Порядок реагирования — в регламенте “</w:t>
      </w:r>
      <w:r>
        <w:rPr>
          <w:rFonts w:ascii="Arial" w:hAnsi="Arial"/>
          <w:lang w:val="ru-RU"/>
        </w:rPr>
        <w:t>Регламент реагирования ена инцинденты</w:t>
      </w:r>
      <w:bookmarkEnd w:id="25"/>
      <w:r>
        <w:rPr>
          <w:rFonts w:ascii="Arial" w:hAnsi="Arial"/>
          <w:lang w:val="ru-RU"/>
        </w:rPr>
        <w:t>».</w:t>
      </w:r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  <w:t>15. Связанные документы</w:t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54"/>
        <w:gridCol w:w="5106"/>
      </w:tblGrid>
      <w:tr>
        <w:trPr>
          <w:tblHeader w:val="true"/>
        </w:trPr>
        <w:tc>
          <w:tcPr>
            <w:tcW w:w="42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  <w:t>Документ</w:t>
            </w:r>
          </w:p>
        </w:tc>
        <w:tc>
          <w:tcPr>
            <w:tcW w:w="5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  <w:t>Назначение</w:t>
            </w:r>
          </w:p>
        </w:tc>
      </w:tr>
      <w:tr>
        <w:trPr/>
        <w:tc>
          <w:tcPr>
            <w:tcW w:w="425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eastAsia="zh-CN" w:bidi="ar-SA"/>
              </w:rPr>
              <w:t>Политика информационной безопасности</w:t>
            </w:r>
          </w:p>
        </w:tc>
        <w:tc>
          <w:tcPr>
            <w:tcW w:w="510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  <w:t>Единая политика ИБ</w:t>
            </w:r>
          </w:p>
        </w:tc>
      </w:tr>
      <w:tr>
        <w:trPr/>
        <w:tc>
          <w:tcPr>
            <w:tcW w:w="425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eastAsia="zh-CN" w:bidi="ar-SA"/>
              </w:rPr>
              <w:t>Регламент реагирования на инциденты</w:t>
            </w:r>
          </w:p>
        </w:tc>
        <w:tc>
          <w:tcPr>
            <w:tcW w:w="510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  <w:t>Реагирование на инциденты</w:t>
            </w:r>
          </w:p>
        </w:tc>
      </w:tr>
      <w:tr>
        <w:trPr/>
        <w:tc>
          <w:tcPr>
            <w:tcW w:w="425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eastAsia="zh-CN" w:bidi="ar-SA"/>
              </w:rPr>
              <w:t>Регламент управления уязвимостями</w:t>
            </w:r>
          </w:p>
        </w:tc>
        <w:tc>
          <w:tcPr>
            <w:tcW w:w="510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  <w:t>Управление уязвимостями</w:t>
            </w:r>
          </w:p>
        </w:tc>
      </w:tr>
      <w:tr>
        <w:trPr/>
        <w:tc>
          <w:tcPr>
            <w:tcW w:w="425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eastAsia="zh-CN" w:bidi="ar-SA"/>
              </w:rPr>
              <w:t>Регламент защиты электронной почты</w:t>
            </w:r>
          </w:p>
        </w:tc>
        <w:tc>
          <w:tcPr>
            <w:tcW w:w="510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  <w:t>Защита электронной почты</w:t>
            </w:r>
          </w:p>
        </w:tc>
      </w:tr>
      <w:tr>
        <w:trPr/>
        <w:tc>
          <w:tcPr>
            <w:tcW w:w="425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eastAsia="zh-CN" w:bidi="ar-SA"/>
              </w:rPr>
              <w:t>Политика контроля конфиденциальной информации</w:t>
            </w:r>
          </w:p>
        </w:tc>
        <w:tc>
          <w:tcPr>
            <w:tcW w:w="510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  <w:t>Контроль конфиденциальной информации</w:t>
            </w:r>
          </w:p>
        </w:tc>
      </w:tr>
      <w:tr>
        <w:trPr/>
        <w:tc>
          <w:tcPr>
            <w:tcW w:w="425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ru-RU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ru-RU" w:eastAsia="zh-CN" w:bidi="ar-SA"/>
              </w:rPr>
              <w:t>План обучения</w:t>
            </w:r>
          </w:p>
        </w:tc>
        <w:tc>
          <w:tcPr>
            <w:tcW w:w="510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pacing w:before="36" w:after="36"/>
              <w:jc w:val="left"/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Arial" w:hAnsi="Arial"/>
                <w:kern w:val="0"/>
                <w:sz w:val="24"/>
                <w:szCs w:val="24"/>
                <w:lang w:val="en-US" w:eastAsia="zh-CN" w:bidi="ar-SA"/>
              </w:rPr>
              <w:t>Обучение ИБ</w:t>
            </w:r>
            <w:bookmarkStart w:id="26" w:name="связанные-документы_Копия_1"/>
            <w:bookmarkEnd w:id="26"/>
          </w:p>
        </w:tc>
      </w:tr>
    </w:tbl>
    <w:p>
      <w:pPr>
        <w:pStyle w:val="Normal"/>
        <w:rPr/>
      </w:pPr>
      <w:r>
        <w:rPr/>
      </w:r>
    </w:p>
    <w:p>
      <w:pPr>
        <w:pStyle w:val="Normal"/>
        <w:rPr>
          <w:rFonts w:ascii="Arial" w:hAnsi="Arial"/>
        </w:rPr>
      </w:pPr>
      <w:bookmarkStart w:id="27" w:name="связанные-документы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0" name="Фигура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7"/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  <w:t>16. Пересмотр и актуализация политики</w:t>
      </w:r>
    </w:p>
    <w:p>
      <w:pPr>
        <w:pStyle w:val="Compact"/>
        <w:numPr>
          <w:ilvl w:val="0"/>
          <w:numId w:val="13"/>
        </w:numPr>
        <w:rPr>
          <w:rFonts w:ascii="Arial" w:hAnsi="Arial"/>
        </w:rPr>
      </w:pPr>
      <w:r>
        <w:rPr>
          <w:rFonts w:ascii="Arial" w:hAnsi="Arial"/>
        </w:rPr>
        <w:t xml:space="preserve">Политика пересматривается </w:t>
      </w:r>
      <w:r>
        <w:rPr>
          <w:rFonts w:ascii="Arial" w:hAnsi="Arial"/>
          <w:b/>
          <w:bCs/>
        </w:rPr>
        <w:t>не реже одного раза в 12 месяцев</w:t>
      </w:r>
      <w:r>
        <w:rPr>
          <w:rFonts w:ascii="Arial" w:hAnsi="Arial"/>
        </w:rPr>
        <w:t xml:space="preserve"> или при существенных изменениях (новый договор, инцидент, требования банка).</w:t>
      </w:r>
    </w:p>
    <w:p>
      <w:pPr>
        <w:pStyle w:val="Compact"/>
        <w:numPr>
          <w:ilvl w:val="0"/>
          <w:numId w:val="3"/>
        </w:numPr>
        <w:rPr>
          <w:rFonts w:ascii="Arial" w:hAnsi="Arial"/>
        </w:rPr>
      </w:pPr>
      <w:r>
        <w:rPr>
          <w:rFonts w:ascii="Arial" w:hAnsi="Arial"/>
        </w:rPr>
        <w:t>Инициатор пересмотра — координатор ИБ; утверждение — директор.</w:t>
      </w:r>
    </w:p>
    <w:p>
      <w:pPr>
        <w:pStyle w:val="Compact"/>
        <w:numPr>
          <w:ilvl w:val="0"/>
          <w:numId w:val="3"/>
        </w:numPr>
        <w:rPr>
          <w:rFonts w:ascii="Arial" w:hAnsi="Arial"/>
        </w:rPr>
      </w:pPr>
      <w:bookmarkStart w:id="28" w:name="пересмотр-и-актуализация-политики"/>
      <w:r>
        <w:rPr>
          <w:rFonts w:ascii="Arial" w:hAnsi="Arial"/>
        </w:rPr>
        <w:t>При изменении политики все участники проекта повторно ознакамливаются под роспись в течение 10 рабочих дней.</w:t>
      </w:r>
      <w:bookmarkEnd w:id="28"/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BodyText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</w:r>
    </w:p>
    <w:p>
      <w:pPr>
        <w:pStyle w:val="Heading2"/>
        <w:rPr>
          <w:rFonts w:ascii="Arial" w:hAnsi="Arial"/>
        </w:rPr>
      </w:pPr>
      <w:r>
        <w:rPr>
          <w:rFonts w:ascii="Arial" w:hAnsi="Arial"/>
        </w:rPr>
        <w:t>Лист ознакомления</w:t>
      </w:r>
    </w:p>
    <w:p>
      <w:pPr>
        <w:pStyle w:val="FirstParagraph"/>
        <w:rPr>
          <w:rFonts w:ascii="Arial" w:hAnsi="Arial"/>
        </w:rPr>
      </w:pPr>
      <w:r>
        <w:rPr>
          <w:rFonts w:ascii="Arial" w:hAnsi="Arial"/>
        </w:rPr>
        <w:t xml:space="preserve">Сотрудники ООО «ГС Ритейл», задействованные на проекте </w:t>
      </w:r>
      <w:r>
        <w:rPr>
          <w:rFonts w:ascii="Arial" w:hAnsi="Arial"/>
          <w:b/>
          <w:bCs/>
        </w:rPr>
        <w:t>«ПО на базе искусственного интеллекта для банковских процессов»</w:t>
      </w:r>
      <w:r>
        <w:rPr>
          <w:rFonts w:ascii="Arial" w:hAnsi="Arial"/>
        </w:rPr>
        <w:t xml:space="preserve"> (договор № 14-03/2026), ознакомлены с настоящим документом: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0" w:firstColumn="0" w:lastColumn="0" w:noHBand="0" w:val="0020"/>
      </w:tblPr>
      <w:tblGrid>
        <w:gridCol w:w="823"/>
        <w:gridCol w:w="2571"/>
        <w:gridCol w:w="2676"/>
        <w:gridCol w:w="1635"/>
        <w:gridCol w:w="1655"/>
      </w:tblGrid>
      <w:tr>
        <w:trPr>
          <w:tblHeader w:val="true"/>
        </w:trPr>
        <w:tc>
          <w:tcPr>
            <w:tcW w:w="82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№</w:t>
            </w:r>
          </w:p>
        </w:tc>
        <w:tc>
          <w:tcPr>
            <w:tcW w:w="25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Должность</w:t>
            </w:r>
          </w:p>
        </w:tc>
        <w:tc>
          <w:tcPr>
            <w:tcW w:w="26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ФИО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Подпись</w:t>
            </w:r>
          </w:p>
        </w:tc>
        <w:tc>
          <w:tcPr>
            <w:tcW w:w="16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Дата</w:t>
            </w:r>
          </w:p>
        </w:tc>
      </w:tr>
      <w:tr>
        <w:trPr/>
        <w:tc>
          <w:tcPr>
            <w:tcW w:w="8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2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Инженер-разработчик</w:t>
            </w:r>
          </w:p>
        </w:tc>
        <w:tc>
          <w:tcPr>
            <w:tcW w:w="2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Кисель Андрей Петрович</w:t>
            </w:r>
          </w:p>
        </w:tc>
        <w:tc>
          <w:tcPr>
            <w:tcW w:w="16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6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</w:p>
        </w:tc>
      </w:tr>
      <w:tr>
        <w:trPr/>
        <w:tc>
          <w:tcPr>
            <w:tcW w:w="82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  <w:tc>
          <w:tcPr>
            <w:tcW w:w="25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Инженер-разработчик</w:t>
            </w:r>
          </w:p>
        </w:tc>
        <w:tc>
          <w:tcPr>
            <w:tcW w:w="267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Краснов Никита Альбертович</w:t>
            </w:r>
          </w:p>
        </w:tc>
        <w:tc>
          <w:tcPr>
            <w:tcW w:w="163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65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</w:p>
        </w:tc>
      </w:tr>
      <w:tr>
        <w:trPr/>
        <w:tc>
          <w:tcPr>
            <w:tcW w:w="82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3</w:t>
            </w:r>
          </w:p>
        </w:tc>
        <w:tc>
          <w:tcPr>
            <w:tcW w:w="25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Бизнес-аналитик / руководитель проекта</w:t>
            </w:r>
          </w:p>
        </w:tc>
        <w:tc>
          <w:tcPr>
            <w:tcW w:w="267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Толкачев Геннадий Александрович</w:t>
            </w:r>
          </w:p>
        </w:tc>
        <w:tc>
          <w:tcPr>
            <w:tcW w:w="163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65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</w:p>
        </w:tc>
      </w:tr>
      <w:tr>
        <w:trPr/>
        <w:tc>
          <w:tcPr>
            <w:tcW w:w="82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4</w:t>
            </w:r>
          </w:p>
        </w:tc>
        <w:tc>
          <w:tcPr>
            <w:tcW w:w="25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Специалист по тестированию ПО</w:t>
            </w:r>
          </w:p>
        </w:tc>
        <w:tc>
          <w:tcPr>
            <w:tcW w:w="267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Захарчук Артемий Дмитриевич</w:t>
            </w:r>
          </w:p>
        </w:tc>
        <w:tc>
          <w:tcPr>
            <w:tcW w:w="163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65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</w:p>
        </w:tc>
      </w:tr>
      <w:tr>
        <w:trPr/>
        <w:tc>
          <w:tcPr>
            <w:tcW w:w="82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5</w:t>
            </w:r>
          </w:p>
        </w:tc>
        <w:tc>
          <w:tcPr>
            <w:tcW w:w="257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Инженер-разработчик</w:t>
            </w:r>
          </w:p>
        </w:tc>
        <w:tc>
          <w:tcPr>
            <w:tcW w:w="2676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  <w:t>Кабин Максим Витальевич</w:t>
            </w:r>
          </w:p>
        </w:tc>
        <w:tc>
          <w:tcPr>
            <w:tcW w:w="1635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</w:p>
        </w:tc>
        <w:tc>
          <w:tcPr>
            <w:tcW w:w="165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rial" w:hAnsi="Arial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 w:ascii="Arial" w:hAnsi="Arial"/>
                <w:kern w:val="0"/>
                <w:sz w:val="24"/>
                <w:szCs w:val="24"/>
                <w:lang w:val="en-US" w:eastAsia="zh-CN" w:bidi="ar-SA"/>
              </w:rPr>
            </w:r>
            <w:bookmarkStart w:id="29" w:name="лист-ознакомления_Копия_1"/>
            <w:bookmarkStart w:id="30" w:name="лист-ознакомления_Копия_1"/>
            <w:bookmarkEnd w:id="30"/>
          </w:p>
        </w:tc>
      </w:tr>
    </w:tbl>
    <w:p>
      <w:pPr>
        <w:pStyle w:val="Normal"/>
        <w:spacing w:before="0" w:after="200"/>
        <w:rPr>
          <w:rFonts w:ascii="Arial" w:hAnsi="Arial"/>
        </w:rPr>
      </w:pPr>
      <w:r>
        <w:rPr>
          <w:rFonts w:ascii="Arial" w:hAnsi="Arial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ptos">
    <w:charset w:val="cc"/>
    <w:family w:val="roman"/>
    <w:pitch w:val="variable"/>
  </w:font>
  <w:font w:name="Aptos Display">
    <w:charset w:val="cc"/>
    <w:family w:val="roman"/>
    <w:pitch w:val="variable"/>
  </w:font>
  <w:font w:name="Consolas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Arial">
    <w:charset w:val="cc"/>
    <w:family w:val="swiss"/>
    <w:pitch w:val="variable"/>
  </w:font>
  <w:font w:name="Times New Roman">
    <w:charset w:val="cc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  <w:num w:numId="12">
    <w:abstractNumId w:val="3"/>
    <w:lvlOverride w:ilvl="0">
      <w:startOverride w:val="1"/>
    </w:lvlOverride>
  </w:num>
  <w:num w:numId="13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user">
    <w:name w:val="Символ сноски (user)"/>
    <w:basedOn w:val="BodyTextChar"/>
    <w:qFormat/>
    <w:rPr>
      <w:vertAlign w:val="superscript"/>
    </w:rPr>
  </w:style>
  <w:style w:type="character" w:styleId="Style5">
    <w:name w:val="Символ сноски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Style6">
    <w:name w:val="Символ концевой сноски"/>
    <w:qFormat/>
    <w:rPr/>
  </w:style>
  <w:style w:type="character" w:styleId="FollowedHyperlink">
    <w:name w:val="FollowedHyperlink"/>
    <w:rPr>
      <w:color w:val="800000"/>
      <w:u w:val="single"/>
    </w:rPr>
  </w:style>
  <w:style w:type="paragraph" w:styleId="Style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Mangal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Style8">
    <w:name w:val="Указатель"/>
    <w:basedOn w:val="Normal"/>
    <w:qFormat/>
    <w:pPr>
      <w:suppressLineNumbers/>
    </w:pPr>
    <w:rPr>
      <w:rFonts w:cs="Mangal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Mangal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Mangal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user3" w:customStyle="1">
    <w:name w:val="Фигура (user)"/>
    <w:basedOn w:val="Normal"/>
    <w:qFormat/>
    <w:pPr/>
    <w:rPr/>
  </w:style>
  <w:style w:type="paragraph" w:styleId="CaptionedFigure" w:customStyle="1">
    <w:name w:val="Captioned Figure"/>
    <w:basedOn w:val="user3"/>
    <w:qFormat/>
    <w:pPr>
      <w:keepNext w:val="true"/>
    </w:pPr>
    <w:rPr/>
  </w:style>
  <w:style w:type="paragraph" w:styleId="IndexHeading">
    <w:name w:val="index heading"/>
    <w:basedOn w:val="user1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Style9">
    <w:name w:val="Содержимое врезки"/>
    <w:basedOn w:val="Normal"/>
    <w:qFormat/>
    <w:pPr/>
    <w:rPr/>
  </w:style>
  <w:style w:type="paragraph" w:styleId="user4">
    <w:name w:val="Содержимое таблицы (user)"/>
    <w:basedOn w:val="Normal"/>
    <w:qFormat/>
    <w:pPr>
      <w:widowControl w:val="false"/>
      <w:suppressLineNumbers/>
    </w:pPr>
    <w:rPr/>
  </w:style>
  <w:style w:type="paragraph" w:styleId="user5">
    <w:name w:val="Заголовок таблицы (user)"/>
    <w:basedOn w:val="user4"/>
    <w:qFormat/>
    <w:pPr>
      <w:suppressLineNumbers/>
      <w:jc w:val="center"/>
    </w:pPr>
    <w:rPr>
      <w:b/>
      <w:bCs/>
    </w:rPr>
  </w:style>
  <w:style w:type="paragraph" w:styleId="user6">
    <w:name w:val="Содержимое врезки (user)"/>
    <w:basedOn w:val="Normal"/>
    <w:qFormat/>
    <w:pPr/>
    <w:rPr/>
  </w:style>
  <w:style w:type="paragraph" w:styleId="Style10">
    <w:name w:val="Фигура"/>
    <w:basedOn w:val="Normal"/>
    <w:qFormat/>
    <w:pPr/>
    <w:rPr/>
  </w:style>
  <w:style w:type="paragraph" w:styleId="Style11">
    <w:name w:val="Содержимое таблицы"/>
    <w:basedOn w:val="Normal"/>
    <w:qFormat/>
    <w:pPr>
      <w:widowControl w:val="false"/>
      <w:suppressLineNumbers/>
    </w:pPr>
    <w:rPr/>
  </w:style>
  <w:style w:type="paragraph" w:styleId="Style12">
    <w:name w:val="Заголовок таблицы"/>
    <w:basedOn w:val="Style11"/>
    <w:qFormat/>
    <w:pPr>
      <w:suppressLineNumbers/>
      <w:jc w:val="center"/>
    </w:pPr>
    <w:rPr>
      <w:b/>
      <w:bCs/>
    </w:rPr>
  </w:style>
  <w:style w:type="paragraph" w:styleId="Style13">
    <w:name w:val="Содержимое списка"/>
    <w:basedOn w:val="Normal"/>
    <w:qFormat/>
    <w:pPr>
      <w:ind w:left="567"/>
    </w:pPr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LibreOffice/25.8.7.3$Windows_X86_64 LibreOffice_project/30742500f2d3eb4366ac312fa33d3dcabdb3eba5</Application>
  <AppVersion>15.0000</AppVersion>
  <Pages>13</Pages>
  <Words>1972</Words>
  <Characters>13720</Characters>
  <CharactersWithSpaces>15261</CharactersWithSpaces>
  <Paragraphs>438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2026-06-24T07:52:05Z</dcterms:created>
  <dc:creator/>
  <dc:description/>
  <dc:language>ru-RU</dc:language>
  <cp:lastModifiedBy/>
  <dcterms:modified xsi:type="dcterms:W3CDTF">2026-06-24T12:55:21Z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договор">
    <vt:lpwstr>№ 14-03/2026</vt:lpwstr>
  </property>
  <property fmtid="{D5CDD505-2E9C-101B-9397-08002B2CF9AE}" pid="3" name="проект">
    <vt:lpwstr>ПО на базе искусственного интеллекта для банковских процессов</vt:lpwstr>
  </property>
  <property fmtid="{D5CDD505-2E9C-101B-9397-08002B2CF9AE}" pid="4" name="разработал">
    <vt:lpwstr>Пономарев Андрей Викторович, технический директор</vt:lpwstr>
  </property>
  <property fmtid="{D5CDD505-2E9C-101B-9397-08002B2CF9AE}" pid="5" name="утвердил">
    <vt:lpwstr>Есис Геннадий Владимирович, директор</vt:lpwstr>
  </property>
</Properties>
</file>