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/>
        </w:rPr>
      </w:pPr>
      <w:r>
        <w:rPr>
          <w:rFonts w:eastAsia="Times New Roman" w:cs="Times New Roman" w:ascii="Arial" w:hAnsi="Arial"/>
          <w:sz w:val="28"/>
          <w:szCs w:val="28"/>
          <w:lang w:val="ru-RU"/>
        </w:rPr>
        <w:t>ОБЩЕСТВО С ОГРАНИЧЕННОЙ ОТВЕТСТВЕННОСТЬЮ</w:t>
      </w:r>
    </w:p>
    <w:p>
      <w:pPr>
        <w:pStyle w:val="Normal"/>
        <w:spacing w:before="0" w:after="0"/>
        <w:jc w:val="center"/>
        <w:rPr>
          <w:rFonts w:ascii="Arial" w:hAnsi="Arial"/>
        </w:rPr>
      </w:pPr>
      <w:r>
        <w:rPr>
          <w:rFonts w:eastAsia="Times New Roman" w:cs="Times New Roman" w:ascii="Arial" w:hAnsi="Arial"/>
          <w:sz w:val="28"/>
          <w:szCs w:val="28"/>
          <w:lang w:val="ru-RU"/>
        </w:rPr>
        <w:t>“</w:t>
      </w:r>
      <w:r>
        <w:rPr>
          <w:rFonts w:eastAsia="Times New Roman" w:cs="Times New Roman" w:ascii="Arial" w:hAnsi="Arial"/>
          <w:sz w:val="28"/>
          <w:szCs w:val="28"/>
          <w:lang w:val="ru-RU"/>
        </w:rPr>
        <w:t>ГС РИТЕЙЛ”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eastAsia="Times New Roman" w:cs="Times New Roman"/>
          <w:lang w:val="ru-RU"/>
        </w:rPr>
      </w:pPr>
      <w:r>
        <w:rPr>
          <w:rFonts w:eastAsia="Times New Roman" w:cs="Times New Roman" w:ascii="Arial" w:hAnsi="Arial"/>
          <w:lang w:val="ru-RU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6BB750F4">
                <wp:simplePos x="0" y="0"/>
                <wp:positionH relativeFrom="column">
                  <wp:posOffset>66675</wp:posOffset>
                </wp:positionH>
                <wp:positionV relativeFrom="paragraph">
                  <wp:posOffset>367665</wp:posOffset>
                </wp:positionV>
                <wp:extent cx="3009900" cy="1826260"/>
                <wp:effectExtent l="0" t="0" r="0" b="0"/>
                <wp:wrapNone/>
                <wp:docPr id="1" name="Надпись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182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9"/>
                              <w:spacing w:lineRule="auto" w:line="281" w:before="0" w:after="120"/>
                              <w:ind w:right="-4239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РАЗРАБОТАНО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Технический д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иректор ООО “ГС Ритейл”  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А.В. Пономарев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tIns="91440" bIns="9144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.25pt;margin-top:28.95pt;width:236.95pt;height:143.75pt;mso-wrap-style:square;v-text-anchor:top" wp14:anchorId="6BB750F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9"/>
                        <w:spacing w:lineRule="auto" w:line="281" w:before="0" w:after="120"/>
                        <w:ind w:right="-4239"/>
                        <w:rPr>
                          <w:lang w:val="ru-RU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РАЗРАБОТАНО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Технический д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иректор ООО “ГС Ритейл”  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А.В. Пономарев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 wp14:anchorId="6DB23110">
                <wp:simplePos x="0" y="0"/>
                <wp:positionH relativeFrom="column">
                  <wp:posOffset>3181350</wp:posOffset>
                </wp:positionH>
                <wp:positionV relativeFrom="paragraph">
                  <wp:posOffset>325755</wp:posOffset>
                </wp:positionV>
                <wp:extent cx="3009900" cy="1791970"/>
                <wp:effectExtent l="0" t="0" r="0" b="0"/>
                <wp:wrapNone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179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9"/>
                              <w:spacing w:lineRule="auto" w:line="281" w:before="0" w:after="120"/>
                              <w:ind w:right="-4239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УТВЕРЖДАЮ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Директор ООО “ГС Ритейл” 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 Г.В.Есис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tIns="91440" bIns="9144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0.5pt;margin-top:25.65pt;width:236.95pt;height:141.05pt;mso-wrap-style:square;v-text-anchor:top" wp14:anchorId="6DB2311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9"/>
                        <w:spacing w:lineRule="auto" w:line="281" w:before="0" w:after="120"/>
                        <w:ind w:right="-4239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УТВЕРЖДАЮ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Директор ООО “ГС Ритейл” 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 Г.В.Есис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jc w:val="center"/>
        <w:rPr>
          <w:rFonts w:ascii="Arial" w:hAnsi="Arial"/>
        </w:rPr>
      </w:pPr>
      <w:r>
        <w:rPr>
          <w:rFonts w:ascii="Arial" w:hAnsi="Arial"/>
        </w:rPr>
        <w:t>Политика контроля конфиденциальной информации</w:t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9"/>
        <w:gridCol w:w="4681"/>
      </w:tblGrid>
      <w:tr>
        <w:trPr/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Организация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ООО «ГС Ритейл»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Проект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 на базе искусственного интеллекта для банковских процессов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Договор с заказчиком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№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14-03/2026 (ОАО «АСБ Беларусбанк»)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Разработал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Технический директор — Пономарев Андрей Викторович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Утвердил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Директор — Есис Геннадий Владимирович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bookmarkStart w:id="0" w:name="контекст-и-назначение"/>
      <w:r>
        <w:rPr>
          <w:rFonts w:ascii="Arial" w:hAnsi="Arial"/>
        </w:rPr>
        <w:t>1.</w:t>
      </w:r>
      <w:r>
        <w:rPr>
          <w:rFonts w:ascii="Arial" w:hAnsi="Arial"/>
          <w:lang w:val="ru-RU"/>
        </w:rPr>
        <w:t xml:space="preserve"> Общее описание </w:t>
      </w:r>
      <w:r>
        <w:rPr>
          <w:rFonts w:ascii="Arial" w:hAnsi="Arial"/>
        </w:rPr>
        <w:t>и назначение</w:t>
      </w:r>
    </w:p>
    <w:p>
      <w:pPr>
        <w:pStyle w:val="Heading3"/>
        <w:rPr>
          <w:rFonts w:ascii="Arial" w:hAnsi="Arial"/>
        </w:rPr>
      </w:pPr>
      <w:bookmarkStart w:id="1" w:name="контекст"/>
      <w:r>
        <w:rPr>
          <w:rFonts w:ascii="Arial" w:hAnsi="Arial"/>
        </w:rPr>
        <w:t xml:space="preserve">1.1. </w:t>
      </w:r>
      <w:r>
        <w:rPr>
          <w:rFonts w:ascii="Arial" w:hAnsi="Arial"/>
          <w:lang w:val="ru-RU"/>
        </w:rPr>
        <w:t>Общее описание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Конфиденциальная информация заказчика и ООО «ГС Ритейл» при выполнении договора № 14-03/2026 требует особого режима обращения.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Настоящая политика дополняет раздел о классификации данных в </w:t>
      </w:r>
      <w:r>
        <w:rPr>
          <w:rFonts w:ascii="Arial" w:hAnsi="Arial"/>
          <w:lang w:val="ru-RU"/>
        </w:rPr>
        <w:t xml:space="preserve">документе «Политика информрмационной безопасности» </w:t>
      </w:r>
      <w:r>
        <w:rPr>
          <w:rFonts w:ascii="Arial" w:hAnsi="Arial"/>
        </w:rPr>
        <w:t xml:space="preserve">и устанавливает </w:t>
      </w:r>
      <w:r>
        <w:rPr>
          <w:rFonts w:ascii="Arial" w:hAnsi="Arial"/>
          <w:b/>
          <w:bCs/>
        </w:rPr>
        <w:t>конкретные меры</w:t>
      </w:r>
      <w:r>
        <w:rPr>
          <w:rFonts w:ascii="Arial" w:hAnsi="Arial"/>
        </w:rPr>
        <w:t xml:space="preserve"> по предотвращению несанкционированного раскрытия.</w:t>
      </w:r>
      <w:bookmarkEnd w:id="1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1.2. Назначение</w:t>
      </w:r>
    </w:p>
    <w:p>
      <w:pPr>
        <w:pStyle w:val="FirstParagraph"/>
        <w:rPr>
          <w:rFonts w:ascii="Arial" w:hAnsi="Arial"/>
        </w:rPr>
      </w:pPr>
      <w:bookmarkStart w:id="2" w:name="назначение"/>
      <w:r>
        <w:rPr>
          <w:rFonts w:ascii="Arial" w:hAnsi="Arial"/>
        </w:rPr>
        <w:t>Определить правила обращения с конфиденциальной информацией, допустимые каналы передачи и меры контроля утечек.</w:t>
      </w:r>
      <w:bookmarkEnd w:id="2"/>
    </w:p>
    <w:p>
      <w:pPr>
        <w:pStyle w:val="Heading3"/>
        <w:rPr>
          <w:rFonts w:ascii="Arial" w:hAnsi="Arial"/>
        </w:rPr>
      </w:pPr>
      <w:bookmarkStart w:id="3" w:name="область-действия"/>
      <w:r>
        <w:rPr>
          <w:rFonts w:ascii="Arial" w:hAnsi="Arial"/>
        </w:rPr>
        <w:t>1.3. Область действия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Вся конфиденциальная и ограниченного распространения информация, обрабатываемая при</w:t>
      </w:r>
      <w:r>
        <w:rPr>
          <w:rFonts w:ascii="Arial" w:hAnsi="Arial"/>
          <w:lang w:val="ru-RU"/>
        </w:rPr>
        <w:t xml:space="preserve"> выполнении Проекта.</w:t>
      </w:r>
      <w:bookmarkEnd w:id="0"/>
      <w:bookmarkEnd w:id="3"/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2. Глоссарий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Термины используются в значениях, согласованных с политикой информационной безопасности. Ниже — общие и специальные термины настоящего документа.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566"/>
        <w:gridCol w:w="5794"/>
      </w:tblGrid>
      <w:tr>
        <w:trPr>
          <w:tblHeader w:val="true"/>
        </w:trPr>
        <w:tc>
          <w:tcPr>
            <w:tcW w:w="3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Термин</w:t>
            </w:r>
          </w:p>
        </w:tc>
        <w:tc>
          <w:tcPr>
            <w:tcW w:w="5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Определение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ИБ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Информационная безопасность — защищённость информации (конфиденциальность, целостность, доступность).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Технический директор — Пономарев Андрей Викторович; ответственный за реализацию мер ИБ.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Сотрудник, выполняющий техническое администрирование (Пономарев А.В. или уполномоченный инженер).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 — координация команды проекта «{PROJECT}».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Лицо, ответственное за кадровое администрирование (приём, перевод, увольнение).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Конфиденциальная информация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Сведения заказчика и организации, доступ к которым ограничен (договор, ТЗ, доступы, данные банка).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DLP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Data Loss Prevention — средства предотвращения утечек данных (планируется к внедрению).</w:t>
            </w:r>
          </w:p>
        </w:tc>
      </w:tr>
      <w:tr>
        <w:trPr/>
        <w:tc>
          <w:tcPr>
            <w:tcW w:w="3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Канал передачи</w:t>
            </w:r>
          </w:p>
        </w:tc>
        <w:tc>
          <w:tcPr>
            <w:tcW w:w="5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Способ обмена информацией (почта, VPN, мессенджер, носитель).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Маркировка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Обозначение уровня конфиденциальности на документе или в названии каталога.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Утечка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Несанкционированное раскрытие конфиденциальной информации третьим лицам.</w:t>
            </w:r>
            <w:bookmarkStart w:id="4" w:name="глоссарий"/>
            <w:bookmarkEnd w:id="4"/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3. Цели</w:t>
      </w:r>
    </w:p>
    <w:p>
      <w:pPr>
        <w:pStyle w:val="FirstParagraph"/>
        <w:rPr/>
      </w:pPr>
      <w:r>
        <w:rPr>
          <w:rFonts w:ascii="Arial" w:hAnsi="Arial"/>
        </w:rPr>
        <w:t xml:space="preserve">Политика преследует цель </w:t>
      </w:r>
      <w:r>
        <w:rPr>
          <w:rFonts w:ascii="Arial" w:hAnsi="Arial"/>
          <w:b/>
          <w:bCs/>
        </w:rPr>
        <w:t>исключить</w:t>
      </w:r>
      <w:r>
        <w:rPr>
          <w:rFonts w:ascii="Arial" w:hAnsi="Arial"/>
        </w:rPr>
        <w:t xml:space="preserve"> передачу конфиденциальных данных через не контролируемые каналы и </w:t>
      </w:r>
      <w:r>
        <w:rPr>
          <w:rFonts w:ascii="Arial" w:hAnsi="Arial"/>
          <w:b/>
          <w:bCs/>
        </w:rPr>
        <w:t>обеспечить прослеживаемость</w:t>
      </w:r>
      <w:r>
        <w:rPr>
          <w:rFonts w:ascii="Arial" w:hAnsi="Arial"/>
        </w:rPr>
        <w:t xml:space="preserve"> решений о допустимых способах обмена информацией с  </w:t>
      </w:r>
      <w:r>
        <w:rPr>
          <w:rFonts w:ascii="Arial" w:hAnsi="Arial"/>
          <w:lang w:val="ru-RU"/>
        </w:rPr>
        <w:t>Заказчиком.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4. Задачи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624"/>
        <w:gridCol w:w="3167"/>
        <w:gridCol w:w="3468"/>
        <w:gridCol w:w="2101"/>
      </w:tblGrid>
      <w:tr>
        <w:trPr>
          <w:tblHeader w:val="true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3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Задача</w:t>
            </w:r>
          </w:p>
        </w:tc>
        <w:tc>
          <w:tcPr>
            <w:tcW w:w="3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Ответственный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Срок</w:t>
            </w:r>
          </w:p>
        </w:tc>
      </w:tr>
      <w:tr>
        <w:trPr/>
        <w:tc>
          <w:tcPr>
            <w:tcW w:w="6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1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Классифицировать и маркировать информацию проекта</w:t>
            </w:r>
          </w:p>
        </w:tc>
        <w:tc>
          <w:tcPr>
            <w:tcW w:w="34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  <w:tc>
          <w:tcPr>
            <w:tcW w:w="21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Постоянно</w:t>
            </w:r>
          </w:p>
        </w:tc>
      </w:tr>
      <w:tr>
        <w:trPr/>
        <w:tc>
          <w:tcPr>
            <w:tcW w:w="6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31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Запретить мессенджеры для конфиденциальных данных</w:t>
            </w:r>
          </w:p>
        </w:tc>
        <w:tc>
          <w:tcPr>
            <w:tcW w:w="34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Все сотрудники</w:t>
            </w:r>
          </w:p>
        </w:tc>
        <w:tc>
          <w:tcPr>
            <w:tcW w:w="21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Постоянно</w:t>
            </w:r>
          </w:p>
        </w:tc>
      </w:tr>
      <w:tr>
        <w:trPr/>
        <w:tc>
          <w:tcPr>
            <w:tcW w:w="6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31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Регламентировать обмен с банком</w:t>
            </w:r>
          </w:p>
        </w:tc>
        <w:tc>
          <w:tcPr>
            <w:tcW w:w="34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21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Выполнено</w:t>
            </w:r>
          </w:p>
        </w:tc>
      </w:tr>
      <w:tr>
        <w:trPr/>
        <w:tc>
          <w:tcPr>
            <w:tcW w:w="6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31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Ежеквартальный аудит доступов к данным</w:t>
            </w:r>
          </w:p>
        </w:tc>
        <w:tc>
          <w:tcPr>
            <w:tcW w:w="34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21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Ежеквартально</w:t>
            </w:r>
          </w:p>
        </w:tc>
      </w:tr>
      <w:tr>
        <w:trPr/>
        <w:tc>
          <w:tcPr>
            <w:tcW w:w="6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31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План внедрения DLP</w:t>
            </w:r>
          </w:p>
        </w:tc>
        <w:tc>
          <w:tcPr>
            <w:tcW w:w="34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21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2026–2027</w:t>
            </w:r>
            <w:bookmarkStart w:id="5" w:name="задачи"/>
            <w:bookmarkEnd w:id="5"/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5. Роли, права и ответственность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148"/>
        <w:gridCol w:w="3059"/>
        <w:gridCol w:w="4153"/>
      </w:tblGrid>
      <w:tr>
        <w:trPr>
          <w:tblHeader w:val="true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Роль</w:t>
            </w:r>
          </w:p>
        </w:tc>
        <w:tc>
          <w:tcPr>
            <w:tcW w:w="3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4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Обязанности в рамках настоящего документа</w:t>
            </w:r>
          </w:p>
        </w:tc>
      </w:tr>
      <w:tr>
        <w:trPr/>
        <w:tc>
          <w:tcPr>
            <w:tcW w:w="214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Директор</w:t>
            </w:r>
          </w:p>
        </w:tc>
        <w:tc>
          <w:tcPr>
            <w:tcW w:w="30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Есис Геннадий Владимирович</w:t>
            </w:r>
          </w:p>
        </w:tc>
        <w:tc>
          <w:tcPr>
            <w:tcW w:w="41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Утверждает документы; выделяет ресурсы; общая ответственность за ИБ.</w:t>
            </w:r>
          </w:p>
        </w:tc>
      </w:tr>
      <w:tr>
        <w:trPr/>
        <w:tc>
          <w:tcPr>
            <w:tcW w:w="214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Технический директор / Координатор ИБ</w:t>
            </w:r>
          </w:p>
        </w:tc>
        <w:tc>
          <w:tcPr>
            <w:tcW w:w="30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Андрей Викторович</w:t>
            </w:r>
          </w:p>
        </w:tc>
        <w:tc>
          <w:tcPr>
            <w:tcW w:w="41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Разработка регламентов; координация мер ИБ; согласование критичных доступов; обучение.</w:t>
            </w:r>
          </w:p>
        </w:tc>
      </w:tr>
      <w:tr>
        <w:trPr/>
        <w:tc>
          <w:tcPr>
            <w:tcW w:w="214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  <w:tc>
          <w:tcPr>
            <w:tcW w:w="30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41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Контроль соблюдения регламентов командой; инициирование заявок; связь с заказчиком по операционным вопросам.</w:t>
            </w:r>
          </w:p>
        </w:tc>
      </w:tr>
      <w:tr>
        <w:trPr/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3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i/>
                <w:iCs/>
                <w:kern w:val="0"/>
                <w:sz w:val="24"/>
                <w:szCs w:val="24"/>
                <w:lang w:val="en-US" w:eastAsia="zh-CN" w:bidi="ar-SA"/>
              </w:rPr>
              <w:t>назначается приказом директора</w:t>
            </w:r>
          </w:p>
        </w:tc>
        <w:tc>
          <w:tcPr>
            <w:tcW w:w="4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Кадровые события; служебные записки для открытия/закрытия доступов.</w:t>
            </w:r>
          </w:p>
        </w:tc>
      </w:tr>
      <w:tr>
        <w:trPr/>
        <w:tc>
          <w:tcPr>
            <w:tcW w:w="214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30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А.В. / уполномоченный инженер</w:t>
            </w:r>
          </w:p>
        </w:tc>
        <w:tc>
          <w:tcPr>
            <w:tcW w:w="41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Техническая реализация мер: УЗ, сеть, AV, резервные копии, патчи.</w:t>
            </w:r>
          </w:p>
        </w:tc>
      </w:tr>
      <w:tr>
        <w:trPr/>
        <w:tc>
          <w:tcPr>
            <w:tcW w:w="214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30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А.П., Краснов Н.А., Кабин М.В.</w:t>
            </w:r>
          </w:p>
        </w:tc>
        <w:tc>
          <w:tcPr>
            <w:tcW w:w="41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Соблюдение регламентов; сообщение об инцидентах и уязвимостях.</w:t>
            </w:r>
          </w:p>
        </w:tc>
      </w:tr>
      <w:tr>
        <w:trPr/>
        <w:tc>
          <w:tcPr>
            <w:tcW w:w="214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  <w:tc>
          <w:tcPr>
            <w:tcW w:w="30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А.Д.</w:t>
            </w:r>
          </w:p>
        </w:tc>
        <w:tc>
          <w:tcPr>
            <w:tcW w:w="41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Соблюдение регламентов; безопасное использование тестовых сред.</w:t>
            </w:r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6. Допустимые и запрещённые каналы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504"/>
        <w:gridCol w:w="3012"/>
        <w:gridCol w:w="2844"/>
      </w:tblGrid>
      <w:tr>
        <w:trPr>
          <w:tblHeader w:val="true"/>
        </w:trPr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Тип информации</w:t>
            </w:r>
          </w:p>
        </w:tc>
        <w:tc>
          <w:tcPr>
            <w:tcW w:w="3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Разрешено</w:t>
            </w:r>
          </w:p>
        </w:tc>
        <w:tc>
          <w:tcPr>
            <w:tcW w:w="2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Запрещено</w:t>
            </w:r>
          </w:p>
        </w:tc>
      </w:tr>
      <w:tr>
        <w:trPr/>
        <w:tc>
          <w:tcPr>
            <w:tcW w:w="35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Внутренняя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Корпоративная почта, файловый сервер, Git (без данных банка)</w:t>
            </w:r>
          </w:p>
        </w:tc>
        <w:tc>
          <w:tcPr>
            <w:tcW w:w="28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Личная почта, публичные мессенджеры</w:t>
            </w:r>
          </w:p>
        </w:tc>
      </w:tr>
      <w:tr>
        <w:trPr/>
        <w:tc>
          <w:tcPr>
            <w:tcW w:w="35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Конфиденциальная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Корпоративная почта, VPN, согласованные каталоги</w:t>
            </w:r>
          </w:p>
        </w:tc>
        <w:tc>
          <w:tcPr>
            <w:tcW w:w="28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Мессенджеры, личная почта, личные облака</w:t>
            </w:r>
          </w:p>
        </w:tc>
      </w:tr>
      <w:tr>
        <w:trPr/>
        <w:tc>
          <w:tcPr>
            <w:tcW w:w="35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Ограниченного распространения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Корпоративная почта, BelVPN; СКЗИ — по согласованию с банком</w:t>
            </w:r>
          </w:p>
        </w:tc>
        <w:tc>
          <w:tcPr>
            <w:tcW w:w="28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Любые иные каналы без письменного согласования</w:t>
            </w:r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7. Меры контроля утечек</w:t>
      </w:r>
    </w:p>
    <w:p>
      <w:pPr>
        <w:pStyle w:val="Heading3"/>
        <w:rPr>
          <w:rFonts w:ascii="Arial" w:hAnsi="Arial"/>
        </w:rPr>
      </w:pPr>
      <w:bookmarkStart w:id="6" w:name="организационные-меры-действуют"/>
      <w:r>
        <w:rPr>
          <w:rFonts w:ascii="Arial" w:hAnsi="Arial"/>
        </w:rPr>
        <w:t>7.1. Организационные меры (действуют)</w:t>
      </w:r>
    </w:p>
    <w:p>
      <w:pPr>
        <w:pStyle w:val="Compact"/>
        <w:numPr>
          <w:ilvl w:val="0"/>
          <w:numId w:val="6"/>
        </w:numPr>
        <w:rPr>
          <w:rFonts w:ascii="Arial" w:hAnsi="Arial"/>
        </w:rPr>
      </w:pPr>
      <w:r>
        <w:rPr>
          <w:rFonts w:ascii="Arial" w:hAnsi="Arial"/>
          <w:b/>
          <w:bCs/>
        </w:rPr>
        <w:t>Классификация и маркировка</w:t>
      </w:r>
      <w:r>
        <w:rPr>
          <w:rFonts w:ascii="Arial" w:hAnsi="Arial"/>
        </w:rPr>
        <w:t xml:space="preserve"> — руководитель проекта обеспечивает маркировку документов и каталогов (префикс «Конфиденциально» / «Для ОАО «АСБ Беларусбанк»»).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  <w:b/>
          <w:bCs/>
        </w:rPr>
        <w:t>Запрет мессенджеров</w:t>
      </w:r>
      <w:r>
        <w:rPr>
          <w:rFonts w:ascii="Arial" w:hAnsi="Arial"/>
        </w:rPr>
        <w:t xml:space="preserve"> — передача конфиденциальной информации через Telegram, Viber и аналоги </w:t>
      </w:r>
      <w:r>
        <w:rPr>
          <w:rFonts w:ascii="Arial" w:hAnsi="Arial"/>
          <w:b/>
          <w:bCs/>
        </w:rPr>
        <w:t>запрещена</w:t>
      </w:r>
      <w:r>
        <w:rPr>
          <w:rFonts w:ascii="Arial" w:hAnsi="Arial"/>
        </w:rPr>
        <w:t>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  <w:b/>
          <w:bCs/>
        </w:rPr>
        <w:t>Контроль носителей</w:t>
      </w:r>
      <w:r>
        <w:rPr>
          <w:rFonts w:ascii="Arial" w:hAnsi="Arial"/>
        </w:rPr>
        <w:t xml:space="preserve"> — копирование на личные USB и внешние диски только с письменного разрешения координатора ИБ.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  <w:b/>
          <w:bCs/>
        </w:rPr>
        <w:t>Доступ по ролям</w:t>
      </w:r>
      <w:r>
        <w:rPr>
          <w:rFonts w:ascii="Arial" w:hAnsi="Arial"/>
        </w:rPr>
        <w:t xml:space="preserve"> — принципы need-to-know и least privilege (см. политику ИБ, раздел 7).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  <w:b/>
          <w:bCs/>
        </w:rPr>
        <w:t>Аудит доступов</w:t>
      </w:r>
      <w:r>
        <w:rPr>
          <w:rFonts w:ascii="Arial" w:hAnsi="Arial"/>
        </w:rPr>
        <w:t xml:space="preserve"> — администратор ИТ ежеквартально сверяет список лиц с доступом к данным проекта с актуальным составом команды (совместно с HR).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  <w:b/>
          <w:bCs/>
        </w:rPr>
        <w:t>Удаление по завершении</w:t>
      </w:r>
      <w:r>
        <w:rPr>
          <w:rFonts w:ascii="Arial" w:hAnsi="Arial"/>
        </w:rPr>
        <w:t xml:space="preserve"> — по окончании договора данные банка удаляются или возвращаются по акту; координатор ИБ контролирует исполнение.</w:t>
      </w:r>
      <w:bookmarkEnd w:id="6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7.2. Технические меры (перспектива)</w:t>
      </w:r>
    </w:p>
    <w:p>
      <w:pPr>
        <w:pStyle w:val="FirstParagraph"/>
        <w:rPr>
          <w:rFonts w:ascii="Arial" w:hAnsi="Arial"/>
        </w:rPr>
      </w:pPr>
      <w:bookmarkStart w:id="7" w:name="технические-меры-перспектива"/>
      <w:r>
        <w:rPr>
          <w:rFonts w:ascii="Arial" w:hAnsi="Arial"/>
        </w:rPr>
        <w:t>Внедрение DLP-средств (мониторинг каналов, блокировка передачи) запланировано в дорожной карте 2026–2027. До внедрения DLP действуют организационные меры и выборочный аудит.</w:t>
      </w:r>
      <w:bookmarkEnd w:id="7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 xml:space="preserve">8. Обмен информацией с банком 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Обмен информацией ограниченного распространения с ОАО «АСБ Беларусбанк» осуществляется:</w:t>
      </w:r>
    </w:p>
    <w:p>
      <w:pPr>
        <w:pStyle w:val="Compac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 xml:space="preserve">через </w:t>
      </w:r>
      <w:r>
        <w:rPr>
          <w:rFonts w:ascii="Arial" w:hAnsi="Arial"/>
          <w:b/>
          <w:bCs/>
        </w:rPr>
        <w:t>корпоративную электронную почту</w:t>
      </w:r>
      <w:r>
        <w:rPr>
          <w:rFonts w:ascii="Arial" w:hAnsi="Arial"/>
        </w:rPr>
        <w:t xml:space="preserve"> с домена ООО «ГС Ритейл»;</w:t>
      </w:r>
    </w:p>
    <w:p>
      <w:pPr>
        <w:pStyle w:val="Compac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 xml:space="preserve">через </w:t>
      </w:r>
      <w:r>
        <w:rPr>
          <w:rFonts w:ascii="Arial" w:hAnsi="Arial"/>
          <w:b/>
          <w:bCs/>
        </w:rPr>
        <w:t>BelVPN</w:t>
      </w:r>
      <w:r>
        <w:rPr>
          <w:rFonts w:ascii="Arial" w:hAnsi="Arial"/>
        </w:rPr>
        <w:t xml:space="preserve"> и согласованные ресурсы банка;</w:t>
      </w:r>
    </w:p>
    <w:p>
      <w:pPr>
        <w:pStyle w:val="Compac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 xml:space="preserve">при требовании банка — через </w:t>
      </w:r>
      <w:r>
        <w:rPr>
          <w:rFonts w:ascii="Arial" w:hAnsi="Arial"/>
          <w:b/>
          <w:bCs/>
        </w:rPr>
        <w:t>СКЗИ</w:t>
      </w:r>
      <w:r>
        <w:rPr>
          <w:rFonts w:ascii="Arial" w:hAnsi="Arial"/>
        </w:rPr>
        <w:t xml:space="preserve"> по отдельному согласованию.</w:t>
      </w:r>
    </w:p>
    <w:p>
      <w:pPr>
        <w:pStyle w:val="FirstParagraph"/>
        <w:rPr>
          <w:rFonts w:ascii="Arial" w:hAnsi="Arial"/>
        </w:rPr>
      </w:pPr>
      <w:bookmarkStart w:id="8" w:name="Xf60e091e367d4177af4922955a88e20ae7d1f41"/>
      <w:r>
        <w:rPr>
          <w:rFonts w:ascii="Arial" w:hAnsi="Arial"/>
        </w:rPr>
        <w:t>Инициатор нового канала — руководитель проекта; согласование — координатор ИБ и представитель банка.</w:t>
      </w:r>
      <w:bookmarkEnd w:id="8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Связанные документы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4"/>
        <w:gridCol w:w="5106"/>
      </w:tblGrid>
      <w:tr>
        <w:trPr>
          <w:tblHeader w:val="true"/>
        </w:trPr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Документ</w:t>
            </w:r>
          </w:p>
        </w:tc>
        <w:tc>
          <w:tcPr>
            <w:tcW w:w="5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Назначение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Политика информационной безопасности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Единая политика ИБ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реагирования на инциденты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Реагирование на инциденты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управления уязвимостями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Управление уязвимостями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защиты электронной почты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Защита электронной почты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Политика контроля конфиденциальной информации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Контроль конфиденциальной информации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План обучения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Обучение ИБ</w:t>
            </w:r>
            <w:bookmarkStart w:id="9" w:name="связанные-документы_Копия_1"/>
            <w:bookmarkEnd w:id="9"/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Пересмотр и актуализация</w:t>
      </w:r>
    </w:p>
    <w:p>
      <w:pPr>
        <w:pStyle w:val="Compact"/>
        <w:numPr>
          <w:ilvl w:val="0"/>
          <w:numId w:val="7"/>
        </w:numPr>
        <w:rPr>
          <w:rFonts w:ascii="Arial" w:hAnsi="Arial"/>
        </w:rPr>
      </w:pPr>
      <w:r>
        <w:rPr>
          <w:rFonts w:ascii="Arial" w:hAnsi="Arial"/>
        </w:rPr>
        <w:t xml:space="preserve">Документ пересматривается </w:t>
      </w:r>
      <w:r>
        <w:rPr>
          <w:rFonts w:ascii="Arial" w:hAnsi="Arial"/>
          <w:b/>
          <w:bCs/>
        </w:rPr>
        <w:t>не реже одного раза в 12 месяцев</w:t>
      </w:r>
      <w:r>
        <w:rPr>
          <w:rFonts w:ascii="Arial" w:hAnsi="Arial"/>
        </w:rPr>
        <w:t xml:space="preserve"> или при изменении требований заказчика, инцидентах, изменении инфраструктуры.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Инициатор пересмотра — координатор ИБ; утверждение — директор.</w:t>
      </w:r>
    </w:p>
    <w:p>
      <w:pPr>
        <w:pStyle w:val="Compact"/>
        <w:widowControl/>
        <w:numPr>
          <w:ilvl w:val="0"/>
          <w:numId w:val="3"/>
        </w:numPr>
        <w:bidi w:val="0"/>
        <w:jc w:val="left"/>
        <w:rPr>
          <w:rFonts w:ascii="Arial" w:hAnsi="Arial"/>
        </w:rPr>
      </w:pPr>
      <w:bookmarkStart w:id="10" w:name="X03b8414e910b7386f5e397605b50c72cd40e851"/>
      <w:r>
        <w:rPr>
          <w:rFonts w:ascii="Arial" w:hAnsi="Arial"/>
        </w:rPr>
        <w:t>При изменении документа участники проекта повторно ознакамливаются под роспись в течение 10 рабочих дней.</w:t>
      </w:r>
      <w:bookmarkEnd w:id="10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Лист ознакомления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Сотрудники ООО «ГС Ритейл», задействованные на проекте </w:t>
      </w:r>
      <w:r>
        <w:rPr>
          <w:rFonts w:ascii="Arial" w:hAnsi="Arial"/>
          <w:b/>
          <w:bCs/>
        </w:rPr>
        <w:t>«ПО на базе искусственного интеллекта для банковских процессов»</w:t>
      </w:r>
      <w:r>
        <w:rPr>
          <w:rFonts w:ascii="Arial" w:hAnsi="Arial"/>
        </w:rPr>
        <w:t xml:space="preserve"> (договор № 14-03/2026), ознакомлены с настоящим документом: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823"/>
        <w:gridCol w:w="2571"/>
        <w:gridCol w:w="2676"/>
        <w:gridCol w:w="1635"/>
        <w:gridCol w:w="1655"/>
      </w:tblGrid>
      <w:tr>
        <w:trPr>
          <w:tblHeader w:val="true"/>
        </w:trPr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2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Должность</w:t>
            </w: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Подпись</w:t>
            </w:r>
          </w:p>
        </w:tc>
        <w:tc>
          <w:tcPr>
            <w:tcW w:w="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Дата</w:t>
            </w:r>
          </w:p>
        </w:tc>
      </w:tr>
      <w:tr>
        <w:trPr/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Андрей Петрович</w:t>
            </w:r>
          </w:p>
        </w:tc>
        <w:tc>
          <w:tcPr>
            <w:tcW w:w="1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Краснов Никита Альбертович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Бизнес-аналитик / руководитель проекта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Артемий Дмитриевич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Кабин Максим Витальевич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  <w:bookmarkStart w:id="11" w:name="лист-ознакомления"/>
            <w:bookmarkStart w:id="12" w:name="лист-ознакомления"/>
            <w:bookmarkEnd w:id="12"/>
          </w:p>
        </w:tc>
      </w:tr>
    </w:tbl>
    <w:p>
      <w:pPr>
        <w:pStyle w:val="Normal"/>
        <w:spacing w:before="0" w:after="200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user">
    <w:name w:val="Символ сноски (user)"/>
    <w:basedOn w:val="BodyTextChar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user1">
    <w:name w:val="Символ нумерации (user)"/>
    <w:qFormat/>
    <w:rPr/>
  </w:style>
  <w:style w:type="character" w:styleId="Style6">
    <w:name w:val="Символ концевой сноски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Mang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Mang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user4" w:customStyle="1">
    <w:name w:val="Фигура (user)"/>
    <w:basedOn w:val="Normal"/>
    <w:qFormat/>
    <w:pPr/>
    <w:rPr/>
  </w:style>
  <w:style w:type="paragraph" w:styleId="CaptionedFigure" w:customStyle="1">
    <w:name w:val="Captioned Figure"/>
    <w:basedOn w:val="user4"/>
    <w:qFormat/>
    <w:pPr>
      <w:keepNext w:val="true"/>
    </w:pPr>
    <w:rPr/>
  </w:style>
  <w:style w:type="paragraph" w:styleId="IndexHeading">
    <w:name w:val="index heading"/>
    <w:basedOn w:val="user2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Style9">
    <w:name w:val="Содержимое врезки"/>
    <w:basedOn w:val="Normal"/>
    <w:qFormat/>
    <w:pPr/>
    <w:rPr/>
  </w:style>
  <w:style w:type="paragraph" w:styleId="user5">
    <w:name w:val="Содержимое врезки (user)"/>
    <w:basedOn w:val="Normal"/>
    <w:qFormat/>
    <w:pPr/>
    <w:rPr/>
  </w:style>
  <w:style w:type="paragraph" w:styleId="Style10">
    <w:name w:val="Фигура"/>
    <w:basedOn w:val="Normal"/>
    <w:qFormat/>
    <w:pPr/>
    <w:rPr/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Style13">
    <w:name w:val="Содержимое списка"/>
    <w:basedOn w:val="Normal"/>
    <w:qFormat/>
    <w:pPr>
      <w:ind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LibreOffice/25.8.7.3$Windows_X86_64 LibreOffice_project/30742500f2d3eb4366ac312fa33d3dcabdb3eba5</Application>
  <AppVersion>15.0000</AppVersion>
  <Pages>6</Pages>
  <Words>816</Words>
  <Characters>6110</Characters>
  <CharactersWithSpaces>6761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2026-06-24T07:52:05Z</dcterms:created>
  <dc:creator/>
  <dc:description/>
  <dc:language>ru-RU</dc:language>
  <cp:lastModifiedBy/>
  <dcterms:modified xsi:type="dcterms:W3CDTF">2026-06-24T12:55:52Z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договор">
    <vt:lpwstr>№ 14-03/2026</vt:lpwstr>
  </property>
  <property fmtid="{D5CDD505-2E9C-101B-9397-08002B2CF9AE}" pid="3" name="проект">
    <vt:lpwstr>ПО на базе искусственного интеллекта для банковских процессов</vt:lpwstr>
  </property>
  <property fmtid="{D5CDD505-2E9C-101B-9397-08002B2CF9AE}" pid="4" name="разработал">
    <vt:lpwstr>Пономарев Андрей Викторович, технический директор</vt:lpwstr>
  </property>
  <property fmtid="{D5CDD505-2E9C-101B-9397-08002B2CF9AE}" pid="5" name="утвердил">
    <vt:lpwstr>Есис Геннадий Владимирович, директор</vt:lpwstr>
  </property>
</Properties>
</file>