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Регламент реагирования на инциденты информационной безопасности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bookmarkStart w:id="0" w:name="контекст-и-назначение"/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Общее описание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Общее описание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Настоящий регламент разработан в развитие политики информационной безопасности ООО «ГС Ритейл» и применяется при выполнении договора № 14-03/2026 с ОАО «АСБ Беларусбанк» в рамках проекта «ПО на базе искусственного интеллекта для банковских процессов».</w:t>
      </w:r>
    </w:p>
    <w:p>
      <w:pPr>
        <w:pStyle w:val="BodyText"/>
        <w:rPr>
          <w:rFonts w:ascii="Arial" w:hAnsi="Arial"/>
        </w:rPr>
      </w:pPr>
      <w:bookmarkStart w:id="1" w:name="контекст"/>
      <w:r>
        <w:rPr>
          <w:rFonts w:ascii="Arial" w:hAnsi="Arial"/>
        </w:rPr>
        <w:t>Инцидент информационной безопасности может затронуть доступность сервисов разработки, целостность исходного кода, конфиденциальность данных банка. Без формализованного порядка реагирования организация не способна своевременно локализовать угрозу и выполнить обязательства перед заказчиком. Регламент устанавливает единый порядок действий: от момента обнаружения до восстановления и анализа причин.</w:t>
      </w:r>
      <w:bookmarkEnd w:id="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bookmarkStart w:id="2" w:name="назначение"/>
      <w:r>
        <w:rPr>
          <w:rFonts w:ascii="Arial" w:hAnsi="Arial"/>
        </w:rPr>
        <w:t>Регламент определяет порядок выявления, регистрации, классификации, реагирования, восстановления и документирования инцидентов ИБ, а также обязанности участников процесса.</w:t>
      </w:r>
      <w:bookmarkEnd w:id="2"/>
    </w:p>
    <w:p>
      <w:pPr>
        <w:pStyle w:val="Heading3"/>
        <w:rPr>
          <w:rFonts w:ascii="Arial" w:hAnsi="Arial"/>
        </w:rPr>
      </w:pPr>
      <w:bookmarkStart w:id="3" w:name="область-действия"/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Распространяется на все информационные ресурсы и сотрудников, задействованных на </w:t>
      </w:r>
      <w:r>
        <w:rPr>
          <w:rFonts w:ascii="Arial" w:hAnsi="Arial"/>
          <w:lang w:val="ru-RU"/>
        </w:rPr>
        <w:t>Проекте</w:t>
      </w:r>
      <w:r>
        <w:rPr>
          <w:rFonts w:ascii="Arial" w:hAnsi="Arial"/>
        </w:rPr>
        <w:t>, включая удалённых участников команды.</w:t>
      </w:r>
      <w:bookmarkEnd w:id="0"/>
      <w:bookmarkEnd w:id="3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Глоссарий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Термины используются в значениях, согласованных с политикой информационной безопасности. Ниже — общие и специальные термины настоящего документа.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защищённость информации (конфиденциальность, целостность, доступность).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Викторович; ответственный за реализацию мер ИБ.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(Пономарев А.В. или уполномоченный инженер).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Толкачев Геннадий Александрович — координация команды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роекта.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(приём, перевод, увольнение).</w:t>
            </w:r>
          </w:p>
        </w:tc>
      </w:tr>
      <w:tr>
        <w:trPr/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 заказчика и организации, доступ к которым ограничен (договор, ТЗ, доступы, данные банка).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Инцидент 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Событие или совокупность событий, нарушающие или создающие угрозу нарушению конфиденциальности, целостности или доступности информации.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IR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реагирования на инциденты — технический директор (Пономарев А.В.).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Post-mortem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Разбор инцидента после устранения: причины, последствия, корректирующие меры.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Журнал инцидентов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Реестр зарегистрированных инцидентов с полями ID, дата, описание, класс, статус, исполнитель.</w:t>
            </w:r>
            <w:bookmarkStart w:id="4" w:name="глоссарий"/>
            <w:bookmarkEnd w:id="4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Цели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Основная цель регламента — обеспечить </w:t>
      </w:r>
      <w:r>
        <w:rPr>
          <w:rFonts w:ascii="Arial" w:hAnsi="Arial"/>
          <w:b/>
          <w:bCs/>
        </w:rPr>
        <w:t>быстрое и согласованное</w:t>
      </w:r>
      <w:r>
        <w:rPr>
          <w:rFonts w:ascii="Arial" w:hAnsi="Arial"/>
        </w:rPr>
        <w:t xml:space="preserve"> реагирование на инциденты ИБ с минимизацией ущерба для заказчика и организации.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Координатор IR назначается приказом (функцию выполняет технический директор). Заместителем координатора IR является руководитель проекта — он принимает обращения при недоступности координатора и обеспечивает связь с командой.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731"/>
        <w:gridCol w:w="4021"/>
        <w:gridCol w:w="2851"/>
        <w:gridCol w:w="1757"/>
      </w:tblGrid>
      <w:tr>
        <w:trPr>
          <w:tblHeader w:val="true"/>
        </w:trPr>
        <w:tc>
          <w:tcPr>
            <w:tcW w:w="7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4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2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1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7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Назначить координатора IR и довести порядок до команды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Выполнено</w:t>
            </w:r>
          </w:p>
        </w:tc>
      </w:tr>
      <w:tr>
        <w:trPr/>
        <w:tc>
          <w:tcPr>
            <w:tcW w:w="7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Вести журнал инцидентов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Постоянно</w:t>
            </w:r>
          </w:p>
        </w:tc>
      </w:tr>
      <w:tr>
        <w:trPr/>
        <w:tc>
          <w:tcPr>
            <w:tcW w:w="7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Обеспечить уведомление банка при затрагивании данных/сервисов договора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 / директор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≤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24 ч</w:t>
            </w:r>
          </w:p>
        </w:tc>
      </w:tr>
      <w:tr>
        <w:trPr/>
        <w:tc>
          <w:tcPr>
            <w:tcW w:w="7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40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Проводить post-mortem и учения</w:t>
            </w:r>
          </w:p>
        </w:tc>
        <w:tc>
          <w:tcPr>
            <w:tcW w:w="28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≥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 раз в год</w:t>
            </w:r>
            <w:bookmarkStart w:id="5" w:name="задачи"/>
            <w:bookmarkEnd w:id="5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543"/>
        <w:gridCol w:w="2953"/>
        <w:gridCol w:w="3864"/>
      </w:tblGrid>
      <w:tr>
        <w:trPr>
          <w:tblHeader w:val="true"/>
        </w:trPr>
        <w:tc>
          <w:tcPr>
            <w:tcW w:w="2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2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3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Обязанности в рамках настоящего документа</w:t>
            </w:r>
          </w:p>
        </w:tc>
      </w:tr>
      <w:tr>
        <w:trPr/>
        <w:tc>
          <w:tcPr>
            <w:tcW w:w="254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9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38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документы; выделяет ресурсы; общая ответственность за ИБ.</w:t>
            </w:r>
          </w:p>
        </w:tc>
      </w:tr>
      <w:tr>
        <w:trPr/>
        <w:tc>
          <w:tcPr>
            <w:tcW w:w="2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2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3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Разработка регламентов; координация мер ИБ; согласование критичных доступов; обучение.</w:t>
            </w:r>
          </w:p>
        </w:tc>
      </w:tr>
      <w:tr>
        <w:trPr/>
        <w:tc>
          <w:tcPr>
            <w:tcW w:w="254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9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38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соблюдения регламентов командой; инициирование заявок; связь с заказчиком по операционным вопросам.</w:t>
            </w:r>
          </w:p>
        </w:tc>
      </w:tr>
      <w:tr>
        <w:trPr/>
        <w:tc>
          <w:tcPr>
            <w:tcW w:w="254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9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38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Кадровые события; служебные записки для открытия/закрытия доступов.</w:t>
            </w:r>
          </w:p>
        </w:tc>
      </w:tr>
      <w:tr>
        <w:trPr/>
        <w:tc>
          <w:tcPr>
            <w:tcW w:w="254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9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38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Техническая реализация мер: УЗ, сеть, AV, резервные копии, патчи.</w:t>
            </w:r>
          </w:p>
        </w:tc>
      </w:tr>
      <w:tr>
        <w:trPr/>
        <w:tc>
          <w:tcPr>
            <w:tcW w:w="254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9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38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сообщение об инцидентах и уязвимостях.</w:t>
            </w:r>
          </w:p>
        </w:tc>
      </w:tr>
      <w:tr>
        <w:trPr/>
        <w:tc>
          <w:tcPr>
            <w:tcW w:w="254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95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38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безопасное использование тестовых сред.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Классификация инцидентов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При регистрации инцидента координатор IR присваивает уровень по таблице ниже. Класс определяет срок первичной реакции и состав привлекаемых специалистов.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379"/>
        <w:gridCol w:w="3661"/>
        <w:gridCol w:w="1711"/>
        <w:gridCol w:w="2609"/>
      </w:tblGrid>
      <w:tr>
        <w:trPr>
          <w:tblHeader w:val="true"/>
        </w:trPr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Уровень</w:t>
            </w:r>
          </w:p>
        </w:tc>
        <w:tc>
          <w:tcPr>
            <w:tcW w:w="3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Признаки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Время первичной реакции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Кого привлекать</w:t>
            </w:r>
          </w:p>
        </w:tc>
      </w:tr>
      <w:tr>
        <w:trPr/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Низкий</w:t>
            </w:r>
          </w:p>
        </w:tc>
        <w:tc>
          <w:tcPr>
            <w:tcW w:w="366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Единичное подозрительное событие без подтверждённой утечки</w:t>
            </w:r>
          </w:p>
        </w:tc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24 часа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Средний</w:t>
            </w:r>
          </w:p>
        </w:tc>
        <w:tc>
          <w:tcPr>
            <w:tcW w:w="366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Локальное воздействие, компрометация одной УЗ, подозрение на ВПО</w:t>
            </w:r>
          </w:p>
        </w:tc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 часа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ИТ, инженеры</w:t>
            </w:r>
          </w:p>
        </w:tc>
      </w:tr>
      <w:tr>
        <w:trPr/>
        <w:tc>
          <w:tcPr>
            <w:tcW w:w="13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Высокий</w:t>
            </w:r>
          </w:p>
        </w:tc>
        <w:tc>
          <w:tcPr>
            <w:tcW w:w="366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Утечка или подтверждённая компрометация данных банка, массовый простой</w:t>
            </w:r>
          </w:p>
        </w:tc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 час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IR, директор, уведомление банка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7. Порядок реагирования</w:t>
      </w:r>
    </w:p>
    <w:p>
      <w:pPr>
        <w:pStyle w:val="Heading3"/>
        <w:rPr>
          <w:rFonts w:ascii="Arial" w:hAnsi="Arial"/>
        </w:rPr>
      </w:pPr>
      <w:bookmarkStart w:id="6" w:name="обнаружение-и-сообщение"/>
      <w:r>
        <w:rPr>
          <w:rFonts w:ascii="Arial" w:hAnsi="Arial"/>
        </w:rPr>
        <w:t>7.1. Обнаружение и сообщение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Любой сотрудник, обнаруживший признаки инцидента (фишинг, вирус, несанкционированный доступ, утечка данных), </w:t>
      </w:r>
      <w:r>
        <w:rPr>
          <w:rFonts w:ascii="Arial" w:hAnsi="Arial"/>
          <w:b/>
          <w:bCs/>
        </w:rPr>
        <w:t>немедленно</w:t>
      </w:r>
      <w:r>
        <w:rPr>
          <w:rFonts w:ascii="Arial" w:hAnsi="Arial"/>
        </w:rPr>
        <w:t xml:space="preserve"> сообщает координатору IR или руководителю проекта по телефону и корпоративной почте. Сообщение должно содержать: что произошло, когда, на каких системах, какие данные могли быть затронуты.</w:t>
      </w:r>
      <w:bookmarkEnd w:id="6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7.2. Этапы реагирования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892"/>
        <w:gridCol w:w="3791"/>
        <w:gridCol w:w="2677"/>
      </w:tblGrid>
      <w:tr>
        <w:trPr>
          <w:tblHeader w:val="true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Этап</w:t>
            </w:r>
          </w:p>
        </w:tc>
        <w:tc>
          <w:tcPr>
            <w:tcW w:w="3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Содержание</w:t>
            </w:r>
          </w:p>
        </w:tc>
        <w:tc>
          <w:tcPr>
            <w:tcW w:w="2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1. Регистрация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Присвоение ID, запись в журнал, фиксация времени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2. Анализ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Оценка масштаба, классификация, определение затронутых активов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 + администратор ИТ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3. Сдерживание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Изоляция узла, блокировка УЗ, отключение сессий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4. Устранение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Удаление ВПО, установка патчей, смена паролей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 / инженеры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5. Восстановление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Восстановление из резервной копии, возврат в эксплуатацию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6. Разбор (post-mortem)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Документирование причин, уроков, мер предотвращения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IR</w:t>
            </w:r>
          </w:p>
        </w:tc>
      </w:tr>
      <w:tr>
        <w:trPr/>
        <w:tc>
          <w:tcPr>
            <w:tcW w:w="28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7. Отчётность</w:t>
            </w:r>
          </w:p>
        </w:tc>
        <w:tc>
          <w:tcPr>
            <w:tcW w:w="3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Уведомление банка при инцидентах, связанных с договором № 14-03/2026</w:t>
            </w:r>
          </w:p>
        </w:tc>
        <w:tc>
          <w:tcPr>
            <w:tcW w:w="26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/ координатор IR</w:t>
            </w:r>
            <w:bookmarkStart w:id="7" w:name="этапы-реагирования"/>
            <w:bookmarkEnd w:id="7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7.3. Уведомление заказчика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Если инцидент затрагивает данные банка, доступы к инфраструктуре заказчика или сроки выполнения работ по договору, координатор IR инициирует уведомление представителя ОАО «АСБ Беларусбанк» </w:t>
      </w:r>
      <w:r>
        <w:rPr>
          <w:rFonts w:ascii="Arial" w:hAnsi="Arial"/>
          <w:b/>
          <w:bCs/>
        </w:rPr>
        <w:t>в течение 24 часов</w:t>
      </w:r>
      <w:r>
        <w:rPr>
          <w:rFonts w:ascii="Arial" w:hAnsi="Arial"/>
        </w:rPr>
        <w:t xml:space="preserve"> с момента классификации инцидента как среднего или высокого уровня.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8. Журнал инцидентов</w:t>
      </w:r>
    </w:p>
    <w:p>
      <w:pPr>
        <w:pStyle w:val="FirstParagraph"/>
        <w:rPr>
          <w:rFonts w:ascii="Arial" w:hAnsi="Arial"/>
        </w:rPr>
      </w:pPr>
      <w:bookmarkStart w:id="8" w:name="журнал-инцидентов"/>
      <w:r>
        <w:rPr>
          <w:rFonts w:ascii="Arial" w:hAnsi="Arial"/>
        </w:rPr>
        <w:t>Журнал ведётся в электронном виде. Минимальный набор полей: идентификатор, дата/время обнаружения, описание, класс, затронутые системы, статус (открыт / в работе / закрыт), ответственный, дата закрытия, принятые меры, ссылка на post-mortem.</w:t>
      </w:r>
      <w:bookmarkEnd w:id="8"/>
    </w:p>
    <w:p>
      <w:pPr>
        <w:pStyle w:val="Heading2"/>
        <w:rPr>
          <w:rFonts w:ascii="Arial" w:hAnsi="Arial"/>
        </w:rPr>
      </w:pPr>
      <w:bookmarkStart w:id="9" w:name="учения"/>
      <w:r>
        <w:rPr>
          <w:rFonts w:ascii="Arial" w:hAnsi="Arial"/>
        </w:rPr>
        <w:t>9. Учения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Не реже </w:t>
      </w:r>
      <w:r>
        <w:rPr>
          <w:rFonts w:ascii="Arial" w:hAnsi="Arial"/>
          <w:b/>
          <w:bCs/>
        </w:rPr>
        <w:t>одного раза в год</w:t>
      </w:r>
      <w:r>
        <w:rPr>
          <w:rFonts w:ascii="Arial" w:hAnsi="Arial"/>
        </w:rPr>
        <w:t xml:space="preserve"> координатор IR организует учебный разбор сценария (фишинг, компрометация учётной записи, утечка через почту). Участвуют все сотрудники проекта. Результаты фиксируются в журнале.</w:t>
      </w:r>
      <w:bookmarkEnd w:id="9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Связанные документы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10" w:name="связанные-документы_Копия_1"/>
            <w:bookmarkEnd w:id="10"/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Пересмотр и актуализация</w:t>
      </w:r>
    </w:p>
    <w:p>
      <w:pPr>
        <w:pStyle w:val="Compact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Документ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изменении требований заказчика, инцидентах, изменении инфраструктуры.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widowControl/>
        <w:numPr>
          <w:ilvl w:val="0"/>
          <w:numId w:val="2"/>
        </w:numPr>
        <w:bidi w:val="0"/>
        <w:jc w:val="left"/>
        <w:rPr>
          <w:rFonts w:ascii="Arial" w:hAnsi="Arial"/>
        </w:rPr>
      </w:pPr>
      <w:bookmarkStart w:id="11" w:name="X03b8414e910b7386f5e397605b50c72cd40e851"/>
      <w:r>
        <w:rPr>
          <w:rFonts w:ascii="Arial" w:hAnsi="Arial"/>
        </w:rPr>
        <w:t>При изменении документа участники проекта повторно ознакамливаются под роспись в течение 10 рабочих дней.</w:t>
      </w:r>
      <w:bookmarkEnd w:id="11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3"/>
        <w:gridCol w:w="2571"/>
        <w:gridCol w:w="2676"/>
        <w:gridCol w:w="1635"/>
        <w:gridCol w:w="1655"/>
      </w:tblGrid>
      <w:tr>
        <w:trPr>
          <w:tblHeader w:val="true"/>
        </w:trPr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12" w:name="лист-ознакомления_Копия_1"/>
            <w:bookmarkStart w:id="13" w:name="лист-ознакомления_Копия_1"/>
            <w:bookmarkEnd w:id="13"/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Mang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9">
    <w:name w:val="Содержимое врезки"/>
    <w:basedOn w:val="Normal"/>
    <w:qFormat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Style10">
    <w:name w:val="Фигура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Содержимое списка"/>
    <w:basedOn w:val="Normal"/>
    <w:qFormat/>
    <w:pPr>
      <w:ind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LibreOffice/25.8.7.3$Windows_X86_64 LibreOffice_project/30742500f2d3eb4366ac312fa33d3dcabdb3eba5</Application>
  <AppVersion>15.0000</AppVersion>
  <Pages>7</Pages>
  <Words>970</Words>
  <Characters>7191</Characters>
  <CharactersWithSpaces>7977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2026-06-24T07:52:05Z</dcterms:created>
  <dc:creator/>
  <dc:description/>
  <dc:language>ru-RU</dc:language>
  <cp:lastModifiedBy/>
  <dcterms:modified xsi:type="dcterms:W3CDTF">2026-06-24T12:56:41Z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