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/>
        </w:rPr>
      </w:pPr>
      <w:r>
        <w:rPr>
          <w:rFonts w:eastAsia="Times New Roman" w:cs="Times New Roman" w:ascii="Arial" w:hAnsi="Arial"/>
          <w:sz w:val="28"/>
          <w:szCs w:val="28"/>
          <w:lang w:val="ru-RU"/>
        </w:rPr>
        <w:t>ОБЩЕСТВО С ОГРАНИЧЕННОЙ ОТВЕТСТВЕННОСТЬЮ</w:t>
      </w:r>
    </w:p>
    <w:p>
      <w:pPr>
        <w:pStyle w:val="Normal"/>
        <w:spacing w:before="0" w:after="0"/>
        <w:jc w:val="center"/>
        <w:rPr>
          <w:rFonts w:ascii="Arial" w:hAnsi="Arial"/>
        </w:rPr>
      </w:pPr>
      <w:r>
        <w:rPr>
          <w:rFonts w:eastAsia="Times New Roman" w:cs="Times New Roman" w:ascii="Arial" w:hAnsi="Arial"/>
          <w:sz w:val="28"/>
          <w:szCs w:val="28"/>
          <w:lang w:val="ru-RU"/>
        </w:rPr>
        <w:t>“</w:t>
      </w:r>
      <w:r>
        <w:rPr>
          <w:rFonts w:eastAsia="Times New Roman" w:cs="Times New Roman" w:ascii="Arial" w:hAnsi="Arial"/>
          <w:sz w:val="28"/>
          <w:szCs w:val="28"/>
          <w:lang w:val="ru-RU"/>
        </w:rPr>
        <w:t>ГС РИТЕЙЛ”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eastAsia="Times New Roman" w:cs="Times New Roman"/>
          <w:lang w:val="ru-RU"/>
        </w:rPr>
      </w:pPr>
      <w:r>
        <w:rPr>
          <w:rFonts w:eastAsia="Times New Roman" w:cs="Times New Roman" w:ascii="Arial" w:hAnsi="Arial"/>
          <w:lang w:val="ru-RU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6BB750F4">
                <wp:simplePos x="0" y="0"/>
                <wp:positionH relativeFrom="column">
                  <wp:posOffset>66675</wp:posOffset>
                </wp:positionH>
                <wp:positionV relativeFrom="paragraph">
                  <wp:posOffset>367665</wp:posOffset>
                </wp:positionV>
                <wp:extent cx="3009900" cy="1826260"/>
                <wp:effectExtent l="0" t="0" r="0" b="0"/>
                <wp:wrapNone/>
                <wp:docPr id="1" name="Надпись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60" cy="182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9"/>
                              <w:spacing w:lineRule="auto" w:line="281" w:before="0" w:after="120"/>
                              <w:ind w:right="-4239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РАЗРАБОТАНО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Технический д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иректор ООО “ГС Ритейл”  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А.В. Пономарев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tIns="91440" bIns="9144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.25pt;margin-top:28.95pt;width:236.95pt;height:143.75pt;mso-wrap-style:square;v-text-anchor:top" wp14:anchorId="6BB750F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9"/>
                        <w:spacing w:lineRule="auto" w:line="281" w:before="0" w:after="120"/>
                        <w:ind w:right="-4239"/>
                        <w:rPr>
                          <w:lang w:val="ru-RU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РАЗРАБОТАНО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Технический д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иректор ООО “ГС Ритейл”  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А.В. Пономарев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 wp14:anchorId="6DB23110">
                <wp:simplePos x="0" y="0"/>
                <wp:positionH relativeFrom="column">
                  <wp:posOffset>3181350</wp:posOffset>
                </wp:positionH>
                <wp:positionV relativeFrom="paragraph">
                  <wp:posOffset>325755</wp:posOffset>
                </wp:positionV>
                <wp:extent cx="3009900" cy="1791970"/>
                <wp:effectExtent l="0" t="0" r="0" b="0"/>
                <wp:wrapNone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60" cy="179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9"/>
                              <w:spacing w:lineRule="auto" w:line="281" w:before="0" w:after="120"/>
                              <w:ind w:right="-4239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УТВЕРЖДАЮ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Директор ООО “ГС Ритейл” 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 Г.В.Есис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tIns="91440" bIns="9144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0.5pt;margin-top:25.65pt;width:236.95pt;height:141.05pt;mso-wrap-style:square;v-text-anchor:top" wp14:anchorId="6DB2311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9"/>
                        <w:spacing w:lineRule="auto" w:line="281" w:before="0" w:after="120"/>
                        <w:ind w:right="-4239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УТВЕРЖДАЮ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Директор ООО “ГС Ритейл” 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 Г.В.Есис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jc w:val="center"/>
        <w:rPr>
          <w:rFonts w:ascii="Arial" w:hAnsi="Arial"/>
        </w:rPr>
      </w:pPr>
      <w:r>
        <w:rPr>
          <w:rFonts w:ascii="Arial" w:hAnsi="Arial"/>
        </w:rPr>
        <w:t>Регламент управления уязвимостями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79"/>
        <w:gridCol w:w="4681"/>
      </w:tblGrid>
      <w:tr>
        <w:trPr/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Организация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ООО «ГС Ритейл»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Проект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 на базе искусственного интеллекта для банковских процессов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Договор с заказчиком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№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14-03/2026 (ОАО «АСБ Беларусбанк»)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Разработал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Технический директор — Пономарев Андрей Викторович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Утвердил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Директор — Есис Геннадий Владимирович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bookmarkStart w:id="0" w:name="контекст-и-назначение"/>
      <w:r>
        <w:rPr>
          <w:rFonts w:ascii="Arial" w:hAnsi="Arial"/>
        </w:rPr>
        <w:t>1.</w:t>
      </w:r>
      <w:r>
        <w:rPr>
          <w:rFonts w:ascii="Arial" w:hAnsi="Arial"/>
          <w:lang w:val="ru-RU"/>
        </w:rPr>
        <w:t xml:space="preserve"> Общее описание </w:t>
      </w:r>
      <w:r>
        <w:rPr>
          <w:rFonts w:ascii="Arial" w:hAnsi="Arial"/>
        </w:rPr>
        <w:t>и назначение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 xml:space="preserve">1.1. </w:t>
      </w:r>
      <w:r>
        <w:rPr>
          <w:rFonts w:ascii="Arial" w:hAnsi="Arial"/>
          <w:lang w:val="ru-RU"/>
        </w:rPr>
        <w:t>Общее описание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Уязвимости в программном обеспечении и конфигурациях — один из основных векторов атак. При разработке проекта «ПО на базе искусственного интеллекта для банковских процессов» организация использует серверы, рабочие станции, зависимости open-source, CI/CD и сетевое оборудование. </w:t>
      </w:r>
    </w:p>
    <w:p>
      <w:pPr>
        <w:pStyle w:val="BodyText"/>
        <w:rPr>
          <w:rFonts w:ascii="Arial" w:hAnsi="Arial"/>
        </w:rPr>
      </w:pPr>
      <w:bookmarkStart w:id="1" w:name="контекст"/>
      <w:r>
        <w:rPr>
          <w:rFonts w:ascii="Arial" w:hAnsi="Arial"/>
        </w:rPr>
        <w:t>Настоящий регламент устанавливает порядок выявления, оценки, устранения и учёта уязвимостей в информационных активах ООО «ГС Ритейл».</w:t>
      </w:r>
      <w:bookmarkEnd w:id="1"/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1.2. Назначение</w:t>
      </w:r>
    </w:p>
    <w:p>
      <w:pPr>
        <w:pStyle w:val="FirstParagraph"/>
        <w:rPr>
          <w:rFonts w:ascii="Arial" w:hAnsi="Arial"/>
        </w:rPr>
      </w:pPr>
      <w:bookmarkStart w:id="2" w:name="назначение"/>
      <w:r>
        <w:rPr>
          <w:rFonts w:ascii="Arial" w:hAnsi="Arial"/>
        </w:rPr>
        <w:t>Обеспечить своевременное обнаружение и устранение уязвимостей, снижение окна эксплуатации известных дефектов безопасности.</w:t>
      </w:r>
      <w:bookmarkEnd w:id="2"/>
    </w:p>
    <w:p>
      <w:pPr>
        <w:pStyle w:val="Heading3"/>
        <w:rPr>
          <w:rFonts w:ascii="Arial" w:hAnsi="Arial"/>
        </w:rPr>
      </w:pPr>
      <w:bookmarkStart w:id="3" w:name="область-действия"/>
      <w:r>
        <w:rPr>
          <w:rFonts w:ascii="Arial" w:hAnsi="Arial"/>
        </w:rPr>
        <w:t>1.3. Область действия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Серверы, рабочие станции, сетевые устройства, ОС, СУБД, прикладное ПО и зависимости разработки, используемые при выполнении</w:t>
      </w:r>
      <w:r>
        <w:rPr>
          <w:rFonts w:ascii="Arial" w:hAnsi="Arial"/>
          <w:lang w:val="ru-RU"/>
        </w:rPr>
        <w:t xml:space="preserve"> Договора</w:t>
      </w:r>
      <w:r>
        <w:rPr>
          <w:rFonts w:ascii="Arial" w:hAnsi="Arial"/>
        </w:rPr>
        <w:t>.</w:t>
      </w:r>
      <w:bookmarkEnd w:id="0"/>
      <w:bookmarkEnd w:id="3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2. Глоссарий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Термины используются в значениях, согласованных с политикой информационной безопасности. Ниже — общие и специальные термины настоящего документа.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566"/>
        <w:gridCol w:w="5794"/>
      </w:tblGrid>
      <w:tr>
        <w:trPr>
          <w:tblHeader w:val="true"/>
        </w:trPr>
        <w:tc>
          <w:tcPr>
            <w:tcW w:w="3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Термин</w:t>
            </w:r>
          </w:p>
        </w:tc>
        <w:tc>
          <w:tcPr>
            <w:tcW w:w="5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Определение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ИБ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Информационная безопасность — защищённость информации (конфиденциальность, целостность, доступность).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Технический директор — Пономарев Андрей Викторович; ответственный за реализацию мер ИБ.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Сотрудник, выполняющий техническое администрирование (Пономарев А.В. или уполномоченный инженер).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Руководитель проекта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 — координация команды проекта «{PROJECT}».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Лицо, ответственное за кадровое администрирование (приём, перевод, увольнение).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Конфиденциальная информация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Сведения заказчика и организации, доступ к которым ограничен (договор, ТЗ, доступы, данные банка).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Уязвимость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Недостаток в программном или аппаратном обеспечении, конфигурации или процессе, который может быть использован для нарушения ИБ.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CVE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Идентификатор общедоступной уязвимости в базе MITRE/NVD.</w:t>
            </w:r>
          </w:p>
        </w:tc>
      </w:tr>
      <w:tr>
        <w:trPr/>
        <w:tc>
          <w:tcPr>
            <w:tcW w:w="3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CVSS</w:t>
            </w:r>
          </w:p>
        </w:tc>
        <w:tc>
          <w:tcPr>
            <w:tcW w:w="5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Шкала оценки критичности уязвимости (0–10).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Патч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Обновление, устраняющее уязвимость.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Pentest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Тестирование на проникновение — имитация атаки для выявления слабых мест.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Журнал уязвимостей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Реестр выявленных уязвимостей со статусами и сроками устранения.</w:t>
            </w:r>
            <w:bookmarkStart w:id="4" w:name="глоссарий"/>
            <w:bookmarkEnd w:id="4"/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3. Цели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Регламент направлен на то, чтобы уязвимости </w:t>
      </w:r>
      <w:r>
        <w:rPr>
          <w:rFonts w:ascii="Arial" w:hAnsi="Arial"/>
          <w:b/>
          <w:bCs/>
        </w:rPr>
        <w:t>не оставались незамеченными</w:t>
      </w:r>
      <w:r>
        <w:rPr>
          <w:rFonts w:ascii="Arial" w:hAnsi="Arial"/>
        </w:rPr>
        <w:t xml:space="preserve"> и </w:t>
      </w:r>
      <w:r>
        <w:rPr>
          <w:rFonts w:ascii="Arial" w:hAnsi="Arial"/>
          <w:b/>
          <w:bCs/>
        </w:rPr>
        <w:t>устранялись в согласованные сроки</w:t>
      </w:r>
      <w:r>
        <w:rPr>
          <w:rFonts w:ascii="Arial" w:hAnsi="Arial"/>
        </w:rPr>
        <w:t xml:space="preserve"> в зависимости от критичности. 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4. Задачи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876"/>
        <w:gridCol w:w="2339"/>
        <w:gridCol w:w="4388"/>
        <w:gridCol w:w="1757"/>
      </w:tblGrid>
      <w:tr>
        <w:trPr>
          <w:tblHeader w:val="true"/>
        </w:trPr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Задача</w:t>
            </w:r>
          </w:p>
        </w:tc>
        <w:tc>
          <w:tcPr>
            <w:tcW w:w="4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Ответственный</w:t>
            </w:r>
          </w:p>
        </w:tc>
        <w:tc>
          <w:tcPr>
            <w:tcW w:w="1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Срок</w:t>
            </w:r>
          </w:p>
        </w:tc>
      </w:tr>
      <w:tr>
        <w:trPr/>
        <w:tc>
          <w:tcPr>
            <w:tcW w:w="8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Вести реестр активов и версий ПО</w:t>
            </w:r>
          </w:p>
        </w:tc>
        <w:tc>
          <w:tcPr>
            <w:tcW w:w="43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Ежемесячно</w:t>
            </w:r>
          </w:p>
        </w:tc>
      </w:tr>
      <w:tr>
        <w:trPr/>
        <w:tc>
          <w:tcPr>
            <w:tcW w:w="8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Мониторить CVE и бюллетени вендоров</w:t>
            </w:r>
          </w:p>
        </w:tc>
        <w:tc>
          <w:tcPr>
            <w:tcW w:w="43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Инженеры / администратор ИТ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Еженедельно</w:t>
            </w:r>
          </w:p>
        </w:tc>
      </w:tr>
      <w:tr>
        <w:trPr/>
        <w:tc>
          <w:tcPr>
            <w:tcW w:w="8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Проводить сканирование уязвимостей</w:t>
            </w:r>
          </w:p>
        </w:tc>
        <w:tc>
          <w:tcPr>
            <w:tcW w:w="43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Ежеквартально</w:t>
            </w:r>
          </w:p>
        </w:tc>
      </w:tr>
      <w:tr>
        <w:trPr/>
        <w:tc>
          <w:tcPr>
            <w:tcW w:w="8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Устранять уязвимости в установленные SLA</w:t>
            </w:r>
          </w:p>
        </w:tc>
        <w:tc>
          <w:tcPr>
            <w:tcW w:w="43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Назначенный исполнитель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 CVSS</w:t>
            </w:r>
          </w:p>
        </w:tc>
      </w:tr>
      <w:tr>
        <w:trPr/>
        <w:tc>
          <w:tcPr>
            <w:tcW w:w="8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Проводить pentest</w:t>
            </w:r>
          </w:p>
        </w:tc>
        <w:tc>
          <w:tcPr>
            <w:tcW w:w="43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≥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 раз в год</w:t>
            </w:r>
            <w:bookmarkStart w:id="5" w:name="задачи"/>
            <w:bookmarkEnd w:id="5"/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5. Роли, права и ответственность</w:t>
      </w:r>
    </w:p>
    <w:tbl>
      <w:tblPr>
        <w:tblStyle w:val="Table"/>
        <w:tblW w:w="97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603"/>
        <w:gridCol w:w="2377"/>
        <w:gridCol w:w="4776"/>
      </w:tblGrid>
      <w:tr>
        <w:trPr>
          <w:tblHeader w:val="true"/>
        </w:trPr>
        <w:tc>
          <w:tcPr>
            <w:tcW w:w="2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Роль</w:t>
            </w:r>
          </w:p>
        </w:tc>
        <w:tc>
          <w:tcPr>
            <w:tcW w:w="2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ФИО</w:t>
            </w:r>
          </w:p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Обязанности в рамках настоящего документа</w:t>
            </w:r>
          </w:p>
        </w:tc>
      </w:tr>
      <w:tr>
        <w:trPr/>
        <w:tc>
          <w:tcPr>
            <w:tcW w:w="260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Директор</w:t>
            </w:r>
          </w:p>
        </w:tc>
        <w:tc>
          <w:tcPr>
            <w:tcW w:w="23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Есис Геннадий Владимирович</w:t>
            </w:r>
          </w:p>
        </w:tc>
        <w:tc>
          <w:tcPr>
            <w:tcW w:w="4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Утверждает документы; выделяет ресурсы; общая ответственность за ИБ.</w:t>
            </w:r>
          </w:p>
        </w:tc>
      </w:tr>
      <w:tr>
        <w:trPr/>
        <w:tc>
          <w:tcPr>
            <w:tcW w:w="260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Технический директор / Координатор ИБ</w:t>
            </w:r>
          </w:p>
        </w:tc>
        <w:tc>
          <w:tcPr>
            <w:tcW w:w="23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Андрей Викторович</w:t>
            </w:r>
          </w:p>
        </w:tc>
        <w:tc>
          <w:tcPr>
            <w:tcW w:w="4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Разработка регламентов; координация мер ИБ; согласование критичных доступов; обучение.</w:t>
            </w:r>
          </w:p>
        </w:tc>
      </w:tr>
      <w:tr>
        <w:trPr/>
        <w:tc>
          <w:tcPr>
            <w:tcW w:w="260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Руководитель проекта</w:t>
            </w:r>
          </w:p>
        </w:tc>
        <w:tc>
          <w:tcPr>
            <w:tcW w:w="23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</w:t>
            </w:r>
          </w:p>
        </w:tc>
        <w:tc>
          <w:tcPr>
            <w:tcW w:w="4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Контроль соблюдения регламентов командой; инициирование заявок; связь с заказчиком по операционным вопросам.</w:t>
            </w:r>
          </w:p>
        </w:tc>
      </w:tr>
      <w:tr>
        <w:trPr/>
        <w:tc>
          <w:tcPr>
            <w:tcW w:w="2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2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i/>
                <w:iCs/>
                <w:kern w:val="0"/>
                <w:sz w:val="24"/>
                <w:szCs w:val="24"/>
                <w:lang w:val="en-US" w:eastAsia="zh-CN" w:bidi="ar-SA"/>
              </w:rPr>
              <w:t>назначается приказом директора</w:t>
            </w:r>
          </w:p>
        </w:tc>
        <w:tc>
          <w:tcPr>
            <w:tcW w:w="4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Кадровые события; служебные записки для открытия/закрытия доступов.</w:t>
            </w:r>
          </w:p>
        </w:tc>
      </w:tr>
      <w:tr>
        <w:trPr/>
        <w:tc>
          <w:tcPr>
            <w:tcW w:w="260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23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А.В. / уполномоченный инженер</w:t>
            </w:r>
          </w:p>
        </w:tc>
        <w:tc>
          <w:tcPr>
            <w:tcW w:w="4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Техническая реализация мер: УЗ, сеть, AV, резервные копии, патчи.</w:t>
            </w:r>
          </w:p>
        </w:tc>
      </w:tr>
      <w:tr>
        <w:trPr/>
        <w:tc>
          <w:tcPr>
            <w:tcW w:w="260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3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Кисель А.П., Краснов Н.А., Кабин М.В.</w:t>
            </w:r>
          </w:p>
        </w:tc>
        <w:tc>
          <w:tcPr>
            <w:tcW w:w="4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Соблюдение регламентов; сообщение об инцидентах и уязвимостях.</w:t>
            </w:r>
          </w:p>
        </w:tc>
      </w:tr>
      <w:tr>
        <w:trPr/>
        <w:tc>
          <w:tcPr>
            <w:tcW w:w="260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Специалист по тестированию ПО</w:t>
            </w:r>
          </w:p>
        </w:tc>
        <w:tc>
          <w:tcPr>
            <w:tcW w:w="23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Захарчук А.Д.</w:t>
            </w:r>
          </w:p>
        </w:tc>
        <w:tc>
          <w:tcPr>
            <w:tcW w:w="47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Соблюдение регламентов; безопасное использование тестовых сред.</w:t>
            </w:r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6. Процесс управления уязвимостями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Управление уязвимостями — непрерывный цикл: </w:t>
      </w:r>
      <w:r>
        <w:rPr>
          <w:rFonts w:ascii="Arial" w:hAnsi="Arial"/>
          <w:b/>
          <w:bCs/>
        </w:rPr>
        <w:t>инвентаризация → мониторинг → оценка → устранение → верификация → учёт</w:t>
      </w:r>
      <w:r>
        <w:rPr>
          <w:rFonts w:ascii="Arial" w:hAnsi="Arial"/>
        </w:rPr>
        <w:t>. Координатор ИБ отвечает за организацию процесса; администратор ИТ — за техническую реализацию.</w:t>
      </w:r>
    </w:p>
    <w:p>
      <w:pPr>
        <w:pStyle w:val="Heading3"/>
        <w:rPr>
          <w:rFonts w:ascii="Arial" w:hAnsi="Arial"/>
        </w:rPr>
      </w:pPr>
      <w:bookmarkStart w:id="6" w:name="инвентаризация-активов"/>
      <w:r>
        <w:rPr>
          <w:rFonts w:ascii="Arial" w:hAnsi="Arial"/>
        </w:rPr>
        <w:t>6.1. Инвентаризация активов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Администратор ИТ не реже </w:t>
      </w:r>
      <w:r>
        <w:rPr>
          <w:rFonts w:ascii="Arial" w:hAnsi="Arial"/>
          <w:b/>
          <w:bCs/>
        </w:rPr>
        <w:t>одного раза в месяц</w:t>
      </w:r>
      <w:r>
        <w:rPr>
          <w:rFonts w:ascii="Arial" w:hAnsi="Arial"/>
        </w:rPr>
        <w:t xml:space="preserve"> актуализирует реестр активов: серверы, рабочие станции, версии ОС, прикладного ПО, контейнеров и ключевых зависимостей проекта. Реестр хранится в согласованном каталоге и является основой для сканирования.</w:t>
      </w:r>
      <w:bookmarkEnd w:id="6"/>
    </w:p>
    <w:p>
      <w:pPr>
        <w:pStyle w:val="Heading3"/>
        <w:rPr>
          <w:rFonts w:ascii="Arial" w:hAnsi="Arial"/>
        </w:rPr>
      </w:pPr>
      <w:bookmarkStart w:id="7" w:name="мониторинг-источников"/>
      <w:r>
        <w:rPr>
          <w:rFonts w:ascii="Arial" w:hAnsi="Arial"/>
        </w:rPr>
        <w:t>6.2. Мониторинг источников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Инженеры-разработчики и администратор ИТ не реже </w:t>
      </w:r>
      <w:r>
        <w:rPr>
          <w:rFonts w:ascii="Arial" w:hAnsi="Arial"/>
          <w:b/>
          <w:bCs/>
        </w:rPr>
        <w:t>одного раза в неделю</w:t>
      </w:r>
      <w:r>
        <w:rPr>
          <w:rFonts w:ascii="Arial" w:hAnsi="Arial"/>
        </w:rPr>
        <w:t xml:space="preserve"> просматривают бюллетени безопасности используемых продуктов (ОС, Git, CI, библиотеки). Выявленные релевантные CVE передаются координатору ИБ для оценки применимости.</w:t>
      </w:r>
      <w:bookmarkEnd w:id="7"/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6.3. Сканирование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375"/>
        <w:gridCol w:w="2100"/>
        <w:gridCol w:w="2544"/>
        <w:gridCol w:w="2341"/>
      </w:tblGrid>
      <w:tr>
        <w:trPr>
          <w:tblHeader w:val="true"/>
        </w:trPr>
        <w:tc>
          <w:tcPr>
            <w:tcW w:w="2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Вид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Периодичность</w:t>
            </w:r>
          </w:p>
        </w:tc>
        <w:tc>
          <w:tcPr>
            <w:tcW w:w="2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Исполнитель</w:t>
            </w:r>
          </w:p>
        </w:tc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Результат</w:t>
            </w:r>
          </w:p>
        </w:tc>
      </w:tr>
      <w:tr>
        <w:trPr/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Внутреннее сканирование (автоматизированное или ручное)</w:t>
            </w:r>
          </w:p>
        </w:tc>
        <w:tc>
          <w:tcPr>
            <w:tcW w:w="21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Ежеквартально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23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Отчёт с перечнем уязвимостей</w:t>
            </w:r>
          </w:p>
        </w:tc>
      </w:tr>
      <w:tr>
        <w:trPr/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Сканирование зависимостей (SCA) в репозитории</w:t>
            </w:r>
          </w:p>
        </w:tc>
        <w:tc>
          <w:tcPr>
            <w:tcW w:w="21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При каждом релизе / еженедельно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Инженеры</w:t>
            </w:r>
          </w:p>
        </w:tc>
        <w:tc>
          <w:tcPr>
            <w:tcW w:w="234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Список уязвимых пакетов</w:t>
            </w:r>
            <w:bookmarkStart w:id="8" w:name="сканирование"/>
            <w:bookmarkEnd w:id="8"/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6.4. Сроки устранения (SLA)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900"/>
        <w:gridCol w:w="3313"/>
        <w:gridCol w:w="2147"/>
      </w:tblGrid>
      <w:tr>
        <w:trPr>
          <w:tblHeader w:val="true"/>
        </w:trPr>
        <w:tc>
          <w:tcPr>
            <w:tcW w:w="3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Критичность (CVSS)</w:t>
            </w:r>
          </w:p>
        </w:tc>
        <w:tc>
          <w:tcPr>
            <w:tcW w:w="3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Срок устранения</w:t>
            </w:r>
          </w:p>
        </w:tc>
        <w:tc>
          <w:tcPr>
            <w:tcW w:w="2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Эскалация</w:t>
            </w:r>
          </w:p>
        </w:tc>
      </w:tr>
      <w:tr>
        <w:trPr/>
        <w:tc>
          <w:tcPr>
            <w:tcW w:w="39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Критичная (9.0–10.0)</w:t>
            </w:r>
          </w:p>
        </w:tc>
        <w:tc>
          <w:tcPr>
            <w:tcW w:w="33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30 календарных дней</w:t>
            </w:r>
          </w:p>
        </w:tc>
        <w:tc>
          <w:tcPr>
            <w:tcW w:w="21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 → директор</w:t>
            </w:r>
          </w:p>
        </w:tc>
      </w:tr>
      <w:tr>
        <w:trPr/>
        <w:tc>
          <w:tcPr>
            <w:tcW w:w="39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Высокая (7.0–8.9)</w:t>
            </w:r>
          </w:p>
        </w:tc>
        <w:tc>
          <w:tcPr>
            <w:tcW w:w="33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90 календарных дней</w:t>
            </w:r>
          </w:p>
        </w:tc>
        <w:tc>
          <w:tcPr>
            <w:tcW w:w="21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</w:tr>
      <w:tr>
        <w:trPr/>
        <w:tc>
          <w:tcPr>
            <w:tcW w:w="39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Средняя / низкая</w:t>
            </w:r>
          </w:p>
        </w:tc>
        <w:tc>
          <w:tcPr>
            <w:tcW w:w="33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 плану работ или risk acceptance</w:t>
            </w:r>
          </w:p>
        </w:tc>
        <w:tc>
          <w:tcPr>
            <w:tcW w:w="21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</w:tr>
    </w:tbl>
    <w:p>
      <w:pPr>
        <w:pStyle w:val="BodyText"/>
        <w:rPr>
          <w:rFonts w:ascii="Arial" w:hAnsi="Arial"/>
        </w:rPr>
      </w:pPr>
      <w:r>
        <w:rPr>
          <w:rFonts w:ascii="Arial" w:hAnsi="Arial"/>
        </w:rPr>
        <w:t>Исключения (принятие риска) оформляются письменно координатором ИБ с указанием обоснования и даты пересмотра.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6.5. Журнал уязвимостей</w:t>
      </w:r>
    </w:p>
    <w:p>
      <w:pPr>
        <w:pStyle w:val="FirstParagraph"/>
        <w:rPr>
          <w:rFonts w:ascii="Arial" w:hAnsi="Arial"/>
        </w:rPr>
      </w:pPr>
      <w:bookmarkStart w:id="9" w:name="журнал-уязвимостей"/>
      <w:r>
        <w:rPr>
          <w:rFonts w:ascii="Arial" w:hAnsi="Arial"/>
        </w:rPr>
        <w:t>Каждая выявленная уязвимость регистрируется: ID, дата, актив, CVE/описание, CVSS, статус, срок, исполнитель, дата закрытия.</w:t>
      </w:r>
      <w:bookmarkEnd w:id="9"/>
    </w:p>
    <w:p>
      <w:pPr>
        <w:pStyle w:val="Heading2"/>
        <w:rPr>
          <w:rFonts w:ascii="Arial" w:hAnsi="Arial"/>
        </w:rPr>
      </w:pPr>
      <w:bookmarkStart w:id="10" w:name="тестирование-на-проникновение-pentest"/>
      <w:r>
        <w:rPr>
          <w:rFonts w:ascii="Arial" w:hAnsi="Arial"/>
        </w:rPr>
        <w:t>7. Тестирование на проникновение (pentest)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Не реже </w:t>
      </w:r>
      <w:r>
        <w:rPr>
          <w:rFonts w:ascii="Arial" w:hAnsi="Arial"/>
          <w:b/>
          <w:bCs/>
        </w:rPr>
        <w:t>одного раза в год</w:t>
      </w:r>
      <w:r>
        <w:rPr>
          <w:rFonts w:ascii="Arial" w:hAnsi="Arial"/>
        </w:rPr>
        <w:t xml:space="preserve"> координатор ИБ организует тестирование на проникновение (внутреннее или с привлечением внешней организации). Объект — периметр и ключевые сервисы, связанные с проектом. Отчёт хранится </w:t>
      </w:r>
      <w:r>
        <w:rPr>
          <w:rFonts w:ascii="Arial" w:hAnsi="Arial"/>
          <w:b/>
          <w:bCs/>
        </w:rPr>
        <w:t>3 года</w:t>
      </w:r>
      <w:r>
        <w:rPr>
          <w:rFonts w:ascii="Arial" w:hAnsi="Arial"/>
        </w:rPr>
        <w:t>. Выявленные уязвимости включаются в журнал и устраняются по SLA.</w:t>
      </w:r>
      <w:bookmarkEnd w:id="10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Связанные документы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4"/>
        <w:gridCol w:w="5106"/>
      </w:tblGrid>
      <w:tr>
        <w:trPr>
          <w:tblHeader w:val="true"/>
        </w:trPr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Документ</w:t>
            </w:r>
          </w:p>
        </w:tc>
        <w:tc>
          <w:tcPr>
            <w:tcW w:w="5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Назначение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Политика информационной безопасности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Единая политика ИБ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Регламент реагирования на инциденты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Реагирование на инциденты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Регламент управления уязвимостями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Управление уязвимостями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Регламент защиты электронной почты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Защита электронной почты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Политика контроля конфиденциальной информации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Контроль конфиденциальной информации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План обучения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Обучение ИБ</w:t>
            </w:r>
            <w:bookmarkStart w:id="11" w:name="связанные-документы_Копия_1"/>
            <w:bookmarkEnd w:id="11"/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Пересмотр и актуализация</w:t>
      </w:r>
    </w:p>
    <w:p>
      <w:pPr>
        <w:pStyle w:val="Compact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 xml:space="preserve">Документ пересматривается </w:t>
      </w:r>
      <w:r>
        <w:rPr>
          <w:rFonts w:ascii="Arial" w:hAnsi="Arial"/>
          <w:b/>
          <w:bCs/>
        </w:rPr>
        <w:t>не реже одного раза в 12 месяцев</w:t>
      </w:r>
      <w:r>
        <w:rPr>
          <w:rFonts w:ascii="Arial" w:hAnsi="Arial"/>
        </w:rPr>
        <w:t xml:space="preserve"> или при изменении требований заказчика, инцидентах, изменении инфраструктуры.</w:t>
      </w:r>
    </w:p>
    <w:p>
      <w:pPr>
        <w:pStyle w:val="Compact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Инициатор пересмотра — координатор ИБ; утверждение — директор.</w:t>
      </w:r>
    </w:p>
    <w:p>
      <w:pPr>
        <w:pStyle w:val="Compact"/>
        <w:widowControl/>
        <w:numPr>
          <w:ilvl w:val="0"/>
          <w:numId w:val="2"/>
        </w:numPr>
        <w:bidi w:val="0"/>
        <w:jc w:val="left"/>
        <w:rPr>
          <w:rFonts w:ascii="Arial" w:hAnsi="Arial"/>
        </w:rPr>
      </w:pPr>
      <w:bookmarkStart w:id="12" w:name="X03b8414e910b7386f5e397605b50c72cd40e851"/>
      <w:r>
        <w:rPr>
          <w:rFonts w:ascii="Arial" w:hAnsi="Arial"/>
        </w:rPr>
        <w:t>При изменении документа участники проекта повторно ознакамливаются под роспись в течение 10 рабочих дней.</w:t>
      </w:r>
      <w:bookmarkEnd w:id="12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Лист ознакомления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Сотрудники ООО «ГС Ритейл», задействованные на проекте </w:t>
      </w:r>
      <w:r>
        <w:rPr>
          <w:rFonts w:ascii="Arial" w:hAnsi="Arial"/>
          <w:b/>
          <w:bCs/>
        </w:rPr>
        <w:t>«ПО на базе искусственного интеллекта для банковских процессов»</w:t>
      </w:r>
      <w:r>
        <w:rPr>
          <w:rFonts w:ascii="Arial" w:hAnsi="Arial"/>
        </w:rPr>
        <w:t xml:space="preserve"> (договор № 14-03/2026), ознакомлены с настоящим документом: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823"/>
        <w:gridCol w:w="2571"/>
        <w:gridCol w:w="2676"/>
        <w:gridCol w:w="1635"/>
        <w:gridCol w:w="1655"/>
      </w:tblGrid>
      <w:tr>
        <w:trPr>
          <w:tblHeader w:val="true"/>
        </w:trPr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2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Должность</w:t>
            </w: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ФИО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Подпись</w:t>
            </w:r>
          </w:p>
        </w:tc>
        <w:tc>
          <w:tcPr>
            <w:tcW w:w="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Дата</w:t>
            </w:r>
          </w:p>
        </w:tc>
      </w:tr>
      <w:tr>
        <w:trPr/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Кисель Андрей Петрович</w:t>
            </w:r>
          </w:p>
        </w:tc>
        <w:tc>
          <w:tcPr>
            <w:tcW w:w="1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Краснов Никита Альбертович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Бизнес-аналитик / руководитель проекта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Специалист по тестированию ПО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Захарчук Артемий Дмитриевич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Кабин Максим Витальевич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  <w:bookmarkStart w:id="13" w:name="лист-ознакомления"/>
            <w:bookmarkStart w:id="14" w:name="лист-ознакомления"/>
            <w:bookmarkEnd w:id="14"/>
          </w:p>
        </w:tc>
      </w:tr>
    </w:tbl>
    <w:p>
      <w:pPr>
        <w:pStyle w:val="Normal"/>
        <w:spacing w:before="0" w:after="200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user">
    <w:name w:val="Символ сноски (user)"/>
    <w:basedOn w:val="BodyTextChar"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yle6">
    <w:name w:val="Символ концевой сноски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Mang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Mang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user3" w:customStyle="1">
    <w:name w:val="Фигура (user)"/>
    <w:basedOn w:val="Normal"/>
    <w:qFormat/>
    <w:pPr/>
    <w:rPr/>
  </w:style>
  <w:style w:type="paragraph" w:styleId="CaptionedFigure" w:customStyle="1">
    <w:name w:val="Captioned Figure"/>
    <w:basedOn w:val="user3"/>
    <w:qFormat/>
    <w:pPr>
      <w:keepNext w:val="true"/>
    </w:pPr>
    <w:rPr/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Style9">
    <w:name w:val="Содержимое врезки"/>
    <w:basedOn w:val="Normal"/>
    <w:qFormat/>
    <w:pPr/>
    <w:rPr/>
  </w:style>
  <w:style w:type="paragraph" w:styleId="user4">
    <w:name w:val="Содержимое врезки (user)"/>
    <w:basedOn w:val="Normal"/>
    <w:qFormat/>
    <w:pPr/>
    <w:rPr/>
  </w:style>
  <w:style w:type="paragraph" w:styleId="Style10">
    <w:name w:val="Фигура"/>
    <w:basedOn w:val="Normal"/>
    <w:qFormat/>
    <w:pPr/>
    <w:rPr/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Style13">
    <w:name w:val="Содержимое списка"/>
    <w:basedOn w:val="Normal"/>
    <w:qFormat/>
    <w:pPr>
      <w:ind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LibreOffice/25.8.7.3$Windows_X86_64 LibreOffice_project/30742500f2d3eb4366ac312fa33d3dcabdb3eba5</Application>
  <AppVersion>15.0000</AppVersion>
  <Pages>6</Pages>
  <Words>861</Words>
  <Characters>6327</Characters>
  <CharactersWithSpaces>7013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2026-06-24T07:52:05Z</dcterms:created>
  <dc:creator/>
  <dc:description/>
  <dc:language>ru-RU</dc:language>
  <cp:lastModifiedBy/>
  <dcterms:modified xsi:type="dcterms:W3CDTF">2026-06-24T12:57:53Z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договор">
    <vt:lpwstr>№ 14-03/2026</vt:lpwstr>
  </property>
  <property fmtid="{D5CDD505-2E9C-101B-9397-08002B2CF9AE}" pid="3" name="проект">
    <vt:lpwstr>ПО на базе искусственного интеллекта для банковских процессов</vt:lpwstr>
  </property>
  <property fmtid="{D5CDD505-2E9C-101B-9397-08002B2CF9AE}" pid="4" name="разработал">
    <vt:lpwstr>Пономарев Андрей Викторович, технический директор</vt:lpwstr>
  </property>
  <property fmtid="{D5CDD505-2E9C-101B-9397-08002B2CF9AE}" pid="5" name="утвердил">
    <vt:lpwstr>Есис Геннадий Владимирович, директор</vt:lpwstr>
  </property>
</Properties>
</file>