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исьмо-ответ-оао-асб-беларусбанк"/>
    <w:p>
      <w:pPr>
        <w:pStyle w:val="Heading1"/>
      </w:pPr>
      <w:r>
        <w:t xml:space="preserve">Письмо-ответ ОАО «АСБ Беларусбанк»</w:t>
      </w:r>
    </w:p>
    <w:p>
      <w:pPr>
        <w:pStyle w:val="FirstParagraph"/>
      </w:pPr>
      <w:r>
        <w:rPr>
          <w:b/>
          <w:bCs/>
        </w:rPr>
        <w:t xml:space="preserve">От:</w:t>
      </w:r>
      <w:r>
        <w:t xml:space="preserve"> </w:t>
      </w:r>
      <w:r>
        <w:t xml:space="preserve">ООО «ГС Ритейл» ·</w:t>
      </w:r>
      <w:r>
        <w:t xml:space="preserve"> </w:t>
      </w: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искусственного интеллекта для банковских процессов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2026-06-24</w:t>
      </w:r>
    </w:p>
    <w:p>
      <w:pPr>
        <w:pStyle w:val="BodyText"/>
      </w:pPr>
      <w:r>
        <w:rPr>
          <w:b/>
          <w:bCs/>
        </w:rPr>
        <w:t xml:space="preserve">Разработал</w:t>
      </w:r>
      <w:r>
        <w:t xml:space="preserve"> </w:t>
      </w:r>
      <w:r>
        <w:t xml:space="preserve">| Пономарев Андрей Викторович, технический директор |</w:t>
      </w:r>
      <w:r>
        <w:br/>
      </w:r>
      <w:r>
        <w:rPr>
          <w:b/>
          <w:bCs/>
        </w:rPr>
        <w:t xml:space="preserve">Утвердил</w:t>
      </w:r>
      <w:r>
        <w:t xml:space="preserve"> </w:t>
      </w:r>
      <w:r>
        <w:t xml:space="preserve">| Есис Геннадий Владимирович, директор |</w:t>
      </w:r>
    </w:p>
    <w:p>
      <w:pPr>
        <w:pStyle w:val="BodyText"/>
      </w:pPr>
      <w:r>
        <w:t xml:space="preserve">Уважаемые коллеги!</w:t>
      </w:r>
    </w:p>
    <w:p>
      <w:pPr>
        <w:pStyle w:val="BodyText"/>
      </w:pPr>
      <w:r>
        <w:t xml:space="preserve">По результатам оценки киберустойчивости (26,5 балла, оценка «неудовлетворительно») сообщаем о выполненных</w:t>
      </w:r>
      <w:r>
        <w:t xml:space="preserve"> </w:t>
      </w:r>
      <w:r>
        <w:rPr>
          <w:b/>
          <w:bCs/>
        </w:rPr>
        <w:t xml:space="preserve">мероприятиях</w:t>
      </w:r>
      <w:r>
        <w:t xml:space="preserve"> </w:t>
      </w:r>
      <w:r>
        <w:t xml:space="preserve">и направляем комплект подтверждающих документов для повторной оценки.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"/>
        <w:gridCol w:w="1896"/>
        <w:gridCol w:w="1673"/>
        <w:gridCol w:w="1338"/>
        <w:gridCol w:w="2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Замечание банка</w:t>
            </w:r>
          </w:p>
        </w:tc>
        <w:tc>
          <w:tcPr/>
          <w:p>
            <w:pPr>
              <w:pStyle w:val="Compact"/>
            </w:pPr>
            <w:r>
              <w:t xml:space="preserve">Принятые меры</w:t>
            </w:r>
          </w:p>
        </w:tc>
        <w:tc>
          <w:tcPr/>
          <w:p>
            <w:pPr>
              <w:pStyle w:val="Compac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t xml:space="preserve">Срок полной реализации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Отсутствие единой политики ИБ</w:t>
            </w:r>
          </w:p>
        </w:tc>
        <w:tc>
          <w:tcPr/>
          <w:p>
            <w:pPr>
              <w:pStyle w:val="Compact"/>
            </w:pPr>
            <w:r>
              <w:t xml:space="preserve">Разработана и утверждена политика ИБ v1.0; ознакомление команды проекта</w:t>
            </w:r>
          </w:p>
        </w:tc>
        <w:tc>
          <w:tcPr/>
          <w:p>
            <w:pPr>
              <w:pStyle w:val="Compact"/>
            </w:pPr>
            <w:r>
              <w:t xml:space="preserve">№ 1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Отсутствие процесса реагирования на инциденты</w:t>
            </w:r>
          </w:p>
        </w:tc>
        <w:tc>
          <w:tcPr/>
          <w:p>
            <w:pPr>
              <w:pStyle w:val="Compact"/>
            </w:pPr>
            <w:r>
              <w:t xml:space="preserve">Регламент IR; назначен координатор; журнал инцидентов</w:t>
            </w:r>
          </w:p>
        </w:tc>
        <w:tc>
          <w:tcPr/>
          <w:p>
            <w:pPr>
              <w:pStyle w:val="Compact"/>
            </w:pPr>
            <w:r>
              <w:t xml:space="preserve">№ 2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Отсутствие процесса управления уязвимостями</w:t>
            </w:r>
          </w:p>
        </w:tc>
        <w:tc>
          <w:tcPr/>
          <w:p>
            <w:pPr>
              <w:pStyle w:val="Compact"/>
            </w:pPr>
            <w:r>
              <w:t xml:space="preserve">Регламент; журнал; ежеквартальное сканирование; программа pentest</w:t>
            </w:r>
          </w:p>
        </w:tc>
        <w:tc>
          <w:tcPr/>
          <w:p>
            <w:pPr>
              <w:pStyle w:val="Compact"/>
            </w:pPr>
            <w:r>
              <w:t xml:space="preserve">№ 3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Отсутствие процесса защиты электронной почты</w:t>
            </w:r>
          </w:p>
        </w:tc>
        <w:tc>
          <w:tcPr/>
          <w:p>
            <w:pPr>
              <w:pStyle w:val="Compact"/>
            </w:pPr>
            <w:r>
              <w:t xml:space="preserve">Регламент; AV вложений; блокировка расширений; DNS-фильтрация</w:t>
            </w:r>
          </w:p>
        </w:tc>
        <w:tc>
          <w:tcPr/>
          <w:p>
            <w:pPr>
              <w:pStyle w:val="Compact"/>
            </w:pPr>
            <w:r>
              <w:t xml:space="preserve">№ 4</w:t>
            </w:r>
          </w:p>
        </w:tc>
        <w:tc>
          <w:tcPr/>
          <w:p>
            <w:pPr>
              <w:pStyle w:val="Compact"/>
            </w:pPr>
            <w:r>
              <w:t xml:space="preserve">DNS — Q3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Отсутствие процесса контроля утечек</w:t>
            </w:r>
          </w:p>
        </w:tc>
        <w:tc>
          <w:tcPr/>
          <w:p>
            <w:pPr>
              <w:pStyle w:val="Compact"/>
            </w:pPr>
            <w:r>
              <w:t xml:space="preserve">Политика классификации и каналов; запрет мессенджеров для конфиденциальных данных</w:t>
            </w:r>
          </w:p>
        </w:tc>
        <w:tc>
          <w:tcPr/>
          <w:p>
            <w:pPr>
              <w:pStyle w:val="Compact"/>
            </w:pPr>
            <w:r>
              <w:t xml:space="preserve">№ 5</w:t>
            </w:r>
          </w:p>
        </w:tc>
        <w:tc>
          <w:tcPr/>
          <w:p>
            <w:pPr>
              <w:pStyle w:val="Compact"/>
            </w:pPr>
            <w:r>
              <w:t xml:space="preserve">2026-06-30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Отсутствие аттестата СЗИ</w:t>
            </w:r>
          </w:p>
        </w:tc>
        <w:tc>
          <w:tcPr/>
          <w:p>
            <w:pPr>
              <w:pStyle w:val="Compact"/>
            </w:pPr>
            <w:r>
              <w:t xml:space="preserve">Дорожная карта по Приказу ОАЦ № 66; компенсирующие меры (MFA, сегментация, резервное копирование)</w:t>
            </w:r>
          </w:p>
        </w:tc>
        <w:tc>
          <w:tcPr/>
          <w:p>
            <w:pPr>
              <w:pStyle w:val="Compact"/>
            </w:pPr>
            <w:r>
              <w:t xml:space="preserve">№ 7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Обучение ИБ не проводится (анкета, вопр. 27)</w:t>
            </w:r>
          </w:p>
        </w:tc>
        <w:tc>
          <w:tcPr/>
          <w:p>
            <w:pPr>
              <w:pStyle w:val="Compact"/>
            </w:pPr>
            <w:r>
              <w:t xml:space="preserve">Утверждён план обучения; первый провод — Q3 2026</w:t>
            </w:r>
          </w:p>
        </w:tc>
        <w:tc>
          <w:tcPr/>
          <w:p>
            <w:pPr>
              <w:pStyle w:val="Compact"/>
            </w:pPr>
            <w:r>
              <w:t xml:space="preserve">№ 6</w:t>
            </w:r>
          </w:p>
        </w:tc>
        <w:tc>
          <w:tcPr/>
          <w:p>
            <w:pPr>
              <w:pStyle w:val="Compact"/>
            </w:pPr>
            <w:r>
              <w:t xml:space="preserve">2026-09-30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Pentest не указан (анкета, вопр. 29)</w:t>
            </w:r>
          </w:p>
        </w:tc>
        <w:tc>
          <w:tcPr/>
          <w:p>
            <w:pPr>
              <w:pStyle w:val="Compact"/>
            </w:pPr>
            <w:r>
              <w:t xml:space="preserve">Программа ежегодного внешнего pentest</w:t>
            </w:r>
          </w:p>
        </w:tc>
        <w:tc>
          <w:tcPr/>
          <w:p>
            <w:pPr>
              <w:pStyle w:val="Compact"/>
            </w:pPr>
            <w:r>
              <w:t xml:space="preserve">№ 3 (§7)</w:t>
            </w:r>
          </w:p>
        </w:tc>
        <w:tc>
          <w:tcPr/>
          <w:p>
            <w:pPr>
              <w:pStyle w:val="Compact"/>
            </w:pPr>
            <w:r>
              <w:t xml:space="preserve">2026-12-31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Приложения:</w:t>
      </w:r>
      <w:r>
        <w:t xml:space="preserve"> </w:t>
      </w:r>
      <w:r>
        <w:t xml:space="preserve">обновлённая анкета киберустойчивости (№ 8) и документы № 1–7 согласно перечню.</w:t>
      </w:r>
    </w:p>
    <w:p>
      <w:pPr>
        <w:pStyle w:val="BodyText"/>
      </w:pPr>
      <w:r>
        <w:t xml:space="preserve">Готовы к повторной оценке Центром кибербезопасности ОАО «АСБ Беларусбанк».</w:t>
      </w:r>
    </w:p>
    <w:p>
      <w:pPr>
        <w:pStyle w:val="BodyText"/>
      </w:pPr>
      <w:r>
        <w:rPr>
          <w:b/>
          <w:bCs/>
        </w:rPr>
        <w:t xml:space="preserve">Директор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Есис Г.В.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2026-06-24T07:52:06Z</dcterms:created>
  <dcterms:modified xsi:type="dcterms:W3CDTF">2026-06-24T07:52:06Z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