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ПРОТОКОЛ ВСТРЕЧИ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по Модулю Суфлер и по Общим вопросам по ТЗ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Тема: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Рассмотрение общих замечаний к Техническому заданию и замечаний по модулю «Суфлёр»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Дата: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6 июля 2026 г.</w:t>
        <w:b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Повестка встречи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Общие замечания к ТЗ (роли, стенды, формулировки, нагрузка, сайты, архитектура, доступ к ассистенту и суфлёру).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Замечания к модулю «Суфлёр» (интерфейс, отображение подсказок, реплик, ссылок, релевантности, тестирование, обновление базы знаний).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Обсуждение и принятые решения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2.1. Общие замечания по ТЗ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3"/>
        <w:gridCol w:w="2510"/>
        <w:gridCol w:w="2664"/>
        <w:gridCol w:w="1792"/>
        <w:gridCol w:w="2309"/>
      </w:tblGrid>
      <w:tr>
        <w:trPr>
          <w:tblHeader w:val="true"/>
        </w:trPr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Замечание / Обсуждение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Принятое решение / Договорённость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 заказчика и тестовые стенды.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разделе «Роль в проекте» указаны стенды, что некорректно – стенды не являются ответственностью заказчика, это инфраструктура.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Убрать упоминание стендов из описания роли заказчика. Вместо этого указать, что заказчик предоставляет тестовую среду (серверы, доступы) и обеспечивает интеграционное тестирование.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Каналы онлайн-чата.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общем описании перечислены не все каналы (например, сайт банка указан не везде).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Проверить все разделы ТЗ на предмет единообразного перечисления каналов онлайн-чата (сайт, Viber, Telegram, VK, Одноклассники, открытый API).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актуализации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Нагрузочные характеристики.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ТЗ указаны текущие цифры, которые могут меняться; предложено их исключить или сделать ориентировочными.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Оставить нагрузочные характеристики как справочные, но не закреплять их жёстко – они нужны для тестирования производительности.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актуализации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Веб-сайты банка.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Для встраивания виджета онлайн-чата необходимо определить перечень сайтов и их дизайн.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Заказчик предоставляет перечень сайтов (корпоративный сайт, интернет-банкинг, лендинг и т.п.) с указанием дизайн-требований (цвета, шрифты, расположение виджета).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Заказчик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 13 июля 2026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Архитектурная схема.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ТЗ не указана архитектурная схема взаимодействия модулей.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архитектурную схему (взаимодействие суфлёра, LLM, Битрикс (СУЗ), Oktell, АД, онлайн-чата).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Роли: администратор базы знаний LLM.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ТЗ описание роли сокращённое, не соответствует исходным требованиям (п. 2.4).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Дополнить описание роли администратора БЗ в соответствии с ТЗ (обновление, обучение, мониторинг, работа с выборками и т.д.).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актуализации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7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Доступ оператора контакт</w:t>
              <w:noBreakHyphen/>
              <w:t>центра к ИИ</w:t>
              <w:noBreakHyphen/>
              <w:t>ассистенту.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ТЗ написано, что оператору суфлёра не доступен ассистент в рабочей сессии. Это неверно – оператор должен иметь возможность пользоваться ассистентом в любое время (в том числе вне диалога с клиентом).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Разрешить доступ к ассистенту для операторов контакт-центра всегда. Возможность блокировки доступа во время активной сессии вынести в настройки (администратор может включить/отключить). Сделать интерфейс суфлёра и ассистента как два отдельных окна (или два режима одного окна) с возможностью одновременного открытия.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ТЗ; подготовить макет интерфейса (активация через трей) – до 9 июля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Разделение интерфейсов суфлёра и ассистента.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общей части ТЗ описаны интерфейсы обоих, но не разделены.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Чётко разделить описание интерфейсов: один блок – суфлёр (для операторов в диалоге), другой – ассистент (для всех пользователей). Добавить макеты для каждого.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Отсутствует описание целевых эффектов и критериев приемки в некоторых разделах.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Пересмотреть все критерии приемки, дополнить недостающие, привести к единому виду (список проверяемых пунктов).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актуализации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Формулировки «СУ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» (Система управления знаниями) и «СУЗ».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Встречаются разные сокращения.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Привести к единому термину –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СУЗ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(Система управления знаниями).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актуализации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</w:t>
            </w:r>
          </w:p>
        </w:tc>
        <w:tc>
          <w:tcPr>
            <w:tcW w:w="25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Блокировка тем в суфлёре.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ТЗ указано, что суфлёр не должен отвечать на темы вне деятельности контакт-центра, но не описано, как это реализовано.</w:t>
            </w:r>
          </w:p>
        </w:tc>
        <w:tc>
          <w:tcPr>
            <w:tcW w:w="266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Описать механизм блокировки: через настраиваемые промпты – если запрос не относится к банковским консультациям, суфлёр выдаёт стандартный отказ (или передаёт управление оператору).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30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2.2. Замечания по модулю «Суфлёр»</w:t>
      </w:r>
    </w:p>
    <w:tbl>
      <w:tblPr>
        <w:tblW w:w="1031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3"/>
        <w:gridCol w:w="2713"/>
        <w:gridCol w:w="2241"/>
        <w:gridCol w:w="2780"/>
        <w:gridCol w:w="2221"/>
      </w:tblGrid>
      <w:tr>
        <w:trPr>
          <w:tblHeader w:val="true"/>
        </w:trPr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№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Замечание / Обсуждение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Принятое решение / Договорённость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Ответственный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Срок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Отображение реплик оператора в суфлёре.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макете видны только реплики клиента и подсказки. Необходимо видеть весь диалог последовательно (и реплики оператора).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в окно суфлёра отображение реплик оператора (хронология всего диалога).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 и макет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Отображение нескольких подсказок.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интерфейсе показывается только одна подсказка. Нужно показывать несколько вариантов с разной релевантностью.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Предусмотреть вывод до 3–5 подсказок (настраиваемое количество) с указанием процента релевантности для каждой. Подсказки должны быть визуально разделены (цветом или рамками).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 и макет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Закрытие окна суфлёра.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Если оператор закрыл окно суфлёра (крестик), должен быть способ его снова открыть (кнопка/вкладка).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в интерфейс оператора постоянную кнопку для вызова суфлёра (трей или иконка). При закрытии окна оно сворачивается, а не закрывается полностью.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Ссылки на статьи СУЗ.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подсказке отображается ссылка, но непонятно, как называется раздел. Хотелось бы видеть название темы/раздела.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Сделать ссылку кликабельной с отображением названия раздела (или при наведении показывать название).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Открытие ссылок.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Где будет открываться ссылка – внутри суфлёра или в новом браузере?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Ссылки должны открываться в отдельной вкладке браузера (не внутри суфлёра), чтобы не перегружать интерфейс оператора.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Отображение релевантности ответов.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интерфейсе суфлёра должен быть указан процент релевантности для каждой подсказки. Это прописано в ТЗ, но не везде отражено в макетах.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Дополнить макеты отображением процента релевантности рядом с каждой подсказкой.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 и макет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7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Тестирование промптов и сценариев.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Необходимо иметь интерфейс для тестирования (внутренний пользователь вводит запрос, видит ответ и хронологию). В текущем макете показан только ответ.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Доработать интерфейс тестирования: добавить поле ввода запроса, отображение истории запросов/ответов, процент релевантности.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 и макет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Обновление базы знаний (СУЗ).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ТЗ указано время обновления 2 минуты – это слишком много для онлайн-режима.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Сократить время обновления до минимально возможного (цель – «онлайн», т.е. несколько секунд). Технически: по событию публикации статьи в Битрикс через webhook запускать процесс переиндексации. Проверить возможность получения событий от Битрикс в реальном времени.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(совместно с ДИТ)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Описать механизм в ТЗ; протестировать на этапе разработки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9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Отсутствие требований по интеграции с СУЗ.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 ТЗ не указаны точные протоколы и механизмы интеграции.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Дописать раздел интеграции с СУЗ: webhook, REST API, форматы данных, частота обновления.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Разрешение на одновременное использование суфлёра и ассистента.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Вопрос блокировки доступа к ассистенту во время сессии – решено вынести в настройки.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См. п. 7 общих замечаний. Дополнительно: визуально разделить иконки вызова суфлёра и ассистента (два отдельных окна).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Внести в актуализированный ТЗ и макет</w:t>
            </w:r>
          </w:p>
        </w:tc>
      </w:tr>
      <w:tr>
        <w:trPr/>
        <w:tc>
          <w:tcPr>
            <w:tcW w:w="36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11</w:t>
            </w:r>
          </w:p>
        </w:tc>
        <w:tc>
          <w:tcPr>
            <w:tcW w:w="271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Непонятные формулировки в требованиях к модулю понимания запросов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(например, «должно быть достаточно одной формулировки вопроса»).</w:t>
            </w:r>
          </w:p>
        </w:tc>
        <w:tc>
          <w:tcPr>
            <w:tcW w:w="22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Пересмотреть и переформулировать пункты 4.2.1.4 и другие, чтобы было понятно, что это означает семантический поиск и обучение на синонимах, а не ручной ввод всех вариантов.</w:t>
            </w:r>
          </w:p>
        </w:tc>
        <w:tc>
          <w:tcPr>
            <w:tcW w:w="278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Исполнитель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 актуализации ТЗ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Mang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Mang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SC" w:cs="Mang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SC" w:cs="Mangal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oto Serif SC" w:cs="Mang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Mangal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7</Pages>
  <Words>1013</Words>
  <Characters>6725</Characters>
  <CharactersWithSpaces>7620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2026-07-08T04:17:13Z</dcterms:created>
  <dc:creator/>
  <dc:description/>
  <dc:language>ru-RU</dc:language>
  <cp:lastModifiedBy/>
  <dcterms:modified xsi:type="dcterms:W3CDTF">2026-07-08T04:23:10Z</dcterms:modified>
  <cp:revision>1</cp:revision>
  <dc:subject/>
  <dc:title/>
</cp:coreProperties>
</file>