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</w:t>
      </w:r>
      <w:bookmarkStart w:id="0" w:name="_GoBack"/>
      <w:bookmarkEnd w:id="0"/>
      <w:r w:rsidR="002F3FC5" w:rsidRPr="00A24B06">
        <w:rPr>
          <w:lang w:val="en-US"/>
        </w:rPr>
        <w:t xml:space="preserve">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F524C9" w:rsidRDefault="00F524C9" w:rsidP="00F524C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-616142034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0873481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interview subjects job position is presented, which is good, but their social setting is ignored. 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EndPr/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EndPr/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1E173F">
            <w:rPr>
              <w:i/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EndPr/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EndPr/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EndPr/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EndPr/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3702F3" w:rsidRDefault="00DA0641" w:rsidP="00DA0641">
      <w:pPr>
        <w:jc w:val="both"/>
        <w:rPr>
          <w:lang w:val="en-US"/>
        </w:rPr>
      </w:pPr>
      <w:r>
        <w:rPr>
          <w:lang w:val="en-US"/>
        </w:rPr>
        <w:t xml:space="preserve">Litwin states that surveys are subject to </w:t>
      </w:r>
      <w:r>
        <w:rPr>
          <w:i/>
          <w:lang w:val="en-US"/>
        </w:rPr>
        <w:t xml:space="preserve">content validity </w:t>
      </w:r>
      <w:r>
        <w:rPr>
          <w:lang w:val="en-US"/>
        </w:rPr>
        <w:t>which concerns whether or not the survey items include everything it should and nothing it shouldn´t. This is judged by a grou</w:t>
      </w:r>
      <w:r w:rsidR="0097346B">
        <w:rPr>
          <w:lang w:val="en-US"/>
        </w:rPr>
        <w:t>p of experts, or trained judges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19595587"/>
          <w:citation/>
        </w:sdtPr>
        <w:sdtContent>
          <w:r>
            <w:rPr>
              <w:lang w:val="en-US"/>
            </w:rPr>
            <w:fldChar w:fldCharType="begin"/>
          </w:r>
          <w:r w:rsidRPr="00DA0641">
            <w:rPr>
              <w:lang w:val="en-US"/>
            </w:rPr>
            <w:instrText xml:space="preserve"> CITATION Mar95 \l 1053 </w:instrText>
          </w:r>
          <w:r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[24]</w:t>
          </w:r>
          <w:r>
            <w:rPr>
              <w:lang w:val="en-US"/>
            </w:rPr>
            <w:fldChar w:fldCharType="end"/>
          </w:r>
        </w:sdtContent>
      </w:sdt>
      <w:r w:rsidR="0097346B">
        <w:rPr>
          <w:lang w:val="en-US"/>
        </w:rPr>
        <w:t xml:space="preserve">. </w:t>
      </w:r>
      <w:r w:rsidR="006454E4">
        <w:rPr>
          <w:lang w:val="en-US"/>
        </w:rPr>
        <w:t xml:space="preserve">External validity deals with the generalizability of the results of a study. Winer argues that this is a very important perspective for experimental research </w:t>
      </w:r>
      <w:sdt>
        <w:sdtPr>
          <w:rPr>
            <w:lang w:val="en-US"/>
          </w:rPr>
          <w:id w:val="2113313073"/>
          <w:citation/>
        </w:sdtPr>
        <w:sdtContent>
          <w:r w:rsidR="006454E4">
            <w:rPr>
              <w:lang w:val="en-US"/>
            </w:rPr>
            <w:fldChar w:fldCharType="begin"/>
          </w:r>
          <w:r w:rsidR="006454E4" w:rsidRPr="006454E4">
            <w:rPr>
              <w:lang w:val="en-US"/>
            </w:rPr>
            <w:instrText xml:space="preserve"> CITATION Rus99 \l 1053 </w:instrText>
          </w:r>
          <w:r w:rsidR="006454E4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[25]</w:t>
          </w:r>
          <w:r w:rsidR="006454E4">
            <w:rPr>
              <w:lang w:val="en-US"/>
            </w:rPr>
            <w:fldChar w:fldCharType="end"/>
          </w:r>
        </w:sdtContent>
      </w:sdt>
      <w:r w:rsidR="006454E4">
        <w:rPr>
          <w:lang w:val="en-US"/>
        </w:rPr>
        <w:t>.</w:t>
      </w:r>
      <w:r w:rsidR="00163AFA">
        <w:rPr>
          <w:lang w:val="en-US"/>
        </w:rPr>
        <w:t xml:space="preserve"> </w:t>
      </w:r>
    </w:p>
    <w:p w:rsidR="00163AFA" w:rsidRDefault="00163AFA" w:rsidP="00163AFA">
      <w:pPr>
        <w:pStyle w:val="Rubrik1"/>
        <w:rPr>
          <w:lang w:val="en-US"/>
        </w:rPr>
      </w:pPr>
      <w:r>
        <w:rPr>
          <w:lang w:val="en-US"/>
        </w:rPr>
        <w:t>Qualitative methods</w:t>
      </w:r>
    </w:p>
    <w:p w:rsidR="00E275E1" w:rsidRDefault="00FE6F3C" w:rsidP="00E275E1">
      <w:pPr>
        <w:rPr>
          <w:lang w:val="en-US"/>
        </w:rPr>
      </w:pPr>
      <w:r>
        <w:rPr>
          <w:lang w:val="en-US"/>
        </w:rPr>
        <w:t xml:space="preserve">When employing the research design </w:t>
      </w:r>
      <w:r>
        <w:rPr>
          <w:i/>
          <w:lang w:val="en-US"/>
        </w:rPr>
        <w:t>grounded theory</w:t>
      </w:r>
      <w:r>
        <w:rPr>
          <w:lang w:val="en-US"/>
        </w:rPr>
        <w:t>, the researcher tries to create a theory of a process or an action</w:t>
      </w:r>
      <w:r w:rsidR="00E275E1">
        <w:rPr>
          <w:lang w:val="en-US"/>
        </w:rPr>
        <w:t>. The theory is grounded in data collected from participants</w:t>
      </w:r>
      <w:sdt>
        <w:sdtPr>
          <w:rPr>
            <w:lang w:val="en-US"/>
          </w:rPr>
          <w:id w:val="2102605436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Joh032 \l 1053 </w:instrText>
          </w:r>
          <w:r w:rsidR="00E275E1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[26]</w:t>
          </w:r>
          <w:r w:rsidR="00E275E1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 The researcher might use a variety if methods for data gath</w:t>
      </w:r>
      <w:r w:rsidR="00CA4915">
        <w:rPr>
          <w:lang w:val="en-US"/>
        </w:rPr>
        <w:t>ering, for example intervi</w:t>
      </w:r>
      <w:r w:rsidR="00E275E1">
        <w:rPr>
          <w:lang w:val="en-US"/>
        </w:rPr>
        <w:t>ews</w:t>
      </w:r>
      <w:r w:rsidR="00CA4915">
        <w:rPr>
          <w:lang w:val="en-US"/>
        </w:rPr>
        <w:t xml:space="preserve"> and focus groups</w:t>
      </w:r>
      <w:sdt>
        <w:sdtPr>
          <w:rPr>
            <w:lang w:val="en-US"/>
          </w:rPr>
          <w:id w:val="-812022488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Joh123 \l 1053 </w:instrText>
          </w:r>
          <w:r w:rsidR="00E275E1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[27]</w:t>
          </w:r>
          <w:r w:rsidR="00E275E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768413859"/>
          <w:citation/>
        </w:sdtPr>
        <w:sdtContent>
          <w:r w:rsidR="00CA4915">
            <w:rPr>
              <w:lang w:val="en-US"/>
            </w:rPr>
            <w:fldChar w:fldCharType="begin"/>
          </w:r>
          <w:r w:rsidR="00CA4915" w:rsidRPr="00CA4915">
            <w:rPr>
              <w:lang w:val="en-US"/>
            </w:rPr>
            <w:instrText xml:space="preserve"> CITATION DrC071 \l 1053 </w:instrText>
          </w:r>
          <w:r w:rsidR="00CA4915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[28]</w:t>
          </w:r>
          <w:r w:rsidR="00CA4915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 xml:space="preserve">. </w:t>
      </w:r>
      <w:r w:rsidR="00E275E1" w:rsidRPr="00CA4915">
        <w:rPr>
          <w:i/>
          <w:lang w:val="en-US"/>
        </w:rPr>
        <w:t>Ethnography</w:t>
      </w:r>
      <w:r w:rsidR="00E275E1">
        <w:rPr>
          <w:lang w:val="en-US"/>
        </w:rPr>
        <w:t xml:space="preserve"> focuses on studying a group of people to understand and describe their cultural behavior. Data is gathered through fieldwork where the researcher makes observations and taking notes while being a part of the group</w:t>
      </w:r>
      <w:r w:rsidR="00E275E1">
        <w:rPr>
          <w:lang w:val="en-US"/>
        </w:rPr>
        <w:t xml:space="preserve"> </w:t>
      </w:r>
      <w:sdt>
        <w:sdtPr>
          <w:rPr>
            <w:lang w:val="en-US"/>
          </w:rPr>
          <w:id w:val="-347711050"/>
          <w:citation/>
        </w:sdtPr>
        <w:sdtContent>
          <w:r w:rsidR="00C85C1C">
            <w:rPr>
              <w:lang w:val="en-US"/>
            </w:rPr>
            <w:fldChar w:fldCharType="begin"/>
          </w:r>
          <w:r w:rsidR="00CA4915">
            <w:rPr>
              <w:lang w:val="en-US"/>
            </w:rPr>
            <w:instrText xml:space="preserve">CITATION DrC07 \l 1053 </w:instrText>
          </w:r>
          <w:r w:rsidR="00C85C1C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[29]</w:t>
          </w:r>
          <w:r w:rsidR="00C85C1C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</w:t>
      </w:r>
    </w:p>
    <w:p w:rsidR="00CA4915" w:rsidRDefault="00CA4915" w:rsidP="00CA4915">
      <w:pPr>
        <w:jc w:val="both"/>
        <w:rPr>
          <w:lang w:val="en-US"/>
        </w:rPr>
      </w:pPr>
      <w:r>
        <w:rPr>
          <w:lang w:val="en-US"/>
        </w:rPr>
        <w:t xml:space="preserve">Often used in grounded theory, </w:t>
      </w:r>
      <w:r>
        <w:rPr>
          <w:i/>
          <w:lang w:val="en-US"/>
        </w:rPr>
        <w:t>focus groups</w:t>
      </w:r>
      <w:r>
        <w:rPr>
          <w:lang w:val="en-US"/>
        </w:rPr>
        <w:t xml:space="preserve"> are an instrument which is a sort of group interview. In focus groups, participants are encouraged to interact with each other and the interaction is an integral part of the method</w:t>
      </w:r>
      <w:sdt>
        <w:sdtPr>
          <w:rPr>
            <w:lang w:val="en-US"/>
          </w:rPr>
          <w:id w:val="77730955"/>
          <w:citation/>
        </w:sdtPr>
        <w:sdtContent>
          <w:r>
            <w:rPr>
              <w:lang w:val="en-US"/>
            </w:rPr>
            <w:fldChar w:fldCharType="begin"/>
          </w:r>
          <w:r w:rsidRPr="0019502F">
            <w:rPr>
              <w:lang w:val="en-US"/>
            </w:rPr>
            <w:instrText xml:space="preserve"> CITATION Platshållare1 \l 1053 </w:instrText>
          </w:r>
          <w:r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[30]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6451A6">
        <w:rPr>
          <w:lang w:val="en-US"/>
        </w:rPr>
        <w:t xml:space="preserve"> </w:t>
      </w:r>
    </w:p>
    <w:p w:rsidR="005F6FBA" w:rsidRDefault="0019502F" w:rsidP="0019502F">
      <w:pPr>
        <w:jc w:val="both"/>
        <w:rPr>
          <w:lang w:val="en-US"/>
        </w:rPr>
      </w:pPr>
      <w:r>
        <w:rPr>
          <w:lang w:val="en-US"/>
        </w:rPr>
        <w:t xml:space="preserve">When researching how organizations can make use of management controls to support innovation for employees, Susanne Nilsson uses several qualitative methods. Nilsson </w:t>
      </w:r>
      <w:r w:rsidR="00CE0409">
        <w:rPr>
          <w:lang w:val="en-US"/>
        </w:rPr>
        <w:t xml:space="preserve">took part as a coordinator in the innovation work at the company, thus using the </w:t>
      </w:r>
      <w:r w:rsidR="00CE0409">
        <w:rPr>
          <w:i/>
          <w:lang w:val="en-US"/>
        </w:rPr>
        <w:t>participant observation</w:t>
      </w:r>
      <w:r w:rsidR="00CE0409">
        <w:rPr>
          <w:lang w:val="en-US"/>
        </w:rPr>
        <w:t xml:space="preserve"> method since the researcher herself took part in the activities of the participants of the study</w:t>
      </w:r>
      <w:sdt>
        <w:sdtPr>
          <w:rPr>
            <w:lang w:val="en-US"/>
          </w:rPr>
          <w:id w:val="-299537874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 \l 1053 </w:instrText>
          </w:r>
          <w:r w:rsidR="00CE0409">
            <w:rPr>
              <w:lang w:val="en-US"/>
            </w:rPr>
            <w:fldChar w:fldCharType="separate"/>
          </w:r>
          <w:r w:rsidR="001E173F">
            <w:rPr>
              <w:noProof/>
              <w:lang w:val="en-US"/>
            </w:rPr>
            <w:t xml:space="preserve"> </w:t>
          </w:r>
          <w:r w:rsidR="001E173F" w:rsidRPr="001E173F">
            <w:rPr>
              <w:noProof/>
              <w:lang w:val="en-US"/>
            </w:rPr>
            <w:t>[31]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 xml:space="preserve">. Another method of direct observation, Nilsson also employed the </w:t>
      </w:r>
      <w:r w:rsidR="00CE0409">
        <w:rPr>
          <w:i/>
          <w:lang w:val="en-US"/>
        </w:rPr>
        <w:t>non-participant</w:t>
      </w:r>
      <w:r w:rsidR="00CE0409">
        <w:rPr>
          <w:lang w:val="en-US"/>
        </w:rPr>
        <w:t xml:space="preserve"> method when attending and observing formal innovation events of the subject companies </w:t>
      </w:r>
      <w:sdt>
        <w:sdtPr>
          <w:rPr>
            <w:lang w:val="en-US"/>
          </w:rPr>
          <w:id w:val="259257983"/>
          <w:citation/>
        </w:sdtPr>
        <w:sdtContent>
          <w:r w:rsidR="00CE0409">
            <w:rPr>
              <w:lang w:val="en-US"/>
            </w:rPr>
            <w:fldChar w:fldCharType="begin"/>
          </w:r>
          <w:r w:rsidR="00CE0409" w:rsidRPr="00CE0409">
            <w:rPr>
              <w:lang w:val="en-US"/>
            </w:rPr>
            <w:instrText xml:space="preserve"> CITATION Sus151 \l 1053 </w:instrText>
          </w:r>
          <w:r w:rsidR="00CE0409">
            <w:rPr>
              <w:lang w:val="en-US"/>
            </w:rPr>
            <w:fldChar w:fldCharType="separate"/>
          </w:r>
          <w:r w:rsidR="001E173F" w:rsidRPr="001E173F">
            <w:rPr>
              <w:noProof/>
              <w:lang w:val="en-US"/>
            </w:rPr>
            <w:t>[32]</w:t>
          </w:r>
          <w:r w:rsidR="00CE0409">
            <w:rPr>
              <w:lang w:val="en-US"/>
            </w:rPr>
            <w:fldChar w:fldCharType="end"/>
          </w:r>
        </w:sdtContent>
      </w:sdt>
      <w:r w:rsidR="00CE0409">
        <w:rPr>
          <w:lang w:val="en-US"/>
        </w:rPr>
        <w:t>.</w:t>
      </w:r>
    </w:p>
    <w:p w:rsidR="00B00C19" w:rsidRDefault="001E173F" w:rsidP="0019502F">
      <w:pPr>
        <w:jc w:val="both"/>
        <w:rPr>
          <w:lang w:val="en-US"/>
        </w:rPr>
      </w:pPr>
      <w:r>
        <w:rPr>
          <w:lang w:val="en-US"/>
        </w:rPr>
        <w:t>If the researcher doesn’t have enough understanding of the context of interviewees</w:t>
      </w:r>
      <w:r w:rsidR="002B3EC0">
        <w:rPr>
          <w:lang w:val="en-US"/>
        </w:rPr>
        <w:t xml:space="preserve"> during qualitative interviews</w:t>
      </w:r>
      <w:r>
        <w:rPr>
          <w:lang w:val="en-US"/>
        </w:rPr>
        <w:t xml:space="preserve">, lack of trust might lead to doubts whether the respondents tell the truth </w:t>
      </w:r>
      <w:r>
        <w:rPr>
          <w:lang w:val="en-US"/>
        </w:rPr>
        <w:lastRenderedPageBreak/>
        <w:t>(as they know it)</w:t>
      </w:r>
      <w:sdt>
        <w:sdtPr>
          <w:rPr>
            <w:lang w:val="en-US"/>
          </w:rPr>
          <w:id w:val="-1321352177"/>
          <w:citation/>
        </w:sdtPr>
        <w:sdtContent>
          <w:r>
            <w:rPr>
              <w:lang w:val="en-US"/>
            </w:rPr>
            <w:fldChar w:fldCharType="begin"/>
          </w:r>
          <w:r w:rsidRPr="001E173F">
            <w:rPr>
              <w:lang w:val="en-US"/>
            </w:rPr>
            <w:instrText xml:space="preserve"> CITATION Mor05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1E173F">
            <w:rPr>
              <w:noProof/>
              <w:lang w:val="en-US"/>
            </w:rPr>
            <w:t>[33]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2B3EC0">
        <w:rPr>
          <w:lang w:val="en-US"/>
        </w:rPr>
        <w:t xml:space="preserve"> Also, in participatory observations, the presence of the observer might cause behaviors that are not representative of the natural setting </w:t>
      </w:r>
      <w:sdt>
        <w:sdtPr>
          <w:rPr>
            <w:lang w:val="en-US"/>
          </w:rPr>
          <w:id w:val="-1061715416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Coh1 \l 1053 </w:instrText>
          </w:r>
          <w:r w:rsidR="00C54C78">
            <w:rPr>
              <w:lang w:val="en-US"/>
            </w:rPr>
            <w:fldChar w:fldCharType="separate"/>
          </w:r>
          <w:r w:rsidR="00C54C78" w:rsidRPr="00C54C78">
            <w:rPr>
              <w:noProof/>
              <w:lang w:val="en-US"/>
            </w:rPr>
            <w:t>[34]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>. This is a valid concern for Nilssons studies, where she took a leading role in the group which she studied</w:t>
      </w:r>
      <w:sdt>
        <w:sdtPr>
          <w:rPr>
            <w:lang w:val="en-US"/>
          </w:rPr>
          <w:id w:val="1711992949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Sus15 \l 1053 </w:instrText>
          </w:r>
          <w:r w:rsidR="00C54C78">
            <w:rPr>
              <w:lang w:val="en-US"/>
            </w:rPr>
            <w:fldChar w:fldCharType="separate"/>
          </w:r>
          <w:r w:rsidR="00C54C78" w:rsidRPr="00C54C78">
            <w:rPr>
              <w:noProof/>
              <w:lang w:val="en-US"/>
            </w:rPr>
            <w:t xml:space="preserve"> [31]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. This is also something she notices in her report </w:t>
      </w:r>
      <w:sdt>
        <w:sdtPr>
          <w:rPr>
            <w:lang w:val="en-US"/>
          </w:rPr>
          <w:id w:val="1986431318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CITATION Sus152 \l 1053 </w:instrText>
          </w:r>
          <w:r w:rsidR="00C54C78">
            <w:rPr>
              <w:lang w:val="en-US"/>
            </w:rPr>
            <w:fldChar w:fldCharType="separate"/>
          </w:r>
          <w:r w:rsidR="00C54C78" w:rsidRPr="00C54C78">
            <w:rPr>
              <w:noProof/>
              <w:lang w:val="en-US"/>
            </w:rPr>
            <w:t>[35]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. To reduce the effect, one might suggest using less intrusive methods such as non-participatory observation, which she has also done. Reviewing the research questions </w:t>
      </w:r>
      <w:sdt>
        <w:sdtPr>
          <w:rPr>
            <w:lang w:val="en-US"/>
          </w:rPr>
          <w:id w:val="1508409926"/>
          <w:citation/>
        </w:sdtPr>
        <w:sdtContent>
          <w:r w:rsidR="00C54C78">
            <w:rPr>
              <w:lang w:val="en-US"/>
            </w:rPr>
            <w:fldChar w:fldCharType="begin"/>
          </w:r>
          <w:r w:rsidR="00C54C78" w:rsidRPr="00C54C78">
            <w:rPr>
              <w:lang w:val="en-US"/>
            </w:rPr>
            <w:instrText xml:space="preserve"> CITATION Sus153 \l 1053 </w:instrText>
          </w:r>
          <w:r w:rsidR="00C54C78">
            <w:rPr>
              <w:lang w:val="en-US"/>
            </w:rPr>
            <w:fldChar w:fldCharType="separate"/>
          </w:r>
          <w:r w:rsidR="00C54C78" w:rsidRPr="00C54C78">
            <w:rPr>
              <w:noProof/>
              <w:lang w:val="en-US"/>
            </w:rPr>
            <w:t>[36]</w:t>
          </w:r>
          <w:r w:rsidR="00C54C78">
            <w:rPr>
              <w:lang w:val="en-US"/>
            </w:rPr>
            <w:fldChar w:fldCharType="end"/>
          </w:r>
        </w:sdtContent>
      </w:sdt>
      <w:r w:rsidR="00C54C78">
        <w:rPr>
          <w:lang w:val="en-US"/>
        </w:rPr>
        <w:t xml:space="preserve">, one can see that the interaction and dynamics of the group </w:t>
      </w:r>
      <w:r w:rsidR="001D589D">
        <w:rPr>
          <w:lang w:val="en-US"/>
        </w:rPr>
        <w:t>are important. This focus would also be suitable for a focus group method</w:t>
      </w:r>
      <w:r w:rsidR="00F66676">
        <w:rPr>
          <w:lang w:val="en-US"/>
        </w:rPr>
        <w:t xml:space="preserve">. </w:t>
      </w:r>
      <w:r w:rsidR="00E10822">
        <w:rPr>
          <w:lang w:val="en-US"/>
        </w:rPr>
        <w:t>To reduce the effect of the researchers presence, the researcher might stay for a longer period of time whilst observing</w:t>
      </w:r>
      <w:sdt>
        <w:sdtPr>
          <w:rPr>
            <w:lang w:val="en-US"/>
          </w:rPr>
          <w:id w:val="-765467538"/>
          <w:citation/>
        </w:sdtPr>
        <w:sdtContent>
          <w:r w:rsidR="00E10822">
            <w:rPr>
              <w:lang w:val="en-US"/>
            </w:rPr>
            <w:fldChar w:fldCharType="begin"/>
          </w:r>
          <w:r w:rsidR="00E10822" w:rsidRPr="00E10822">
            <w:rPr>
              <w:lang w:val="en-US"/>
            </w:rPr>
            <w:instrText xml:space="preserve"> CITATION Coh2 \l 1053 </w:instrText>
          </w:r>
          <w:r w:rsidR="00E10822">
            <w:rPr>
              <w:lang w:val="en-US"/>
            </w:rPr>
            <w:fldChar w:fldCharType="separate"/>
          </w:r>
          <w:r w:rsidR="00E10822" w:rsidRPr="00E10822">
            <w:rPr>
              <w:noProof/>
              <w:lang w:val="en-US"/>
            </w:rPr>
            <w:t xml:space="preserve"> [37]</w:t>
          </w:r>
          <w:r w:rsidR="00E10822">
            <w:rPr>
              <w:lang w:val="en-US"/>
            </w:rPr>
            <w:fldChar w:fldCharType="end"/>
          </w:r>
        </w:sdtContent>
      </w:sdt>
      <w:r w:rsidR="00E10822">
        <w:rPr>
          <w:lang w:val="en-US"/>
        </w:rPr>
        <w:t>.</w:t>
      </w:r>
    </w:p>
    <w:p w:rsidR="00B00C19" w:rsidRDefault="00B00C19">
      <w:pPr>
        <w:rPr>
          <w:lang w:val="en-US"/>
        </w:rPr>
      </w:pPr>
      <w:r>
        <w:rPr>
          <w:lang w:val="en-US"/>
        </w:rPr>
        <w:br w:type="page"/>
      </w:r>
    </w:p>
    <w:p w:rsidR="0019502F" w:rsidRPr="00CA4915" w:rsidRDefault="00E10822" w:rsidP="0019502F">
      <w:pPr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1D589D">
        <w:rPr>
          <w:lang w:val="en-US"/>
        </w:rPr>
        <w:t xml:space="preserve"> </w:t>
      </w:r>
    </w:p>
    <w:p w:rsidR="00163AFA" w:rsidRPr="00FE6F3C" w:rsidRDefault="00163AFA" w:rsidP="00FE6F3C">
      <w:pPr>
        <w:jc w:val="both"/>
        <w:rPr>
          <w:lang w:val="en-US"/>
        </w:rPr>
      </w:pP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15" w:rsidRDefault="008E1115" w:rsidP="00EB33E0">
      <w:pPr>
        <w:spacing w:after="0" w:line="240" w:lineRule="auto"/>
      </w:pPr>
      <w:r>
        <w:separator/>
      </w:r>
    </w:p>
  </w:endnote>
  <w:endnote w:type="continuationSeparator" w:id="0">
    <w:p w:rsidR="008E1115" w:rsidRDefault="008E1115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15" w:rsidRDefault="008E1115" w:rsidP="00EB33E0">
      <w:pPr>
        <w:spacing w:after="0" w:line="240" w:lineRule="auto"/>
      </w:pPr>
      <w:r>
        <w:separator/>
      </w:r>
    </w:p>
  </w:footnote>
  <w:footnote w:type="continuationSeparator" w:id="0">
    <w:p w:rsidR="008E1115" w:rsidRDefault="008E1115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63AFA"/>
    <w:rsid w:val="00194103"/>
    <w:rsid w:val="001947AB"/>
    <w:rsid w:val="0019502F"/>
    <w:rsid w:val="001D589D"/>
    <w:rsid w:val="001E173F"/>
    <w:rsid w:val="002772CC"/>
    <w:rsid w:val="002B3EC0"/>
    <w:rsid w:val="002B7555"/>
    <w:rsid w:val="002F3FC5"/>
    <w:rsid w:val="003702F3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5F6FBA"/>
    <w:rsid w:val="00620E20"/>
    <w:rsid w:val="00636962"/>
    <w:rsid w:val="0064309E"/>
    <w:rsid w:val="006451A6"/>
    <w:rsid w:val="006454E4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8E1115"/>
    <w:rsid w:val="0097346B"/>
    <w:rsid w:val="009B0F99"/>
    <w:rsid w:val="009D5EE3"/>
    <w:rsid w:val="009E62D4"/>
    <w:rsid w:val="00A24B06"/>
    <w:rsid w:val="00A36BDD"/>
    <w:rsid w:val="00A57892"/>
    <w:rsid w:val="00A86364"/>
    <w:rsid w:val="00AC39CB"/>
    <w:rsid w:val="00AF3747"/>
    <w:rsid w:val="00AF7D7A"/>
    <w:rsid w:val="00B00C19"/>
    <w:rsid w:val="00BB78BE"/>
    <w:rsid w:val="00BC290B"/>
    <w:rsid w:val="00C06926"/>
    <w:rsid w:val="00C2605A"/>
    <w:rsid w:val="00C54C78"/>
    <w:rsid w:val="00C744AB"/>
    <w:rsid w:val="00C7721A"/>
    <w:rsid w:val="00C85C1C"/>
    <w:rsid w:val="00CA4915"/>
    <w:rsid w:val="00CE0409"/>
    <w:rsid w:val="00D1302D"/>
    <w:rsid w:val="00D170ED"/>
    <w:rsid w:val="00D72D1D"/>
    <w:rsid w:val="00DA0641"/>
    <w:rsid w:val="00DA64B8"/>
    <w:rsid w:val="00DF4756"/>
    <w:rsid w:val="00E10822"/>
    <w:rsid w:val="00E275E1"/>
    <w:rsid w:val="00E92E6F"/>
    <w:rsid w:val="00EB33E0"/>
    <w:rsid w:val="00EF630A"/>
    <w:rsid w:val="00F51243"/>
    <w:rsid w:val="00F524C9"/>
    <w:rsid w:val="00F66676"/>
    <w:rsid w:val="00F85C80"/>
    <w:rsid w:val="00F93314"/>
    <w:rsid w:val="00F93F69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A4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A4915"/>
    <w:rPr>
      <w:rFonts w:ascii="Segoe UI" w:hAnsi="Segoe UI" w:cs="Segoe UI"/>
      <w:sz w:val="18"/>
      <w:szCs w:val="18"/>
    </w:rPr>
  </w:style>
  <w:style w:type="paragraph" w:styleId="Litteraturfrteckning">
    <w:name w:val="Bibliography"/>
    <w:basedOn w:val="Normal"/>
    <w:next w:val="Normal"/>
    <w:uiPriority w:val="37"/>
    <w:unhideWhenUsed/>
    <w:rsid w:val="00B0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  <b:Source>
    <b:Tag>Mar95</b:Tag>
    <b:SourceType>BookSection</b:SourceType>
    <b:Guid>{40951508-4633-4803-85AE-9714D6DBDF8A}</b:Guid>
    <b:Title>Validity (p. 4)</b:Title>
    <b:Year>1995</b:Year>
    <b:Author>
      <b:Author>
        <b:NameList>
          <b:Person>
            <b:Last>Litwin</b:Last>
            <b:First>Mark</b:First>
            <b:Middle>S.</b:Middle>
          </b:Person>
        </b:NameList>
      </b:Author>
    </b:Author>
    <b:BookTitle>How to Measure Survey Reliability and Validity</b:BookTitle>
    <b:RefOrder>24</b:RefOrder>
  </b:Source>
  <b:Source>
    <b:Tag>Rus99</b:Tag>
    <b:SourceType>JournalArticle</b:SourceType>
    <b:Guid>{B8EF0164-D985-4912-B7BD-685C9B9A21A7}</b:Guid>
    <b:Title>Experimentation in the 21st Century (p. 1-2)</b:Title>
    <b:Year>1999</b:Year>
    <b:Author>
      <b:Author>
        <b:NameList>
          <b:Person>
            <b:Last>Winer</b:Last>
            <b:First>Russel</b:First>
            <b:Middle>S.</b:Middle>
          </b:Person>
        </b:NameList>
      </b:Author>
    </b:Author>
    <b:JournalName>Journal of the Academy of Marketing Science</b:JournalName>
    <b:Volume>27</b:Volume>
    <b:Issue>3</b:Issue>
    <b:RefOrder>25</b:RefOrder>
  </b:Source>
  <b:Source>
    <b:Tag>Joh032</b:Tag>
    <b:SourceType>BookSection</b:SourceType>
    <b:Guid>{C6BA3AF7-C91B-4BC5-B85F-C4259C5A4B5D}</b:Guid>
    <b:Title>A Framework for Design (p. 14)</b:Title>
    <b:Year>2003</b:Year>
    <b:Author>
      <b:Author>
        <b:NameList>
          <b:Person>
            <b:Last>Creswell</b:Last>
            <b:First>John</b:First>
            <b:Middle>W.</b:Middle>
          </b:Person>
        </b:NameList>
      </b:Author>
    </b:Author>
    <b:BookTitle>Research Design</b:BookTitle>
    <b:RefOrder>26</b:RefOrder>
  </b:Source>
  <b:Source>
    <b:Tag>Joh123</b:Tag>
    <b:SourceType>Book</b:SourceType>
    <b:Guid>{8C25BBD3-5C90-4FA2-9CC1-0E43FF4ECCE6}</b:Guid>
    <b:Title>Educational Research (p. 432)</b:Title>
    <b:Year>2012</b:Year>
    <b:Author>
      <b:Author>
        <b:NameList>
          <b:Person>
            <b:Last>Creswell</b:Last>
            <b:First>John</b:First>
            <b:Middle>W.</b:Middle>
          </b:Person>
        </b:NameList>
      </b:Author>
    </b:Author>
    <b:RefOrder>27</b:RefOrder>
  </b:Source>
  <b:Source>
    <b:Tag>DrC071</b:Tag>
    <b:SourceType>Book</b:SourceType>
    <b:Guid>{2D5CB321-1B60-4B63-B4A5-ED703D7EE6C5}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37)</b:Title>
    <b:Year>2007</b:Year>
    <b:RefOrder>28</b:RefOrder>
  </b:Source>
  <b:Source>
    <b:Tag>DrC07</b:Tag>
    <b:SourceType>Book</b:SourceType>
    <b:Guid>{339CC523-6BAD-4F51-B99D-2B596A71F393}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36)</b:Title>
    <b:Year>2007</b:Year>
    <b:RefOrder>29</b:RefOrder>
  </b:Source>
  <b:Source>
    <b:Tag>Platshållare1</b:Tag>
    <b:SourceType>JournalArticle</b:SourceType>
    <b:Guid>{092B2700-4B5B-4F31-9743-6036444D83DE}</b:Guid>
    <b:Author>
      <b:Author>
        <b:NameList>
          <b:Person>
            <b:Last>Kitzinger</b:Last>
            <b:First>Jenny</b:First>
          </b:Person>
        </b:NameList>
      </b:Author>
    </b:Author>
    <b:Title>Introducing Focus Groups (p. 1)</b:Title>
    <b:JournalName>BMJ</b:JournalName>
    <b:Year>1995</b:Year>
    <b:Volume>311</b:Volume>
    <b:RefOrder>30</b:RefOrder>
  </b:Source>
  <b:Source>
    <b:Tag>Sus15</b:Tag>
    <b:SourceType>Report</b:SourceType>
    <b:Guid>{817E0274-4BC8-43B7-92A3-36A7A2314039}</b:Guid>
    <b:Title>Making Innovation Everyones Business (p. 38-39)</b:Title>
    <b:Year>2015</b:Year>
    <b:Author>
      <b:Author>
        <b:NameList>
          <b:Person>
            <b:Last>Nilsson</b:Last>
            <b:First>Susanne</b:First>
          </b:Person>
        </b:NameList>
      </b:Author>
    </b:Author>
    <b:RefOrder>31</b:RefOrder>
  </b:Source>
  <b:Source>
    <b:Tag>Sus151</b:Tag>
    <b:SourceType>Report</b:SourceType>
    <b:Guid>{40139F55-048C-44CE-9D5C-CE11069C7150}</b:Guid>
    <b:Author>
      <b:Author>
        <b:NameList>
          <b:Person>
            <b:Last>Nilsson</b:Last>
            <b:First>Susanne</b:First>
          </b:Person>
        </b:NameList>
      </b:Author>
    </b:Author>
    <b:Title>Making Innovation Everyones Business (p. 39)</b:Title>
    <b:Year>2015</b:Year>
    <b:RefOrder>32</b:RefOrder>
  </b:Source>
  <b:Source>
    <b:Tag>Mor05</b:Tag>
    <b:SourceType>JournalArticle</b:SourceType>
    <b:Guid>{5AAD3320-B86D-463E-AEC6-71CB076AFB9A}</b:Guid>
    <b:Author>
      <b:Author>
        <b:NameList>
          <b:Person>
            <b:Last>Morrow</b:Last>
            <b:First>Susan</b:First>
            <b:Middle>L.</b:Middle>
          </b:Person>
        </b:NameList>
      </b:Author>
    </b:Author>
    <b:Title>Quality and Trustworthiness in Qualitative Research in Counseling Psychology (p. 7)</b:Title>
    <b:Year>2005</b:Year>
    <b:JournalName>Journal of Counseling Psychology</b:JournalName>
    <b:Volume>52</b:Volume>
    <b:Issue>2</b:Issue>
    <b:RefOrder>33</b:RefOrder>
  </b:Source>
  <b:Source>
    <b:Tag>Coh1</b:Tag>
    <b:SourceType>Book</b:SourceType>
    <b:Guid>{7DE26579-3B74-45C3-B1BD-1DC68818CD75}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146)</b:Title>
    <b:Year>2005</b:Year>
    <b:RefOrder>34</b:RefOrder>
  </b:Source>
  <b:Source>
    <b:Tag>Sus152</b:Tag>
    <b:SourceType>Report</b:SourceType>
    <b:Guid>{DBC1E40E-92CE-4D72-BB96-7F93277B0DBA}</b:Guid>
    <b:Title>Maiking Innovations Everyones Business (p. 41)</b:Title>
    <b:Year>2015</b:Year>
    <b:Author>
      <b:Author>
        <b:NameList>
          <b:Person>
            <b:Last>Nilsson</b:Last>
            <b:First>Susanne</b:First>
          </b:Person>
        </b:NameList>
      </b:Author>
    </b:Author>
    <b:RefOrder>35</b:RefOrder>
  </b:Source>
  <b:Source>
    <b:Tag>Sus153</b:Tag>
    <b:SourceType>Report</b:SourceType>
    <b:Guid>{5DD0170D-0468-423A-9B50-91EA1642353F}</b:Guid>
    <b:Author>
      <b:Author>
        <b:NameList>
          <b:Person>
            <b:Last>Nilsson</b:Last>
            <b:First>Susanne</b:First>
          </b:Person>
        </b:NameList>
      </b:Author>
    </b:Author>
    <b:Title>Making Innovation Everyones Business (p. 27)</b:Title>
    <b:Year>2015</b:Year>
    <b:RefOrder>36</b:RefOrder>
  </b:Source>
  <b:Source>
    <b:Tag>Coh2</b:Tag>
    <b:SourceType>Book</b:SourceType>
    <b:Guid>{CEEF7EF3-E01A-449F-9E13-A413CA7B435D}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328)</b:Title>
    <b:Year>2005</b:Year>
    <b:RefOrder>37</b:RefOrder>
  </b:Source>
</b:Sources>
</file>

<file path=customXml/itemProps1.xml><?xml version="1.0" encoding="utf-8"?>
<ds:datastoreItem xmlns:ds="http://schemas.openxmlformats.org/officeDocument/2006/customXml" ds:itemID="{6D83C675-FEF7-4C01-B7DF-7B23D668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1420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43</cp:revision>
  <dcterms:created xsi:type="dcterms:W3CDTF">2015-11-08T14:28:00Z</dcterms:created>
  <dcterms:modified xsi:type="dcterms:W3CDTF">2015-11-12T04:19:00Z</dcterms:modified>
</cp:coreProperties>
</file>