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9B0F99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different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B33E0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>. One such worldview is postpositivism,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Postpositivists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2F3FC5" w:rsidRPr="002F3FC5">
            <w:rPr>
              <w:noProof/>
              <w:lang w:val="en-US"/>
            </w:rPr>
            <w:t xml:space="preserve"> 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According to Kuhn, an acceptable theory in within postpositivism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>
            <w:rPr>
              <w:lang w:val="en-US"/>
            </w:rPr>
            <w:fldChar w:fldCharType="begin"/>
          </w:r>
          <w:r w:rsidR="006F5FA2" w:rsidRPr="006F5FA2">
            <w:rPr>
              <w:lang w:val="en-US"/>
            </w:rPr>
            <w:instrText xml:space="preserve"> CITATION Rob \l 1053 </w:instrText>
          </w:r>
          <w:r w:rsidR="006F5FA2">
            <w:rPr>
              <w:lang w:val="en-US"/>
            </w:rPr>
            <w:fldChar w:fldCharType="separate"/>
          </w:r>
          <w:r w:rsidR="006F5FA2" w:rsidRPr="006F5FA2">
            <w:rPr>
              <w:noProof/>
              <w:lang w:val="en-US"/>
            </w:rPr>
            <w:t>[4]</w:t>
          </w:r>
          <w:r w:rsidR="006F5FA2">
            <w:rPr>
              <w:lang w:val="en-US"/>
            </w:rPr>
            <w:fldChar w:fldCharType="end"/>
          </w:r>
        </w:sdtContent>
      </w:sdt>
      <w:r w:rsidR="006F5FA2">
        <w:rPr>
          <w:lang w:val="en-US"/>
        </w:rPr>
        <w:t xml:space="preserve">. </w:t>
      </w:r>
      <w:r w:rsidR="00EF630A">
        <w:rPr>
          <w:lang w:val="en-US"/>
        </w:rPr>
        <w:t>On the other hand, proponents of social constructivism believe that knowledge is created from individuals interaction with the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 xml:space="preserve"> [5]</w:t>
          </w:r>
          <w:r w:rsidR="00532951">
            <w:rPr>
              <w:lang w:val="en-US"/>
            </w:rPr>
            <w:fldChar w:fldCharType="end"/>
          </w:r>
        </w:sdtContent>
      </w:sdt>
      <w:r w:rsidR="00EF630A">
        <w:rPr>
          <w:lang w:val="en-US"/>
        </w:rPr>
        <w:t xml:space="preserve">. As such, truth is not asbsolute and generalizable since phenomena all happen within a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 xml:space="preserve">. Lincoln and Guba claims that a theory should aim to be if it is more informed and elaborates on 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[7]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 xml:space="preserve">Examining a cross section of researcher Mats Magnussons work, one can infer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methodical eclectisism</w:t>
      </w:r>
      <w:sdt>
        <w:sdtPr>
          <w:rPr>
            <w:lang w:val="en-US"/>
          </w:rPr>
          <w:id w:val="-2031474714"/>
          <w:citation/>
        </w:sdtPr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ie uses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of the qualitative domain. In </w:t>
      </w:r>
      <w:sdt>
        <w:sdtPr>
          <w:rPr>
            <w:lang w:val="en-US"/>
          </w:rPr>
          <w:id w:val="-2069486426"/>
          <w:citation/>
        </w:sdtPr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 xml:space="preserve"> 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Pr="00EB33E0" w:rsidRDefault="00A86364" w:rsidP="009B0F99">
      <w:pPr>
        <w:rPr>
          <w:lang w:val="en-US"/>
        </w:rPr>
      </w:pPr>
      <w:r>
        <w:rPr>
          <w:lang w:val="en-US"/>
        </w:rPr>
        <w:t>Examining Magnussons research from a social constructivist perspective, one might criticize the lack of background perspective of the test subjects. Etnicity and cultural background are important to the results</w:t>
      </w:r>
      <w:sdt>
        <w:sdtPr>
          <w:rPr>
            <w:lang w:val="en-US"/>
          </w:rPr>
          <w:id w:val="1429083279"/>
          <w:citation/>
        </w:sdtPr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Pr="00A86364">
            <w:rPr>
              <w:noProof/>
              <w:lang w:val="en-US"/>
            </w:rPr>
            <w:t xml:space="preserve"> 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Pr="0041088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>, interview subjects job position is presented, which is good, but their social setting is ignored.</w:t>
      </w:r>
      <w:bookmarkStart w:id="0" w:name="_GoBack"/>
      <w:bookmarkEnd w:id="0"/>
      <w:r>
        <w:rPr>
          <w:lang w:val="en-US"/>
        </w:rPr>
        <w:t xml:space="preserve"> </w:t>
      </w:r>
    </w:p>
    <w:sectPr w:rsidR="00A86364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7AB" w:rsidRDefault="001947AB" w:rsidP="00EB33E0">
      <w:pPr>
        <w:spacing w:after="0" w:line="240" w:lineRule="auto"/>
      </w:pPr>
      <w:r>
        <w:separator/>
      </w:r>
    </w:p>
  </w:endnote>
  <w:endnote w:type="continuationSeparator" w:id="0">
    <w:p w:rsidR="001947AB" w:rsidRDefault="001947AB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7AB" w:rsidRDefault="001947AB" w:rsidP="00EB33E0">
      <w:pPr>
        <w:spacing w:after="0" w:line="240" w:lineRule="auto"/>
      </w:pPr>
      <w:r>
        <w:separator/>
      </w:r>
    </w:p>
  </w:footnote>
  <w:footnote w:type="continuationSeparator" w:id="0">
    <w:p w:rsidR="001947AB" w:rsidRDefault="001947AB" w:rsidP="00EB3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97156"/>
    <w:rsid w:val="00122E3E"/>
    <w:rsid w:val="001947AB"/>
    <w:rsid w:val="002772CC"/>
    <w:rsid w:val="002F3FC5"/>
    <w:rsid w:val="0039286B"/>
    <w:rsid w:val="0041088C"/>
    <w:rsid w:val="00532951"/>
    <w:rsid w:val="005A4CEC"/>
    <w:rsid w:val="005C2FD7"/>
    <w:rsid w:val="00620E20"/>
    <w:rsid w:val="006A744B"/>
    <w:rsid w:val="006F5FA2"/>
    <w:rsid w:val="008A73FA"/>
    <w:rsid w:val="009B0F99"/>
    <w:rsid w:val="009D5EE3"/>
    <w:rsid w:val="00A36BDD"/>
    <w:rsid w:val="00A57892"/>
    <w:rsid w:val="00A86364"/>
    <w:rsid w:val="00AF7D7A"/>
    <w:rsid w:val="00BB78BE"/>
    <w:rsid w:val="00C06926"/>
    <w:rsid w:val="00C2605A"/>
    <w:rsid w:val="00D1302D"/>
    <w:rsid w:val="00DF4756"/>
    <w:rsid w:val="00E92E6F"/>
    <w:rsid w:val="00EB33E0"/>
    <w:rsid w:val="00E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B6A63D50-FDF2-4B49-AC78-559BE37E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446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10</cp:revision>
  <dcterms:created xsi:type="dcterms:W3CDTF">2015-11-08T14:28:00Z</dcterms:created>
  <dcterms:modified xsi:type="dcterms:W3CDTF">2015-11-11T05:50:00Z</dcterms:modified>
</cp:coreProperties>
</file>