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Results, Logs, and Graphs</w:t>
      </w:r>
    </w:p>
    <w:p>
      <w:r>
        <w:rPr>
          <w:rFonts w:ascii="Calibri" w:hAnsi="Calibri"/>
        </w:rPr>
        <w:t>This folder contains the main numerical and visual evidence used to support the thesis.</w:t>
      </w:r>
    </w:p>
    <w:p>
      <w:r>
        <w:rPr>
          <w:rFonts w:ascii="Calibri" w:hAnsi="Calibri"/>
        </w:rPr>
        <w:t>Main areas: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PPO</w:t>
      </w:r>
      <w:r>
        <w:rPr>
          <w:rFonts w:ascii="Calibri" w:hAnsi="Calibri"/>
        </w:rPr>
        <w:t>: PPO training summaries, TensorBoard exports, and deterministic evaluation logs.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SAC</w:t>
      </w:r>
      <w:r>
        <w:rPr>
          <w:rFonts w:ascii="Calibri" w:hAnsi="Calibri"/>
        </w:rPr>
        <w:t>: SAC 10-minute deterministic evaluation logs.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Webots_10min_Evaluation</w:t>
      </w:r>
      <w:r>
        <w:rPr>
          <w:rFonts w:ascii="Calibri" w:hAnsi="Calibri"/>
        </w:rPr>
        <w:t>: combined Webots evaluation summary containing both PPO and SAC comparison data.</w:t>
      </w:r>
    </w:p>
    <w:p>
      <w:pPr>
        <w:pStyle w:val="ListBullet"/>
        <w:spacing w:after="80" w:line="300" w:lineRule="auto"/>
      </w:pPr>
      <w:r>
        <w:rPr>
          <w:rFonts w:ascii="Consolas" w:hAnsi="Consolas"/>
          <w:color w:val="1F4D78"/>
          <w:sz w:val="20"/>
        </w:rPr>
        <w:t>Thesis_Figures_Final</w:t>
      </w:r>
      <w:r>
        <w:rPr>
          <w:rFonts w:ascii="Calibri" w:hAnsi="Calibri"/>
        </w:rPr>
        <w:t>: final figures used in the thesis.</w:t>
      </w:r>
    </w:p>
    <w:p>
      <w:r>
        <w:rPr>
          <w:rFonts w:ascii="Calibri" w:hAnsi="Calibri"/>
        </w:rPr>
        <w:t>PPO training logs support the PPO training curves. SAC logs support the 10-minute deterministic Webots evaluation. The combined Webots evaluation summary contains both PPO and SAC comparison data.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subject/>
  <dc:creator>Nijaz Andelic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