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Tabela 9.6 — HPO por arquitetura (melhor configuração e ganhos)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pPr>
              <w:jc w:val="center"/>
            </w:pPr>
            <w:r>
              <w:rPr>
                <w:b/>
              </w:rPr>
              <w:t>Arquitetura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</w:rPr>
              <w:t>Melhor config (HPO)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</w:rPr>
              <w:t>PR-AUC (val) baseline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</w:rPr>
              <w:t>PR-AUC (val) HPO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</w:rPr>
              <w:t>ΔPR-AUC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</w:rPr>
              <w:t>F2 (val) baseline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</w:rPr>
              <w:t>F2 (val) HPO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</w:rPr>
              <w:t>ΔF2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</w:rPr>
              <w:t>Thr* (HPO)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</w:rPr>
              <w:t>Recall* (HPO)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</w:rPr>
              <w:t>Precisão* (HPO)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</w:rPr>
              <w:t>Modelo HPO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</w:rPr>
              <w:t>Modelo baseline</w:t>
            </w:r>
          </w:p>
        </w:tc>
      </w:tr>
      <w:tr>
        <w:tc>
          <w:tcPr>
            <w:tcW w:type="dxa" w:w="665"/>
          </w:tcPr>
          <w:p>
            <w:pPr>
              <w:jc w:val="left"/>
            </w:pPr>
            <w:r>
              <w:t>BILSTM</w:t>
            </w:r>
          </w:p>
        </w:tc>
        <w:tc>
          <w:tcPr>
            <w:tcW w:type="dxa" w:w="665"/>
          </w:tcPr>
          <w:p>
            <w:pPr>
              <w:jc w:val="left"/>
            </w:pPr>
            <w:r/>
          </w:p>
        </w:tc>
        <w:tc>
          <w:tcPr>
            <w:tcW w:type="dxa" w:w="665"/>
          </w:tcPr>
          <w:p>
            <w:pPr>
              <w:jc w:val="right"/>
            </w:pPr>
            <w:r>
              <w:t>0.293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t>0.293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t>0.000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t>0.501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t>0.501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t>0.000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t>0.231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t>0.949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t>0.173</w:t>
            </w:r>
          </w:p>
        </w:tc>
        <w:tc>
          <w:tcPr>
            <w:tcW w:type="dxa" w:w="665"/>
          </w:tcPr>
          <w:p>
            <w:pPr>
              <w:jc w:val="left"/>
            </w:pPr>
            <w:r>
              <w:t>top1_bilstm.keras</w:t>
            </w:r>
          </w:p>
        </w:tc>
        <w:tc>
          <w:tcPr>
            <w:tcW w:type="dxa" w:w="665"/>
          </w:tcPr>
          <w:p>
            <w:pPr>
              <w:jc w:val="left"/>
            </w:pPr>
            <w:r>
              <w:t>bilstm.keras</w:t>
            </w:r>
          </w:p>
        </w:tc>
      </w:tr>
      <w:tr>
        <w:tc>
          <w:tcPr>
            <w:tcW w:type="dxa" w:w="665"/>
          </w:tcPr>
          <w:p>
            <w:pPr>
              <w:jc w:val="left"/>
            </w:pPr>
            <w:r>
              <w:t>BIGRU</w:t>
            </w:r>
          </w:p>
        </w:tc>
        <w:tc>
          <w:tcPr>
            <w:tcW w:type="dxa" w:w="665"/>
          </w:tcPr>
          <w:p>
            <w:pPr>
              <w:jc w:val="left"/>
            </w:pPr>
            <w:r/>
          </w:p>
        </w:tc>
        <w:tc>
          <w:tcPr>
            <w:tcW w:type="dxa" w:w="665"/>
          </w:tcPr>
          <w:p>
            <w:pPr>
              <w:jc w:val="right"/>
            </w:pPr>
            <w:r>
              <w:t>0.279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t>0.279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t>0.000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t>0.507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t>0.507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t>0.000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t>0.402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t>0.867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t>0.191</w:t>
            </w:r>
          </w:p>
        </w:tc>
        <w:tc>
          <w:tcPr>
            <w:tcW w:type="dxa" w:w="665"/>
          </w:tcPr>
          <w:p>
            <w:pPr>
              <w:jc w:val="left"/>
            </w:pPr>
            <w:r>
              <w:t>top2_bigru.keras</w:t>
            </w:r>
          </w:p>
        </w:tc>
        <w:tc>
          <w:tcPr>
            <w:tcW w:type="dxa" w:w="665"/>
          </w:tcPr>
          <w:p>
            <w:pPr>
              <w:jc w:val="left"/>
            </w:pPr>
            <w:r>
              <w:t>bigru.keras</w:t>
            </w:r>
          </w:p>
        </w:tc>
      </w:tr>
      <w:tr>
        <w:tc>
          <w:tcPr>
            <w:tcW w:type="dxa" w:w="665"/>
          </w:tcPr>
          <w:p>
            <w:pPr>
              <w:jc w:val="left"/>
            </w:pPr>
            <w:r>
              <w:t>GRU</w:t>
            </w:r>
          </w:p>
        </w:tc>
        <w:tc>
          <w:tcPr>
            <w:tcW w:type="dxa" w:w="665"/>
          </w:tcPr>
          <w:p>
            <w:pPr>
              <w:jc w:val="left"/>
            </w:pPr>
            <w:r/>
          </w:p>
        </w:tc>
        <w:tc>
          <w:tcPr>
            <w:tcW w:type="dxa" w:w="665"/>
          </w:tcPr>
          <w:p>
            <w:pPr>
              <w:jc w:val="right"/>
            </w:pPr>
            <w:r>
              <w:t>0.276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t>0.279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t>0.003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t>0.502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t>0.507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t>0.005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t>0.402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t>0.867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t>0.191</w:t>
            </w:r>
          </w:p>
        </w:tc>
        <w:tc>
          <w:tcPr>
            <w:tcW w:type="dxa" w:w="665"/>
          </w:tcPr>
          <w:p>
            <w:pPr>
              <w:jc w:val="left"/>
            </w:pPr>
            <w:r>
              <w:t>top2_bigru.keras</w:t>
            </w:r>
          </w:p>
        </w:tc>
        <w:tc>
          <w:tcPr>
            <w:tcW w:type="dxa" w:w="665"/>
          </w:tcPr>
          <w:p>
            <w:pPr>
              <w:jc w:val="left"/>
            </w:pPr>
            <w:r>
              <w:t>gru.keras</w:t>
            </w:r>
          </w:p>
        </w:tc>
      </w:tr>
      <w:tr>
        <w:tc>
          <w:tcPr>
            <w:tcW w:type="dxa" w:w="665"/>
          </w:tcPr>
          <w:p>
            <w:pPr>
              <w:jc w:val="left"/>
            </w:pPr>
            <w:r>
              <w:t>LSTM</w:t>
            </w:r>
          </w:p>
        </w:tc>
        <w:tc>
          <w:tcPr>
            <w:tcW w:type="dxa" w:w="665"/>
          </w:tcPr>
          <w:p>
            <w:pPr>
              <w:jc w:val="left"/>
            </w:pPr>
            <w:r/>
          </w:p>
        </w:tc>
        <w:tc>
          <w:tcPr>
            <w:tcW w:type="dxa" w:w="665"/>
          </w:tcPr>
          <w:p>
            <w:pPr>
              <w:jc w:val="right"/>
            </w:pPr>
            <w:r>
              <w:t>0.271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t>0.293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t>0.022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t>0.503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t>0.501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t>-0.002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t>0.231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t>0.949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t>0.173</w:t>
            </w:r>
          </w:p>
        </w:tc>
        <w:tc>
          <w:tcPr>
            <w:tcW w:type="dxa" w:w="665"/>
          </w:tcPr>
          <w:p>
            <w:pPr>
              <w:jc w:val="left"/>
            </w:pPr>
            <w:r>
              <w:t>top1_bilstm.keras</w:t>
            </w:r>
          </w:p>
        </w:tc>
        <w:tc>
          <w:tcPr>
            <w:tcW w:type="dxa" w:w="665"/>
          </w:tcPr>
          <w:p>
            <w:pPr>
              <w:jc w:val="left"/>
            </w:pPr>
            <w:r>
              <w:t>lstm.keras</w:t>
            </w:r>
          </w:p>
        </w:tc>
      </w:tr>
      <w:tr>
        <w:tc>
          <w:tcPr>
            <w:tcW w:type="dxa" w:w="665"/>
          </w:tcPr>
          <w:p>
            <w:pPr>
              <w:jc w:val="left"/>
            </w:pPr>
            <w:r>
              <w:t>CNN1D</w:t>
            </w:r>
          </w:p>
        </w:tc>
        <w:tc>
          <w:tcPr>
            <w:tcW w:type="dxa" w:w="665"/>
          </w:tcPr>
          <w:p>
            <w:pPr>
              <w:jc w:val="left"/>
            </w:pPr>
            <w:r/>
          </w:p>
        </w:tc>
        <w:tc>
          <w:tcPr>
            <w:tcW w:type="dxa" w:w="665"/>
          </w:tcPr>
          <w:p>
            <w:pPr>
              <w:jc w:val="right"/>
            </w:pPr>
            <w:r>
              <w:t>0.274</w:t>
            </w:r>
          </w:p>
        </w:tc>
        <w:tc>
          <w:tcPr>
            <w:tcW w:type="dxa" w:w="665"/>
          </w:tcPr>
          <w:p>
            <w:pPr>
              <w:jc w:val="right"/>
            </w:pPr>
            <w:r/>
          </w:p>
        </w:tc>
        <w:tc>
          <w:tcPr>
            <w:tcW w:type="dxa" w:w="665"/>
          </w:tcPr>
          <w:p>
            <w:pPr>
              <w:jc w:val="right"/>
            </w:pPr>
            <w:r/>
          </w:p>
        </w:tc>
        <w:tc>
          <w:tcPr>
            <w:tcW w:type="dxa" w:w="665"/>
          </w:tcPr>
          <w:p>
            <w:pPr>
              <w:jc w:val="right"/>
            </w:pPr>
            <w:r>
              <w:t>0.497</w:t>
            </w:r>
          </w:p>
        </w:tc>
        <w:tc>
          <w:tcPr>
            <w:tcW w:type="dxa" w:w="665"/>
          </w:tcPr>
          <w:p>
            <w:pPr>
              <w:jc w:val="right"/>
            </w:pPr>
            <w:r/>
          </w:p>
        </w:tc>
        <w:tc>
          <w:tcPr>
            <w:tcW w:type="dxa" w:w="665"/>
          </w:tcPr>
          <w:p>
            <w:pPr>
              <w:jc w:val="right"/>
            </w:pPr>
            <w:r/>
          </w:p>
        </w:tc>
        <w:tc>
          <w:tcPr>
            <w:tcW w:type="dxa" w:w="665"/>
          </w:tcPr>
          <w:p>
            <w:pPr>
              <w:jc w:val="right"/>
            </w:pPr>
            <w:r/>
          </w:p>
        </w:tc>
        <w:tc>
          <w:tcPr>
            <w:tcW w:type="dxa" w:w="665"/>
          </w:tcPr>
          <w:p>
            <w:pPr>
              <w:jc w:val="right"/>
            </w:pPr>
            <w:r/>
          </w:p>
        </w:tc>
        <w:tc>
          <w:tcPr>
            <w:tcW w:type="dxa" w:w="665"/>
          </w:tcPr>
          <w:p>
            <w:pPr>
              <w:jc w:val="right"/>
            </w:pPr>
            <w:r/>
          </w:p>
        </w:tc>
        <w:tc>
          <w:tcPr>
            <w:tcW w:type="dxa" w:w="665"/>
          </w:tcPr>
          <w:p>
            <w:pPr>
              <w:jc w:val="left"/>
            </w:pPr>
            <w:r/>
          </w:p>
        </w:tc>
        <w:tc>
          <w:tcPr>
            <w:tcW w:type="dxa" w:w="665"/>
          </w:tcPr>
          <w:p>
            <w:pPr>
              <w:jc w:val="left"/>
            </w:pPr>
            <w:r>
              <w:t>cnn1d.keras</w:t>
            </w:r>
          </w:p>
        </w:tc>
      </w:tr>
      <w:tr>
        <w:tc>
          <w:tcPr>
            <w:tcW w:type="dxa" w:w="665"/>
          </w:tcPr>
          <w:p>
            <w:pPr>
              <w:jc w:val="left"/>
            </w:pPr>
            <w:r>
              <w:t>TCN</w:t>
            </w:r>
          </w:p>
        </w:tc>
        <w:tc>
          <w:tcPr>
            <w:tcW w:type="dxa" w:w="665"/>
          </w:tcPr>
          <w:p>
            <w:pPr>
              <w:jc w:val="left"/>
            </w:pPr>
            <w:r/>
          </w:p>
        </w:tc>
        <w:tc>
          <w:tcPr>
            <w:tcW w:type="dxa" w:w="665"/>
          </w:tcPr>
          <w:p>
            <w:pPr>
              <w:jc w:val="right"/>
            </w:pPr>
            <w:r>
              <w:t>0.252</w:t>
            </w:r>
          </w:p>
        </w:tc>
        <w:tc>
          <w:tcPr>
            <w:tcW w:type="dxa" w:w="665"/>
          </w:tcPr>
          <w:p>
            <w:pPr>
              <w:jc w:val="right"/>
            </w:pPr>
            <w:r/>
          </w:p>
        </w:tc>
        <w:tc>
          <w:tcPr>
            <w:tcW w:type="dxa" w:w="665"/>
          </w:tcPr>
          <w:p>
            <w:pPr>
              <w:jc w:val="right"/>
            </w:pPr>
            <w:r/>
          </w:p>
        </w:tc>
        <w:tc>
          <w:tcPr>
            <w:tcW w:type="dxa" w:w="665"/>
          </w:tcPr>
          <w:p>
            <w:pPr>
              <w:jc w:val="right"/>
            </w:pPr>
            <w:r>
              <w:t>0.483</w:t>
            </w:r>
          </w:p>
        </w:tc>
        <w:tc>
          <w:tcPr>
            <w:tcW w:type="dxa" w:w="665"/>
          </w:tcPr>
          <w:p>
            <w:pPr>
              <w:jc w:val="right"/>
            </w:pPr>
            <w:r/>
          </w:p>
        </w:tc>
        <w:tc>
          <w:tcPr>
            <w:tcW w:type="dxa" w:w="665"/>
          </w:tcPr>
          <w:p>
            <w:pPr>
              <w:jc w:val="right"/>
            </w:pPr>
            <w:r/>
          </w:p>
        </w:tc>
        <w:tc>
          <w:tcPr>
            <w:tcW w:type="dxa" w:w="665"/>
          </w:tcPr>
          <w:p>
            <w:pPr>
              <w:jc w:val="right"/>
            </w:pPr>
            <w:r/>
          </w:p>
        </w:tc>
        <w:tc>
          <w:tcPr>
            <w:tcW w:type="dxa" w:w="665"/>
          </w:tcPr>
          <w:p>
            <w:pPr>
              <w:jc w:val="right"/>
            </w:pPr>
            <w:r/>
          </w:p>
        </w:tc>
        <w:tc>
          <w:tcPr>
            <w:tcW w:type="dxa" w:w="665"/>
          </w:tcPr>
          <w:p>
            <w:pPr>
              <w:jc w:val="right"/>
            </w:pPr>
            <w:r/>
          </w:p>
        </w:tc>
        <w:tc>
          <w:tcPr>
            <w:tcW w:type="dxa" w:w="665"/>
          </w:tcPr>
          <w:p>
            <w:pPr>
              <w:jc w:val="left"/>
            </w:pPr>
            <w:r/>
          </w:p>
        </w:tc>
        <w:tc>
          <w:tcPr>
            <w:tcW w:type="dxa" w:w="665"/>
          </w:tcPr>
          <w:p>
            <w:pPr>
              <w:jc w:val="left"/>
            </w:pPr>
            <w:r>
              <w:t>tcn.keras</w:t>
            </w:r>
          </w:p>
        </w:tc>
      </w:tr>
    </w:tbl>
    <w:p/>
    <w:p>
      <w:r>
        <w:rPr>
          <w:i/>
        </w:rPr>
        <w:t xml:space="preserve">Métrica em validação; F2 e (Recall/Precisão) medidos no threshold que maximizou F2.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