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74E" w:rsidRPr="0085151A" w:rsidRDefault="00A7674E" w:rsidP="00A7674E">
      <w:pPr>
        <w:spacing w:after="0" w:line="240" w:lineRule="auto"/>
        <w:jc w:val="center"/>
        <w:rPr>
          <w:rFonts w:cs="Calibri"/>
          <w:b/>
          <w:sz w:val="36"/>
        </w:rPr>
      </w:pPr>
    </w:p>
    <w:p w:rsidR="00A7674E" w:rsidRPr="0085151A" w:rsidRDefault="00A7674E" w:rsidP="00A7674E">
      <w:pPr>
        <w:spacing w:after="0" w:line="240" w:lineRule="auto"/>
        <w:jc w:val="center"/>
        <w:rPr>
          <w:rFonts w:cs="Calibri"/>
          <w:b/>
          <w:sz w:val="36"/>
        </w:rPr>
      </w:pPr>
      <w:r w:rsidRPr="0085151A">
        <w:rPr>
          <w:rFonts w:cs="Calibri"/>
          <w:b/>
          <w:sz w:val="36"/>
        </w:rPr>
        <w:t>PERJANJIAN MENGGANTI KERUGIAN</w:t>
      </w:r>
    </w:p>
    <w:p w:rsidR="00A7674E" w:rsidRPr="0085151A" w:rsidRDefault="00A7674E" w:rsidP="00A7674E">
      <w:pPr>
        <w:spacing w:after="0" w:line="240" w:lineRule="auto"/>
        <w:rPr>
          <w:rFonts w:cs="Calibri"/>
          <w:b/>
          <w:sz w:val="18"/>
        </w:rPr>
      </w:pPr>
    </w:p>
    <w:p w:rsidR="001A5599" w:rsidRDefault="00A7674E" w:rsidP="00A7674E">
      <w:pPr>
        <w:spacing w:after="0" w:line="240" w:lineRule="auto"/>
        <w:jc w:val="both"/>
        <w:rPr>
          <w:rFonts w:cs="Calibri"/>
        </w:rPr>
      </w:pPr>
      <w:r w:rsidRPr="0085151A">
        <w:rPr>
          <w:rFonts w:cs="Calibri"/>
        </w:rPr>
        <w:t>Dengan ini kami pihak Terjamin mengikat diri pada pihak Penjamin bahwa, apabila pihak Penerima Jaminan melakukan pencairan Sertifikat Penjaminan Surety Bond atas nama pihak Terjamin yang menyebabkan kerugian pada pihak Penjamin, maka kami pihak Terjamin dan atau Pengurus, pihak Pengganti dan atau ahli warisnya, secara sendiri-sendiri maupun secara bersama-sama, wajib mengganti kerugian yang dialami oleh pihak Penjamin tersebut.</w:t>
      </w:r>
    </w:p>
    <w:p w:rsidR="00A7674E" w:rsidRPr="0085151A" w:rsidRDefault="001A5599" w:rsidP="00A7674E">
      <w:pPr>
        <w:spacing w:after="0" w:line="240" w:lineRule="auto"/>
        <w:jc w:val="both"/>
        <w:rPr>
          <w:rFonts w:cs="Calibri"/>
          <w:sz w:val="10"/>
        </w:rPr>
      </w:pPr>
      <w:r w:rsidRPr="0085151A">
        <w:rPr>
          <w:rFonts w:cs="Calibri"/>
          <w:sz w:val="10"/>
        </w:rPr>
        <w:t xml:space="preserve"> </w:t>
      </w:r>
    </w:p>
    <w:p w:rsidR="00A7674E" w:rsidRPr="0085151A" w:rsidRDefault="00A7674E" w:rsidP="00A7674E">
      <w:pPr>
        <w:spacing w:after="0" w:line="240" w:lineRule="auto"/>
        <w:jc w:val="both"/>
        <w:rPr>
          <w:rFonts w:cs="Calibri"/>
        </w:rPr>
      </w:pPr>
      <w:r w:rsidRPr="0085151A">
        <w:rPr>
          <w:rFonts w:cs="Calibri"/>
        </w:rPr>
        <w:t>Besarnya kerugian yang dialami oleh pihak Penjamin adalah sebesar nilai yang telah dibayarkan oleh pihak Penjamin</w:t>
      </w:r>
      <w:r w:rsidR="008E426B">
        <w:rPr>
          <w:rFonts w:cs="Calibri"/>
        </w:rPr>
        <w:t xml:space="preserve"> kepada pihak Penerima Jaminan.</w:t>
      </w:r>
      <w:r w:rsidR="008E426B" w:rsidRPr="008E426B">
        <w:rPr>
          <w:rFonts w:cs="Calibri"/>
        </w:rPr>
        <w:t xml:space="preserve"> </w:t>
      </w:r>
    </w:p>
    <w:p w:rsidR="00A7674E" w:rsidRPr="0085151A" w:rsidRDefault="00A7674E" w:rsidP="00A7674E">
      <w:pPr>
        <w:spacing w:after="0" w:line="240" w:lineRule="auto"/>
        <w:jc w:val="both"/>
        <w:rPr>
          <w:rFonts w:cs="Calibri"/>
          <w:sz w:val="10"/>
        </w:rPr>
      </w:pPr>
    </w:p>
    <w:p w:rsidR="00A7674E" w:rsidRPr="0085151A" w:rsidRDefault="00A7674E" w:rsidP="00A7674E">
      <w:pPr>
        <w:spacing w:after="0" w:line="240" w:lineRule="auto"/>
        <w:jc w:val="both"/>
        <w:rPr>
          <w:rFonts w:cs="Calibri"/>
        </w:rPr>
      </w:pPr>
      <w:r w:rsidRPr="0085151A">
        <w:rPr>
          <w:rFonts w:cs="Calibri"/>
        </w:rPr>
        <w:t>Pembayaran mengganti kerugian ini harus dilaksanakan oleh pihak Terjamin dan atau Pengurus dan atau pihak Pengganti dan atau ahli warisnya, kepada pihak Penjamin selambat-lambatnya dalam waktu 14 (empat belas) hari kalender terhitung sejak pihak Penjamin melakukan pembayaran</w:t>
      </w:r>
      <w:r w:rsidR="008E426B">
        <w:rPr>
          <w:rFonts w:cs="Calibri"/>
        </w:rPr>
        <w:t xml:space="preserve"> kepada pihak Penerima Jaminan.</w:t>
      </w:r>
      <w:r w:rsidR="008E426B" w:rsidRPr="008E426B">
        <w:rPr>
          <w:rFonts w:cs="Calibri"/>
        </w:rPr>
        <w:t xml:space="preserve"> </w:t>
      </w:r>
    </w:p>
    <w:p w:rsidR="00A7674E" w:rsidRPr="0085151A" w:rsidRDefault="00A7674E" w:rsidP="00A7674E">
      <w:pPr>
        <w:spacing w:after="0" w:line="240" w:lineRule="auto"/>
        <w:jc w:val="both"/>
        <w:rPr>
          <w:rFonts w:cs="Calibri"/>
          <w:sz w:val="10"/>
        </w:rPr>
      </w:pPr>
    </w:p>
    <w:p w:rsidR="00A7674E" w:rsidRDefault="00A7674E" w:rsidP="00A7674E">
      <w:pPr>
        <w:spacing w:after="0" w:line="240" w:lineRule="auto"/>
        <w:jc w:val="both"/>
        <w:rPr>
          <w:rFonts w:cs="Calibri"/>
        </w:rPr>
      </w:pPr>
      <w:r w:rsidRPr="0085151A">
        <w:rPr>
          <w:rFonts w:cs="Calibri"/>
        </w:rPr>
        <w:t>Apabila dalam waktu 14 (empat belas) hari dimaksud, pihak Terjamin dan atau Pengurus dan atau pihak Pengganti dan atau ahli warisnya tidak dapat melaksanakan kewajiban membayar kerugian pihak Penjamin dimaksud, maka pihak Terjamin dan atau Pengurus, pihak Pengganti dan atau ahli warisnya baik secara sendiri-sendiri maupun secara bersama-sama memiliki hutang kepada pihak Penjamin dan berjanji akan membayar hutang tersebut dalam tempo 30 (tiga puluh) hari, terhitung sejak pihak Penjamin melakukan pembayaran kepada Penerima Jaminan. Apabila dalam batas waktu tersebut Terjamin maupun pihak terkait lainnya tidak menyelesaikan pembayaran hutang dimaksud, maka Penjamin akan mene</w:t>
      </w:r>
      <w:r w:rsidR="008E426B">
        <w:rPr>
          <w:rFonts w:cs="Calibri"/>
        </w:rPr>
        <w:t>mpuh penyelesaian secara hukum.</w:t>
      </w:r>
      <w:r w:rsidR="008E426B" w:rsidRPr="008E426B">
        <w:rPr>
          <w:rFonts w:cs="Calibri"/>
        </w:rPr>
        <w:t xml:space="preserve"> </w:t>
      </w:r>
    </w:p>
    <w:p w:rsidR="001A5599" w:rsidRPr="0085151A" w:rsidRDefault="001A5599" w:rsidP="00A7674E">
      <w:pPr>
        <w:spacing w:after="0" w:line="240" w:lineRule="auto"/>
        <w:jc w:val="both"/>
        <w:rPr>
          <w:rFonts w:cs="Calibri"/>
          <w:sz w:val="10"/>
        </w:rPr>
      </w:pPr>
    </w:p>
    <w:p w:rsidR="00A7674E" w:rsidRDefault="00A7674E" w:rsidP="00A7674E">
      <w:pPr>
        <w:spacing w:after="0" w:line="240" w:lineRule="auto"/>
        <w:jc w:val="both"/>
        <w:rPr>
          <w:rFonts w:cs="Calibri"/>
        </w:rPr>
      </w:pPr>
      <w:r w:rsidRPr="0085151A">
        <w:rPr>
          <w:rFonts w:cs="Calibri"/>
        </w:rPr>
        <w:t>Besarnya hutang pihak Terjamin kepada pihak Penjamin dimaksud adalah sebesar nilai yang telah dibayarkan oleh pihak Penjamin kepada pihak Penerima Jaminan ditambah dengan bunga yang besarnya minimal setara dengan tingkat suku bunga pinjaman di Bank.</w:t>
      </w:r>
      <w:r w:rsidR="008E426B" w:rsidRPr="008E426B">
        <w:rPr>
          <w:rFonts w:cs="Calibri"/>
        </w:rPr>
        <w:t xml:space="preserve"> </w:t>
      </w:r>
    </w:p>
    <w:p w:rsidR="001A5599" w:rsidRPr="0085151A" w:rsidRDefault="001A5599" w:rsidP="00A7674E">
      <w:pPr>
        <w:spacing w:after="0" w:line="240" w:lineRule="auto"/>
        <w:jc w:val="both"/>
        <w:rPr>
          <w:rFonts w:cs="Calibri"/>
          <w:sz w:val="10"/>
        </w:rPr>
      </w:pPr>
    </w:p>
    <w:p w:rsidR="00A7674E" w:rsidRDefault="00A7674E" w:rsidP="00A7674E">
      <w:pPr>
        <w:spacing w:after="0" w:line="240" w:lineRule="auto"/>
        <w:jc w:val="both"/>
        <w:rPr>
          <w:rFonts w:cs="Calibri"/>
        </w:rPr>
      </w:pPr>
      <w:r w:rsidRPr="0085151A">
        <w:rPr>
          <w:rFonts w:cs="Calibri"/>
        </w:rPr>
        <w:t xml:space="preserve">Dalam hal terdapat barang agunan atau collateral yang merupakan syarat dari penerbitan Sertifikat Penjaminan dimaksud, maka Perjanjian Mengganti Kerugian ini berfungsi sebagai Surat Kuasa yang diberikan oleh pihak Terjamin dan atau Pengurus, pihak Pengganti, dan atau ahli warisnya maupun pihak lain sebagai Pemilik hak atas barang agunan atau collateral dimaksud kepada Pihak Penjamin untuk menyita dan atau menjual barang agunan atau collateral dimaksud. </w:t>
      </w:r>
    </w:p>
    <w:p w:rsidR="001A5599" w:rsidRPr="0085151A" w:rsidRDefault="001A5599" w:rsidP="00A7674E">
      <w:pPr>
        <w:spacing w:after="0" w:line="240" w:lineRule="auto"/>
        <w:jc w:val="both"/>
        <w:rPr>
          <w:rFonts w:cs="Calibri"/>
          <w:sz w:val="10"/>
        </w:rPr>
      </w:pPr>
    </w:p>
    <w:p w:rsidR="001A5599" w:rsidRPr="0085151A" w:rsidRDefault="00A7674E" w:rsidP="00A7674E">
      <w:pPr>
        <w:spacing w:after="0" w:line="240" w:lineRule="auto"/>
        <w:jc w:val="both"/>
        <w:rPr>
          <w:rFonts w:cs="Calibri"/>
        </w:rPr>
      </w:pPr>
      <w:r w:rsidRPr="0085151A">
        <w:rPr>
          <w:rFonts w:cs="Calibri"/>
        </w:rPr>
        <w:t xml:space="preserve">Hasil penjualan barang agunan atau collateral ini akan dipergunakan untuk membayar hutang pihak Terjamin kepada pihak Penjamin. </w:t>
      </w:r>
    </w:p>
    <w:p w:rsidR="00A7674E" w:rsidRPr="0085151A" w:rsidRDefault="00A7674E" w:rsidP="00A7674E">
      <w:pPr>
        <w:spacing w:after="0" w:line="240" w:lineRule="auto"/>
        <w:jc w:val="both"/>
        <w:rPr>
          <w:rFonts w:cs="Calibri"/>
          <w:sz w:val="10"/>
        </w:rPr>
      </w:pPr>
    </w:p>
    <w:p w:rsidR="00A7674E" w:rsidRPr="0085151A" w:rsidRDefault="00A7674E" w:rsidP="00A7674E">
      <w:pPr>
        <w:pStyle w:val="NoSpacing"/>
        <w:jc w:val="both"/>
        <w:rPr>
          <w:rFonts w:cs="Calibri"/>
        </w:rPr>
      </w:pPr>
      <w:r w:rsidRPr="0085151A">
        <w:rPr>
          <w:rFonts w:cs="Calibri"/>
        </w:rPr>
        <w:t xml:space="preserve">Apabila terdapat kelebihan harga atas penjualan barang agunan atau collateral dimaksud, maka kelebihan harga tersebut akan diserahkan atau dikembalikan kepada pihak Terjamin dan atau Pengurus dan atau pihak Pengganti atau ahli warisnya. </w:t>
      </w:r>
    </w:p>
    <w:p w:rsidR="00A7674E" w:rsidRPr="0085151A" w:rsidRDefault="00A7674E" w:rsidP="00A7674E">
      <w:pPr>
        <w:pStyle w:val="NoSpacing"/>
        <w:jc w:val="both"/>
        <w:rPr>
          <w:rFonts w:cs="Calibri"/>
          <w:sz w:val="10"/>
        </w:rPr>
      </w:pPr>
    </w:p>
    <w:p w:rsidR="00A7674E" w:rsidRPr="0085151A" w:rsidRDefault="00A7674E" w:rsidP="00A7674E">
      <w:pPr>
        <w:pStyle w:val="NoSpacing"/>
        <w:jc w:val="both"/>
        <w:rPr>
          <w:rFonts w:cs="Calibri"/>
        </w:rPr>
      </w:pPr>
      <w:r w:rsidRPr="0085151A">
        <w:rPr>
          <w:rFonts w:cs="Calibri"/>
        </w:rPr>
        <w:t xml:space="preserve">Perjanjian Mengganti Kerugian ini merupakan bagian tidak terpisahkan dari </w:t>
      </w:r>
      <w:r w:rsidR="0085395D" w:rsidRPr="0085151A">
        <w:rPr>
          <w:rFonts w:cs="Calibri"/>
        </w:rPr>
        <w:t xml:space="preserve">Sertifikat </w:t>
      </w:r>
      <w:r w:rsidR="00CC4B73" w:rsidRPr="0085151A">
        <w:rPr>
          <w:rFonts w:cs="Calibri"/>
        </w:rPr>
        <w:t>%</w:t>
      </w:r>
      <w:r w:rsidR="003F3F79" w:rsidRPr="003F3F79">
        <w:rPr>
          <w:rFonts w:cs="Calibri"/>
        </w:rPr>
        <w:t>sp_jenis_sb</w:t>
      </w:r>
      <w:r w:rsidR="00CC4B73" w:rsidRPr="0085151A">
        <w:rPr>
          <w:rFonts w:cs="Calibri"/>
        </w:rPr>
        <w:t>%</w:t>
      </w:r>
      <w:r w:rsidRPr="0085151A">
        <w:rPr>
          <w:rFonts w:cs="Calibri"/>
        </w:rPr>
        <w:t xml:space="preserve"> Nomor : </w:t>
      </w:r>
      <w:r w:rsidR="00CC4B73" w:rsidRPr="0085151A">
        <w:rPr>
          <w:rFonts w:cs="Calibri"/>
          <w:b/>
        </w:rPr>
        <w:t>%</w:t>
      </w:r>
      <w:r w:rsidR="00A3254B" w:rsidRPr="00A3254B">
        <w:rPr>
          <w:rFonts w:cs="Calibri"/>
          <w:b/>
        </w:rPr>
        <w:t>sp_nomor</w:t>
      </w:r>
      <w:r w:rsidR="00CC4B73" w:rsidRPr="0085151A">
        <w:rPr>
          <w:rFonts w:cs="Calibri"/>
          <w:b/>
        </w:rPr>
        <w:t>%</w:t>
      </w:r>
      <w:r w:rsidRPr="0085151A">
        <w:rPr>
          <w:rFonts w:cs="Calibri"/>
          <w:b/>
        </w:rPr>
        <w:t xml:space="preserve"> </w:t>
      </w:r>
      <w:r w:rsidRPr="0085151A">
        <w:rPr>
          <w:rFonts w:cs="Calibri"/>
        </w:rPr>
        <w:t xml:space="preserve">tanggal </w:t>
      </w:r>
      <w:r w:rsidR="00CC4B73" w:rsidRPr="0085151A">
        <w:rPr>
          <w:rFonts w:cs="Calibri"/>
        </w:rPr>
        <w:t>%</w:t>
      </w:r>
      <w:r w:rsidR="00356AEC" w:rsidRPr="00356AEC">
        <w:rPr>
          <w:rFonts w:cs="Calibri"/>
        </w:rPr>
        <w:t>sp_tanggal</w:t>
      </w:r>
      <w:r w:rsidR="00CC4B73" w:rsidRPr="0085151A">
        <w:rPr>
          <w:rFonts w:cs="Calibri"/>
        </w:rPr>
        <w:t>%</w:t>
      </w:r>
      <w:r w:rsidRPr="0085151A">
        <w:rPr>
          <w:rFonts w:cs="Calibri"/>
        </w:rPr>
        <w:t>.</w:t>
      </w:r>
    </w:p>
    <w:p w:rsidR="00A7674E" w:rsidRPr="0085151A" w:rsidRDefault="00A7674E" w:rsidP="00A7674E">
      <w:pPr>
        <w:pStyle w:val="NoSpacing"/>
        <w:jc w:val="both"/>
        <w:rPr>
          <w:rFonts w:cs="Calibri"/>
          <w:sz w:val="10"/>
        </w:rPr>
      </w:pPr>
    </w:p>
    <w:p w:rsidR="00A7674E" w:rsidRPr="0085151A" w:rsidRDefault="00A7674E" w:rsidP="00A7674E">
      <w:pPr>
        <w:pStyle w:val="NoSpacing"/>
        <w:jc w:val="both"/>
        <w:rPr>
          <w:rFonts w:cs="Calibri"/>
        </w:rPr>
      </w:pPr>
      <w:r w:rsidRPr="0085151A">
        <w:rPr>
          <w:rFonts w:cs="Calibri"/>
        </w:rPr>
        <w:t xml:space="preserve">Dibuat  di </w:t>
      </w:r>
      <w:r w:rsidR="00CC4B73" w:rsidRPr="0085151A">
        <w:rPr>
          <w:rFonts w:cs="Calibri"/>
        </w:rPr>
        <w:t>%kota_agen%</w:t>
      </w:r>
      <w:r w:rsidRPr="0085151A">
        <w:rPr>
          <w:rFonts w:cs="Calibri"/>
        </w:rPr>
        <w:t xml:space="preserve">   </w:t>
      </w:r>
    </w:p>
    <w:p w:rsidR="00A7674E" w:rsidRPr="0085151A" w:rsidRDefault="00A7674E" w:rsidP="00A7674E">
      <w:pPr>
        <w:pStyle w:val="NoSpacing"/>
        <w:jc w:val="both"/>
        <w:rPr>
          <w:rFonts w:cs="Calibri"/>
        </w:rPr>
      </w:pPr>
      <w:r w:rsidRPr="0085151A">
        <w:rPr>
          <w:rFonts w:cs="Calibri"/>
        </w:rPr>
        <w:t xml:space="preserve">Pada tanggal  </w:t>
      </w:r>
      <w:r w:rsidR="00886B27">
        <w:rPr>
          <w:rFonts w:cs="Calibri"/>
        </w:rPr>
        <w:t>%</w:t>
      </w:r>
      <w:r w:rsidR="00886B27" w:rsidRPr="00356AEC">
        <w:rPr>
          <w:rFonts w:cs="Calibri"/>
        </w:rPr>
        <w:t>sp_tanggal</w:t>
      </w:r>
      <w:r w:rsidR="00CC4B73" w:rsidRPr="0085151A">
        <w:rPr>
          <w:rFonts w:cs="Calibri"/>
        </w:rPr>
        <w:t>%</w:t>
      </w:r>
      <w:r w:rsidRPr="0085151A">
        <w:rPr>
          <w:rFonts w:cs="Calibri"/>
        </w:rPr>
        <w:t>.</w:t>
      </w:r>
    </w:p>
    <w:p w:rsidR="00A7674E" w:rsidRPr="0085151A" w:rsidRDefault="00A7674E" w:rsidP="00A7674E">
      <w:pPr>
        <w:pStyle w:val="NoSpacing"/>
        <w:jc w:val="both"/>
        <w:rPr>
          <w:rFonts w:cs="Calibri"/>
          <w:b/>
          <w:sz w:val="16"/>
          <w:szCs w:val="16"/>
        </w:rPr>
      </w:pPr>
    </w:p>
    <w:p w:rsidR="00A7674E" w:rsidRPr="0085151A" w:rsidRDefault="00A7674E" w:rsidP="00A7674E">
      <w:pPr>
        <w:pStyle w:val="NoSpacing"/>
        <w:jc w:val="both"/>
        <w:rPr>
          <w:rFonts w:cs="Calibri"/>
          <w:b/>
          <w:sz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5151A" w:rsidRPr="0085151A" w:rsidTr="005A04B8">
        <w:tc>
          <w:tcPr>
            <w:tcW w:w="4675" w:type="dxa"/>
          </w:tcPr>
          <w:p w:rsidR="00CC4B73" w:rsidRPr="0085151A" w:rsidRDefault="00CC4B73" w:rsidP="005A04B8">
            <w:pPr>
              <w:pStyle w:val="NoSpacing"/>
              <w:rPr>
                <w:rFonts w:ascii="Verdana" w:hAnsi="Verdana"/>
                <w:sz w:val="20"/>
                <w:szCs w:val="20"/>
              </w:rPr>
            </w:pPr>
            <w:r w:rsidRPr="0085151A">
              <w:rPr>
                <w:rFonts w:ascii="Verdana" w:hAnsi="Verdana"/>
                <w:sz w:val="20"/>
                <w:szCs w:val="20"/>
              </w:rPr>
              <w:t>%terjamin_nama%</w:t>
            </w:r>
            <w:r w:rsidRPr="0085151A">
              <w:rPr>
                <w:rFonts w:ascii="Verdana" w:hAnsi="Verdana"/>
                <w:sz w:val="20"/>
                <w:szCs w:val="20"/>
              </w:rPr>
              <w:br/>
              <w:t>TERJAMIN</w:t>
            </w:r>
          </w:p>
        </w:tc>
        <w:tc>
          <w:tcPr>
            <w:tcW w:w="4675" w:type="dxa"/>
          </w:tcPr>
          <w:p w:rsidR="00CC4B73" w:rsidRPr="0085151A" w:rsidRDefault="00CC4B73" w:rsidP="005A04B8">
            <w:pPr>
              <w:pStyle w:val="NoSpacing"/>
              <w:rPr>
                <w:rFonts w:ascii="Verdana" w:hAnsi="Verdana"/>
                <w:b/>
                <w:sz w:val="20"/>
                <w:szCs w:val="20"/>
              </w:rPr>
            </w:pPr>
            <w:r w:rsidRPr="0085151A">
              <w:rPr>
                <w:rFonts w:ascii="Verdana" w:hAnsi="Verdana"/>
                <w:b/>
                <w:sz w:val="20"/>
                <w:szCs w:val="20"/>
              </w:rPr>
              <w:t>PT. JAMKRIDA SULSEL</w:t>
            </w:r>
          </w:p>
          <w:p w:rsidR="00CC4B73" w:rsidRPr="0085151A" w:rsidRDefault="00CC4B73" w:rsidP="005A04B8">
            <w:pPr>
              <w:pStyle w:val="NoSpacing"/>
              <w:rPr>
                <w:rFonts w:ascii="Verdana" w:hAnsi="Verdana"/>
                <w:sz w:val="20"/>
                <w:szCs w:val="20"/>
              </w:rPr>
            </w:pPr>
            <w:r w:rsidRPr="0085151A">
              <w:rPr>
                <w:rFonts w:ascii="Verdana" w:hAnsi="Verdana"/>
                <w:sz w:val="20"/>
                <w:szCs w:val="20"/>
              </w:rPr>
              <w:t>PENJAMIN</w:t>
            </w:r>
          </w:p>
        </w:tc>
      </w:tr>
      <w:tr w:rsidR="0085151A" w:rsidRPr="0085151A" w:rsidTr="005A04B8">
        <w:tc>
          <w:tcPr>
            <w:tcW w:w="4675" w:type="dxa"/>
          </w:tcPr>
          <w:p w:rsidR="00CC4B73" w:rsidRPr="0085151A" w:rsidRDefault="00CC4B73" w:rsidP="005A04B8">
            <w:pPr>
              <w:pStyle w:val="NoSpacing"/>
              <w:rPr>
                <w:rFonts w:ascii="Verdana" w:hAnsi="Verdana"/>
                <w:sz w:val="20"/>
                <w:szCs w:val="20"/>
              </w:rPr>
            </w:pPr>
          </w:p>
          <w:p w:rsidR="00CC4B73" w:rsidRPr="0085151A" w:rsidRDefault="00CC4B73" w:rsidP="005A04B8">
            <w:pPr>
              <w:pStyle w:val="NoSpacing"/>
              <w:rPr>
                <w:rFonts w:ascii="Verdana" w:hAnsi="Verdana"/>
                <w:sz w:val="20"/>
                <w:szCs w:val="20"/>
              </w:rPr>
            </w:pPr>
          </w:p>
          <w:p w:rsidR="00CC4B73" w:rsidRPr="0085151A" w:rsidRDefault="00CC4B73" w:rsidP="005A04B8">
            <w:pPr>
              <w:pStyle w:val="NoSpacing"/>
              <w:rPr>
                <w:rFonts w:ascii="Verdana" w:hAnsi="Verdana"/>
                <w:sz w:val="20"/>
                <w:szCs w:val="20"/>
              </w:rPr>
            </w:pPr>
          </w:p>
          <w:p w:rsidR="00CC4B73" w:rsidRPr="0085151A" w:rsidRDefault="00CC4B73" w:rsidP="005A04B8">
            <w:pPr>
              <w:pStyle w:val="NoSpacing"/>
              <w:rPr>
                <w:rFonts w:ascii="Verdana" w:hAnsi="Verdana"/>
                <w:sz w:val="20"/>
                <w:szCs w:val="20"/>
              </w:rPr>
            </w:pPr>
          </w:p>
        </w:tc>
        <w:tc>
          <w:tcPr>
            <w:tcW w:w="4675" w:type="dxa"/>
          </w:tcPr>
          <w:p w:rsidR="00CC4B73" w:rsidRPr="0085151A" w:rsidRDefault="00CC4B73" w:rsidP="005A04B8">
            <w:pPr>
              <w:pStyle w:val="NoSpacing"/>
              <w:rPr>
                <w:rFonts w:ascii="Verdana" w:hAnsi="Verdana"/>
                <w:sz w:val="20"/>
                <w:szCs w:val="20"/>
              </w:rPr>
            </w:pPr>
          </w:p>
        </w:tc>
      </w:tr>
      <w:tr w:rsidR="0085151A" w:rsidRPr="0085151A" w:rsidTr="005A04B8">
        <w:tc>
          <w:tcPr>
            <w:tcW w:w="4675" w:type="dxa"/>
          </w:tcPr>
          <w:p w:rsidR="00CC4B73" w:rsidRPr="0085151A" w:rsidRDefault="00CC4B73" w:rsidP="005A04B8">
            <w:pPr>
              <w:pStyle w:val="NoSpacing"/>
              <w:rPr>
                <w:rFonts w:ascii="Verdana" w:hAnsi="Verdana"/>
                <w:sz w:val="20"/>
                <w:szCs w:val="20"/>
                <w:u w:val="single"/>
              </w:rPr>
            </w:pPr>
            <w:r w:rsidRPr="0085151A">
              <w:rPr>
                <w:rFonts w:ascii="Verdana" w:hAnsi="Verdana"/>
                <w:sz w:val="20"/>
                <w:szCs w:val="20"/>
                <w:u w:val="single"/>
              </w:rPr>
              <w:t>%terjamin_direktur%</w:t>
            </w:r>
          </w:p>
          <w:p w:rsidR="00CC4B73" w:rsidRPr="0085151A" w:rsidRDefault="00D32511" w:rsidP="005A04B8">
            <w:pPr>
              <w:pStyle w:val="NoSpacing"/>
              <w:rPr>
                <w:rFonts w:ascii="Verdana" w:hAnsi="Verdana"/>
                <w:sz w:val="20"/>
                <w:szCs w:val="20"/>
              </w:rPr>
            </w:pPr>
            <w:r>
              <w:rPr>
                <w:rFonts w:ascii="Verdana" w:hAnsi="Verdana"/>
                <w:sz w:val="20"/>
                <w:szCs w:val="20"/>
              </w:rPr>
              <w:t>%</w:t>
            </w:r>
            <w:r w:rsidRPr="00D32511">
              <w:rPr>
                <w:rFonts w:ascii="Verdana" w:hAnsi="Verdana"/>
                <w:sz w:val="20"/>
                <w:szCs w:val="20"/>
              </w:rPr>
              <w:t>status_direksi</w:t>
            </w:r>
            <w:r>
              <w:rPr>
                <w:rFonts w:ascii="Verdana" w:hAnsi="Verdana"/>
                <w:sz w:val="20"/>
                <w:szCs w:val="20"/>
              </w:rPr>
              <w:t>%</w:t>
            </w:r>
            <w:bookmarkStart w:id="0" w:name="_GoBack"/>
            <w:bookmarkEnd w:id="0"/>
          </w:p>
        </w:tc>
        <w:tc>
          <w:tcPr>
            <w:tcW w:w="4675" w:type="dxa"/>
          </w:tcPr>
          <w:p w:rsidR="00CC4B73" w:rsidRPr="0085151A" w:rsidRDefault="00CC4B73" w:rsidP="005A04B8">
            <w:pPr>
              <w:pStyle w:val="NoSpacing"/>
              <w:rPr>
                <w:rFonts w:ascii="Verdana" w:hAnsi="Verdana"/>
                <w:sz w:val="20"/>
                <w:szCs w:val="20"/>
              </w:rPr>
            </w:pPr>
            <w:r w:rsidRPr="0085151A">
              <w:rPr>
                <w:rFonts w:ascii="Verdana" w:hAnsi="Verdana"/>
                <w:sz w:val="20"/>
                <w:szCs w:val="20"/>
                <w:u w:val="single"/>
              </w:rPr>
              <w:t>%sp_ttd_nama%</w:t>
            </w:r>
          </w:p>
          <w:p w:rsidR="00CC4B73" w:rsidRPr="00C836F9" w:rsidRDefault="00354C98" w:rsidP="005A04B8">
            <w:pPr>
              <w:pStyle w:val="NoSpacing"/>
              <w:rPr>
                <w:rFonts w:ascii="Verdana" w:hAnsi="Verdana"/>
                <w:sz w:val="20"/>
                <w:szCs w:val="20"/>
              </w:rPr>
            </w:pPr>
            <w:r w:rsidRPr="00C836F9">
              <w:rPr>
                <w:rFonts w:ascii="Verdana" w:hAnsi="Verdana"/>
                <w:sz w:val="20"/>
                <w:szCs w:val="20"/>
              </w:rPr>
              <w:t>%sp_ttd_jabatan%</w:t>
            </w:r>
          </w:p>
        </w:tc>
      </w:tr>
    </w:tbl>
    <w:p w:rsidR="00C70754" w:rsidRPr="0085151A" w:rsidRDefault="00C70754" w:rsidP="00CC4B73">
      <w:pPr>
        <w:pStyle w:val="NoSpacing"/>
        <w:jc w:val="both"/>
      </w:pPr>
    </w:p>
    <w:sectPr w:rsidR="00C70754" w:rsidRPr="0085151A" w:rsidSect="00A7674E">
      <w:pgSz w:w="12240" w:h="15840"/>
      <w:pgMar w:top="720" w:right="1440" w:bottom="43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F3DBF"/>
    <w:multiLevelType w:val="hybridMultilevel"/>
    <w:tmpl w:val="531A8D7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0F">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25711F41"/>
    <w:multiLevelType w:val="hybridMultilevel"/>
    <w:tmpl w:val="531A8D7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0F">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
    <w:nsid w:val="35570856"/>
    <w:multiLevelType w:val="hybridMultilevel"/>
    <w:tmpl w:val="531A8D7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0F">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46295A4A"/>
    <w:multiLevelType w:val="hybridMultilevel"/>
    <w:tmpl w:val="531A8D76"/>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0F">
      <w:start w:val="1"/>
      <w:numFmt w:val="decimal"/>
      <w:lvlText w:val="%3."/>
      <w:lvlJc w:val="lef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54"/>
    <w:rsid w:val="001A5599"/>
    <w:rsid w:val="002357FB"/>
    <w:rsid w:val="00354C98"/>
    <w:rsid w:val="00356AEC"/>
    <w:rsid w:val="003F3F79"/>
    <w:rsid w:val="0041435F"/>
    <w:rsid w:val="0045035D"/>
    <w:rsid w:val="004C08B3"/>
    <w:rsid w:val="005B2630"/>
    <w:rsid w:val="0085151A"/>
    <w:rsid w:val="0085395D"/>
    <w:rsid w:val="00886B27"/>
    <w:rsid w:val="008E426B"/>
    <w:rsid w:val="0095567E"/>
    <w:rsid w:val="009A4921"/>
    <w:rsid w:val="00A3254B"/>
    <w:rsid w:val="00A7674E"/>
    <w:rsid w:val="00B044DC"/>
    <w:rsid w:val="00BF2412"/>
    <w:rsid w:val="00C70754"/>
    <w:rsid w:val="00C836F9"/>
    <w:rsid w:val="00CA63F6"/>
    <w:rsid w:val="00CC4B73"/>
    <w:rsid w:val="00D32511"/>
    <w:rsid w:val="00D33766"/>
    <w:rsid w:val="00D74B92"/>
    <w:rsid w:val="00F20A3D"/>
    <w:rsid w:val="00F740DD"/>
    <w:rsid w:val="00F94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026B34-B744-4B7D-A2F3-C5D457527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754"/>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0754"/>
    <w:rPr>
      <w:rFonts w:eastAsia="Times New Roman"/>
      <w:sz w:val="22"/>
      <w:szCs w:val="22"/>
    </w:rPr>
  </w:style>
  <w:style w:type="table" w:styleId="TableGrid">
    <w:name w:val="Table Grid"/>
    <w:basedOn w:val="TableNormal"/>
    <w:uiPriority w:val="59"/>
    <w:rsid w:val="00CC4B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Toshiba</cp:lastModifiedBy>
  <cp:revision>16</cp:revision>
  <dcterms:created xsi:type="dcterms:W3CDTF">2017-02-13T14:43:00Z</dcterms:created>
  <dcterms:modified xsi:type="dcterms:W3CDTF">2017-11-10T06:49:00Z</dcterms:modified>
</cp:coreProperties>
</file>