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el proyecto mencionando la relevancia, objetivos, metodología y desarrollo de este.</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Expresé mis ideas con fluidez, claridad y precisión.</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Presenta de forma oral los apartados solicitados en inglés, comunicando en un 60% en un nivel intermedio alto según lo solicitado.</w:t>
            </w:r>
          </w:p>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jMx4R8r8u+VZg+IrxMCdu11fQ==">CgMxLjAyCGguZ2pkZ3hzOAByITE2cERiYUNwUTMwSEY0V09QVm0yQmRXS182aERWRjFzcw==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