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UNIVERSIDAD EL BOSQUE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Programa de Ingeniería de Sistemas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Asignatura: Bases de Datos 1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Docente: Ing., Esp., M.Ed. Christian Felipe Duarte</w:t>
      </w:r>
    </w:p>
    <w:p>
      <w:pPr>
        <w:spacing w:after="24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PROPUESTA DE PROYECTO FINAL</w:t>
      </w:r>
    </w:p>
    <w:p>
      <w:pPr>
        <w:spacing w:after="60"/>
        <w:jc w:val="center"/>
      </w:pPr>
      <w:r>
        <w:rPr>
          <w:sz w:val="22"/>
          <w:szCs w:val="22"/>
        </w:rPr>
        <w:t xml:space="preserve">Sistema de gestión de inventario, consignaciones e intercambios para una tienda de cartas coleccionables de </w:t>
      </w:r>
      <w:r>
        <w:rPr>
          <w:i/>
          <w:iCs/>
          <w:sz w:val="22"/>
          <w:szCs w:val="22"/>
        </w:rPr>
        <w:t xml:space="preserve">Magic: The Gathering</w:t>
      </w:r>
    </w:p>
    <w:p>
      <w:pPr>
        <w:spacing w:after="200"/>
      </w:pP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Integrantes:</w:t>
      </w:r>
      <w:r>
        <w:rPr>
          <w:sz w:val="21"/>
          <w:szCs w:val="21"/>
        </w:rPr>
        <w:t xml:space="preserve"> _______________________________________________</w:t>
      </w: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Fecha:</w:t>
      </w:r>
      <w:r>
        <w:rPr>
          <w:sz w:val="21"/>
          <w:szCs w:val="21"/>
        </w:rPr>
        <w:t xml:space="preserve"> 8 de septiembre de 2026</w:t>
      </w:r>
    </w:p>
    <w:p>
      <w:pPr>
        <w:spacing w:after="160"/>
      </w:pPr>
    </w:p>
    <w:p>
      <w:pPr>
        <w:pStyle w:val="Heading1"/>
        <w:spacing w:after="140" w:before="320"/>
      </w:pPr>
      <w:r>
        <w:t xml:space="preserve">1. Contexto</w:t>
      </w:r>
    </w:p>
    <w:p>
      <w:pPr>
        <w:spacing w:after="120" w:line="276"/>
        <w:jc w:val="both"/>
      </w:pPr>
      <w:r>
        <w:t xml:space="preserve">Una tienda especializada en cartas coleccionables de </w:t>
      </w:r>
      <w:r>
        <w:rPr>
          <w:i/>
          <w:iCs/>
        </w:rPr>
        <w:t xml:space="preserve">Magic: The Gathering</w:t>
      </w:r>
      <w:r>
        <w:t xml:space="preserve"> en Bogotá opera tres líneas de negocio de forma simultánea: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Venta de inventario propio</w:t>
      </w:r>
      <w:r>
        <w:t xml:space="preserve">, adquirido a proveedores y distribuidores.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Consignación</w:t>
      </w:r>
      <w:r>
        <w:t xml:space="preserve">: recibe cartas de clientes para venderlas a cambio de una comisión, bajo un contrato con plazo y condiciones.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Intermediación de intercambios</w:t>
      </w:r>
      <w:r>
        <w:t xml:space="preserve">: actúa como garante y valorador en los trades entre coleccionistas, cobrando una comisión por el servicio.</w:t>
      </w:r>
    </w:p>
    <w:p>
      <w:pPr>
        <w:spacing w:after="120" w:line="276"/>
        <w:jc w:val="both"/>
      </w:pPr>
      <w:r>
        <w:t xml:space="preserve">Actualmente toda la operación se registra en hojas de cálculo, cuadernos de intercambios y el conocimiento no documentado de los empleados.</w:t>
      </w:r>
    </w:p>
    <w:p>
      <w:pPr>
        <w:pStyle w:val="Heading1"/>
        <w:spacing w:after="140" w:before="320"/>
      </w:pPr>
      <w:r>
        <w:t xml:space="preserve">2. Planteamiento del problema</w:t>
      </w:r>
    </w:p>
    <w:p>
      <w:pPr>
        <w:spacing w:after="120" w:line="276"/>
        <w:jc w:val="both"/>
      </w:pPr>
      <w:r>
        <w:t xml:space="preserve">La unidad real del negocio no es “una carta”, sino </w:t>
      </w:r>
      <w:r>
        <w:rPr>
          <w:b/>
          <w:bCs/>
        </w:rPr>
        <w:t xml:space="preserve">un ejemplar físico concreto</w:t>
      </w:r>
      <w:r>
        <w:t xml:space="preserve">. Cada ejemplar arrastra información que pertenece a tres niveles distintos, y la hoja de cálculo los aplana en una sola fila:</w:t>
      </w:r>
    </w:p>
    <w:tbl>
      <w:tblPr>
        <w:tblW w:type="dxa" w:w="936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 qué depende la información</w:t>
            </w:r>
          </w:p>
        </w:tc>
        <w:tc>
          <w:tcPr>
            <w:tcW w:type="dxa" w:w="376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Ejemplos de atributos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Carta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(concepto de reglas)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 nombre de la carta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texto de oráculo, coste de maná, colores, tipos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Impresión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(edición concreta)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 nombre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la edición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rareza, artista, número de colección, idioma, foil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Ejemplar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(copia física)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 esa copia en particular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condición, propietario, precio, estado, ubicación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t xml:space="preserve">Esta mezcla de niveles produce </w:t>
      </w:r>
      <w:r>
        <w:rPr>
          <w:b/>
          <w:bCs/>
        </w:rPr>
        <w:t xml:space="preserve">redundancia</w:t>
      </w:r>
      <w:r>
        <w:t xml:space="preserve"> (el texto de una carta se repite en cientos de filas), </w:t>
      </w:r>
      <w:r>
        <w:rPr>
          <w:b/>
          <w:bCs/>
        </w:rPr>
        <w:t xml:space="preserve">anomalías de actualización</w:t>
      </w:r>
      <w:r>
        <w:t xml:space="preserve"> (corregir una errata obliga a editar todas esas filas) y, sobre todo, </w:t>
      </w:r>
      <w:r>
        <w:rPr>
          <w:b/>
          <w:bCs/>
        </w:rPr>
        <w:t xml:space="preserve">pérdida de identidad del ejemplar</w:t>
      </w:r>
      <w:r>
        <w:t xml:space="preserve">: la tienda no puede distinguir cuál de las tres copias de una misma carta en vitrina es de su propiedad, cuál pertenece a un consignante y cuál ya está comprometida en un intercambio.</w:t>
      </w:r>
    </w:p>
    <w:p>
      <w:pPr>
        <w:pStyle w:val="Heading2"/>
        <w:spacing w:after="100" w:before="200"/>
      </w:pPr>
      <w:r>
        <w:t xml:space="preserve">Consecuencias observadas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Se vende lo que no debía venderse.</w:t>
      </w:r>
      <w:r>
        <w:t xml:space="preserve"> Una copia consignada se vende por debajo del precio pactado con su dueño, o se vende una copia ya reservada para un intercambio.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No hay cuentas claras con los consignantes.</w:t>
      </w:r>
      <w:r>
        <w:t xml:space="preserve"> No se sabe con precisión qué copias de quién se vendieron, cuánta comisión corresponde a la tienda ni cuánto se le adeuda a cada consignante.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Los precios se fijan sin criterio.</w:t>
      </w:r>
      <w:r>
        <w:t xml:space="preserve"> El valor de mercado cambia semanalmente y depende fuertemente de la condición física del ejemplar, pero no existe historial de precios ni factor de ajuste documentado.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Los intercambios no dejan rastro.</w:t>
      </w:r>
      <w:r>
        <w:t xml:space="preserve"> No queda registro de qué cartas entregó cada parte, si el intercambio fue equilibrado en valor, ni qué comisión cobró la tienda. Ante un reclamo no hay evidencia.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No hay responsabilidad sobre las operaciones.</w:t>
      </w:r>
      <w:r>
        <w:t xml:space="preserve"> No se puede determinar qué empleado registró cada venta, compra, consignación o intercambio.</w:t>
      </w:r>
    </w:p>
    <w:p>
      <w:pPr>
        <w:pStyle w:val="Heading2"/>
        <w:spacing w:after="100" w:before="200"/>
      </w:pPr>
      <w:r>
        <w:t xml:space="preserve">Pregunta que guía el proyecto</w:t>
      </w:r>
    </w:p>
    <w:p>
      <w:pPr>
        <w:spacing w:after="160" w:line="276"/>
        <w:ind w:left="567" w:right="567"/>
        <w:jc w:val="both"/>
      </w:pPr>
      <w:r>
        <w:rPr>
          <w:i/>
          <w:iCs/>
        </w:rPr>
        <w:t xml:space="preserve">¿Cómo dar identidad y trazabilidad completa a cada ejemplar físico —desde que entra a la tienda hasta que sale— de modo que la valoración, la liquidación de comisiones y la auditoría de las operaciones sean confiables y verificables?</w:t>
      </w:r>
    </w:p>
    <w:p>
      <w:pPr>
        <w:pStyle w:val="Heading1"/>
        <w:spacing w:after="140" w:before="320"/>
      </w:pPr>
      <w:r>
        <w:t xml:space="preserve">3. Justificación</w:t>
      </w:r>
    </w:p>
    <w:p>
      <w:pPr>
        <w:spacing w:after="120" w:line="276"/>
        <w:jc w:val="both"/>
      </w:pPr>
      <w:r>
        <w:t xml:space="preserve">La problemática exige separar tres niveles de información que hoy están mezclados, lo que la convierte en un caso de normalización natural y no forzado: las dependencias transitivas están claramente presentes en el esquema original y su descomposición hasta </w:t>
      </w:r>
      <w:r>
        <w:rPr>
          <w:b/>
          <w:bCs/>
        </w:rPr>
        <w:t xml:space="preserve">Tercera Forma Normal (3FN)</w:t>
      </w:r>
      <w:r>
        <w:t xml:space="preserve"> se justifica por sí misma. Adicionalmente: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Requiere un modelo Entidad-Relación </w:t>
      </w:r>
      <w:r>
        <w:rPr>
          <w:b/>
          <w:bCs/>
        </w:rPr>
        <w:t xml:space="preserve">complejo</w:t>
      </w:r>
      <w:r>
        <w:t xml:space="preserve">, con más de 8 entidades y los tres tipos de relación (1:1, 1:N y N:M).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Involucra transacciones con valor económico, por lo que las consultas complejas (uniones, proyecciones y selecciones) responden preguntas de negocio reales y no ejercicios artificiales.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Es un dominio acotado y verificable: los datos de catálogo de </w:t>
      </w:r>
      <w:r>
        <w:rPr>
          <w:i/>
          <w:iCs/>
        </w:rPr>
        <w:t xml:space="preserve">Magic: The Gathering</w:t>
      </w:r>
      <w:r>
        <w:t xml:space="preserve"> son públicos y permiten poblar la base de datos con información realista.</w:t>
      </w:r>
    </w:p>
    <w:p>
      <w:pPr>
        <w:pStyle w:val="Heading1"/>
        <w:spacing w:after="140" w:before="320"/>
      </w:pPr>
      <w:r>
        <w:t xml:space="preserve">4. Objetivos</w:t>
      </w:r>
    </w:p>
    <w:p>
      <w:pPr>
        <w:pStyle w:val="Heading2"/>
        <w:spacing w:after="100" w:before="200"/>
      </w:pPr>
      <w:r>
        <w:t xml:space="preserve">Objetivo general</w:t>
      </w:r>
    </w:p>
    <w:p>
      <w:pPr>
        <w:spacing w:after="120" w:line="276"/>
        <w:jc w:val="both"/>
      </w:pPr>
      <w:r>
        <w:t xml:space="preserve">Diseñar e implementar una base de datos relacional, normalizada hasta 3FN, que soporte la gestión de inventario, consignaciones e intercambios de una tienda de cartas coleccionables, accesible desde una aplicación web de demostración desplegada sobre una máquina virtual Linux.</w:t>
      </w:r>
    </w:p>
    <w:p>
      <w:pPr>
        <w:pStyle w:val="Heading2"/>
        <w:spacing w:after="100" w:before="200"/>
      </w:pPr>
      <w:r>
        <w:t xml:space="preserve">Objetivos específicos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Construir el modelo conceptual del dominio mediante un diagrama Entidad-Relación en notación Peter-Chen, incluyendo su versión extendida cuando aplique.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Derivar el modelo lógico en notación Crow’s Foot (Barker) y normalizarlo hasta la Tercera Forma Normal, documentando las dependencias funcionales eliminadas.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Elaborar el diccionario de datos completo del modelo.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Formular y documentar un mínimo de 50 sentencias de álgebra relacional que resuelvan consultas propias del negocio.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Configurar una máquina virtual con una distribución Linux e instalar sobre ella un RDBMS, justificando ambas decisiones técnicas.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Implementar el modelo físico mediante scripts de creación de objetos y de inserción de registros.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Desarrollar una aplicación web de demostración conectada a la base de datos.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Gestionar el desarrollo del proyecto en un repositorio de GitHub, con contribuciones de todos los integrantes.</w:t>
      </w:r>
    </w:p>
    <w:p>
      <w:pPr>
        <w:pStyle w:val="Heading1"/>
        <w:spacing w:after="140" w:before="320"/>
      </w:pPr>
      <w:r>
        <w:t xml:space="preserve">5. Alcance</w:t>
      </w:r>
    </w:p>
    <w:p>
      <w:pPr>
        <w:pStyle w:val="Heading2"/>
        <w:spacing w:after="100" w:before="200"/>
      </w:pPr>
      <w:r>
        <w:t xml:space="preserve">Dentro del alcance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Catálogo de cartas</w:t>
      </w:r>
      <w:r>
        <w:t xml:space="preserve"> con separación entre la carta conceptual y cada una de sus impresiones (edición, número, rareza, artista, idioma, acabado foil). Colores y tipos se modelan como entidades independientes.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Inventario por ejemplar físico</w:t>
      </w:r>
      <w:r>
        <w:t xml:space="preserve">, con condición, propietario, estado y ubicación de cada copia.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Valoración</w:t>
      </w:r>
      <w:r>
        <w:t xml:space="preserve">: historial de precios de referencia por impresión y fecha, con factor de ajuste según la condición física del ejemplar.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Compras a proveedores</w:t>
      </w:r>
      <w:r>
        <w:t xml:space="preserve"> para abastecer el inventario propio de la tienda.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Ventas</w:t>
      </w:r>
      <w:r>
        <w:t xml:space="preserve"> a clientes, registrando el ejemplar concreto vendido y su valor al momento de la transacción.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Consignaciones</w:t>
      </w:r>
      <w:r>
        <w:t xml:space="preserve">: contrato con un cliente consignante, porcentaje de comisión, plazo, ejemplares incluidos y liquidación del pago correspondiente cuando se venden.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Intercambios entre clientes</w:t>
      </w:r>
      <w:r>
        <w:t xml:space="preserve"> avalados por la tienda, registrando los ejemplares aportados por cada lado, la valoración de cada lado y la comisión cobrada.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Empleados, roles y auditoría</w:t>
      </w:r>
      <w:r>
        <w:t xml:space="preserve">: cada venta, compra, consignación, liquidación e intercambio queda atribuida al empleado que la registró.</w:t>
      </w:r>
    </w:p>
    <w:p>
      <w:pPr>
        <w:pStyle w:val="Heading2"/>
        <w:spacing w:after="100" w:before="200"/>
      </w:pPr>
      <w:r>
        <w:t xml:space="preserve">Fuera del alcance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Organización de torneos, mazos y estadísticas competitivas.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Venta de producto sellado (sobres, cajas de edición) y reservas o apartados con abono parcial.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Compra directa de cartas a clientes por parte de la tienda (</w:t>
      </w:r>
      <w:r>
        <w:rPr>
          <w:i/>
          <w:iCs/>
        </w:rPr>
        <w:t xml:space="preserve">buylist</w:t>
      </w:r>
      <w:r>
        <w:t xml:space="preserve">) y crédito de tienda.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Pasarelas de pago, facturación electrónica y logística de envíos.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Integración en tiempo real con servicios externos de precios de mercado; los precios de referencia se cargan manualmente.</w:t>
      </w:r>
    </w:p>
    <w:p>
      <w:pPr>
        <w:pStyle w:val="Heading1"/>
        <w:spacing w:after="140" w:before="320"/>
      </w:pPr>
      <w:r>
        <w:t xml:space="preserve">6. Requerimientos funcionales principales</w:t>
      </w:r>
    </w:p>
    <w:tbl>
      <w:tblPr>
        <w:tblW w:type="dxa" w:w="936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RF-01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y consultar el catálogo de cartas, con sus impresiones, colores, tipos, ediciones, rarezas, artistas e idiomas.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RF-02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cada ejemplar físico que ingresa al inventario, indicando su impresión, condición, propietario y estado.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RF-03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compras a proveedores y dar de alta los ejemplares adquiridos.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RF-04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ventas de ejemplares a clientes, dejando constancia del valor de la transacción y del empleado responsable.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RF-05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Mantener el historial de precios de referencia por impresión y fecha.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RF-06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Calcular el precio sugerido de un ejemplar a partir del precio de referencia vigente y el factor de ajuste de su condición.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RF-07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contratos de consignación con su comisión, plazo y ejemplares asociados.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RF-08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Generar la liquidación a pagar al consignante por los ejemplares suyos que se hayan vendido.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RF-09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intercambios entre dos clientes, con los ejemplares aportados por cada lado, la valoración de cada lado y la comisión de la tienda.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RF-10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Impedir que un ejemplar comprometido (vendido, intercambiado o devuelto) vuelva a transarse.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RF-11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Administrar clientes, proveedores, empleados y roles.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RF-12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Consultar la trazabilidad completa de un ejemplar: cómo ingresó, quién lo poseyó y cómo salió.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RF-13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Generar consultas de negocio: rotación por edición, márgenes por venta, valor del inventario propio frente al consignado, saldos pendientes con consignantes y operaciones por empleado.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RF-14</w:t>
            </w:r>
          </w:p>
        </w:tc>
        <w:tc>
          <w:tcPr>
            <w:tcW w:type="dxa" w:w="8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Exponer la consulta del catálogo y la disponibilidad del inventario en una aplicación web de demostración.</w:t>
            </w:r>
          </w:p>
        </w:tc>
      </w:tr>
    </w:tbl>
    <w:p>
      <w:pPr>
        <w:pStyle w:val="Heading1"/>
        <w:spacing w:after="140" w:before="320"/>
      </w:pPr>
      <w:r>
        <w:t xml:space="preserve">7. Modelo preliminar de entidades</w:t>
      </w:r>
    </w:p>
    <w:p>
      <w:pPr>
        <w:spacing w:after="120" w:line="276"/>
        <w:jc w:val="both"/>
      </w:pPr>
      <w:r>
        <w:t xml:space="preserve">El modelo comprende 24 entidades distribuidas en cuatro módulos, más dos tablas derivadas de las relaciones muchos a muchos: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Catálogo:</w:t>
      </w:r>
      <w:r>
        <w:t xml:space="preserve"> Carta, Color, Tipo, Edicion, Impresion, Rareza, Artista, Idioma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Inventario:</w:t>
      </w:r>
      <w:r>
        <w:t xml:space="preserve"> Ejemplar, Condicion, PrecioReferencia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Personas:</w:t>
      </w:r>
      <w:r>
        <w:t xml:space="preserve"> Cliente, Empleado, Rol, CuentaUsuario, Proveedor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Operaciones:</w:t>
      </w:r>
      <w:r>
        <w:t xml:space="preserve"> Compra / DetalleCompra, Venta / DetalleVenta, ContratoConsignacion, Liquidacion, Intercambio / DetalleIntercambio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Tablas de relación N:M:</w:t>
      </w:r>
      <w:r>
        <w:t xml:space="preserve"> CartaColor, CartaTipo</w:t>
      </w:r>
    </w:p>
    <w:p>
      <w:pPr>
        <w:pStyle w:val="Heading2"/>
        <w:spacing w:after="100" w:before="200"/>
      </w:pPr>
      <w:r>
        <w:t xml:space="preserve">Tipos de relación presentes</w:t>
      </w:r>
    </w:p>
    <w:tbl>
      <w:tblPr>
        <w:tblW w:type="dxa" w:w="936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8060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Relación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1:1</w:t>
            </w:r>
          </w:p>
        </w:tc>
        <w:tc>
          <w:tcPr>
            <w:tcW w:type="dxa" w:w="8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Empleado ↔ CuentaUsuario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1:N</w:t>
            </w:r>
          </w:p>
        </w:tc>
        <w:tc>
          <w:tcPr>
            <w:tcW w:type="dxa" w:w="8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Edicion → Impresion; Cliente → ContratoConsignacion; Impresion → Ejemplar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N:M</w:t>
            </w:r>
          </w:p>
        </w:tc>
        <w:tc>
          <w:tcPr>
            <w:tcW w:type="dxa" w:w="8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Carta ↔ Color; Carta ↔ Tipo; Intercambio ↔ Ejemplar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t xml:space="preserve">La especificación de atributos, tipos de dato, claves primarias y restricciones de integridad se encuentra en el documento Diccionario de Datos.</w:t>
      </w:r>
    </w:p>
    <w:p>
      <w:pPr>
        <w:pStyle w:val="Heading1"/>
        <w:spacing w:after="140" w:before="320"/>
      </w:pPr>
      <w:r>
        <w:t xml:space="preserve">8. Viabilidad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Datos:</w:t>
      </w:r>
      <w:r>
        <w:t xml:space="preserve"> el catálogo de </w:t>
      </w:r>
      <w:r>
        <w:rPr>
          <w:i/>
          <w:iCs/>
        </w:rPr>
        <w:t xml:space="preserve">Magic: The Gathering</w:t>
      </w:r>
      <w:r>
        <w:t xml:space="preserve"> es información pública, lo que permite poblar la base con datos realistas sin depender de terceros.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Herramientas:</w:t>
      </w:r>
      <w:r>
        <w:t xml:space="preserve"> el modelado se realiza con Oracle SQL Data Modeler o MySQL Workbench; el despliegue, sobre una distribución Linux en máquina virtual con un RDBMS de código abierto o gratuito.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Equipo:</w:t>
      </w:r>
      <w:r>
        <w:t xml:space="preserve"> el alcance está dividido en módulos (catálogo, inventario y valoración, operaciones comerciales) que permiten repartir el trabajo entre los tres integrantes con contribuciones verificables en GitHub.</w:t>
      </w:r>
    </w:p>
    <w:p>
      <w:pPr>
        <w:spacing w:after="400"/>
      </w:pPr>
    </w:p>
    <w:p>
      <w:pPr>
        <w:jc w:val="center"/>
      </w:pPr>
      <w:r>
        <w:rPr>
          <w:i/>
          <w:iCs/>
          <w:sz w:val="19"/>
          <w:szCs w:val="19"/>
        </w:rPr>
        <w:t xml:space="preserve">Documento sujeto a aprobación del docente. Una vez aprobado, sirve como guía principal para el desarrollo de las Fases 1 y 2 del proyecto.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- Bases de Datos 1</dc:title>
  <dc:creator>Universidad El Bosque</dc:creator>
  <cp:lastModifiedBy>Un-named</cp:lastModifiedBy>
  <cp:revision>1</cp:revision>
  <dcterms:created xsi:type="dcterms:W3CDTF">2026-09-09T23:25:22.240Z</dcterms:created>
  <dcterms:modified xsi:type="dcterms:W3CDTF">2026-09-09T23:25:22.241Z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