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8A66" w14:textId="77777777" w:rsidR="00054250" w:rsidRPr="00054250" w:rsidRDefault="00054250" w:rsidP="00054250">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054250">
        <w:rPr>
          <w:rFonts w:ascii="Times New Roman" w:eastAsia="Times New Roman" w:hAnsi="Times New Roman" w:cs="Times New Roman"/>
          <w:b/>
          <w:bCs/>
          <w:kern w:val="36"/>
          <w:sz w:val="40"/>
          <w:szCs w:val="40"/>
          <w:lang w:eastAsia="es-EC"/>
          <w14:ligatures w14:val="none"/>
        </w:rPr>
        <w:t>ETAPA 14. Registro de Cierre del Cambio</w:t>
      </w:r>
    </w:p>
    <w:p w14:paraId="781E34EE" w14:textId="77777777" w:rsidR="00054250" w:rsidRPr="00054250" w:rsidRDefault="00054250" w:rsidP="0005425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054250">
        <w:rPr>
          <w:rFonts w:ascii="Times New Roman" w:eastAsia="Times New Roman" w:hAnsi="Times New Roman" w:cs="Times New Roman"/>
          <w:b/>
          <w:bCs/>
          <w:kern w:val="0"/>
          <w:sz w:val="36"/>
          <w:szCs w:val="36"/>
          <w:lang w:eastAsia="es-EC"/>
          <w14:ligatures w14:val="none"/>
        </w:rPr>
        <w:t>14.1 Introducción</w:t>
      </w:r>
    </w:p>
    <w:p w14:paraId="39E19269" w14:textId="77777777"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El registro de cierre del cambio constituye el documento final del proceso de gestión de cambios, mediante el cual se confirma que una solicitud previamente evaluada y aprobada ha sido incorporada a la documentación oficial del proyecto. Su finalidad es dejar evidencia de que las actividades derivadas del cambio fueron ejecutadas satisfactoriamente y que los artefactos afectados fueron actualizados de forma consistente.</w:t>
      </w:r>
    </w:p>
    <w:p w14:paraId="1ADAA0C2" w14:textId="2814848E"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En esta etapa se documenta el cierre de la solicitud RFC-001, correspondiente a la incorporación del requisito funcional RF-16: Verificación de identidad institucional, verificando que las modificaciones realizadas en el Documento de Especificación de Requisitos (ERS) mantienen la coherencia, la trazabilidad y la calidad de la documentación del proyecto RoutTech.</w:t>
      </w:r>
    </w:p>
    <w:p w14:paraId="5055E8F3" w14:textId="77777777" w:rsidR="00054250" w:rsidRPr="00054250" w:rsidRDefault="00054250" w:rsidP="0005425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054250">
        <w:rPr>
          <w:rFonts w:ascii="Times New Roman" w:eastAsia="Times New Roman" w:hAnsi="Times New Roman" w:cs="Times New Roman"/>
          <w:b/>
          <w:bCs/>
          <w:kern w:val="0"/>
          <w:sz w:val="36"/>
          <w:szCs w:val="36"/>
          <w:lang w:eastAsia="es-EC"/>
          <w14:ligatures w14:val="none"/>
        </w:rPr>
        <w:t>14.2 Registro de Cierre</w:t>
      </w:r>
    </w:p>
    <w:p w14:paraId="72A865C8" w14:textId="1C7767BC" w:rsidR="00054250" w:rsidRPr="00054250" w:rsidRDefault="00054250" w:rsidP="00054250">
      <w:pPr>
        <w:pStyle w:val="Descripcin"/>
        <w:keepNext/>
        <w:jc w:val="center"/>
        <w:rPr>
          <w:rFonts w:ascii="Times New Roman" w:hAnsi="Times New Roman" w:cs="Times New Roman"/>
          <w:color w:val="auto"/>
        </w:rPr>
      </w:pPr>
      <w:r w:rsidRPr="00054250">
        <w:rPr>
          <w:rFonts w:ascii="Times New Roman" w:hAnsi="Times New Roman" w:cs="Times New Roman"/>
          <w:color w:val="auto"/>
        </w:rPr>
        <w:t>Tabla 14.</w:t>
      </w:r>
      <w:r w:rsidRPr="00054250">
        <w:rPr>
          <w:rFonts w:ascii="Times New Roman" w:hAnsi="Times New Roman" w:cs="Times New Roman"/>
          <w:color w:val="auto"/>
        </w:rPr>
        <w:fldChar w:fldCharType="begin"/>
      </w:r>
      <w:r w:rsidRPr="00054250">
        <w:rPr>
          <w:rFonts w:ascii="Times New Roman" w:hAnsi="Times New Roman" w:cs="Times New Roman"/>
          <w:color w:val="auto"/>
        </w:rPr>
        <w:instrText xml:space="preserve"> SEQ Tabla \* ARABIC </w:instrText>
      </w:r>
      <w:r w:rsidRPr="00054250">
        <w:rPr>
          <w:rFonts w:ascii="Times New Roman" w:hAnsi="Times New Roman" w:cs="Times New Roman"/>
          <w:color w:val="auto"/>
        </w:rPr>
        <w:fldChar w:fldCharType="separate"/>
      </w:r>
      <w:r>
        <w:rPr>
          <w:rFonts w:ascii="Times New Roman" w:hAnsi="Times New Roman" w:cs="Times New Roman"/>
          <w:noProof/>
          <w:color w:val="auto"/>
        </w:rPr>
        <w:t>1</w:t>
      </w:r>
      <w:r w:rsidRPr="00054250">
        <w:rPr>
          <w:rFonts w:ascii="Times New Roman" w:hAnsi="Times New Roman" w:cs="Times New Roman"/>
          <w:color w:val="auto"/>
        </w:rPr>
        <w:fldChar w:fldCharType="end"/>
      </w:r>
      <w:r w:rsidRPr="00054250">
        <w:rPr>
          <w:rFonts w:ascii="Times New Roman" w:hAnsi="Times New Roman" w:cs="Times New Roman"/>
          <w:color w:val="auto"/>
        </w:rPr>
        <w:t>. Registro de cierre del cambio</w:t>
      </w:r>
    </w:p>
    <w:tbl>
      <w:tblPr>
        <w:tblStyle w:val="Tablanormal1"/>
        <w:tblW w:w="0" w:type="auto"/>
        <w:tblLook w:val="04A0" w:firstRow="1" w:lastRow="0" w:firstColumn="1" w:lastColumn="0" w:noHBand="0" w:noVBand="1"/>
      </w:tblPr>
      <w:tblGrid>
        <w:gridCol w:w="1710"/>
        <w:gridCol w:w="6784"/>
      </w:tblGrid>
      <w:tr w:rsidR="00054250" w:rsidRPr="00054250" w14:paraId="679BDDA9" w14:textId="77777777" w:rsidTr="00054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hideMark/>
          </w:tcPr>
          <w:p w14:paraId="6417C914"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Campo</w:t>
            </w:r>
          </w:p>
        </w:tc>
        <w:tc>
          <w:tcPr>
            <w:tcW w:w="6796" w:type="dxa"/>
            <w:hideMark/>
          </w:tcPr>
          <w:p w14:paraId="7F89E179" w14:textId="77777777" w:rsidR="00054250" w:rsidRPr="00054250" w:rsidRDefault="00054250" w:rsidP="0005425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Descripción</w:t>
            </w:r>
          </w:p>
        </w:tc>
      </w:tr>
      <w:tr w:rsidR="00054250" w:rsidRPr="00054250" w14:paraId="29ABC53D" w14:textId="77777777" w:rsidTr="0005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hideMark/>
          </w:tcPr>
          <w:p w14:paraId="61937C3A"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Código del cambio</w:t>
            </w:r>
          </w:p>
        </w:tc>
        <w:tc>
          <w:tcPr>
            <w:tcW w:w="6796" w:type="dxa"/>
            <w:hideMark/>
          </w:tcPr>
          <w:p w14:paraId="7211A31F"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RFC-001</w:t>
            </w:r>
          </w:p>
        </w:tc>
      </w:tr>
      <w:tr w:rsidR="00054250" w:rsidRPr="00054250" w14:paraId="24B7CCF6" w14:textId="77777777" w:rsidTr="00054250">
        <w:tc>
          <w:tcPr>
            <w:cnfStyle w:val="001000000000" w:firstRow="0" w:lastRow="0" w:firstColumn="1" w:lastColumn="0" w:oddVBand="0" w:evenVBand="0" w:oddHBand="0" w:evenHBand="0" w:firstRowFirstColumn="0" w:firstRowLastColumn="0" w:lastRowFirstColumn="0" w:lastRowLastColumn="0"/>
            <w:tcW w:w="1698" w:type="dxa"/>
            <w:hideMark/>
          </w:tcPr>
          <w:p w14:paraId="3DBA7B12"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Solicitud asociada</w:t>
            </w:r>
          </w:p>
        </w:tc>
        <w:tc>
          <w:tcPr>
            <w:tcW w:w="6796" w:type="dxa"/>
            <w:hideMark/>
          </w:tcPr>
          <w:p w14:paraId="36102713"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Incorporación del requisito funcional RF-16: Verificación de identidad institucional</w:t>
            </w:r>
          </w:p>
        </w:tc>
      </w:tr>
      <w:tr w:rsidR="00054250" w:rsidRPr="00054250" w14:paraId="7BD4D2E3" w14:textId="77777777" w:rsidTr="0005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hideMark/>
          </w:tcPr>
          <w:p w14:paraId="3A3EB0AA"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Estado final</w:t>
            </w:r>
          </w:p>
        </w:tc>
        <w:tc>
          <w:tcPr>
            <w:tcW w:w="6796" w:type="dxa"/>
            <w:hideMark/>
          </w:tcPr>
          <w:p w14:paraId="120C458C"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Cerrado</w:t>
            </w:r>
          </w:p>
        </w:tc>
      </w:tr>
      <w:tr w:rsidR="00054250" w:rsidRPr="00054250" w14:paraId="0F82CD13" w14:textId="77777777" w:rsidTr="00054250">
        <w:tc>
          <w:tcPr>
            <w:cnfStyle w:val="001000000000" w:firstRow="0" w:lastRow="0" w:firstColumn="1" w:lastColumn="0" w:oddVBand="0" w:evenVBand="0" w:oddHBand="0" w:evenHBand="0" w:firstRowFirstColumn="0" w:firstRowLastColumn="0" w:lastRowFirstColumn="0" w:lastRowLastColumn="0"/>
            <w:tcW w:w="1698" w:type="dxa"/>
            <w:hideMark/>
          </w:tcPr>
          <w:p w14:paraId="2EAB5629"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Fecha de cierre</w:t>
            </w:r>
          </w:p>
        </w:tc>
        <w:tc>
          <w:tcPr>
            <w:tcW w:w="6796" w:type="dxa"/>
            <w:hideMark/>
          </w:tcPr>
          <w:p w14:paraId="7E153AEF"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28 de julio de 2026</w:t>
            </w:r>
          </w:p>
        </w:tc>
      </w:tr>
      <w:tr w:rsidR="00054250" w:rsidRPr="00054250" w14:paraId="6E132B1B" w14:textId="77777777" w:rsidTr="0005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hideMark/>
          </w:tcPr>
          <w:p w14:paraId="28021B42"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Responsable del cierre</w:t>
            </w:r>
          </w:p>
        </w:tc>
        <w:tc>
          <w:tcPr>
            <w:tcW w:w="6796" w:type="dxa"/>
            <w:hideMark/>
          </w:tcPr>
          <w:p w14:paraId="73DC8625"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Equipo investigador</w:t>
            </w:r>
          </w:p>
        </w:tc>
      </w:tr>
      <w:tr w:rsidR="00054250" w:rsidRPr="00054250" w14:paraId="2F09C653" w14:textId="77777777" w:rsidTr="00054250">
        <w:tc>
          <w:tcPr>
            <w:cnfStyle w:val="001000000000" w:firstRow="0" w:lastRow="0" w:firstColumn="1" w:lastColumn="0" w:oddVBand="0" w:evenVBand="0" w:oddHBand="0" w:evenHBand="0" w:firstRowFirstColumn="0" w:firstRowLastColumn="0" w:lastRowFirstColumn="0" w:lastRowLastColumn="0"/>
            <w:tcW w:w="1698" w:type="dxa"/>
            <w:hideMark/>
          </w:tcPr>
          <w:p w14:paraId="706999C6"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Resultado</w:t>
            </w:r>
          </w:p>
        </w:tc>
        <w:tc>
          <w:tcPr>
            <w:tcW w:w="6796" w:type="dxa"/>
            <w:hideMark/>
          </w:tcPr>
          <w:p w14:paraId="1E3D4195"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Cambio implementado documentalmente y aprobado por el Comité de Control de Cambios</w:t>
            </w:r>
          </w:p>
        </w:tc>
      </w:tr>
      <w:tr w:rsidR="00054250" w:rsidRPr="00054250" w14:paraId="05DC85E0" w14:textId="77777777" w:rsidTr="0005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hideMark/>
          </w:tcPr>
          <w:p w14:paraId="250A25C9"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Documentos actualizados</w:t>
            </w:r>
          </w:p>
        </w:tc>
        <w:tc>
          <w:tcPr>
            <w:tcW w:w="6796" w:type="dxa"/>
            <w:hideMark/>
          </w:tcPr>
          <w:p w14:paraId="11585C60"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Documento ERS, Catálogo de Requisitos Funcionales, Historias de Usuario, Escenarios BDD, Matriz de Trazabilidad y documentación de Gestión de Cambios</w:t>
            </w:r>
          </w:p>
        </w:tc>
      </w:tr>
      <w:tr w:rsidR="00054250" w:rsidRPr="00054250" w14:paraId="7C82D0E2" w14:textId="77777777" w:rsidTr="00054250">
        <w:tc>
          <w:tcPr>
            <w:cnfStyle w:val="001000000000" w:firstRow="0" w:lastRow="0" w:firstColumn="1" w:lastColumn="0" w:oddVBand="0" w:evenVBand="0" w:oddHBand="0" w:evenHBand="0" w:firstRowFirstColumn="0" w:firstRowLastColumn="0" w:lastRowFirstColumn="0" w:lastRowLastColumn="0"/>
            <w:tcW w:w="1698" w:type="dxa"/>
            <w:hideMark/>
          </w:tcPr>
          <w:p w14:paraId="7808A249"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Observaciones</w:t>
            </w:r>
          </w:p>
        </w:tc>
        <w:tc>
          <w:tcPr>
            <w:tcW w:w="6796" w:type="dxa"/>
            <w:hideMark/>
          </w:tcPr>
          <w:p w14:paraId="7E46C865"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El cambio fue incorporado sin generar inconsistencias en la especificación y mantiene la trazabilidad con las evidencias obtenidas durante la elicitación.</w:t>
            </w:r>
          </w:p>
        </w:tc>
      </w:tr>
    </w:tbl>
    <w:p w14:paraId="734359E5"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1FA0342B"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31C39DD4"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3AFFE69A"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241D16D8"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6A699A3A"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143961D6" w14:textId="77777777" w:rsid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3ED05288" w14:textId="77777777" w:rsidR="00054250" w:rsidRP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601F740E" w14:textId="77777777" w:rsidR="00054250" w:rsidRPr="00054250" w:rsidRDefault="00054250" w:rsidP="0005425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054250">
        <w:rPr>
          <w:rFonts w:ascii="Times New Roman" w:eastAsia="Times New Roman" w:hAnsi="Times New Roman" w:cs="Times New Roman"/>
          <w:b/>
          <w:bCs/>
          <w:kern w:val="0"/>
          <w:sz w:val="36"/>
          <w:szCs w:val="36"/>
          <w:lang w:eastAsia="es-EC"/>
          <w14:ligatures w14:val="none"/>
        </w:rPr>
        <w:lastRenderedPageBreak/>
        <w:t>14.3 Verificación del Cierre</w:t>
      </w:r>
    </w:p>
    <w:p w14:paraId="31B41E6B" w14:textId="77777777"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Con el propósito de garantizar la correcta incorporación del cambio, se verificó el cumplimiento de las siguientes actividades:</w:t>
      </w:r>
    </w:p>
    <w:p w14:paraId="1ACE0417" w14:textId="61C09676" w:rsidR="00054250" w:rsidRPr="00054250" w:rsidRDefault="00054250" w:rsidP="00054250">
      <w:pPr>
        <w:pStyle w:val="Descripcin"/>
        <w:keepNext/>
        <w:jc w:val="center"/>
        <w:rPr>
          <w:rFonts w:ascii="Times New Roman" w:hAnsi="Times New Roman" w:cs="Times New Roman"/>
          <w:color w:val="auto"/>
        </w:rPr>
      </w:pPr>
      <w:r w:rsidRPr="00054250">
        <w:rPr>
          <w:rFonts w:ascii="Times New Roman" w:hAnsi="Times New Roman" w:cs="Times New Roman"/>
          <w:color w:val="auto"/>
        </w:rPr>
        <w:t xml:space="preserve">Tabla </w:t>
      </w:r>
      <w:r>
        <w:rPr>
          <w:rFonts w:ascii="Times New Roman" w:hAnsi="Times New Roman" w:cs="Times New Roman"/>
          <w:color w:val="auto"/>
        </w:rPr>
        <w:t>14.</w:t>
      </w:r>
      <w:r w:rsidRPr="00054250">
        <w:rPr>
          <w:rFonts w:ascii="Times New Roman" w:hAnsi="Times New Roman" w:cs="Times New Roman"/>
          <w:color w:val="auto"/>
        </w:rPr>
        <w:fldChar w:fldCharType="begin"/>
      </w:r>
      <w:r w:rsidRPr="00054250">
        <w:rPr>
          <w:rFonts w:ascii="Times New Roman" w:hAnsi="Times New Roman" w:cs="Times New Roman"/>
          <w:color w:val="auto"/>
        </w:rPr>
        <w:instrText xml:space="preserve"> SEQ Tabla \* ARABIC </w:instrText>
      </w:r>
      <w:r w:rsidRPr="00054250">
        <w:rPr>
          <w:rFonts w:ascii="Times New Roman" w:hAnsi="Times New Roman" w:cs="Times New Roman"/>
          <w:color w:val="auto"/>
        </w:rPr>
        <w:fldChar w:fldCharType="separate"/>
      </w:r>
      <w:r w:rsidRPr="00054250">
        <w:rPr>
          <w:rFonts w:ascii="Times New Roman" w:hAnsi="Times New Roman" w:cs="Times New Roman"/>
          <w:noProof/>
          <w:color w:val="auto"/>
        </w:rPr>
        <w:t>2</w:t>
      </w:r>
      <w:r w:rsidRPr="00054250">
        <w:rPr>
          <w:rFonts w:ascii="Times New Roman" w:hAnsi="Times New Roman" w:cs="Times New Roman"/>
          <w:color w:val="auto"/>
        </w:rPr>
        <w:fldChar w:fldCharType="end"/>
      </w:r>
      <w:r>
        <w:rPr>
          <w:rFonts w:ascii="Times New Roman" w:hAnsi="Times New Roman" w:cs="Times New Roman"/>
          <w:color w:val="auto"/>
        </w:rPr>
        <w:t>.</w:t>
      </w:r>
      <w:r w:rsidRPr="00054250">
        <w:rPr>
          <w:rFonts w:ascii="Times New Roman" w:hAnsi="Times New Roman" w:cs="Times New Roman"/>
          <w:color w:val="auto"/>
        </w:rPr>
        <w:t xml:space="preserve"> Lista de verificación del cierre</w:t>
      </w:r>
    </w:p>
    <w:tbl>
      <w:tblPr>
        <w:tblStyle w:val="Tablanormal1"/>
        <w:tblW w:w="0" w:type="auto"/>
        <w:jc w:val="center"/>
        <w:tblLook w:val="04A0" w:firstRow="1" w:lastRow="0" w:firstColumn="1" w:lastColumn="0" w:noHBand="0" w:noVBand="1"/>
      </w:tblPr>
      <w:tblGrid>
        <w:gridCol w:w="5250"/>
        <w:gridCol w:w="923"/>
      </w:tblGrid>
      <w:tr w:rsidR="00054250" w:rsidRPr="00054250" w14:paraId="4C888216" w14:textId="77777777" w:rsidTr="000542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7BE306"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Actividad</w:t>
            </w:r>
          </w:p>
        </w:tc>
        <w:tc>
          <w:tcPr>
            <w:tcW w:w="0" w:type="auto"/>
            <w:hideMark/>
          </w:tcPr>
          <w:p w14:paraId="4BC12A81" w14:textId="77777777" w:rsidR="00054250" w:rsidRPr="00054250" w:rsidRDefault="00054250" w:rsidP="0005425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Estado</w:t>
            </w:r>
          </w:p>
        </w:tc>
      </w:tr>
      <w:tr w:rsidR="00054250" w:rsidRPr="00054250" w14:paraId="3E68BE28" w14:textId="77777777" w:rsidTr="000542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F35D0F"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Solicitud de Cambio (RFC-001) registrada</w:t>
            </w:r>
          </w:p>
        </w:tc>
        <w:tc>
          <w:tcPr>
            <w:tcW w:w="0" w:type="auto"/>
            <w:hideMark/>
          </w:tcPr>
          <w:p w14:paraId="3245E4D6"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090A6DA9" w14:textId="77777777" w:rsidTr="000542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3EB42"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Análisis de impacto realizado</w:t>
            </w:r>
          </w:p>
        </w:tc>
        <w:tc>
          <w:tcPr>
            <w:tcW w:w="0" w:type="auto"/>
            <w:hideMark/>
          </w:tcPr>
          <w:p w14:paraId="55751DF0"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01958AF1" w14:textId="77777777" w:rsidTr="000542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1DAE54"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Evaluación por el Comité de Control de Cambios</w:t>
            </w:r>
          </w:p>
        </w:tc>
        <w:tc>
          <w:tcPr>
            <w:tcW w:w="0" w:type="auto"/>
            <w:hideMark/>
          </w:tcPr>
          <w:p w14:paraId="3DB5C6B9"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4B278710" w14:textId="77777777" w:rsidTr="000542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FFE9F5"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Cambio aprobado oficialmente</w:t>
            </w:r>
          </w:p>
        </w:tc>
        <w:tc>
          <w:tcPr>
            <w:tcW w:w="0" w:type="auto"/>
            <w:hideMark/>
          </w:tcPr>
          <w:p w14:paraId="54BF54DD"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56D165D4" w14:textId="77777777" w:rsidTr="000542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5566A"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Catálogo de requisitos actualizado</w:t>
            </w:r>
          </w:p>
        </w:tc>
        <w:tc>
          <w:tcPr>
            <w:tcW w:w="0" w:type="auto"/>
            <w:hideMark/>
          </w:tcPr>
          <w:p w14:paraId="1E81060A"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45FDBDEC" w14:textId="77777777" w:rsidTr="000542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3C58B2"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Historias de usuario actualizadas</w:t>
            </w:r>
          </w:p>
        </w:tc>
        <w:tc>
          <w:tcPr>
            <w:tcW w:w="0" w:type="auto"/>
            <w:hideMark/>
          </w:tcPr>
          <w:p w14:paraId="382386F9"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52D38DB6" w14:textId="77777777" w:rsidTr="000542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6BDACE"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Escenarios BDD actualizados</w:t>
            </w:r>
          </w:p>
        </w:tc>
        <w:tc>
          <w:tcPr>
            <w:tcW w:w="0" w:type="auto"/>
            <w:hideMark/>
          </w:tcPr>
          <w:p w14:paraId="6EB5E308"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744EB14C" w14:textId="77777777" w:rsidTr="000542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056DC"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Matriz de trazabilidad actualizada</w:t>
            </w:r>
          </w:p>
        </w:tc>
        <w:tc>
          <w:tcPr>
            <w:tcW w:w="0" w:type="auto"/>
            <w:hideMark/>
          </w:tcPr>
          <w:p w14:paraId="5741044C"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3588EA71" w14:textId="77777777" w:rsidTr="000542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F49AB6"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Documentación del proyecto sincronizada</w:t>
            </w:r>
          </w:p>
        </w:tc>
        <w:tc>
          <w:tcPr>
            <w:tcW w:w="0" w:type="auto"/>
            <w:hideMark/>
          </w:tcPr>
          <w:p w14:paraId="07DFF364" w14:textId="77777777" w:rsidR="00054250" w:rsidRPr="00054250" w:rsidRDefault="00054250" w:rsidP="0005425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r w:rsidR="00054250" w:rsidRPr="00054250" w14:paraId="56454C2B" w14:textId="77777777" w:rsidTr="000542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96C3D8" w14:textId="77777777" w:rsidR="00054250" w:rsidRPr="00054250" w:rsidRDefault="00054250" w:rsidP="00054250">
            <w:pPr>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Cambio cerrado formalmente</w:t>
            </w:r>
          </w:p>
        </w:tc>
        <w:tc>
          <w:tcPr>
            <w:tcW w:w="0" w:type="auto"/>
            <w:hideMark/>
          </w:tcPr>
          <w:p w14:paraId="12E42AA9" w14:textId="77777777" w:rsidR="00054250" w:rsidRPr="00054250" w:rsidRDefault="00054250" w:rsidP="0005425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054250">
              <w:rPr>
                <w:rFonts w:ascii="Segoe UI Symbol" w:eastAsia="Times New Roman" w:hAnsi="Segoe UI Symbol" w:cs="Segoe UI Symbol"/>
                <w:kern w:val="0"/>
                <w:lang w:eastAsia="es-EC"/>
                <w14:ligatures w14:val="none"/>
              </w:rPr>
              <w:t>✓</w:t>
            </w:r>
          </w:p>
        </w:tc>
      </w:tr>
    </w:tbl>
    <w:p w14:paraId="66829A27" w14:textId="79DC96F5" w:rsidR="00054250" w:rsidRPr="00054250" w:rsidRDefault="00054250" w:rsidP="00054250">
      <w:pPr>
        <w:spacing w:after="0" w:line="240" w:lineRule="auto"/>
        <w:jc w:val="both"/>
        <w:rPr>
          <w:rFonts w:ascii="Times New Roman" w:eastAsia="Times New Roman" w:hAnsi="Times New Roman" w:cs="Times New Roman"/>
          <w:kern w:val="0"/>
          <w:lang w:eastAsia="es-EC"/>
          <w14:ligatures w14:val="none"/>
        </w:rPr>
      </w:pPr>
    </w:p>
    <w:p w14:paraId="3B60A8E1" w14:textId="77777777" w:rsidR="00054250" w:rsidRPr="00054250" w:rsidRDefault="00054250" w:rsidP="0005425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054250">
        <w:rPr>
          <w:rFonts w:ascii="Times New Roman" w:eastAsia="Times New Roman" w:hAnsi="Times New Roman" w:cs="Times New Roman"/>
          <w:b/>
          <w:bCs/>
          <w:kern w:val="0"/>
          <w:sz w:val="36"/>
          <w:szCs w:val="36"/>
          <w:lang w:eastAsia="es-EC"/>
          <w14:ligatures w14:val="none"/>
        </w:rPr>
        <w:t>14.4 Resultado Final del Proceso de Gestión de Cambios</w:t>
      </w:r>
    </w:p>
    <w:p w14:paraId="063B89FF" w14:textId="77777777"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El proceso de gestión de cambios permitió incorporar de manera controlada el requisito funcional RF-16, garantizando que todas las modificaciones realizadas fueran evaluadas, justificadas y documentadas antes de integrarse a la línea base del proyecto. La aplicación de este procedimiento permitió mantener la consistencia entre los requisitos, las historias de usuario, los escenarios de aceptación y las matrices de trazabilidad desarrolladas durante el proceso de Ingeniería de Requisitos.</w:t>
      </w:r>
    </w:p>
    <w:p w14:paraId="1B385CD2" w14:textId="4CA06DA5"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Asimismo, el cierre formal del cambio confirma que la documentación técnica del proyecto se encuentra actualizada y preparada para servir como referencia durante las etapas posteriores del ciclo de vida del software, reduciendo el riesgo de inconsistencias y facilitando futuras actividades de mantenimiento o evolución del sistema.</w:t>
      </w:r>
    </w:p>
    <w:p w14:paraId="5C4DB150" w14:textId="77777777" w:rsidR="00054250" w:rsidRPr="00054250" w:rsidRDefault="00054250" w:rsidP="0005425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054250">
        <w:rPr>
          <w:rFonts w:ascii="Times New Roman" w:eastAsia="Times New Roman" w:hAnsi="Times New Roman" w:cs="Times New Roman"/>
          <w:b/>
          <w:bCs/>
          <w:kern w:val="0"/>
          <w:sz w:val="36"/>
          <w:szCs w:val="36"/>
          <w:lang w:eastAsia="es-EC"/>
          <w14:ligatures w14:val="none"/>
        </w:rPr>
        <w:t>14.5 Conclusiones Generales</w:t>
      </w:r>
    </w:p>
    <w:p w14:paraId="2B983FC7" w14:textId="77777777"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 xml:space="preserve">El desarrollo del presente trabajo permitió aplicar de manera integral las actividades propias de la Ingeniería de Requisitos al proyecto RoutTech, partiendo de un diagnóstico del Documento de Especificación de Requisitos (ERS), la revisión y reestructuración de los requisitos funcionales y no funcionales, la ampliación del catálogo de requisitos, la elaboración de historias de usuario, la definición de escenarios mediante </w:t>
      </w:r>
      <w:proofErr w:type="spellStart"/>
      <w:r w:rsidRPr="00054250">
        <w:rPr>
          <w:rFonts w:ascii="Times New Roman" w:eastAsia="Times New Roman" w:hAnsi="Times New Roman" w:cs="Times New Roman"/>
          <w:kern w:val="0"/>
          <w:lang w:eastAsia="es-EC"/>
          <w14:ligatures w14:val="none"/>
        </w:rPr>
        <w:t>Behavior</w:t>
      </w:r>
      <w:proofErr w:type="spellEnd"/>
      <w:r w:rsidRPr="00054250">
        <w:rPr>
          <w:rFonts w:ascii="Times New Roman" w:eastAsia="Times New Roman" w:hAnsi="Times New Roman" w:cs="Times New Roman"/>
          <w:kern w:val="0"/>
          <w:lang w:eastAsia="es-EC"/>
          <w14:ligatures w14:val="none"/>
        </w:rPr>
        <w:t xml:space="preserve"> </w:t>
      </w:r>
      <w:proofErr w:type="spellStart"/>
      <w:r w:rsidRPr="00054250">
        <w:rPr>
          <w:rFonts w:ascii="Times New Roman" w:eastAsia="Times New Roman" w:hAnsi="Times New Roman" w:cs="Times New Roman"/>
          <w:kern w:val="0"/>
          <w:lang w:eastAsia="es-EC"/>
          <w14:ligatures w14:val="none"/>
        </w:rPr>
        <w:t>Driven</w:t>
      </w:r>
      <w:proofErr w:type="spellEnd"/>
      <w:r w:rsidRPr="00054250">
        <w:rPr>
          <w:rFonts w:ascii="Times New Roman" w:eastAsia="Times New Roman" w:hAnsi="Times New Roman" w:cs="Times New Roman"/>
          <w:kern w:val="0"/>
          <w:lang w:eastAsia="es-EC"/>
          <w14:ligatures w14:val="none"/>
        </w:rPr>
        <w:t xml:space="preserve"> </w:t>
      </w:r>
      <w:proofErr w:type="spellStart"/>
      <w:r w:rsidRPr="00054250">
        <w:rPr>
          <w:rFonts w:ascii="Times New Roman" w:eastAsia="Times New Roman" w:hAnsi="Times New Roman" w:cs="Times New Roman"/>
          <w:kern w:val="0"/>
          <w:lang w:eastAsia="es-EC"/>
          <w14:ligatures w14:val="none"/>
        </w:rPr>
        <w:t>Development</w:t>
      </w:r>
      <w:proofErr w:type="spellEnd"/>
      <w:r w:rsidRPr="00054250">
        <w:rPr>
          <w:rFonts w:ascii="Times New Roman" w:eastAsia="Times New Roman" w:hAnsi="Times New Roman" w:cs="Times New Roman"/>
          <w:kern w:val="0"/>
          <w:lang w:eastAsia="es-EC"/>
          <w14:ligatures w14:val="none"/>
        </w:rPr>
        <w:t xml:space="preserve"> (BDD), la construcción de matrices de trazabilidad y la implementación de un proceso formal de gestión de cambios.</w:t>
      </w:r>
    </w:p>
    <w:p w14:paraId="0AD3767C" w14:textId="77777777"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 xml:space="preserve">Los resultados obtenidos evidencian que el proceso de levantamiento y análisis de requisitos contribuyó a mejorar la calidad de la especificación del sistema, fortaleciendo </w:t>
      </w:r>
      <w:r w:rsidRPr="00054250">
        <w:rPr>
          <w:rFonts w:ascii="Times New Roman" w:eastAsia="Times New Roman" w:hAnsi="Times New Roman" w:cs="Times New Roman"/>
          <w:kern w:val="0"/>
          <w:lang w:eastAsia="es-EC"/>
          <w14:ligatures w14:val="none"/>
        </w:rPr>
        <w:lastRenderedPageBreak/>
        <w:t>su consistencia, completitud y trazabilidad. La incorporación de evidencias provenientes de entrevistas y de la encuesta aplicada permitió respaldar cada decisión tomada durante el proyecto, asegurando que los requisitos definidos respondan a necesidades reales de la comunidad universitaria.</w:t>
      </w:r>
    </w:p>
    <w:p w14:paraId="6D752792" w14:textId="77777777" w:rsidR="00054250" w:rsidRPr="00054250" w:rsidRDefault="00054250" w:rsidP="00054250">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054250">
        <w:rPr>
          <w:rFonts w:ascii="Times New Roman" w:eastAsia="Times New Roman" w:hAnsi="Times New Roman" w:cs="Times New Roman"/>
          <w:kern w:val="0"/>
          <w:lang w:eastAsia="es-EC"/>
          <w14:ligatures w14:val="none"/>
        </w:rPr>
        <w:t>Finalmente, la aplicación de un procedimiento estructurado para la gestión de cambios demostró la importancia de mantener un control formal sobre las modificaciones realizadas a la línea base del ERS, garantizando que cualquier actualización sea evaluada, documentada y aprobada antes de su incorporación. Esto proporciona una base sólida para las etapas posteriores de diseño, desarrollo, pruebas y mantenimiento del sistema RoutTech.</w:t>
      </w:r>
    </w:p>
    <w:p w14:paraId="2AAA8065"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50"/>
    <w:rsid w:val="00054250"/>
    <w:rsid w:val="00266DA8"/>
    <w:rsid w:val="003C2360"/>
    <w:rsid w:val="003E0484"/>
    <w:rsid w:val="00871AA0"/>
    <w:rsid w:val="0094237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C753"/>
  <w15:chartTrackingRefBased/>
  <w15:docId w15:val="{4196A520-B733-41E0-A49D-CF842CFE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4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42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42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42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42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42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42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42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2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42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42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42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42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42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42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42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4250"/>
    <w:rPr>
      <w:rFonts w:eastAsiaTheme="majorEastAsia" w:cstheme="majorBidi"/>
      <w:color w:val="272727" w:themeColor="text1" w:themeTint="D8"/>
    </w:rPr>
  </w:style>
  <w:style w:type="paragraph" w:styleId="Ttulo">
    <w:name w:val="Title"/>
    <w:basedOn w:val="Normal"/>
    <w:next w:val="Normal"/>
    <w:link w:val="TtuloCar"/>
    <w:uiPriority w:val="10"/>
    <w:qFormat/>
    <w:rsid w:val="00054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42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42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42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4250"/>
    <w:pPr>
      <w:spacing w:before="160"/>
      <w:jc w:val="center"/>
    </w:pPr>
    <w:rPr>
      <w:i/>
      <w:iCs/>
      <w:color w:val="404040" w:themeColor="text1" w:themeTint="BF"/>
    </w:rPr>
  </w:style>
  <w:style w:type="character" w:customStyle="1" w:styleId="CitaCar">
    <w:name w:val="Cita Car"/>
    <w:basedOn w:val="Fuentedeprrafopredeter"/>
    <w:link w:val="Cita"/>
    <w:uiPriority w:val="29"/>
    <w:rsid w:val="00054250"/>
    <w:rPr>
      <w:i/>
      <w:iCs/>
      <w:color w:val="404040" w:themeColor="text1" w:themeTint="BF"/>
    </w:rPr>
  </w:style>
  <w:style w:type="paragraph" w:styleId="Prrafodelista">
    <w:name w:val="List Paragraph"/>
    <w:basedOn w:val="Normal"/>
    <w:uiPriority w:val="34"/>
    <w:qFormat/>
    <w:rsid w:val="00054250"/>
    <w:pPr>
      <w:ind w:left="720"/>
      <w:contextualSpacing/>
    </w:pPr>
  </w:style>
  <w:style w:type="character" w:styleId="nfasisintenso">
    <w:name w:val="Intense Emphasis"/>
    <w:basedOn w:val="Fuentedeprrafopredeter"/>
    <w:uiPriority w:val="21"/>
    <w:qFormat/>
    <w:rsid w:val="00054250"/>
    <w:rPr>
      <w:i/>
      <w:iCs/>
      <w:color w:val="0F4761" w:themeColor="accent1" w:themeShade="BF"/>
    </w:rPr>
  </w:style>
  <w:style w:type="paragraph" w:styleId="Citadestacada">
    <w:name w:val="Intense Quote"/>
    <w:basedOn w:val="Normal"/>
    <w:next w:val="Normal"/>
    <w:link w:val="CitadestacadaCar"/>
    <w:uiPriority w:val="30"/>
    <w:qFormat/>
    <w:rsid w:val="00054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4250"/>
    <w:rPr>
      <w:i/>
      <w:iCs/>
      <w:color w:val="0F4761" w:themeColor="accent1" w:themeShade="BF"/>
    </w:rPr>
  </w:style>
  <w:style w:type="character" w:styleId="Referenciaintensa">
    <w:name w:val="Intense Reference"/>
    <w:basedOn w:val="Fuentedeprrafopredeter"/>
    <w:uiPriority w:val="32"/>
    <w:qFormat/>
    <w:rsid w:val="00054250"/>
    <w:rPr>
      <w:b/>
      <w:bCs/>
      <w:smallCaps/>
      <w:color w:val="0F4761" w:themeColor="accent1" w:themeShade="BF"/>
      <w:spacing w:val="5"/>
    </w:rPr>
  </w:style>
  <w:style w:type="paragraph" w:styleId="NormalWeb">
    <w:name w:val="Normal (Web)"/>
    <w:basedOn w:val="Normal"/>
    <w:uiPriority w:val="99"/>
    <w:semiHidden/>
    <w:unhideWhenUsed/>
    <w:rsid w:val="00054250"/>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054250"/>
    <w:rPr>
      <w:b/>
      <w:bCs/>
    </w:rPr>
  </w:style>
  <w:style w:type="table" w:styleId="Tablanormal1">
    <w:name w:val="Plain Table 1"/>
    <w:basedOn w:val="Tablanormal"/>
    <w:uiPriority w:val="41"/>
    <w:rsid w:val="000542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0542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714</Words>
  <Characters>3928</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2026-07-28T07:01:00Z</dcterms:created>
  <dcterms:modified xsi:type="dcterms:W3CDTF">2026-07-28T07:05:00Z</dcterms:modified>
</cp:coreProperties>
</file>