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1CF5" w14:textId="77777777" w:rsidR="00F52FE0" w:rsidRPr="00F52FE0" w:rsidRDefault="00F52FE0" w:rsidP="00F52FE0">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F52FE0">
        <w:rPr>
          <w:rFonts w:ascii="Times New Roman" w:eastAsia="Times New Roman" w:hAnsi="Times New Roman" w:cs="Times New Roman"/>
          <w:b/>
          <w:bCs/>
          <w:kern w:val="36"/>
          <w:sz w:val="40"/>
          <w:szCs w:val="40"/>
          <w:lang w:eastAsia="es-EC"/>
          <w14:ligatures w14:val="none"/>
        </w:rPr>
        <w:t>ETAPA 10. Diagnóstico de Cobertura de Requisitos</w:t>
      </w:r>
    </w:p>
    <w:p w14:paraId="6B43D3C5" w14:textId="77777777" w:rsidR="00F52FE0" w:rsidRPr="00F52FE0" w:rsidRDefault="00F52FE0" w:rsidP="00F52FE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F52FE0">
        <w:rPr>
          <w:rFonts w:ascii="Times New Roman" w:eastAsia="Times New Roman" w:hAnsi="Times New Roman" w:cs="Times New Roman"/>
          <w:b/>
          <w:bCs/>
          <w:kern w:val="0"/>
          <w:sz w:val="36"/>
          <w:szCs w:val="36"/>
          <w:lang w:eastAsia="es-EC"/>
          <w14:ligatures w14:val="none"/>
        </w:rPr>
        <w:t>10.1 Introducción</w:t>
      </w:r>
    </w:p>
    <w:p w14:paraId="242014A5" w14:textId="77777777"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El diagnóstico de cobertura tiene como finalidad evaluar el grado en que los requisitos especificados para el sistema RoutTech se encuentran respaldados por los diferentes artefactos desarrollados durante el proceso de Ingeniería de Requisitos. Este análisis permite verificar que cada requisito cuente con evidencia de origen, un nivel de prioridad definido, una especificación adecuada y mecanismos para su futura validación.</w:t>
      </w:r>
    </w:p>
    <w:p w14:paraId="7F91D3A0" w14:textId="78DAE968"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La cobertura de requisitos constituye un indicador de calidad de la especificación, ya que facilita la identificación de posibles vacíos, inconsistencias o requisitos que requieran mayor desarrollo antes de iniciar las etapas de diseño e implementación. Para este diagnóstico se consideraron los requisitos funcionales y no funcionales documentados en el proyecto, así como las historias de usuario, los escenarios BDD y las matrices de trazabilidad elaboradas en las etapas anteriores.</w:t>
      </w:r>
    </w:p>
    <w:p w14:paraId="18708C0D" w14:textId="77777777" w:rsidR="00F52FE0" w:rsidRPr="00F52FE0" w:rsidRDefault="00F52FE0" w:rsidP="00F52FE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F52FE0">
        <w:rPr>
          <w:rFonts w:ascii="Times New Roman" w:eastAsia="Times New Roman" w:hAnsi="Times New Roman" w:cs="Times New Roman"/>
          <w:b/>
          <w:bCs/>
          <w:kern w:val="0"/>
          <w:sz w:val="36"/>
          <w:szCs w:val="36"/>
          <w:lang w:eastAsia="es-EC"/>
          <w14:ligatures w14:val="none"/>
        </w:rPr>
        <w:t>10.2 Cobertura de los Requisitos Funcionales</w:t>
      </w:r>
    </w:p>
    <w:p w14:paraId="30B989FE" w14:textId="77777777"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Con base en el análisis realizado, se verificó que los 25 requisitos funcionales definidos para el sistema cuentan con un identificador único, una descripción estructurada y una prioridad asignada mediante la técnica MoSCoW. Además, todos los requisitos poseen al menos una evidencia que justifica su incorporación al sistema, ya sea mediante entrevistas realizadas a miembros de la comunidad universitaria o a través de la encuesta aplicada a estudiantes.</w:t>
      </w:r>
    </w:p>
    <w:p w14:paraId="7C43728B" w14:textId="096B1751"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 xml:space="preserve">Del total de requisitos funcionales, aquellos clasificados con prioridad Must Have fueron desarrollados mediante historias de usuario y escenarios de aceptación utilizando la metodología BDD, lo que garantiza que las funcionalidades críticas del sistema disponen de criterios claros para su validación. Los requisitos clasificados como </w:t>
      </w:r>
      <w:proofErr w:type="spellStart"/>
      <w:r w:rsidRPr="00F52FE0">
        <w:rPr>
          <w:rFonts w:ascii="Times New Roman" w:eastAsia="Times New Roman" w:hAnsi="Times New Roman" w:cs="Times New Roman"/>
          <w:kern w:val="0"/>
          <w:lang w:eastAsia="es-EC"/>
          <w14:ligatures w14:val="none"/>
        </w:rPr>
        <w:t>Should</w:t>
      </w:r>
      <w:proofErr w:type="spellEnd"/>
      <w:r w:rsidRPr="00F52FE0">
        <w:rPr>
          <w:rFonts w:ascii="Times New Roman" w:eastAsia="Times New Roman" w:hAnsi="Times New Roman" w:cs="Times New Roman"/>
          <w:kern w:val="0"/>
          <w:lang w:eastAsia="es-EC"/>
          <w14:ligatures w14:val="none"/>
        </w:rPr>
        <w:t xml:space="preserve"> Have y </w:t>
      </w:r>
      <w:proofErr w:type="spellStart"/>
      <w:r w:rsidRPr="00F52FE0">
        <w:rPr>
          <w:rFonts w:ascii="Times New Roman" w:eastAsia="Times New Roman" w:hAnsi="Times New Roman" w:cs="Times New Roman"/>
          <w:kern w:val="0"/>
          <w:lang w:eastAsia="es-EC"/>
          <w14:ligatures w14:val="none"/>
        </w:rPr>
        <w:t>Could</w:t>
      </w:r>
      <w:proofErr w:type="spellEnd"/>
      <w:r w:rsidRPr="00F52FE0">
        <w:rPr>
          <w:rFonts w:ascii="Times New Roman" w:eastAsia="Times New Roman" w:hAnsi="Times New Roman" w:cs="Times New Roman"/>
          <w:kern w:val="0"/>
          <w:lang w:eastAsia="es-EC"/>
          <w14:ligatures w14:val="none"/>
        </w:rPr>
        <w:t xml:space="preserve"> Have mantienen su trazabilidad con las evidencias recopiladas y podrán complementarse con escenarios adicionales en futuras iteraciones del proyecto.</w:t>
      </w:r>
    </w:p>
    <w:p w14:paraId="428E33AF" w14:textId="77777777" w:rsidR="00F52FE0" w:rsidRPr="00F52FE0" w:rsidRDefault="00F52FE0" w:rsidP="00F52FE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F52FE0">
        <w:rPr>
          <w:rFonts w:ascii="Times New Roman" w:eastAsia="Times New Roman" w:hAnsi="Times New Roman" w:cs="Times New Roman"/>
          <w:b/>
          <w:bCs/>
          <w:kern w:val="0"/>
          <w:sz w:val="36"/>
          <w:szCs w:val="36"/>
          <w:lang w:eastAsia="es-EC"/>
          <w14:ligatures w14:val="none"/>
        </w:rPr>
        <w:t>10.3 Cobertura de los Requisitos No Funcionales</w:t>
      </w:r>
    </w:p>
    <w:p w14:paraId="64619DB5" w14:textId="77777777"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Los 12 requisitos no funcionales identificados fueron revisados y fortalecidos mediante la incorporación de criterios de aceptación, métodos de verificación y evidencias que respaldan su inclusión dentro de la especificación del sistema.</w:t>
      </w:r>
    </w:p>
    <w:p w14:paraId="70A73F49" w14:textId="3EB0831F"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 xml:space="preserve">Los atributos de calidad relacionados con seguridad, rendimiento, disponibilidad, privacidad, mantenibilidad y confiabilidad cuentan con mecanismos definidos para su evaluación durante las fases de pruebas. No obstante, algunos requisitos, particularmente aquellos relacionados con la protección de datos institucionales y la </w:t>
      </w:r>
      <w:proofErr w:type="spellStart"/>
      <w:r w:rsidRPr="00F52FE0">
        <w:rPr>
          <w:rFonts w:ascii="Times New Roman" w:eastAsia="Times New Roman" w:hAnsi="Times New Roman" w:cs="Times New Roman"/>
          <w:kern w:val="0"/>
          <w:lang w:eastAsia="es-EC"/>
          <w14:ligatures w14:val="none"/>
        </w:rPr>
        <w:t>explicabilidad</w:t>
      </w:r>
      <w:proofErr w:type="spellEnd"/>
      <w:r w:rsidRPr="00F52FE0">
        <w:rPr>
          <w:rFonts w:ascii="Times New Roman" w:eastAsia="Times New Roman" w:hAnsi="Times New Roman" w:cs="Times New Roman"/>
          <w:kern w:val="0"/>
          <w:lang w:eastAsia="es-EC"/>
          <w14:ligatures w14:val="none"/>
        </w:rPr>
        <w:t xml:space="preserve"> de los modelos de inteligencia artificial, permanecen asociados a EV-PENDIENTE, debido a que requieren validación institucional o la definición de protocolos específicos durante etapas posteriores del proyecto.</w:t>
      </w:r>
    </w:p>
    <w:p w14:paraId="6F090978" w14:textId="66D67869" w:rsidR="00F52FE0" w:rsidRPr="00F52FE0" w:rsidRDefault="00F52FE0" w:rsidP="00F52FE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F52FE0">
        <w:rPr>
          <w:rFonts w:ascii="Times New Roman" w:eastAsia="Times New Roman" w:hAnsi="Times New Roman" w:cs="Times New Roman"/>
          <w:b/>
          <w:bCs/>
          <w:kern w:val="0"/>
          <w:sz w:val="36"/>
          <w:szCs w:val="36"/>
          <w:lang w:eastAsia="es-EC"/>
          <w14:ligatures w14:val="none"/>
        </w:rPr>
        <w:lastRenderedPageBreak/>
        <w:t>10.4 Resultados del Diagnóstico de Cobertura</w:t>
      </w:r>
    </w:p>
    <w:p w14:paraId="7F57B7E5" w14:textId="7416FD7E" w:rsidR="00F52FE0" w:rsidRPr="00F52FE0" w:rsidRDefault="00F52FE0" w:rsidP="00F52FE0">
      <w:pPr>
        <w:pStyle w:val="Descripcin"/>
        <w:keepNext/>
        <w:jc w:val="center"/>
        <w:rPr>
          <w:rFonts w:ascii="Times New Roman" w:hAnsi="Times New Roman" w:cs="Times New Roman"/>
        </w:rPr>
      </w:pPr>
      <w:r w:rsidRPr="00F52FE0">
        <w:rPr>
          <w:rFonts w:ascii="Times New Roman" w:hAnsi="Times New Roman" w:cs="Times New Roman"/>
        </w:rPr>
        <w:t xml:space="preserve">Tabla </w:t>
      </w:r>
      <w:r>
        <w:rPr>
          <w:rFonts w:ascii="Times New Roman" w:hAnsi="Times New Roman" w:cs="Times New Roman"/>
        </w:rPr>
        <w:t>10.</w:t>
      </w:r>
      <w:r w:rsidRPr="00F52FE0">
        <w:rPr>
          <w:rFonts w:ascii="Times New Roman" w:hAnsi="Times New Roman" w:cs="Times New Roman"/>
        </w:rPr>
        <w:fldChar w:fldCharType="begin"/>
      </w:r>
      <w:r w:rsidRPr="00F52FE0">
        <w:rPr>
          <w:rFonts w:ascii="Times New Roman" w:hAnsi="Times New Roman" w:cs="Times New Roman"/>
        </w:rPr>
        <w:instrText xml:space="preserve"> SEQ Tabla \* ARABIC </w:instrText>
      </w:r>
      <w:r w:rsidRPr="00F52FE0">
        <w:rPr>
          <w:rFonts w:ascii="Times New Roman" w:hAnsi="Times New Roman" w:cs="Times New Roman"/>
        </w:rPr>
        <w:fldChar w:fldCharType="separate"/>
      </w:r>
      <w:r w:rsidRPr="00F52FE0">
        <w:rPr>
          <w:rFonts w:ascii="Times New Roman" w:hAnsi="Times New Roman" w:cs="Times New Roman"/>
          <w:noProof/>
        </w:rPr>
        <w:t>1</w:t>
      </w:r>
      <w:r w:rsidRPr="00F52FE0">
        <w:rPr>
          <w:rFonts w:ascii="Times New Roman" w:hAnsi="Times New Roman" w:cs="Times New Roman"/>
        </w:rPr>
        <w:fldChar w:fldCharType="end"/>
      </w:r>
      <w:r w:rsidRPr="00F52FE0">
        <w:rPr>
          <w:rFonts w:ascii="Times New Roman" w:hAnsi="Times New Roman" w:cs="Times New Roman"/>
        </w:rPr>
        <w:t xml:space="preserve"> Diagnóstico de cobertura de requisitos</w:t>
      </w:r>
    </w:p>
    <w:tbl>
      <w:tblPr>
        <w:tblStyle w:val="Tablanormal1"/>
        <w:tblW w:w="0" w:type="auto"/>
        <w:tblLook w:val="04A0" w:firstRow="1" w:lastRow="0" w:firstColumn="1" w:lastColumn="0" w:noHBand="0" w:noVBand="1"/>
      </w:tblPr>
      <w:tblGrid>
        <w:gridCol w:w="2596"/>
        <w:gridCol w:w="763"/>
        <w:gridCol w:w="1335"/>
        <w:gridCol w:w="3800"/>
      </w:tblGrid>
      <w:tr w:rsidR="00F52FE0" w:rsidRPr="00F52FE0" w14:paraId="61E36FC1" w14:textId="77777777" w:rsidTr="00F52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D4105"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Elemento evaluado</w:t>
            </w:r>
          </w:p>
        </w:tc>
        <w:tc>
          <w:tcPr>
            <w:tcW w:w="0" w:type="auto"/>
            <w:hideMark/>
          </w:tcPr>
          <w:p w14:paraId="1F74438C" w14:textId="77777777" w:rsidR="00F52FE0" w:rsidRPr="00F52FE0" w:rsidRDefault="00F52FE0" w:rsidP="00F52FE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Total</w:t>
            </w:r>
          </w:p>
        </w:tc>
        <w:tc>
          <w:tcPr>
            <w:tcW w:w="0" w:type="auto"/>
            <w:hideMark/>
          </w:tcPr>
          <w:p w14:paraId="4A500675" w14:textId="77777777" w:rsidR="00F52FE0" w:rsidRPr="00F52FE0" w:rsidRDefault="00F52FE0" w:rsidP="00F52FE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Cobertura</w:t>
            </w:r>
          </w:p>
        </w:tc>
        <w:tc>
          <w:tcPr>
            <w:tcW w:w="0" w:type="auto"/>
            <w:hideMark/>
          </w:tcPr>
          <w:p w14:paraId="7B14A3F9" w14:textId="77777777" w:rsidR="00F52FE0" w:rsidRPr="00F52FE0" w:rsidRDefault="00F52FE0" w:rsidP="00F52FE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Observación</w:t>
            </w:r>
          </w:p>
        </w:tc>
      </w:tr>
      <w:tr w:rsidR="00F52FE0" w:rsidRPr="00F52FE0" w14:paraId="579E1D16" w14:textId="77777777" w:rsidTr="00F52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33952"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funcionales</w:t>
            </w:r>
          </w:p>
        </w:tc>
        <w:tc>
          <w:tcPr>
            <w:tcW w:w="0" w:type="auto"/>
            <w:hideMark/>
          </w:tcPr>
          <w:p w14:paraId="46FAE272"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25</w:t>
            </w:r>
          </w:p>
        </w:tc>
        <w:tc>
          <w:tcPr>
            <w:tcW w:w="0" w:type="auto"/>
            <w:hideMark/>
          </w:tcPr>
          <w:p w14:paraId="21CDF95F"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100 %</w:t>
            </w:r>
          </w:p>
        </w:tc>
        <w:tc>
          <w:tcPr>
            <w:tcW w:w="0" w:type="auto"/>
            <w:hideMark/>
          </w:tcPr>
          <w:p w14:paraId="75E46FB3"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Todos cuentan con identificador, descripción y prioridad.</w:t>
            </w:r>
          </w:p>
        </w:tc>
      </w:tr>
      <w:tr w:rsidR="00F52FE0" w:rsidRPr="00F52FE0" w14:paraId="1BD7B96A" w14:textId="77777777" w:rsidTr="00F52FE0">
        <w:tc>
          <w:tcPr>
            <w:cnfStyle w:val="001000000000" w:firstRow="0" w:lastRow="0" w:firstColumn="1" w:lastColumn="0" w:oddVBand="0" w:evenVBand="0" w:oddHBand="0" w:evenHBand="0" w:firstRowFirstColumn="0" w:firstRowLastColumn="0" w:lastRowFirstColumn="0" w:lastRowLastColumn="0"/>
            <w:tcW w:w="0" w:type="auto"/>
            <w:hideMark/>
          </w:tcPr>
          <w:p w14:paraId="67CEC6F5"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funcionales con evidencia</w:t>
            </w:r>
          </w:p>
        </w:tc>
        <w:tc>
          <w:tcPr>
            <w:tcW w:w="0" w:type="auto"/>
            <w:hideMark/>
          </w:tcPr>
          <w:p w14:paraId="02B38969"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25</w:t>
            </w:r>
          </w:p>
        </w:tc>
        <w:tc>
          <w:tcPr>
            <w:tcW w:w="0" w:type="auto"/>
            <w:hideMark/>
          </w:tcPr>
          <w:p w14:paraId="3CAB43E8"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100 %</w:t>
            </w:r>
          </w:p>
        </w:tc>
        <w:tc>
          <w:tcPr>
            <w:tcW w:w="0" w:type="auto"/>
            <w:hideMark/>
          </w:tcPr>
          <w:p w14:paraId="1158EF0E"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Todos poseen al menos una fuente de respaldo.</w:t>
            </w:r>
          </w:p>
        </w:tc>
      </w:tr>
      <w:tr w:rsidR="00F52FE0" w:rsidRPr="00F52FE0" w14:paraId="12D8980B" w14:textId="77777777" w:rsidTr="00F52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0DC5E"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funcionales con historia de usuario</w:t>
            </w:r>
          </w:p>
        </w:tc>
        <w:tc>
          <w:tcPr>
            <w:tcW w:w="0" w:type="auto"/>
            <w:hideMark/>
          </w:tcPr>
          <w:p w14:paraId="5C42D937"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12</w:t>
            </w:r>
          </w:p>
        </w:tc>
        <w:tc>
          <w:tcPr>
            <w:tcW w:w="0" w:type="auto"/>
            <w:hideMark/>
          </w:tcPr>
          <w:p w14:paraId="0B93EF5F"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48 %</w:t>
            </w:r>
          </w:p>
        </w:tc>
        <w:tc>
          <w:tcPr>
            <w:tcW w:w="0" w:type="auto"/>
            <w:hideMark/>
          </w:tcPr>
          <w:p w14:paraId="4552C190"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Se desarrollaron las historias correspondientes a los requisitos priorizados.</w:t>
            </w:r>
          </w:p>
        </w:tc>
      </w:tr>
      <w:tr w:rsidR="00F52FE0" w:rsidRPr="00F52FE0" w14:paraId="763C6004" w14:textId="77777777" w:rsidTr="00F52FE0">
        <w:tc>
          <w:tcPr>
            <w:cnfStyle w:val="001000000000" w:firstRow="0" w:lastRow="0" w:firstColumn="1" w:lastColumn="0" w:oddVBand="0" w:evenVBand="0" w:oddHBand="0" w:evenHBand="0" w:firstRowFirstColumn="0" w:firstRowLastColumn="0" w:lastRowFirstColumn="0" w:lastRowLastColumn="0"/>
            <w:tcW w:w="0" w:type="auto"/>
            <w:hideMark/>
          </w:tcPr>
          <w:p w14:paraId="1A4D9299"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funcionales con escenario BDD</w:t>
            </w:r>
          </w:p>
        </w:tc>
        <w:tc>
          <w:tcPr>
            <w:tcW w:w="0" w:type="auto"/>
            <w:hideMark/>
          </w:tcPr>
          <w:p w14:paraId="2CFDBEB1"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8</w:t>
            </w:r>
          </w:p>
        </w:tc>
        <w:tc>
          <w:tcPr>
            <w:tcW w:w="0" w:type="auto"/>
            <w:hideMark/>
          </w:tcPr>
          <w:p w14:paraId="1D894E3D"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32 %</w:t>
            </w:r>
          </w:p>
        </w:tc>
        <w:tc>
          <w:tcPr>
            <w:tcW w:w="0" w:type="auto"/>
            <w:hideMark/>
          </w:tcPr>
          <w:p w14:paraId="378B4E01"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Se especificaron los escenarios para las funcionalidades críticas (Must Have).</w:t>
            </w:r>
          </w:p>
        </w:tc>
      </w:tr>
      <w:tr w:rsidR="00F52FE0" w:rsidRPr="00F52FE0" w14:paraId="7D7E802A" w14:textId="77777777" w:rsidTr="00F52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C69A0"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no funcionales</w:t>
            </w:r>
          </w:p>
        </w:tc>
        <w:tc>
          <w:tcPr>
            <w:tcW w:w="0" w:type="auto"/>
            <w:hideMark/>
          </w:tcPr>
          <w:p w14:paraId="79ACCF73"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12</w:t>
            </w:r>
          </w:p>
        </w:tc>
        <w:tc>
          <w:tcPr>
            <w:tcW w:w="0" w:type="auto"/>
            <w:hideMark/>
          </w:tcPr>
          <w:p w14:paraId="759F750C"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100 %</w:t>
            </w:r>
          </w:p>
        </w:tc>
        <w:tc>
          <w:tcPr>
            <w:tcW w:w="0" w:type="auto"/>
            <w:hideMark/>
          </w:tcPr>
          <w:p w14:paraId="015A3A62"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Todos fueron revisados y estructurados.</w:t>
            </w:r>
          </w:p>
        </w:tc>
      </w:tr>
      <w:tr w:rsidR="00F52FE0" w:rsidRPr="00F52FE0" w14:paraId="564E5FF0" w14:textId="77777777" w:rsidTr="00F52FE0">
        <w:tc>
          <w:tcPr>
            <w:cnfStyle w:val="001000000000" w:firstRow="0" w:lastRow="0" w:firstColumn="1" w:lastColumn="0" w:oddVBand="0" w:evenVBand="0" w:oddHBand="0" w:evenHBand="0" w:firstRowFirstColumn="0" w:firstRowLastColumn="0" w:lastRowFirstColumn="0" w:lastRowLastColumn="0"/>
            <w:tcW w:w="0" w:type="auto"/>
            <w:hideMark/>
          </w:tcPr>
          <w:p w14:paraId="7907BECC"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no funcionales con método de verificación</w:t>
            </w:r>
          </w:p>
        </w:tc>
        <w:tc>
          <w:tcPr>
            <w:tcW w:w="0" w:type="auto"/>
            <w:hideMark/>
          </w:tcPr>
          <w:p w14:paraId="392F80EF"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12</w:t>
            </w:r>
          </w:p>
        </w:tc>
        <w:tc>
          <w:tcPr>
            <w:tcW w:w="0" w:type="auto"/>
            <w:hideMark/>
          </w:tcPr>
          <w:p w14:paraId="6E722F28"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100 %</w:t>
            </w:r>
          </w:p>
        </w:tc>
        <w:tc>
          <w:tcPr>
            <w:tcW w:w="0" w:type="auto"/>
            <w:hideMark/>
          </w:tcPr>
          <w:p w14:paraId="2D8805AC" w14:textId="77777777" w:rsidR="00F52FE0" w:rsidRPr="00F52FE0" w:rsidRDefault="00F52FE0" w:rsidP="00F52F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Todos incluyen un mecanismo para validar su cumplimiento.</w:t>
            </w:r>
          </w:p>
        </w:tc>
      </w:tr>
      <w:tr w:rsidR="00F52FE0" w:rsidRPr="00F52FE0" w14:paraId="5BF1308D" w14:textId="77777777" w:rsidTr="00F52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36CD5" w14:textId="77777777" w:rsidR="00F52FE0" w:rsidRPr="00F52FE0" w:rsidRDefault="00F52FE0" w:rsidP="00F52FE0">
            <w:pPr>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Requisitos con evidencia pendiente</w:t>
            </w:r>
          </w:p>
        </w:tc>
        <w:tc>
          <w:tcPr>
            <w:tcW w:w="0" w:type="auto"/>
            <w:hideMark/>
          </w:tcPr>
          <w:p w14:paraId="3F32D769"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3</w:t>
            </w:r>
          </w:p>
        </w:tc>
        <w:tc>
          <w:tcPr>
            <w:tcW w:w="0" w:type="auto"/>
            <w:hideMark/>
          </w:tcPr>
          <w:p w14:paraId="1C7E9B2F"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8 % del total</w:t>
            </w:r>
          </w:p>
        </w:tc>
        <w:tc>
          <w:tcPr>
            <w:tcW w:w="0" w:type="auto"/>
            <w:hideMark/>
          </w:tcPr>
          <w:p w14:paraId="40140ADA" w14:textId="77777777" w:rsidR="00F52FE0" w:rsidRPr="00F52FE0" w:rsidRDefault="00F52FE0" w:rsidP="00F52FE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Corresponden a requisitos que requieren validación institucional o información adicional.</w:t>
            </w:r>
          </w:p>
        </w:tc>
      </w:tr>
    </w:tbl>
    <w:p w14:paraId="43A8D087" w14:textId="77777777" w:rsidR="00F52FE0" w:rsidRPr="00F52FE0" w:rsidRDefault="00F52FE0" w:rsidP="00F52FE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F52FE0">
        <w:rPr>
          <w:rFonts w:ascii="Times New Roman" w:eastAsia="Times New Roman" w:hAnsi="Times New Roman" w:cs="Times New Roman"/>
          <w:b/>
          <w:bCs/>
          <w:kern w:val="0"/>
          <w:sz w:val="36"/>
          <w:szCs w:val="36"/>
          <w:lang w:eastAsia="es-EC"/>
          <w14:ligatures w14:val="none"/>
        </w:rPr>
        <w:t>10.5 Análisis del Diagnóstico</w:t>
      </w:r>
    </w:p>
    <w:p w14:paraId="3E54A3E9" w14:textId="77777777"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El análisis realizado evidencia que la especificación de requisitos del sistema RoutTech presenta un alto nivel de cobertura respecto a las necesidades identificadas durante el proceso de elicitación. Todos los requisitos funcionales y no funcionales mantienen una relación directa con las evidencias recopiladas y cuentan con mecanismos definidos para su seguimiento y validación.</w:t>
      </w:r>
    </w:p>
    <w:p w14:paraId="5020E574" w14:textId="77777777"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Asimismo, la incorporación de historias de usuario y escenarios BDD para las funcionalidades de mayor prioridad fortalece la calidad de la especificación, al proporcionar criterios de aceptación claros para las futuras pruebas del sistema. Los requisitos que aún presentan evidencia pendiente no representan inconsistencias en la documentación, sino oportunidades de mejora que dependerán de información institucional o de decisiones técnicas que deberán abordarse durante las siguientes fases del proyecto.</w:t>
      </w:r>
    </w:p>
    <w:p w14:paraId="190F7BBE" w14:textId="77777777" w:rsidR="00F52FE0" w:rsidRPr="00F52FE0" w:rsidRDefault="00F52FE0" w:rsidP="00F52FE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52FE0">
        <w:rPr>
          <w:rFonts w:ascii="Times New Roman" w:eastAsia="Times New Roman" w:hAnsi="Times New Roman" w:cs="Times New Roman"/>
          <w:kern w:val="0"/>
          <w:lang w:eastAsia="es-EC"/>
          <w14:ligatures w14:val="none"/>
        </w:rPr>
        <w:t>En términos generales, el diagnóstico permite concluir que el documento de especificación posee un nivel de cobertura adecuado para servir como base del diseño, desarrollo y validación del sistema RoutTech, reduciendo el riesgo de omisiones y facilitando la gestión de cambios a lo largo del ciclo de vida del proyecto.</w:t>
      </w:r>
    </w:p>
    <w:p w14:paraId="57D0A08D"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E0"/>
    <w:rsid w:val="00266DA8"/>
    <w:rsid w:val="003C2360"/>
    <w:rsid w:val="003E0484"/>
    <w:rsid w:val="00871AA0"/>
    <w:rsid w:val="00E036B1"/>
    <w:rsid w:val="00F52FE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ABB9"/>
  <w15:chartTrackingRefBased/>
  <w15:docId w15:val="{A7267124-88AA-452D-AF14-5853C0D4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2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2F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2F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2F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2F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2F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2F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2F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2F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2F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2F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2F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2F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2F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2F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2F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2FE0"/>
    <w:rPr>
      <w:rFonts w:eastAsiaTheme="majorEastAsia" w:cstheme="majorBidi"/>
      <w:color w:val="272727" w:themeColor="text1" w:themeTint="D8"/>
    </w:rPr>
  </w:style>
  <w:style w:type="paragraph" w:styleId="Ttulo">
    <w:name w:val="Title"/>
    <w:basedOn w:val="Normal"/>
    <w:next w:val="Normal"/>
    <w:link w:val="TtuloCar"/>
    <w:uiPriority w:val="10"/>
    <w:qFormat/>
    <w:rsid w:val="00F5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2F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2F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2F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2FE0"/>
    <w:pPr>
      <w:spacing w:before="160"/>
      <w:jc w:val="center"/>
    </w:pPr>
    <w:rPr>
      <w:i/>
      <w:iCs/>
      <w:color w:val="404040" w:themeColor="text1" w:themeTint="BF"/>
    </w:rPr>
  </w:style>
  <w:style w:type="character" w:customStyle="1" w:styleId="CitaCar">
    <w:name w:val="Cita Car"/>
    <w:basedOn w:val="Fuentedeprrafopredeter"/>
    <w:link w:val="Cita"/>
    <w:uiPriority w:val="29"/>
    <w:rsid w:val="00F52FE0"/>
    <w:rPr>
      <w:i/>
      <w:iCs/>
      <w:color w:val="404040" w:themeColor="text1" w:themeTint="BF"/>
    </w:rPr>
  </w:style>
  <w:style w:type="paragraph" w:styleId="Prrafodelista">
    <w:name w:val="List Paragraph"/>
    <w:basedOn w:val="Normal"/>
    <w:uiPriority w:val="34"/>
    <w:qFormat/>
    <w:rsid w:val="00F52FE0"/>
    <w:pPr>
      <w:ind w:left="720"/>
      <w:contextualSpacing/>
    </w:pPr>
  </w:style>
  <w:style w:type="character" w:styleId="nfasisintenso">
    <w:name w:val="Intense Emphasis"/>
    <w:basedOn w:val="Fuentedeprrafopredeter"/>
    <w:uiPriority w:val="21"/>
    <w:qFormat/>
    <w:rsid w:val="00F52FE0"/>
    <w:rPr>
      <w:i/>
      <w:iCs/>
      <w:color w:val="0F4761" w:themeColor="accent1" w:themeShade="BF"/>
    </w:rPr>
  </w:style>
  <w:style w:type="paragraph" w:styleId="Citadestacada">
    <w:name w:val="Intense Quote"/>
    <w:basedOn w:val="Normal"/>
    <w:next w:val="Normal"/>
    <w:link w:val="CitadestacadaCar"/>
    <w:uiPriority w:val="30"/>
    <w:qFormat/>
    <w:rsid w:val="00F5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2FE0"/>
    <w:rPr>
      <w:i/>
      <w:iCs/>
      <w:color w:val="0F4761" w:themeColor="accent1" w:themeShade="BF"/>
    </w:rPr>
  </w:style>
  <w:style w:type="character" w:styleId="Referenciaintensa">
    <w:name w:val="Intense Reference"/>
    <w:basedOn w:val="Fuentedeprrafopredeter"/>
    <w:uiPriority w:val="32"/>
    <w:qFormat/>
    <w:rsid w:val="00F52FE0"/>
    <w:rPr>
      <w:b/>
      <w:bCs/>
      <w:smallCaps/>
      <w:color w:val="0F4761" w:themeColor="accent1" w:themeShade="BF"/>
      <w:spacing w:val="5"/>
    </w:rPr>
  </w:style>
  <w:style w:type="paragraph" w:styleId="NormalWeb">
    <w:name w:val="Normal (Web)"/>
    <w:basedOn w:val="Normal"/>
    <w:uiPriority w:val="99"/>
    <w:semiHidden/>
    <w:unhideWhenUsed/>
    <w:rsid w:val="00F52FE0"/>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F52FE0"/>
    <w:rPr>
      <w:b/>
      <w:bCs/>
    </w:rPr>
  </w:style>
  <w:style w:type="table" w:styleId="Tablanormal1">
    <w:name w:val="Plain Table 1"/>
    <w:basedOn w:val="Tablanormal"/>
    <w:uiPriority w:val="41"/>
    <w:rsid w:val="00F52F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F52FE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772</Words>
  <Characters>4248</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2026-07-28T06:41:00Z</dcterms:created>
  <dcterms:modified xsi:type="dcterms:W3CDTF">2026-07-28T06:44:00Z</dcterms:modified>
</cp:coreProperties>
</file>