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6F44" w14:textId="77777777" w:rsidR="003110DB" w:rsidRPr="003110DB" w:rsidRDefault="003110DB" w:rsidP="003110DB">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3110DB">
        <w:rPr>
          <w:rFonts w:ascii="Times New Roman" w:eastAsia="Times New Roman" w:hAnsi="Times New Roman" w:cs="Times New Roman"/>
          <w:b/>
          <w:bCs/>
          <w:kern w:val="36"/>
          <w:sz w:val="40"/>
          <w:szCs w:val="40"/>
          <w:lang w:eastAsia="es-EC"/>
          <w14:ligatures w14:val="none"/>
        </w:rPr>
        <w:t>ETAPA 9. Matriz de Trazabilidad de Requisitos</w:t>
      </w:r>
    </w:p>
    <w:p w14:paraId="6CCE7285" w14:textId="77777777" w:rsidR="003110DB" w:rsidRPr="003110DB" w:rsidRDefault="003110DB" w:rsidP="003110D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3110DB">
        <w:rPr>
          <w:rFonts w:ascii="Times New Roman" w:eastAsia="Times New Roman" w:hAnsi="Times New Roman" w:cs="Times New Roman"/>
          <w:b/>
          <w:bCs/>
          <w:kern w:val="0"/>
          <w:sz w:val="36"/>
          <w:szCs w:val="36"/>
          <w:lang w:eastAsia="es-EC"/>
          <w14:ligatures w14:val="none"/>
        </w:rPr>
        <w:t>9.1 Introducción</w:t>
      </w:r>
    </w:p>
    <w:p w14:paraId="470C4AF5" w14:textId="77777777" w:rsidR="003110DB" w:rsidRPr="003110DB" w:rsidRDefault="003110DB" w:rsidP="003110DB">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La trazabilidad de requisitos es una práctica fundamental en la Ingeniería de Requisitos que permite establecer relaciones entre las necesidades identificadas durante la elicitación y los diferentes artefactos generados a lo largo del proyecto. Su propósito es garantizar que cada requisito tenga un origen claramente identificado, pueda ser rastreado durante las fases de análisis, diseño, implementación y pruebas, y facilite la gestión de cambios futuros.</w:t>
      </w:r>
    </w:p>
    <w:p w14:paraId="68581FD4" w14:textId="520897CD" w:rsidR="003110DB" w:rsidRPr="003110DB" w:rsidRDefault="003110DB" w:rsidP="003110DB">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En el proyecto RoutTech, la matriz de trazabilidad integra las evidencias obtenidas durante las entrevistas y la encuesta aplicada con los requisitos funcionales, las historias de usuario y los escenarios BDD desarrollados en las etapas anteriores. De esta manera, se asegura que todas las funcionalidades propuestas respondan a necesidades reales de los usuarios y puedan ser verificadas mediante criterios de aceptación claramente definidos.</w:t>
      </w:r>
    </w:p>
    <w:p w14:paraId="17C9FD48" w14:textId="6575E327" w:rsidR="003110DB" w:rsidRPr="003110DB" w:rsidRDefault="003110DB" w:rsidP="003110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3110DB">
        <w:rPr>
          <w:rFonts w:ascii="Times New Roman" w:eastAsia="Times New Roman" w:hAnsi="Times New Roman" w:cs="Times New Roman"/>
          <w:b/>
          <w:bCs/>
          <w:kern w:val="0"/>
          <w:sz w:val="36"/>
          <w:szCs w:val="36"/>
          <w:lang w:eastAsia="es-EC"/>
          <w14:ligatures w14:val="none"/>
        </w:rPr>
        <w:t>9.2 Matriz de Trazabilidad</w:t>
      </w:r>
      <w:r w:rsidR="00BA2329">
        <w:rPr>
          <w:rFonts w:ascii="Times New Roman" w:eastAsia="Times New Roman" w:hAnsi="Times New Roman" w:cs="Times New Roman"/>
          <w:b/>
          <w:bCs/>
          <w:kern w:val="0"/>
          <w:sz w:val="36"/>
          <w:szCs w:val="36"/>
          <w:lang w:eastAsia="es-EC"/>
          <w14:ligatures w14:val="none"/>
        </w:rPr>
        <w:t xml:space="preserve"> de Requisitos Funcionales</w:t>
      </w:r>
    </w:p>
    <w:p w14:paraId="5E532EC7" w14:textId="02FE4DFE" w:rsidR="003110DB" w:rsidRPr="003110DB" w:rsidRDefault="003110DB" w:rsidP="003110DB">
      <w:pPr>
        <w:pStyle w:val="Descripcin"/>
        <w:keepNext/>
        <w:jc w:val="center"/>
        <w:rPr>
          <w:rFonts w:ascii="Times New Roman" w:hAnsi="Times New Roman" w:cs="Times New Roman"/>
          <w:color w:val="auto"/>
        </w:rPr>
      </w:pPr>
      <w:r w:rsidRPr="003110DB">
        <w:rPr>
          <w:rFonts w:ascii="Times New Roman" w:hAnsi="Times New Roman" w:cs="Times New Roman"/>
          <w:color w:val="auto"/>
        </w:rPr>
        <w:t xml:space="preserve">Tabla </w:t>
      </w:r>
      <w:r>
        <w:rPr>
          <w:rFonts w:ascii="Times New Roman" w:hAnsi="Times New Roman" w:cs="Times New Roman"/>
          <w:color w:val="auto"/>
        </w:rPr>
        <w:t>9.</w:t>
      </w:r>
      <w:r w:rsidRPr="003110DB">
        <w:rPr>
          <w:rFonts w:ascii="Times New Roman" w:hAnsi="Times New Roman" w:cs="Times New Roman"/>
          <w:color w:val="auto"/>
        </w:rPr>
        <w:fldChar w:fldCharType="begin"/>
      </w:r>
      <w:r w:rsidRPr="003110DB">
        <w:rPr>
          <w:rFonts w:ascii="Times New Roman" w:hAnsi="Times New Roman" w:cs="Times New Roman"/>
          <w:color w:val="auto"/>
        </w:rPr>
        <w:instrText xml:space="preserve"> SEQ Tabla \* ARABIC </w:instrText>
      </w:r>
      <w:r w:rsidRPr="003110DB">
        <w:rPr>
          <w:rFonts w:ascii="Times New Roman" w:hAnsi="Times New Roman" w:cs="Times New Roman"/>
          <w:color w:val="auto"/>
        </w:rPr>
        <w:fldChar w:fldCharType="separate"/>
      </w:r>
      <w:r w:rsidR="00BA2329">
        <w:rPr>
          <w:rFonts w:ascii="Times New Roman" w:hAnsi="Times New Roman" w:cs="Times New Roman"/>
          <w:noProof/>
          <w:color w:val="auto"/>
        </w:rPr>
        <w:t>1</w:t>
      </w:r>
      <w:r w:rsidRPr="003110DB">
        <w:rPr>
          <w:rFonts w:ascii="Times New Roman" w:hAnsi="Times New Roman" w:cs="Times New Roman"/>
          <w:color w:val="auto"/>
        </w:rPr>
        <w:fldChar w:fldCharType="end"/>
      </w:r>
      <w:r>
        <w:rPr>
          <w:rFonts w:ascii="Times New Roman" w:hAnsi="Times New Roman" w:cs="Times New Roman"/>
          <w:color w:val="auto"/>
        </w:rPr>
        <w:t>.</w:t>
      </w:r>
      <w:r w:rsidRPr="003110DB">
        <w:rPr>
          <w:rFonts w:ascii="Times New Roman" w:hAnsi="Times New Roman" w:cs="Times New Roman"/>
          <w:color w:val="auto"/>
        </w:rPr>
        <w:t xml:space="preserve"> Matriz de trazabilidad de requisitos</w:t>
      </w:r>
    </w:p>
    <w:tbl>
      <w:tblPr>
        <w:tblStyle w:val="Tablanormal1"/>
        <w:tblW w:w="0" w:type="auto"/>
        <w:tblLook w:val="04A0" w:firstRow="1" w:lastRow="0" w:firstColumn="1" w:lastColumn="0" w:noHBand="0" w:noVBand="1"/>
      </w:tblPr>
      <w:tblGrid>
        <w:gridCol w:w="2011"/>
        <w:gridCol w:w="2456"/>
        <w:gridCol w:w="1410"/>
        <w:gridCol w:w="1401"/>
        <w:gridCol w:w="1216"/>
      </w:tblGrid>
      <w:tr w:rsidR="003110DB" w:rsidRPr="003110DB" w14:paraId="0A557162" w14:textId="77777777" w:rsidTr="0031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5F4CF" w14:textId="77777777" w:rsidR="003110DB" w:rsidRPr="003110DB" w:rsidRDefault="003110DB" w:rsidP="003110DB">
            <w:pPr>
              <w:jc w:val="cente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Evidencia</w:t>
            </w:r>
          </w:p>
        </w:tc>
        <w:tc>
          <w:tcPr>
            <w:tcW w:w="0" w:type="auto"/>
            <w:hideMark/>
          </w:tcPr>
          <w:p w14:paraId="282D6717" w14:textId="77777777" w:rsidR="003110DB" w:rsidRPr="003110DB" w:rsidRDefault="003110DB" w:rsidP="003110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Requisito Funcional</w:t>
            </w:r>
          </w:p>
        </w:tc>
        <w:tc>
          <w:tcPr>
            <w:tcW w:w="0" w:type="auto"/>
            <w:hideMark/>
          </w:tcPr>
          <w:p w14:paraId="70D8B88B" w14:textId="77777777" w:rsidR="003110DB" w:rsidRPr="003110DB" w:rsidRDefault="003110DB" w:rsidP="003110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Historia de Usuario</w:t>
            </w:r>
          </w:p>
        </w:tc>
        <w:tc>
          <w:tcPr>
            <w:tcW w:w="0" w:type="auto"/>
            <w:hideMark/>
          </w:tcPr>
          <w:p w14:paraId="452C9402" w14:textId="77777777" w:rsidR="003110DB" w:rsidRPr="003110DB" w:rsidRDefault="003110DB" w:rsidP="003110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BDD</w:t>
            </w:r>
          </w:p>
        </w:tc>
        <w:tc>
          <w:tcPr>
            <w:tcW w:w="0" w:type="auto"/>
            <w:hideMark/>
          </w:tcPr>
          <w:p w14:paraId="5A36FB59" w14:textId="77777777" w:rsidR="003110DB" w:rsidRPr="003110DB" w:rsidRDefault="003110DB" w:rsidP="003110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Prioridad</w:t>
            </w:r>
          </w:p>
        </w:tc>
      </w:tr>
      <w:tr w:rsidR="003110DB" w:rsidRPr="003110DB" w14:paraId="620B7913"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B6D3C"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EV-ENT-001, EV-CUE-01</w:t>
            </w:r>
          </w:p>
        </w:tc>
        <w:tc>
          <w:tcPr>
            <w:tcW w:w="0" w:type="auto"/>
            <w:hideMark/>
          </w:tcPr>
          <w:p w14:paraId="04CA45D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RF-01 Autenticación institucional</w:t>
            </w:r>
          </w:p>
        </w:tc>
        <w:tc>
          <w:tcPr>
            <w:tcW w:w="0" w:type="auto"/>
            <w:hideMark/>
          </w:tcPr>
          <w:p w14:paraId="5EE698B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HU-01</w:t>
            </w:r>
          </w:p>
        </w:tc>
        <w:tc>
          <w:tcPr>
            <w:tcW w:w="0" w:type="auto"/>
            <w:hideMark/>
          </w:tcPr>
          <w:p w14:paraId="4F7E2449"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1</w:t>
            </w:r>
          </w:p>
        </w:tc>
        <w:tc>
          <w:tcPr>
            <w:tcW w:w="0" w:type="auto"/>
            <w:hideMark/>
          </w:tcPr>
          <w:p w14:paraId="3542E301"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7B271CCD"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6D30B454"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EV-ENT-002</w:t>
            </w:r>
          </w:p>
        </w:tc>
        <w:tc>
          <w:tcPr>
            <w:tcW w:w="0" w:type="auto"/>
            <w:hideMark/>
          </w:tcPr>
          <w:p w14:paraId="0082DFF9"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RF-02 Gestión de roles</w:t>
            </w:r>
          </w:p>
        </w:tc>
        <w:tc>
          <w:tcPr>
            <w:tcW w:w="0" w:type="auto"/>
            <w:hideMark/>
          </w:tcPr>
          <w:p w14:paraId="37D704D6"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HU-02</w:t>
            </w:r>
          </w:p>
        </w:tc>
        <w:tc>
          <w:tcPr>
            <w:tcW w:w="0" w:type="auto"/>
            <w:hideMark/>
          </w:tcPr>
          <w:p w14:paraId="4EE1541E"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3564E80D"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21A06F15"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8DBC3"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EV-ENT-004, EV-CUE-01</w:t>
            </w:r>
          </w:p>
        </w:tc>
        <w:tc>
          <w:tcPr>
            <w:tcW w:w="0" w:type="auto"/>
            <w:hideMark/>
          </w:tcPr>
          <w:p w14:paraId="6B6381E8"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RF-03 Recomendación de rutas</w:t>
            </w:r>
          </w:p>
        </w:tc>
        <w:tc>
          <w:tcPr>
            <w:tcW w:w="0" w:type="auto"/>
            <w:hideMark/>
          </w:tcPr>
          <w:p w14:paraId="637B98B7"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HU-03</w:t>
            </w:r>
          </w:p>
        </w:tc>
        <w:tc>
          <w:tcPr>
            <w:tcW w:w="0" w:type="auto"/>
            <w:hideMark/>
          </w:tcPr>
          <w:p w14:paraId="179E9301"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8</w:t>
            </w:r>
          </w:p>
        </w:tc>
        <w:tc>
          <w:tcPr>
            <w:tcW w:w="0" w:type="auto"/>
            <w:hideMark/>
          </w:tcPr>
          <w:p w14:paraId="397A3DC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7C83FA20"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22D23B2B"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EV-ENT-005</w:t>
            </w:r>
          </w:p>
        </w:tc>
        <w:tc>
          <w:tcPr>
            <w:tcW w:w="0" w:type="auto"/>
            <w:hideMark/>
          </w:tcPr>
          <w:p w14:paraId="76349F7C"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RF-04 Publicación de rutas</w:t>
            </w:r>
          </w:p>
        </w:tc>
        <w:tc>
          <w:tcPr>
            <w:tcW w:w="0" w:type="auto"/>
            <w:hideMark/>
          </w:tcPr>
          <w:p w14:paraId="5BD7411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HU-04</w:t>
            </w:r>
          </w:p>
        </w:tc>
        <w:tc>
          <w:tcPr>
            <w:tcW w:w="0" w:type="auto"/>
            <w:hideMark/>
          </w:tcPr>
          <w:p w14:paraId="6BE9290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2</w:t>
            </w:r>
          </w:p>
        </w:tc>
        <w:tc>
          <w:tcPr>
            <w:tcW w:w="0" w:type="auto"/>
            <w:hideMark/>
          </w:tcPr>
          <w:p w14:paraId="6AD806A6"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4E535368"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F8626"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EV-ENT-006, EV-CUE-01</w:t>
            </w:r>
          </w:p>
        </w:tc>
        <w:tc>
          <w:tcPr>
            <w:tcW w:w="0" w:type="auto"/>
            <w:hideMark/>
          </w:tcPr>
          <w:p w14:paraId="4A6A48A1"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RF-05 Reserva de viaje</w:t>
            </w:r>
          </w:p>
        </w:tc>
        <w:tc>
          <w:tcPr>
            <w:tcW w:w="0" w:type="auto"/>
            <w:hideMark/>
          </w:tcPr>
          <w:p w14:paraId="6A7126D2"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HU-05</w:t>
            </w:r>
          </w:p>
        </w:tc>
        <w:tc>
          <w:tcPr>
            <w:tcW w:w="0" w:type="auto"/>
            <w:hideMark/>
          </w:tcPr>
          <w:p w14:paraId="11EB3A6E"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3</w:t>
            </w:r>
          </w:p>
        </w:tc>
        <w:tc>
          <w:tcPr>
            <w:tcW w:w="0" w:type="auto"/>
            <w:hideMark/>
          </w:tcPr>
          <w:p w14:paraId="082D564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2E76849F"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6DB39B6A"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EV-ENT-007</w:t>
            </w:r>
          </w:p>
        </w:tc>
        <w:tc>
          <w:tcPr>
            <w:tcW w:w="0" w:type="auto"/>
            <w:hideMark/>
          </w:tcPr>
          <w:p w14:paraId="1E5E1B29"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RF-06 Cancelación de viaje</w:t>
            </w:r>
          </w:p>
        </w:tc>
        <w:tc>
          <w:tcPr>
            <w:tcW w:w="0" w:type="auto"/>
            <w:hideMark/>
          </w:tcPr>
          <w:p w14:paraId="1B44ABDE"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3482316D"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01AEEAE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7BBFA8DE"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A667"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EV-ENT-008</w:t>
            </w:r>
          </w:p>
        </w:tc>
        <w:tc>
          <w:tcPr>
            <w:tcW w:w="0" w:type="auto"/>
            <w:hideMark/>
          </w:tcPr>
          <w:p w14:paraId="605E7157"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RF-07 Gestión de perfil</w:t>
            </w:r>
          </w:p>
        </w:tc>
        <w:tc>
          <w:tcPr>
            <w:tcW w:w="0" w:type="auto"/>
            <w:hideMark/>
          </w:tcPr>
          <w:p w14:paraId="222F1217"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02D5BD06"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5CC1394A"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46691DE1"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02BE4D74"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EV-ENT-009</w:t>
            </w:r>
          </w:p>
        </w:tc>
        <w:tc>
          <w:tcPr>
            <w:tcW w:w="0" w:type="auto"/>
            <w:hideMark/>
          </w:tcPr>
          <w:p w14:paraId="59AE17E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RF-08 Historial de viajes</w:t>
            </w:r>
          </w:p>
        </w:tc>
        <w:tc>
          <w:tcPr>
            <w:tcW w:w="0" w:type="auto"/>
            <w:hideMark/>
          </w:tcPr>
          <w:p w14:paraId="06D8050A"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28460E60"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22A24621"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30FDF456"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C1BED"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EV-ENT-010</w:t>
            </w:r>
          </w:p>
        </w:tc>
        <w:tc>
          <w:tcPr>
            <w:tcW w:w="0" w:type="auto"/>
            <w:hideMark/>
          </w:tcPr>
          <w:p w14:paraId="6AB82F1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RF-09 Calificación de viajes</w:t>
            </w:r>
          </w:p>
        </w:tc>
        <w:tc>
          <w:tcPr>
            <w:tcW w:w="0" w:type="auto"/>
            <w:hideMark/>
          </w:tcPr>
          <w:p w14:paraId="36F4211C"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4EA70424"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7856B22A"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24269E74"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1993637B"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EV-ENT-011</w:t>
            </w:r>
          </w:p>
        </w:tc>
        <w:tc>
          <w:tcPr>
            <w:tcW w:w="0" w:type="auto"/>
            <w:hideMark/>
          </w:tcPr>
          <w:p w14:paraId="465C302A"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RF-10 Análisis de movilidad</w:t>
            </w:r>
          </w:p>
        </w:tc>
        <w:tc>
          <w:tcPr>
            <w:tcW w:w="0" w:type="auto"/>
            <w:hideMark/>
          </w:tcPr>
          <w:p w14:paraId="59B083DD"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63BF8F7F"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46F0EFA6"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Could</w:t>
            </w:r>
          </w:p>
        </w:tc>
      </w:tr>
      <w:tr w:rsidR="003110DB" w:rsidRPr="003110DB" w14:paraId="66374489"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9983C"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EV-PENDIENTE</w:t>
            </w:r>
          </w:p>
        </w:tc>
        <w:tc>
          <w:tcPr>
            <w:tcW w:w="0" w:type="auto"/>
            <w:hideMark/>
          </w:tcPr>
          <w:p w14:paraId="37723CA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RF-11 Reportes administrativos</w:t>
            </w:r>
          </w:p>
        </w:tc>
        <w:tc>
          <w:tcPr>
            <w:tcW w:w="0" w:type="auto"/>
            <w:hideMark/>
          </w:tcPr>
          <w:p w14:paraId="348E442A"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50D9C324"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4D202BA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Could</w:t>
            </w:r>
          </w:p>
        </w:tc>
      </w:tr>
      <w:tr w:rsidR="003110DB" w:rsidRPr="003110DB" w14:paraId="3B3002CA"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714D35AD"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EV-ENT-012</w:t>
            </w:r>
          </w:p>
        </w:tc>
        <w:tc>
          <w:tcPr>
            <w:tcW w:w="0" w:type="auto"/>
            <w:hideMark/>
          </w:tcPr>
          <w:p w14:paraId="3A111BFE"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RF-12 Notificaciones</w:t>
            </w:r>
          </w:p>
        </w:tc>
        <w:tc>
          <w:tcPr>
            <w:tcW w:w="0" w:type="auto"/>
            <w:hideMark/>
          </w:tcPr>
          <w:p w14:paraId="3D6BB9B6"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HU-06</w:t>
            </w:r>
          </w:p>
        </w:tc>
        <w:tc>
          <w:tcPr>
            <w:tcW w:w="0" w:type="auto"/>
            <w:hideMark/>
          </w:tcPr>
          <w:p w14:paraId="68C05E2C"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4</w:t>
            </w:r>
          </w:p>
        </w:tc>
        <w:tc>
          <w:tcPr>
            <w:tcW w:w="0" w:type="auto"/>
            <w:hideMark/>
          </w:tcPr>
          <w:p w14:paraId="36E99CC5"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7F7E53A3"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7D553"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EV-ENT-013</w:t>
            </w:r>
          </w:p>
        </w:tc>
        <w:tc>
          <w:tcPr>
            <w:tcW w:w="0" w:type="auto"/>
            <w:hideMark/>
          </w:tcPr>
          <w:p w14:paraId="47EFB81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RF-13 Gestión de incidencias</w:t>
            </w:r>
          </w:p>
        </w:tc>
        <w:tc>
          <w:tcPr>
            <w:tcW w:w="0" w:type="auto"/>
            <w:hideMark/>
          </w:tcPr>
          <w:p w14:paraId="5276AD50"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2DE3B72C"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13F6D60C"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48CA3676"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2C5B86C8"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lastRenderedPageBreak/>
              <w:t>EV-ENT-014</w:t>
            </w:r>
          </w:p>
        </w:tc>
        <w:tc>
          <w:tcPr>
            <w:tcW w:w="0" w:type="auto"/>
            <w:hideMark/>
          </w:tcPr>
          <w:p w14:paraId="4E4E762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RF-14 Búsqueda avanzada</w:t>
            </w:r>
          </w:p>
        </w:tc>
        <w:tc>
          <w:tcPr>
            <w:tcW w:w="0" w:type="auto"/>
            <w:hideMark/>
          </w:tcPr>
          <w:p w14:paraId="3317ABA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2E211EAE"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47A2BA19"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71889113"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81D7E"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EV-ENT-015</w:t>
            </w:r>
          </w:p>
        </w:tc>
        <w:tc>
          <w:tcPr>
            <w:tcW w:w="0" w:type="auto"/>
            <w:hideMark/>
          </w:tcPr>
          <w:p w14:paraId="36B02F5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RF-15 Registro de vehículo</w:t>
            </w:r>
          </w:p>
        </w:tc>
        <w:tc>
          <w:tcPr>
            <w:tcW w:w="0" w:type="auto"/>
            <w:hideMark/>
          </w:tcPr>
          <w:p w14:paraId="2014B170"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HU-07</w:t>
            </w:r>
          </w:p>
        </w:tc>
        <w:tc>
          <w:tcPr>
            <w:tcW w:w="0" w:type="auto"/>
            <w:hideMark/>
          </w:tcPr>
          <w:p w14:paraId="54E7DC32"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5</w:t>
            </w:r>
          </w:p>
        </w:tc>
        <w:tc>
          <w:tcPr>
            <w:tcW w:w="0" w:type="auto"/>
            <w:hideMark/>
          </w:tcPr>
          <w:p w14:paraId="5DF74114"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01203B03"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1F328CED"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EV-ENT-003</w:t>
            </w:r>
          </w:p>
        </w:tc>
        <w:tc>
          <w:tcPr>
            <w:tcW w:w="0" w:type="auto"/>
            <w:hideMark/>
          </w:tcPr>
          <w:p w14:paraId="71551FDC"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RF-16 Verificación institucional</w:t>
            </w:r>
          </w:p>
        </w:tc>
        <w:tc>
          <w:tcPr>
            <w:tcW w:w="0" w:type="auto"/>
            <w:hideMark/>
          </w:tcPr>
          <w:p w14:paraId="69B42ADD"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HU-08</w:t>
            </w:r>
          </w:p>
        </w:tc>
        <w:tc>
          <w:tcPr>
            <w:tcW w:w="0" w:type="auto"/>
            <w:hideMark/>
          </w:tcPr>
          <w:p w14:paraId="3FDD4883"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6</w:t>
            </w:r>
          </w:p>
        </w:tc>
        <w:tc>
          <w:tcPr>
            <w:tcW w:w="0" w:type="auto"/>
            <w:hideMark/>
          </w:tcPr>
          <w:p w14:paraId="2733967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149F9AC2"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48528"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EV-ENT-014</w:t>
            </w:r>
          </w:p>
        </w:tc>
        <w:tc>
          <w:tcPr>
            <w:tcW w:w="0" w:type="auto"/>
            <w:hideMark/>
          </w:tcPr>
          <w:p w14:paraId="12F529AD"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RF-17 Compartir ubicación</w:t>
            </w:r>
          </w:p>
        </w:tc>
        <w:tc>
          <w:tcPr>
            <w:tcW w:w="0" w:type="auto"/>
            <w:hideMark/>
          </w:tcPr>
          <w:p w14:paraId="624C7E21"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HU-09</w:t>
            </w:r>
          </w:p>
        </w:tc>
        <w:tc>
          <w:tcPr>
            <w:tcW w:w="0" w:type="auto"/>
            <w:hideMark/>
          </w:tcPr>
          <w:p w14:paraId="2B8F9F3E"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3FDCCC8A"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5E090890"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4A00C909"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EV-ENT-005</w:t>
            </w:r>
          </w:p>
        </w:tc>
        <w:tc>
          <w:tcPr>
            <w:tcW w:w="0" w:type="auto"/>
            <w:hideMark/>
          </w:tcPr>
          <w:p w14:paraId="1B2D3FD4"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RF-18 Confirmación de llegada</w:t>
            </w:r>
          </w:p>
        </w:tc>
        <w:tc>
          <w:tcPr>
            <w:tcW w:w="0" w:type="auto"/>
            <w:hideMark/>
          </w:tcPr>
          <w:p w14:paraId="31F66E86"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55FAE19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14AD7909"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08BAB1F5"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A624B"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EV-ENT-006</w:t>
            </w:r>
          </w:p>
        </w:tc>
        <w:tc>
          <w:tcPr>
            <w:tcW w:w="0" w:type="auto"/>
            <w:hideMark/>
          </w:tcPr>
          <w:p w14:paraId="0CB992E4"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RF-19 Gestión de puntos de encuentro</w:t>
            </w:r>
          </w:p>
        </w:tc>
        <w:tc>
          <w:tcPr>
            <w:tcW w:w="0" w:type="auto"/>
            <w:hideMark/>
          </w:tcPr>
          <w:p w14:paraId="4644FEC8"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5FEF233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74269F50"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07B851DE"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7D49BB13"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EV-ENT-007</w:t>
            </w:r>
          </w:p>
        </w:tc>
        <w:tc>
          <w:tcPr>
            <w:tcW w:w="0" w:type="auto"/>
            <w:hideMark/>
          </w:tcPr>
          <w:p w14:paraId="109AB527"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RF-20 Chat entre usuarios</w:t>
            </w:r>
          </w:p>
        </w:tc>
        <w:tc>
          <w:tcPr>
            <w:tcW w:w="0" w:type="auto"/>
            <w:hideMark/>
          </w:tcPr>
          <w:p w14:paraId="1A24465A"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HU-10</w:t>
            </w:r>
          </w:p>
        </w:tc>
        <w:tc>
          <w:tcPr>
            <w:tcW w:w="0" w:type="auto"/>
            <w:hideMark/>
          </w:tcPr>
          <w:p w14:paraId="7CABB279"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61EACC9B"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3A266176"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97948"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EV-ENT-008</w:t>
            </w:r>
          </w:p>
        </w:tc>
        <w:tc>
          <w:tcPr>
            <w:tcW w:w="0" w:type="auto"/>
            <w:hideMark/>
          </w:tcPr>
          <w:p w14:paraId="631E8B82"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RF-21 Recuperación ante cancelaciones</w:t>
            </w:r>
          </w:p>
        </w:tc>
        <w:tc>
          <w:tcPr>
            <w:tcW w:w="0" w:type="auto"/>
            <w:hideMark/>
          </w:tcPr>
          <w:p w14:paraId="25DAD797"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578D7BC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69D20C1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2303D387"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6D75D1EB"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EV-PENDIENTE</w:t>
            </w:r>
          </w:p>
        </w:tc>
        <w:tc>
          <w:tcPr>
            <w:tcW w:w="0" w:type="auto"/>
            <w:hideMark/>
          </w:tcPr>
          <w:p w14:paraId="5C030D58"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RF-22 Explicabilidad de IA</w:t>
            </w:r>
          </w:p>
        </w:tc>
        <w:tc>
          <w:tcPr>
            <w:tcW w:w="0" w:type="auto"/>
            <w:hideMark/>
          </w:tcPr>
          <w:p w14:paraId="7C23D53D"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HU-11</w:t>
            </w:r>
          </w:p>
        </w:tc>
        <w:tc>
          <w:tcPr>
            <w:tcW w:w="0" w:type="auto"/>
            <w:hideMark/>
          </w:tcPr>
          <w:p w14:paraId="05B87110"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0FD61582"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Could</w:t>
            </w:r>
          </w:p>
        </w:tc>
      </w:tr>
      <w:tr w:rsidR="003110DB" w:rsidRPr="003110DB" w14:paraId="0D9AD8B4"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69777"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EV-ENT-009</w:t>
            </w:r>
          </w:p>
        </w:tc>
        <w:tc>
          <w:tcPr>
            <w:tcW w:w="0" w:type="auto"/>
            <w:hideMark/>
          </w:tcPr>
          <w:p w14:paraId="177D9DA1"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RF-23 Preferencias de viaje</w:t>
            </w:r>
          </w:p>
        </w:tc>
        <w:tc>
          <w:tcPr>
            <w:tcW w:w="0" w:type="auto"/>
            <w:hideMark/>
          </w:tcPr>
          <w:p w14:paraId="4914E475"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418D3478"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6122C2DF"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Should</w:t>
            </w:r>
          </w:p>
        </w:tc>
      </w:tr>
      <w:tr w:rsidR="003110DB" w:rsidRPr="003110DB" w14:paraId="7939C0D2" w14:textId="77777777" w:rsidTr="003110DB">
        <w:tc>
          <w:tcPr>
            <w:cnfStyle w:val="001000000000" w:firstRow="0" w:lastRow="0" w:firstColumn="1" w:lastColumn="0" w:oddVBand="0" w:evenVBand="0" w:oddHBand="0" w:evenHBand="0" w:firstRowFirstColumn="0" w:firstRowLastColumn="0" w:lastRowFirstColumn="0" w:lastRowLastColumn="0"/>
            <w:tcW w:w="0" w:type="auto"/>
            <w:hideMark/>
          </w:tcPr>
          <w:p w14:paraId="08783641"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EV-ENT-010</w:t>
            </w:r>
          </w:p>
        </w:tc>
        <w:tc>
          <w:tcPr>
            <w:tcW w:w="0" w:type="auto"/>
            <w:hideMark/>
          </w:tcPr>
          <w:p w14:paraId="06C60C52"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RF-24 Historial de reputación</w:t>
            </w:r>
          </w:p>
        </w:tc>
        <w:tc>
          <w:tcPr>
            <w:tcW w:w="0" w:type="auto"/>
            <w:hideMark/>
          </w:tcPr>
          <w:p w14:paraId="76D35BCF"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HU-12</w:t>
            </w:r>
          </w:p>
        </w:tc>
        <w:tc>
          <w:tcPr>
            <w:tcW w:w="0" w:type="auto"/>
            <w:hideMark/>
          </w:tcPr>
          <w:p w14:paraId="257612FB"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Escenario 7</w:t>
            </w:r>
          </w:p>
        </w:tc>
        <w:tc>
          <w:tcPr>
            <w:tcW w:w="0" w:type="auto"/>
            <w:hideMark/>
          </w:tcPr>
          <w:p w14:paraId="3DC2E78C" w14:textId="77777777" w:rsidR="003110DB" w:rsidRPr="003110DB" w:rsidRDefault="003110DB" w:rsidP="003110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Must</w:t>
            </w:r>
          </w:p>
        </w:tc>
      </w:tr>
      <w:tr w:rsidR="003110DB" w:rsidRPr="003110DB" w14:paraId="670F4A69" w14:textId="77777777" w:rsidTr="0031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725C3" w14:textId="77777777" w:rsidR="003110DB" w:rsidRPr="003110DB" w:rsidRDefault="003110DB" w:rsidP="003110DB">
            <w:pPr>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EV-PENDIENTE</w:t>
            </w:r>
          </w:p>
        </w:tc>
        <w:tc>
          <w:tcPr>
            <w:tcW w:w="0" w:type="auto"/>
            <w:hideMark/>
          </w:tcPr>
          <w:p w14:paraId="22606BDB"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RF-25 Panel estadístico institucional</w:t>
            </w:r>
          </w:p>
        </w:tc>
        <w:tc>
          <w:tcPr>
            <w:tcW w:w="0" w:type="auto"/>
            <w:hideMark/>
          </w:tcPr>
          <w:p w14:paraId="68166502"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3E2DDD43"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w:t>
            </w:r>
          </w:p>
        </w:tc>
        <w:tc>
          <w:tcPr>
            <w:tcW w:w="0" w:type="auto"/>
            <w:hideMark/>
          </w:tcPr>
          <w:p w14:paraId="008E1D86" w14:textId="77777777" w:rsidR="003110DB" w:rsidRPr="003110DB" w:rsidRDefault="003110DB" w:rsidP="003110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110DB">
              <w:rPr>
                <w:rFonts w:ascii="Times New Roman" w:eastAsia="Times New Roman" w:hAnsi="Times New Roman" w:cs="Times New Roman"/>
                <w:kern w:val="0"/>
                <w:lang w:eastAsia="es-EC"/>
                <w14:ligatures w14:val="none"/>
              </w:rPr>
              <w:t>Could</w:t>
            </w:r>
          </w:p>
        </w:tc>
      </w:tr>
    </w:tbl>
    <w:p w14:paraId="50A688D8" w14:textId="68E55E85" w:rsidR="003110DB" w:rsidRPr="003110DB" w:rsidRDefault="003110DB" w:rsidP="003110DB">
      <w:pPr>
        <w:spacing w:after="0" w:line="240" w:lineRule="auto"/>
        <w:rPr>
          <w:rFonts w:ascii="Times New Roman" w:eastAsia="Times New Roman" w:hAnsi="Times New Roman" w:cs="Times New Roman"/>
          <w:kern w:val="0"/>
          <w:lang w:eastAsia="es-EC"/>
          <w14:ligatures w14:val="none"/>
        </w:rPr>
      </w:pPr>
    </w:p>
    <w:p w14:paraId="403D496D" w14:textId="77777777" w:rsidR="00BA2329" w:rsidRPr="00BA2329" w:rsidRDefault="00BA2329" w:rsidP="00BA232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BA2329">
        <w:rPr>
          <w:rFonts w:ascii="Times New Roman" w:eastAsia="Times New Roman" w:hAnsi="Times New Roman" w:cs="Times New Roman"/>
          <w:b/>
          <w:bCs/>
          <w:kern w:val="0"/>
          <w:sz w:val="36"/>
          <w:szCs w:val="36"/>
          <w:lang w:eastAsia="es-EC"/>
          <w14:ligatures w14:val="none"/>
        </w:rPr>
        <w:t>9.3 Matriz de Trazabilidad de Requisitos No Funcionales</w:t>
      </w:r>
    </w:p>
    <w:p w14:paraId="71728A50" w14:textId="3C5E8B5B" w:rsidR="00BA2329" w:rsidRPr="00BA2329" w:rsidRDefault="00BA2329" w:rsidP="00BA232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Además de la trazabilidad de los requisitos funcionales, es necesario establecer el seguimiento de los requisitos no funcionales, debido a que estos representan los atributos de calidad que debe cumplir el sistema RoutTech durante su operación. En esta matriz se relacionan los requisitos no funcionales con las evidencias que respaldan su definición, así como con el método previsto para verificar su cumplimiento durante las fases de validación y pruebas del sistema.</w:t>
      </w:r>
    </w:p>
    <w:p w14:paraId="323A4A27" w14:textId="080700B0" w:rsidR="00BA2329" w:rsidRPr="00BA2329" w:rsidRDefault="00BA2329" w:rsidP="00BA2329">
      <w:pPr>
        <w:pStyle w:val="Descripcin"/>
        <w:keepNext/>
        <w:jc w:val="center"/>
        <w:rPr>
          <w:rFonts w:ascii="Times New Roman" w:hAnsi="Times New Roman" w:cs="Times New Roman"/>
          <w:color w:val="auto"/>
        </w:rPr>
      </w:pPr>
      <w:r w:rsidRPr="00BA2329">
        <w:rPr>
          <w:rFonts w:ascii="Times New Roman" w:hAnsi="Times New Roman" w:cs="Times New Roman"/>
          <w:color w:val="auto"/>
        </w:rPr>
        <w:t xml:space="preserve">Tabla </w:t>
      </w:r>
      <w:r>
        <w:rPr>
          <w:rFonts w:ascii="Times New Roman" w:hAnsi="Times New Roman" w:cs="Times New Roman"/>
          <w:color w:val="auto"/>
        </w:rPr>
        <w:t>9.</w:t>
      </w:r>
      <w:r w:rsidRPr="00BA2329">
        <w:rPr>
          <w:rFonts w:ascii="Times New Roman" w:hAnsi="Times New Roman" w:cs="Times New Roman"/>
          <w:color w:val="auto"/>
        </w:rPr>
        <w:fldChar w:fldCharType="begin"/>
      </w:r>
      <w:r w:rsidRPr="00BA2329">
        <w:rPr>
          <w:rFonts w:ascii="Times New Roman" w:hAnsi="Times New Roman" w:cs="Times New Roman"/>
          <w:color w:val="auto"/>
        </w:rPr>
        <w:instrText xml:space="preserve"> SEQ Tabla \* ARABIC </w:instrText>
      </w:r>
      <w:r w:rsidRPr="00BA2329">
        <w:rPr>
          <w:rFonts w:ascii="Times New Roman" w:hAnsi="Times New Roman" w:cs="Times New Roman"/>
          <w:color w:val="auto"/>
        </w:rPr>
        <w:fldChar w:fldCharType="separate"/>
      </w:r>
      <w:r w:rsidRPr="00BA2329">
        <w:rPr>
          <w:rFonts w:ascii="Times New Roman" w:hAnsi="Times New Roman" w:cs="Times New Roman"/>
          <w:noProof/>
          <w:color w:val="auto"/>
        </w:rPr>
        <w:t>2</w:t>
      </w:r>
      <w:r w:rsidRPr="00BA2329">
        <w:rPr>
          <w:rFonts w:ascii="Times New Roman" w:hAnsi="Times New Roman" w:cs="Times New Roman"/>
          <w:color w:val="auto"/>
        </w:rPr>
        <w:fldChar w:fldCharType="end"/>
      </w:r>
      <w:r>
        <w:rPr>
          <w:rFonts w:ascii="Times New Roman" w:hAnsi="Times New Roman" w:cs="Times New Roman"/>
          <w:color w:val="auto"/>
        </w:rPr>
        <w:t>.</w:t>
      </w:r>
      <w:r w:rsidRPr="00BA2329">
        <w:rPr>
          <w:rFonts w:ascii="Times New Roman" w:hAnsi="Times New Roman" w:cs="Times New Roman"/>
          <w:color w:val="auto"/>
        </w:rPr>
        <w:t xml:space="preserve"> Matriz de trazabilidad de requisitos no funcionales</w:t>
      </w:r>
    </w:p>
    <w:tbl>
      <w:tblPr>
        <w:tblStyle w:val="Tablanormal1"/>
        <w:tblW w:w="0" w:type="auto"/>
        <w:tblLook w:val="04A0" w:firstRow="1" w:lastRow="0" w:firstColumn="1" w:lastColumn="0" w:noHBand="0" w:noVBand="1"/>
      </w:tblPr>
      <w:tblGrid>
        <w:gridCol w:w="1681"/>
        <w:gridCol w:w="1870"/>
        <w:gridCol w:w="1727"/>
        <w:gridCol w:w="2000"/>
        <w:gridCol w:w="1216"/>
      </w:tblGrid>
      <w:tr w:rsidR="00BA2329" w:rsidRPr="00BA2329" w14:paraId="2C993DAD" w14:textId="77777777" w:rsidTr="00BA2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105DD" w14:textId="77777777" w:rsidR="00BA2329" w:rsidRPr="00BA2329" w:rsidRDefault="00BA2329" w:rsidP="00BA2329">
            <w:pPr>
              <w:jc w:val="cente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Evidencia</w:t>
            </w:r>
          </w:p>
        </w:tc>
        <w:tc>
          <w:tcPr>
            <w:tcW w:w="0" w:type="auto"/>
            <w:hideMark/>
          </w:tcPr>
          <w:p w14:paraId="3DBAD138" w14:textId="77777777" w:rsidR="00BA2329" w:rsidRPr="00BA2329" w:rsidRDefault="00BA2329" w:rsidP="00BA23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Requisito No Funcional</w:t>
            </w:r>
          </w:p>
        </w:tc>
        <w:tc>
          <w:tcPr>
            <w:tcW w:w="0" w:type="auto"/>
            <w:hideMark/>
          </w:tcPr>
          <w:p w14:paraId="42F91454" w14:textId="77777777" w:rsidR="00BA2329" w:rsidRPr="00BA2329" w:rsidRDefault="00BA2329" w:rsidP="00BA23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Categoría</w:t>
            </w:r>
          </w:p>
        </w:tc>
        <w:tc>
          <w:tcPr>
            <w:tcW w:w="0" w:type="auto"/>
            <w:hideMark/>
          </w:tcPr>
          <w:p w14:paraId="688DC330" w14:textId="77777777" w:rsidR="00BA2329" w:rsidRPr="00BA2329" w:rsidRDefault="00BA2329" w:rsidP="00BA23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Método de verificación</w:t>
            </w:r>
          </w:p>
        </w:tc>
        <w:tc>
          <w:tcPr>
            <w:tcW w:w="0" w:type="auto"/>
            <w:hideMark/>
          </w:tcPr>
          <w:p w14:paraId="2185FF20" w14:textId="77777777" w:rsidR="00BA2329" w:rsidRPr="00BA2329" w:rsidRDefault="00BA2329" w:rsidP="00BA23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Prioridad</w:t>
            </w:r>
          </w:p>
        </w:tc>
      </w:tr>
      <w:tr w:rsidR="00BA2329" w:rsidRPr="00BA2329" w14:paraId="4FD2B5C6"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FE187"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 EV-CUE-01</w:t>
            </w:r>
          </w:p>
        </w:tc>
        <w:tc>
          <w:tcPr>
            <w:tcW w:w="0" w:type="auto"/>
            <w:hideMark/>
          </w:tcPr>
          <w:p w14:paraId="60DBBD0D"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RNF-01 Autenticación institucional</w:t>
            </w:r>
          </w:p>
        </w:tc>
        <w:tc>
          <w:tcPr>
            <w:tcW w:w="0" w:type="auto"/>
            <w:hideMark/>
          </w:tcPr>
          <w:p w14:paraId="68F080B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Seguridad</w:t>
            </w:r>
          </w:p>
        </w:tc>
        <w:tc>
          <w:tcPr>
            <w:tcW w:w="0" w:type="auto"/>
            <w:hideMark/>
          </w:tcPr>
          <w:p w14:paraId="6D8733B6"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Pruebas de autenticación</w:t>
            </w:r>
          </w:p>
        </w:tc>
        <w:tc>
          <w:tcPr>
            <w:tcW w:w="0" w:type="auto"/>
            <w:hideMark/>
          </w:tcPr>
          <w:p w14:paraId="76D7CCA4"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r w:rsidR="00BA2329" w:rsidRPr="00BA2329" w14:paraId="1803020B"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6194530E"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w:t>
            </w:r>
          </w:p>
        </w:tc>
        <w:tc>
          <w:tcPr>
            <w:tcW w:w="0" w:type="auto"/>
            <w:hideMark/>
          </w:tcPr>
          <w:p w14:paraId="12433008"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RNF-02 Protección de credenciales</w:t>
            </w:r>
          </w:p>
        </w:tc>
        <w:tc>
          <w:tcPr>
            <w:tcW w:w="0" w:type="auto"/>
            <w:hideMark/>
          </w:tcPr>
          <w:p w14:paraId="3696649F"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Seguridad</w:t>
            </w:r>
          </w:p>
        </w:tc>
        <w:tc>
          <w:tcPr>
            <w:tcW w:w="0" w:type="auto"/>
            <w:hideMark/>
          </w:tcPr>
          <w:p w14:paraId="429EE6B4"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Inspección técnica del almacenamiento de contraseñas</w:t>
            </w:r>
          </w:p>
        </w:tc>
        <w:tc>
          <w:tcPr>
            <w:tcW w:w="0" w:type="auto"/>
            <w:hideMark/>
          </w:tcPr>
          <w:p w14:paraId="6505510B"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r w:rsidR="00BA2329" w:rsidRPr="00BA2329" w14:paraId="07AE349A"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21AD1"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lastRenderedPageBreak/>
              <w:t>ERS</w:t>
            </w:r>
          </w:p>
        </w:tc>
        <w:tc>
          <w:tcPr>
            <w:tcW w:w="0" w:type="auto"/>
            <w:hideMark/>
          </w:tcPr>
          <w:p w14:paraId="227B8DF5"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RNF-03 Disponibilidad del servicio</w:t>
            </w:r>
          </w:p>
        </w:tc>
        <w:tc>
          <w:tcPr>
            <w:tcW w:w="0" w:type="auto"/>
            <w:hideMark/>
          </w:tcPr>
          <w:p w14:paraId="7901B52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Disponibilidad</w:t>
            </w:r>
          </w:p>
        </w:tc>
        <w:tc>
          <w:tcPr>
            <w:tcW w:w="0" w:type="auto"/>
            <w:hideMark/>
          </w:tcPr>
          <w:p w14:paraId="518FD8D5"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Monitoreo del sistema y registro de disponibilidad</w:t>
            </w:r>
          </w:p>
        </w:tc>
        <w:tc>
          <w:tcPr>
            <w:tcW w:w="0" w:type="auto"/>
            <w:hideMark/>
          </w:tcPr>
          <w:p w14:paraId="167E55CC"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Should</w:t>
            </w:r>
          </w:p>
        </w:tc>
      </w:tr>
      <w:tr w:rsidR="00BA2329" w:rsidRPr="00BA2329" w14:paraId="674509DA"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4124A1FB"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w:t>
            </w:r>
          </w:p>
        </w:tc>
        <w:tc>
          <w:tcPr>
            <w:tcW w:w="0" w:type="auto"/>
            <w:hideMark/>
          </w:tcPr>
          <w:p w14:paraId="3566F034"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RNF-04 Tiempo de respuesta</w:t>
            </w:r>
          </w:p>
        </w:tc>
        <w:tc>
          <w:tcPr>
            <w:tcW w:w="0" w:type="auto"/>
            <w:hideMark/>
          </w:tcPr>
          <w:p w14:paraId="4919C272"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Rendimiento</w:t>
            </w:r>
          </w:p>
        </w:tc>
        <w:tc>
          <w:tcPr>
            <w:tcW w:w="0" w:type="auto"/>
            <w:hideMark/>
          </w:tcPr>
          <w:p w14:paraId="7C457B28"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Pruebas de rendimiento y carga</w:t>
            </w:r>
          </w:p>
        </w:tc>
        <w:tc>
          <w:tcPr>
            <w:tcW w:w="0" w:type="auto"/>
            <w:hideMark/>
          </w:tcPr>
          <w:p w14:paraId="1092B561"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r w:rsidR="00BA2329" w:rsidRPr="00BA2329" w14:paraId="58A25449"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7D233"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EV-CUE-01</w:t>
            </w:r>
          </w:p>
        </w:tc>
        <w:tc>
          <w:tcPr>
            <w:tcW w:w="0" w:type="auto"/>
            <w:hideMark/>
          </w:tcPr>
          <w:p w14:paraId="0167DED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RNF-05 Facilidad de uso</w:t>
            </w:r>
          </w:p>
        </w:tc>
        <w:tc>
          <w:tcPr>
            <w:tcW w:w="0" w:type="auto"/>
            <w:hideMark/>
          </w:tcPr>
          <w:p w14:paraId="08DCE907"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Usabilidad</w:t>
            </w:r>
          </w:p>
        </w:tc>
        <w:tc>
          <w:tcPr>
            <w:tcW w:w="0" w:type="auto"/>
            <w:hideMark/>
          </w:tcPr>
          <w:p w14:paraId="1DE45BE2"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Pruebas de usabilidad con usuarios finales</w:t>
            </w:r>
          </w:p>
        </w:tc>
        <w:tc>
          <w:tcPr>
            <w:tcW w:w="0" w:type="auto"/>
            <w:hideMark/>
          </w:tcPr>
          <w:p w14:paraId="5CA59DC4"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Should</w:t>
            </w:r>
          </w:p>
        </w:tc>
      </w:tr>
      <w:tr w:rsidR="00BA2329" w:rsidRPr="00BA2329" w14:paraId="737B5261"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66886236"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w:t>
            </w:r>
          </w:p>
        </w:tc>
        <w:tc>
          <w:tcPr>
            <w:tcW w:w="0" w:type="auto"/>
            <w:hideMark/>
          </w:tcPr>
          <w:p w14:paraId="192CAED3"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RNF-06 Compatibilidad multiplataforma</w:t>
            </w:r>
          </w:p>
        </w:tc>
        <w:tc>
          <w:tcPr>
            <w:tcW w:w="0" w:type="auto"/>
            <w:hideMark/>
          </w:tcPr>
          <w:p w14:paraId="623B9C22"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Compatibilidad</w:t>
            </w:r>
          </w:p>
        </w:tc>
        <w:tc>
          <w:tcPr>
            <w:tcW w:w="0" w:type="auto"/>
            <w:hideMark/>
          </w:tcPr>
          <w:p w14:paraId="23E1A922"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Pruebas de compatibilidad en navegadores y dispositivos móviles</w:t>
            </w:r>
          </w:p>
        </w:tc>
        <w:tc>
          <w:tcPr>
            <w:tcW w:w="0" w:type="auto"/>
            <w:hideMark/>
          </w:tcPr>
          <w:p w14:paraId="23223C98"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Should</w:t>
            </w:r>
          </w:p>
        </w:tc>
      </w:tr>
      <w:tr w:rsidR="00BA2329" w:rsidRPr="00BA2329" w14:paraId="193B2A3F"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45829"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EV-ENT-003; EV-ENT-014</w:t>
            </w:r>
          </w:p>
        </w:tc>
        <w:tc>
          <w:tcPr>
            <w:tcW w:w="0" w:type="auto"/>
            <w:hideMark/>
          </w:tcPr>
          <w:p w14:paraId="7086FFB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RNF-07 Privacidad de la ubicación</w:t>
            </w:r>
          </w:p>
        </w:tc>
        <w:tc>
          <w:tcPr>
            <w:tcW w:w="0" w:type="auto"/>
            <w:hideMark/>
          </w:tcPr>
          <w:p w14:paraId="060D4C74"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Privacidad</w:t>
            </w:r>
          </w:p>
        </w:tc>
        <w:tc>
          <w:tcPr>
            <w:tcW w:w="0" w:type="auto"/>
            <w:hideMark/>
          </w:tcPr>
          <w:p w14:paraId="473AB583"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Pruebas funcionales sobre permisos de ubicación</w:t>
            </w:r>
          </w:p>
        </w:tc>
        <w:tc>
          <w:tcPr>
            <w:tcW w:w="0" w:type="auto"/>
            <w:hideMark/>
          </w:tcPr>
          <w:p w14:paraId="3252455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r w:rsidR="00BA2329" w:rsidRPr="00BA2329" w14:paraId="14A15627"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0DD06E3C"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EV-PENDIENTE</w:t>
            </w:r>
          </w:p>
        </w:tc>
        <w:tc>
          <w:tcPr>
            <w:tcW w:w="0" w:type="auto"/>
            <w:hideMark/>
          </w:tcPr>
          <w:p w14:paraId="1021A1E2"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RNF-08 Protección de datos personales</w:t>
            </w:r>
          </w:p>
        </w:tc>
        <w:tc>
          <w:tcPr>
            <w:tcW w:w="0" w:type="auto"/>
            <w:hideMark/>
          </w:tcPr>
          <w:p w14:paraId="754C0369"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Protección de datos</w:t>
            </w:r>
          </w:p>
        </w:tc>
        <w:tc>
          <w:tcPr>
            <w:tcW w:w="0" w:type="auto"/>
            <w:hideMark/>
          </w:tcPr>
          <w:p w14:paraId="002BC8B6"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Auditoría documental y revisión de cumplimiento institucional</w:t>
            </w:r>
          </w:p>
        </w:tc>
        <w:tc>
          <w:tcPr>
            <w:tcW w:w="0" w:type="auto"/>
            <w:hideMark/>
          </w:tcPr>
          <w:p w14:paraId="2ABFA172"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r w:rsidR="00BA2329" w:rsidRPr="00BA2329" w14:paraId="59192B11"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2DFD3"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EV-PENDIENTE</w:t>
            </w:r>
          </w:p>
        </w:tc>
        <w:tc>
          <w:tcPr>
            <w:tcW w:w="0" w:type="auto"/>
            <w:hideMark/>
          </w:tcPr>
          <w:p w14:paraId="2E016A56"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RNF-09 Explicabilidad de la IA</w:t>
            </w:r>
          </w:p>
        </w:tc>
        <w:tc>
          <w:tcPr>
            <w:tcW w:w="0" w:type="auto"/>
            <w:hideMark/>
          </w:tcPr>
          <w:p w14:paraId="07592011"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Explicabilidad</w:t>
            </w:r>
          </w:p>
        </w:tc>
        <w:tc>
          <w:tcPr>
            <w:tcW w:w="0" w:type="auto"/>
            <w:hideMark/>
          </w:tcPr>
          <w:p w14:paraId="012FCFD9"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Evaluación mediante protocolo de explicabilidad</w:t>
            </w:r>
          </w:p>
        </w:tc>
        <w:tc>
          <w:tcPr>
            <w:tcW w:w="0" w:type="auto"/>
            <w:hideMark/>
          </w:tcPr>
          <w:p w14:paraId="224556A1"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Could</w:t>
            </w:r>
          </w:p>
        </w:tc>
      </w:tr>
      <w:tr w:rsidR="00BA2329" w:rsidRPr="00BA2329" w14:paraId="640036BF"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35960295"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w:t>
            </w:r>
          </w:p>
        </w:tc>
        <w:tc>
          <w:tcPr>
            <w:tcW w:w="0" w:type="auto"/>
            <w:hideMark/>
          </w:tcPr>
          <w:p w14:paraId="56EDD05D"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RNF-10 Escalabilidad</w:t>
            </w:r>
          </w:p>
        </w:tc>
        <w:tc>
          <w:tcPr>
            <w:tcW w:w="0" w:type="auto"/>
            <w:hideMark/>
          </w:tcPr>
          <w:p w14:paraId="7C5F6F80"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Escalabilidad</w:t>
            </w:r>
          </w:p>
        </w:tc>
        <w:tc>
          <w:tcPr>
            <w:tcW w:w="0" w:type="auto"/>
            <w:hideMark/>
          </w:tcPr>
          <w:p w14:paraId="74457B08"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Revisión de arquitectura y pruebas de crecimiento</w:t>
            </w:r>
          </w:p>
        </w:tc>
        <w:tc>
          <w:tcPr>
            <w:tcW w:w="0" w:type="auto"/>
            <w:hideMark/>
          </w:tcPr>
          <w:p w14:paraId="288DD3B9"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Could</w:t>
            </w:r>
          </w:p>
        </w:tc>
      </w:tr>
      <w:tr w:rsidR="00BA2329" w:rsidRPr="00BA2329" w14:paraId="32F9BCD3" w14:textId="77777777" w:rsidTr="00BA2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135B8"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w:t>
            </w:r>
          </w:p>
        </w:tc>
        <w:tc>
          <w:tcPr>
            <w:tcW w:w="0" w:type="auto"/>
            <w:hideMark/>
          </w:tcPr>
          <w:p w14:paraId="1BB6C91C"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RNF-11 Mantenibilidad</w:t>
            </w:r>
          </w:p>
        </w:tc>
        <w:tc>
          <w:tcPr>
            <w:tcW w:w="0" w:type="auto"/>
            <w:hideMark/>
          </w:tcPr>
          <w:p w14:paraId="4E4DF4FD"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Mantenibilidad</w:t>
            </w:r>
          </w:p>
        </w:tc>
        <w:tc>
          <w:tcPr>
            <w:tcW w:w="0" w:type="auto"/>
            <w:hideMark/>
          </w:tcPr>
          <w:p w14:paraId="1FBC6222"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Revisión de documentación técnica y arquitectura modular</w:t>
            </w:r>
          </w:p>
        </w:tc>
        <w:tc>
          <w:tcPr>
            <w:tcW w:w="0" w:type="auto"/>
            <w:hideMark/>
          </w:tcPr>
          <w:p w14:paraId="190D6C20" w14:textId="77777777" w:rsidR="00BA2329" w:rsidRPr="00BA2329" w:rsidRDefault="00BA2329" w:rsidP="00BA2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Should</w:t>
            </w:r>
          </w:p>
        </w:tc>
      </w:tr>
      <w:tr w:rsidR="00BA2329" w:rsidRPr="00BA2329" w14:paraId="099AB157" w14:textId="77777777" w:rsidTr="00BA2329">
        <w:tc>
          <w:tcPr>
            <w:cnfStyle w:val="001000000000" w:firstRow="0" w:lastRow="0" w:firstColumn="1" w:lastColumn="0" w:oddVBand="0" w:evenVBand="0" w:oddHBand="0" w:evenHBand="0" w:firstRowFirstColumn="0" w:firstRowLastColumn="0" w:lastRowFirstColumn="0" w:lastRowLastColumn="0"/>
            <w:tcW w:w="0" w:type="auto"/>
            <w:hideMark/>
          </w:tcPr>
          <w:p w14:paraId="31CDC325" w14:textId="77777777" w:rsidR="00BA2329" w:rsidRPr="00BA2329" w:rsidRDefault="00BA2329" w:rsidP="00BA2329">
            <w:pPr>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ERS; EV-CUE-01</w:t>
            </w:r>
          </w:p>
        </w:tc>
        <w:tc>
          <w:tcPr>
            <w:tcW w:w="0" w:type="auto"/>
            <w:hideMark/>
          </w:tcPr>
          <w:p w14:paraId="3DC429C6"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RNF-12 Integridad de la información</w:t>
            </w:r>
          </w:p>
        </w:tc>
        <w:tc>
          <w:tcPr>
            <w:tcW w:w="0" w:type="auto"/>
            <w:hideMark/>
          </w:tcPr>
          <w:p w14:paraId="298367C6"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Confiabilidad</w:t>
            </w:r>
          </w:p>
        </w:tc>
        <w:tc>
          <w:tcPr>
            <w:tcW w:w="0" w:type="auto"/>
            <w:hideMark/>
          </w:tcPr>
          <w:p w14:paraId="3130DE6A"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Casos de prueba de recuperación e integridad de datos</w:t>
            </w:r>
          </w:p>
        </w:tc>
        <w:tc>
          <w:tcPr>
            <w:tcW w:w="0" w:type="auto"/>
            <w:hideMark/>
          </w:tcPr>
          <w:p w14:paraId="3AD146EC" w14:textId="77777777" w:rsidR="00BA2329" w:rsidRPr="00BA2329" w:rsidRDefault="00BA2329" w:rsidP="00BA2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Must</w:t>
            </w:r>
          </w:p>
        </w:tc>
      </w:tr>
    </w:tbl>
    <w:p w14:paraId="39837F4E" w14:textId="77777777" w:rsidR="00BA2329" w:rsidRPr="00BA2329" w:rsidRDefault="00BA2329" w:rsidP="00BA232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BA2329">
        <w:rPr>
          <w:rFonts w:ascii="Times New Roman" w:eastAsia="Times New Roman" w:hAnsi="Times New Roman" w:cs="Times New Roman"/>
          <w:b/>
          <w:bCs/>
          <w:kern w:val="0"/>
          <w:sz w:val="36"/>
          <w:szCs w:val="36"/>
          <w:lang w:eastAsia="es-EC"/>
          <w14:ligatures w14:val="none"/>
        </w:rPr>
        <w:t>9.4 Análisis General de la Trazabilidad</w:t>
      </w:r>
    </w:p>
    <w:p w14:paraId="04B7B5A5" w14:textId="77777777" w:rsidR="00BA2329" w:rsidRPr="00BA2329" w:rsidRDefault="00BA2329" w:rsidP="00BA232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 xml:space="preserve">Las matrices de trazabilidad desarrolladas permiten verificar la consistencia de los requisitos especificados durante el proyecto y establecer relaciones explícitas entre las necesidades identificadas en la etapa de elicitación y los diferentes artefactos generados durante el proceso de ingeniería de requisitos. La primera matriz evidencia la correspondencia entre las fuentes de información, los requisitos funcionales, las historias </w:t>
      </w:r>
      <w:r w:rsidRPr="00BA2329">
        <w:rPr>
          <w:rFonts w:ascii="Times New Roman" w:eastAsia="Times New Roman" w:hAnsi="Times New Roman" w:cs="Times New Roman"/>
          <w:kern w:val="0"/>
          <w:lang w:eastAsia="es-EC"/>
          <w14:ligatures w14:val="none"/>
        </w:rPr>
        <w:lastRenderedPageBreak/>
        <w:t>de usuario y los escenarios de aceptación definidos mediante BDD, garantizando que las funcionalidades propuestas responden a necesidades reales de la comunidad universitaria.</w:t>
      </w:r>
    </w:p>
    <w:p w14:paraId="16C03A69" w14:textId="77777777" w:rsidR="00BA2329" w:rsidRPr="00BA2329" w:rsidRDefault="00BA2329" w:rsidP="00BA232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Por su parte, la segunda matriz demuestra que los requisitos no funcionales también poseen un origen identificado y un mecanismo objetivo para su validación. Esto facilita la evaluación de atributos de calidad como la seguridad, el rendimiento, la disponibilidad, la privacidad y la mantenibilidad durante las etapas de desarrollo y pruebas.</w:t>
      </w:r>
    </w:p>
    <w:p w14:paraId="678D7BD9" w14:textId="77777777" w:rsidR="00BA2329" w:rsidRPr="00BA2329" w:rsidRDefault="00BA2329" w:rsidP="00BA232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A2329">
        <w:rPr>
          <w:rFonts w:ascii="Times New Roman" w:eastAsia="Times New Roman" w:hAnsi="Times New Roman" w:cs="Times New Roman"/>
          <w:kern w:val="0"/>
          <w:lang w:eastAsia="es-EC"/>
          <w14:ligatures w14:val="none"/>
        </w:rPr>
        <w:t>En conjunto, ambas matrices fortalecen la gestión de requisitos al proporcionar una visión integral de su ciclo de vida, facilitando la identificación del impacto de futuros cambios, la planificación de actividades de validación y el seguimiento del cumplimiento de los objetivos del proyecto. Además, constituyen un mecanismo que mejora la transparencia y la mantenibilidad de la documentación técnica, al permitir rastrear cada requisito desde su evidencia de origen hasta su método de verificación correspondiente.</w:t>
      </w:r>
    </w:p>
    <w:p w14:paraId="660AEB4E"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DB"/>
    <w:rsid w:val="00266DA8"/>
    <w:rsid w:val="003110DB"/>
    <w:rsid w:val="003C2360"/>
    <w:rsid w:val="003E0484"/>
    <w:rsid w:val="00871AA0"/>
    <w:rsid w:val="008A526E"/>
    <w:rsid w:val="00BA2329"/>
    <w:rsid w:val="00D74B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2BE0"/>
  <w15:chartTrackingRefBased/>
  <w15:docId w15:val="{5BBD27EF-2FB1-4BA6-AB9E-18D54A04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1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1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10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10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10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10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10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10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10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0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10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10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10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10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10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10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10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10DB"/>
    <w:rPr>
      <w:rFonts w:eastAsiaTheme="majorEastAsia" w:cstheme="majorBidi"/>
      <w:color w:val="272727" w:themeColor="text1" w:themeTint="D8"/>
    </w:rPr>
  </w:style>
  <w:style w:type="paragraph" w:styleId="Ttulo">
    <w:name w:val="Title"/>
    <w:basedOn w:val="Normal"/>
    <w:next w:val="Normal"/>
    <w:link w:val="TtuloCar"/>
    <w:uiPriority w:val="10"/>
    <w:qFormat/>
    <w:rsid w:val="00311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0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10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10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10DB"/>
    <w:pPr>
      <w:spacing w:before="160"/>
      <w:jc w:val="center"/>
    </w:pPr>
    <w:rPr>
      <w:i/>
      <w:iCs/>
      <w:color w:val="404040" w:themeColor="text1" w:themeTint="BF"/>
    </w:rPr>
  </w:style>
  <w:style w:type="character" w:customStyle="1" w:styleId="CitaCar">
    <w:name w:val="Cita Car"/>
    <w:basedOn w:val="Fuentedeprrafopredeter"/>
    <w:link w:val="Cita"/>
    <w:uiPriority w:val="29"/>
    <w:rsid w:val="003110DB"/>
    <w:rPr>
      <w:i/>
      <w:iCs/>
      <w:color w:val="404040" w:themeColor="text1" w:themeTint="BF"/>
    </w:rPr>
  </w:style>
  <w:style w:type="paragraph" w:styleId="Prrafodelista">
    <w:name w:val="List Paragraph"/>
    <w:basedOn w:val="Normal"/>
    <w:uiPriority w:val="34"/>
    <w:qFormat/>
    <w:rsid w:val="003110DB"/>
    <w:pPr>
      <w:ind w:left="720"/>
      <w:contextualSpacing/>
    </w:pPr>
  </w:style>
  <w:style w:type="character" w:styleId="nfasisintenso">
    <w:name w:val="Intense Emphasis"/>
    <w:basedOn w:val="Fuentedeprrafopredeter"/>
    <w:uiPriority w:val="21"/>
    <w:qFormat/>
    <w:rsid w:val="003110DB"/>
    <w:rPr>
      <w:i/>
      <w:iCs/>
      <w:color w:val="0F4761" w:themeColor="accent1" w:themeShade="BF"/>
    </w:rPr>
  </w:style>
  <w:style w:type="paragraph" w:styleId="Citadestacada">
    <w:name w:val="Intense Quote"/>
    <w:basedOn w:val="Normal"/>
    <w:next w:val="Normal"/>
    <w:link w:val="CitadestacadaCar"/>
    <w:uiPriority w:val="30"/>
    <w:qFormat/>
    <w:rsid w:val="00311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10DB"/>
    <w:rPr>
      <w:i/>
      <w:iCs/>
      <w:color w:val="0F4761" w:themeColor="accent1" w:themeShade="BF"/>
    </w:rPr>
  </w:style>
  <w:style w:type="character" w:styleId="Referenciaintensa">
    <w:name w:val="Intense Reference"/>
    <w:basedOn w:val="Fuentedeprrafopredeter"/>
    <w:uiPriority w:val="32"/>
    <w:qFormat/>
    <w:rsid w:val="003110DB"/>
    <w:rPr>
      <w:b/>
      <w:bCs/>
      <w:smallCaps/>
      <w:color w:val="0F4761" w:themeColor="accent1" w:themeShade="BF"/>
      <w:spacing w:val="5"/>
    </w:rPr>
  </w:style>
  <w:style w:type="paragraph" w:styleId="NormalWeb">
    <w:name w:val="Normal (Web)"/>
    <w:basedOn w:val="Normal"/>
    <w:uiPriority w:val="99"/>
    <w:semiHidden/>
    <w:unhideWhenUsed/>
    <w:rsid w:val="003110DB"/>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3110DB"/>
    <w:rPr>
      <w:b/>
      <w:bCs/>
    </w:rPr>
  </w:style>
  <w:style w:type="table" w:styleId="Tablanormal1">
    <w:name w:val="Plain Table 1"/>
    <w:basedOn w:val="Tablanormal"/>
    <w:uiPriority w:val="41"/>
    <w:rsid w:val="003110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3110D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942</Words>
  <Characters>5182</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2</cp:revision>
  <dcterms:created xsi:type="dcterms:W3CDTF">2026-07-28T06:33:00Z</dcterms:created>
  <dcterms:modified xsi:type="dcterms:W3CDTF">2026-07-28T06:39:00Z</dcterms:modified>
</cp:coreProperties>
</file>