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5D73" w14:textId="77777777" w:rsidR="007937A9" w:rsidRPr="007937A9" w:rsidRDefault="007937A9" w:rsidP="007937A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C"/>
          <w14:ligatures w14:val="none"/>
        </w:rPr>
      </w:pPr>
      <w:r w:rsidRPr="007937A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C"/>
          <w14:ligatures w14:val="none"/>
        </w:rPr>
        <w:t>ETAPA 12. Análisis de Impacto del Cambio</w:t>
      </w:r>
    </w:p>
    <w:p w14:paraId="3AF4AEBD" w14:textId="77777777" w:rsidR="007937A9" w:rsidRPr="007937A9" w:rsidRDefault="007937A9" w:rsidP="007937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79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12.1 Introducción</w:t>
      </w:r>
    </w:p>
    <w:p w14:paraId="57E057B5" w14:textId="77777777" w:rsidR="007937A9" w:rsidRPr="007937A9" w:rsidRDefault="007937A9" w:rsidP="007937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7937A9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análisis de impacto es una actividad fundamental dentro del proceso de gestión de cambios, ya que permite evaluar las consecuencias que tendría la incorporación, modificación o eliminación de un requisito sobre los diferentes componentes del proyecto. Su objetivo es proporcionar información suficiente para que el Comité de Control de Cambios (Change Control Board – CCB) pueda tomar una decisión fundamentada respecto a la aprobación o rechazo de una solicitud de cambio.</w:t>
      </w:r>
    </w:p>
    <w:p w14:paraId="739ED31E" w14:textId="5A44E246" w:rsidR="007937A9" w:rsidRPr="007937A9" w:rsidRDefault="007937A9" w:rsidP="007937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7937A9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En el presente proyecto se analiza el impacto de la solicitud RFC-001, correspondiente a la incorporación del requisito funcional RF-16: Verificación de identidad institucional, propuesto a partir de las necesidades identificadas durante las entrevistas y la encuesta aplicada a la comunidad universitaria.</w:t>
      </w:r>
    </w:p>
    <w:p w14:paraId="2F160AE7" w14:textId="77777777" w:rsidR="007937A9" w:rsidRPr="007937A9" w:rsidRDefault="007937A9" w:rsidP="0079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79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12.2 Identificación del Cambio</w:t>
      </w:r>
    </w:p>
    <w:p w14:paraId="78CF4ACA" w14:textId="062D5E36" w:rsidR="007937A9" w:rsidRPr="007937A9" w:rsidRDefault="007937A9" w:rsidP="007937A9">
      <w:pPr>
        <w:pStyle w:val="Descripcin"/>
        <w:keepNext/>
        <w:jc w:val="center"/>
        <w:rPr>
          <w:rFonts w:ascii="Times New Roman" w:hAnsi="Times New Roman" w:cs="Times New Roman"/>
          <w:color w:val="auto"/>
        </w:rPr>
      </w:pPr>
      <w:r w:rsidRPr="007937A9">
        <w:rPr>
          <w:rFonts w:ascii="Times New Roman" w:hAnsi="Times New Roman" w:cs="Times New Roman"/>
          <w:color w:val="auto"/>
        </w:rPr>
        <w:t>Tabla 12.</w:t>
      </w:r>
      <w:r w:rsidRPr="007937A9">
        <w:rPr>
          <w:rFonts w:ascii="Times New Roman" w:hAnsi="Times New Roman" w:cs="Times New Roman"/>
          <w:color w:val="auto"/>
        </w:rPr>
        <w:fldChar w:fldCharType="begin"/>
      </w:r>
      <w:r w:rsidRPr="007937A9">
        <w:rPr>
          <w:rFonts w:ascii="Times New Roman" w:hAnsi="Times New Roman" w:cs="Times New Roman"/>
          <w:color w:val="auto"/>
        </w:rPr>
        <w:instrText xml:space="preserve"> SEQ Tabla \* ARABIC </w:instrText>
      </w:r>
      <w:r w:rsidRPr="007937A9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1</w:t>
      </w:r>
      <w:r w:rsidRPr="007937A9">
        <w:rPr>
          <w:rFonts w:ascii="Times New Roman" w:hAnsi="Times New Roman" w:cs="Times New Roman"/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t>.</w:t>
      </w:r>
      <w:r w:rsidRPr="007937A9">
        <w:rPr>
          <w:rFonts w:ascii="Times New Roman" w:hAnsi="Times New Roman" w:cs="Times New Roman"/>
          <w:color w:val="auto"/>
        </w:rPr>
        <w:t xml:space="preserve"> Información general del cambio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925"/>
        <w:gridCol w:w="6569"/>
      </w:tblGrid>
      <w:tr w:rsidR="007937A9" w:rsidRPr="007937A9" w14:paraId="54F23CB8" w14:textId="77777777" w:rsidTr="00793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782FA" w14:textId="77777777" w:rsidR="007937A9" w:rsidRPr="007937A9" w:rsidRDefault="007937A9" w:rsidP="007937A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019890A8" w14:textId="77777777" w:rsidR="007937A9" w:rsidRPr="007937A9" w:rsidRDefault="007937A9" w:rsidP="007937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Descripción</w:t>
            </w:r>
          </w:p>
        </w:tc>
      </w:tr>
      <w:tr w:rsidR="007937A9" w:rsidRPr="007937A9" w14:paraId="63429B7A" w14:textId="77777777" w:rsidTr="0079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047D1" w14:textId="77777777" w:rsidR="007937A9" w:rsidRPr="007937A9" w:rsidRDefault="007937A9" w:rsidP="007937A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Código del cambio</w:t>
            </w:r>
          </w:p>
        </w:tc>
        <w:tc>
          <w:tcPr>
            <w:tcW w:w="0" w:type="auto"/>
            <w:hideMark/>
          </w:tcPr>
          <w:p w14:paraId="47A01496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RFC-001</w:t>
            </w:r>
          </w:p>
        </w:tc>
      </w:tr>
      <w:tr w:rsidR="007937A9" w:rsidRPr="007937A9" w14:paraId="6210C5C6" w14:textId="77777777" w:rsidTr="0079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3811F" w14:textId="77777777" w:rsidR="007937A9" w:rsidRPr="007937A9" w:rsidRDefault="007937A9" w:rsidP="007937A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Requisito involucrado</w:t>
            </w:r>
          </w:p>
        </w:tc>
        <w:tc>
          <w:tcPr>
            <w:tcW w:w="0" w:type="auto"/>
            <w:hideMark/>
          </w:tcPr>
          <w:p w14:paraId="578D4805" w14:textId="77777777" w:rsidR="007937A9" w:rsidRPr="007937A9" w:rsidRDefault="007937A9" w:rsidP="0079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RF-16 – Verificación de identidad institucional</w:t>
            </w:r>
          </w:p>
        </w:tc>
      </w:tr>
      <w:tr w:rsidR="007937A9" w:rsidRPr="007937A9" w14:paraId="0AA97F0A" w14:textId="77777777" w:rsidTr="0079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03497" w14:textId="77777777" w:rsidR="007937A9" w:rsidRPr="007937A9" w:rsidRDefault="007937A9" w:rsidP="007937A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Tipo de cambio</w:t>
            </w:r>
          </w:p>
        </w:tc>
        <w:tc>
          <w:tcPr>
            <w:tcW w:w="0" w:type="auto"/>
            <w:hideMark/>
          </w:tcPr>
          <w:p w14:paraId="296E61C5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Incorporación de un requisito funcional</w:t>
            </w:r>
          </w:p>
        </w:tc>
      </w:tr>
      <w:tr w:rsidR="007937A9" w:rsidRPr="007937A9" w14:paraId="4A8BBA26" w14:textId="77777777" w:rsidTr="0079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B4627" w14:textId="77777777" w:rsidR="007937A9" w:rsidRPr="007937A9" w:rsidRDefault="007937A9" w:rsidP="007937A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Origen</w:t>
            </w:r>
          </w:p>
        </w:tc>
        <w:tc>
          <w:tcPr>
            <w:tcW w:w="0" w:type="auto"/>
            <w:hideMark/>
          </w:tcPr>
          <w:p w14:paraId="4B3EFD64" w14:textId="77777777" w:rsidR="007937A9" w:rsidRPr="007937A9" w:rsidRDefault="007937A9" w:rsidP="0079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Entrevistas (EV-ENT-003 y EV-ENT-014) y encuesta EV-CUE-01</w:t>
            </w:r>
          </w:p>
        </w:tc>
      </w:tr>
      <w:tr w:rsidR="007937A9" w:rsidRPr="007937A9" w14:paraId="2FB99201" w14:textId="77777777" w:rsidTr="0079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10EF5" w14:textId="77777777" w:rsidR="007937A9" w:rsidRPr="007937A9" w:rsidRDefault="007937A9" w:rsidP="007937A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Objetivo</w:t>
            </w:r>
          </w:p>
        </w:tc>
        <w:tc>
          <w:tcPr>
            <w:tcW w:w="0" w:type="auto"/>
            <w:hideMark/>
          </w:tcPr>
          <w:p w14:paraId="2557ADF7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Incrementar la seguridad y la confianza de los usuarios mediante la validación de su pertenencia a la comunidad universitaria.</w:t>
            </w:r>
          </w:p>
        </w:tc>
      </w:tr>
    </w:tbl>
    <w:p w14:paraId="644CF993" w14:textId="77777777" w:rsidR="007937A9" w:rsidRPr="007937A9" w:rsidRDefault="007937A9" w:rsidP="0079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79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12.3 Evaluación del Impacto</w:t>
      </w:r>
    </w:p>
    <w:p w14:paraId="285938EF" w14:textId="2C6EB1D3" w:rsidR="007937A9" w:rsidRPr="007937A9" w:rsidRDefault="007937A9" w:rsidP="007937A9">
      <w:pPr>
        <w:pStyle w:val="Descripcin"/>
        <w:keepNext/>
        <w:jc w:val="center"/>
        <w:rPr>
          <w:rFonts w:ascii="Times New Roman" w:hAnsi="Times New Roman" w:cs="Times New Roman"/>
          <w:color w:val="auto"/>
        </w:rPr>
      </w:pPr>
      <w:r w:rsidRPr="007937A9">
        <w:rPr>
          <w:rFonts w:ascii="Times New Roman" w:hAnsi="Times New Roman" w:cs="Times New Roman"/>
          <w:color w:val="auto"/>
        </w:rPr>
        <w:t>Tabla 12.</w:t>
      </w:r>
      <w:r w:rsidRPr="007937A9">
        <w:rPr>
          <w:rFonts w:ascii="Times New Roman" w:hAnsi="Times New Roman" w:cs="Times New Roman"/>
          <w:color w:val="auto"/>
        </w:rPr>
        <w:fldChar w:fldCharType="begin"/>
      </w:r>
      <w:r w:rsidRPr="007937A9">
        <w:rPr>
          <w:rFonts w:ascii="Times New Roman" w:hAnsi="Times New Roman" w:cs="Times New Roman"/>
          <w:color w:val="auto"/>
        </w:rPr>
        <w:instrText xml:space="preserve"> SEQ Tabla \* ARABIC </w:instrText>
      </w:r>
      <w:r w:rsidRPr="007937A9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2</w:t>
      </w:r>
      <w:r w:rsidRPr="007937A9">
        <w:rPr>
          <w:rFonts w:ascii="Times New Roman" w:hAnsi="Times New Roman" w:cs="Times New Roman"/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t>.</w:t>
      </w:r>
      <w:r w:rsidRPr="007937A9">
        <w:rPr>
          <w:rFonts w:ascii="Times New Roman" w:hAnsi="Times New Roman" w:cs="Times New Roman"/>
          <w:color w:val="auto"/>
        </w:rPr>
        <w:t xml:space="preserve"> Análisis de impacto del RFC-001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911"/>
        <w:gridCol w:w="1304"/>
        <w:gridCol w:w="5279"/>
      </w:tblGrid>
      <w:tr w:rsidR="007937A9" w:rsidRPr="007937A9" w14:paraId="103A7CB5" w14:textId="77777777" w:rsidTr="00793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011B8" w14:textId="77777777" w:rsidR="007937A9" w:rsidRPr="007937A9" w:rsidRDefault="007937A9" w:rsidP="007937A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Elemento afectado</w:t>
            </w:r>
          </w:p>
        </w:tc>
        <w:tc>
          <w:tcPr>
            <w:tcW w:w="0" w:type="auto"/>
            <w:hideMark/>
          </w:tcPr>
          <w:p w14:paraId="4EE48168" w14:textId="77777777" w:rsidR="007937A9" w:rsidRPr="007937A9" w:rsidRDefault="007937A9" w:rsidP="007937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Nivel de impacto</w:t>
            </w:r>
          </w:p>
        </w:tc>
        <w:tc>
          <w:tcPr>
            <w:tcW w:w="0" w:type="auto"/>
            <w:hideMark/>
          </w:tcPr>
          <w:p w14:paraId="2F454A27" w14:textId="77777777" w:rsidR="007937A9" w:rsidRPr="007937A9" w:rsidRDefault="007937A9" w:rsidP="007937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Descripción</w:t>
            </w:r>
          </w:p>
        </w:tc>
      </w:tr>
      <w:tr w:rsidR="007937A9" w:rsidRPr="007937A9" w14:paraId="158E4E93" w14:textId="77777777" w:rsidTr="0079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EEA9F" w14:textId="77777777" w:rsidR="007937A9" w:rsidRPr="007937A9" w:rsidRDefault="007937A9" w:rsidP="007937A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Documento ERS</w:t>
            </w:r>
          </w:p>
        </w:tc>
        <w:tc>
          <w:tcPr>
            <w:tcW w:w="0" w:type="auto"/>
            <w:hideMark/>
          </w:tcPr>
          <w:p w14:paraId="530B9872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Alto</w:t>
            </w:r>
          </w:p>
        </w:tc>
        <w:tc>
          <w:tcPr>
            <w:tcW w:w="0" w:type="auto"/>
            <w:hideMark/>
          </w:tcPr>
          <w:p w14:paraId="7EE44093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 incorpora un nuevo requisito funcional y se actualiza el catálogo de requisitos.</w:t>
            </w:r>
          </w:p>
        </w:tc>
      </w:tr>
      <w:tr w:rsidR="007937A9" w:rsidRPr="007937A9" w14:paraId="299A5E8F" w14:textId="77777777" w:rsidTr="0079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92AF5" w14:textId="77777777" w:rsidR="007937A9" w:rsidRPr="007937A9" w:rsidRDefault="007937A9" w:rsidP="007937A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Requisitos funcionales</w:t>
            </w:r>
          </w:p>
        </w:tc>
        <w:tc>
          <w:tcPr>
            <w:tcW w:w="0" w:type="auto"/>
            <w:hideMark/>
          </w:tcPr>
          <w:p w14:paraId="50A1AC67" w14:textId="77777777" w:rsidR="007937A9" w:rsidRPr="007937A9" w:rsidRDefault="007937A9" w:rsidP="0079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Alto</w:t>
            </w:r>
          </w:p>
        </w:tc>
        <w:tc>
          <w:tcPr>
            <w:tcW w:w="0" w:type="auto"/>
            <w:hideMark/>
          </w:tcPr>
          <w:p w14:paraId="655FDC7C" w14:textId="77777777" w:rsidR="007937A9" w:rsidRPr="007937A9" w:rsidRDefault="007937A9" w:rsidP="0079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 añade el RF-16 y se establecen relaciones con RF-01 y RF-02.</w:t>
            </w:r>
          </w:p>
        </w:tc>
      </w:tr>
      <w:tr w:rsidR="007937A9" w:rsidRPr="007937A9" w14:paraId="0C93101B" w14:textId="77777777" w:rsidTr="0079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A61CD" w14:textId="77777777" w:rsidR="007937A9" w:rsidRPr="007937A9" w:rsidRDefault="007937A9" w:rsidP="007937A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Requisitos no funcionales</w:t>
            </w:r>
          </w:p>
        </w:tc>
        <w:tc>
          <w:tcPr>
            <w:tcW w:w="0" w:type="auto"/>
            <w:hideMark/>
          </w:tcPr>
          <w:p w14:paraId="4EF6C4BF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Medio</w:t>
            </w:r>
          </w:p>
        </w:tc>
        <w:tc>
          <w:tcPr>
            <w:tcW w:w="0" w:type="auto"/>
            <w:hideMark/>
          </w:tcPr>
          <w:p w14:paraId="6BE6B3F8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 fortalece el atributo de seguridad y privacidad del sistema.</w:t>
            </w:r>
          </w:p>
        </w:tc>
      </w:tr>
      <w:tr w:rsidR="007937A9" w:rsidRPr="007937A9" w14:paraId="14807CBF" w14:textId="77777777" w:rsidTr="0079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D9B94" w14:textId="77777777" w:rsidR="007937A9" w:rsidRPr="007937A9" w:rsidRDefault="007937A9" w:rsidP="007937A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Historias de usuario</w:t>
            </w:r>
          </w:p>
        </w:tc>
        <w:tc>
          <w:tcPr>
            <w:tcW w:w="0" w:type="auto"/>
            <w:hideMark/>
          </w:tcPr>
          <w:p w14:paraId="50A61FFB" w14:textId="77777777" w:rsidR="007937A9" w:rsidRPr="007937A9" w:rsidRDefault="007937A9" w:rsidP="0079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Medio</w:t>
            </w:r>
          </w:p>
        </w:tc>
        <w:tc>
          <w:tcPr>
            <w:tcW w:w="0" w:type="auto"/>
            <w:hideMark/>
          </w:tcPr>
          <w:p w14:paraId="1025C843" w14:textId="77777777" w:rsidR="007937A9" w:rsidRPr="007937A9" w:rsidRDefault="007937A9" w:rsidP="0079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 incorpora la historia de usuario HU-08.</w:t>
            </w:r>
          </w:p>
        </w:tc>
      </w:tr>
      <w:tr w:rsidR="007937A9" w:rsidRPr="007937A9" w14:paraId="2CFFF43E" w14:textId="77777777" w:rsidTr="0079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E6D07" w14:textId="77777777" w:rsidR="007937A9" w:rsidRPr="007937A9" w:rsidRDefault="007937A9" w:rsidP="007937A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Escenarios BDD</w:t>
            </w:r>
          </w:p>
        </w:tc>
        <w:tc>
          <w:tcPr>
            <w:tcW w:w="0" w:type="auto"/>
            <w:hideMark/>
          </w:tcPr>
          <w:p w14:paraId="15E95D84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Medio</w:t>
            </w:r>
          </w:p>
        </w:tc>
        <w:tc>
          <w:tcPr>
            <w:tcW w:w="0" w:type="auto"/>
            <w:hideMark/>
          </w:tcPr>
          <w:p w14:paraId="34B55EBB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 añade un escenario de aceptación para validar la verificación institucional.</w:t>
            </w:r>
          </w:p>
        </w:tc>
      </w:tr>
      <w:tr w:rsidR="007937A9" w:rsidRPr="007937A9" w14:paraId="7C69B2DE" w14:textId="77777777" w:rsidTr="0079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9ACDC" w14:textId="77777777" w:rsidR="007937A9" w:rsidRPr="007937A9" w:rsidRDefault="007937A9" w:rsidP="007937A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Matriz de trazabilidad</w:t>
            </w:r>
          </w:p>
        </w:tc>
        <w:tc>
          <w:tcPr>
            <w:tcW w:w="0" w:type="auto"/>
            <w:hideMark/>
          </w:tcPr>
          <w:p w14:paraId="0F7978EC" w14:textId="77777777" w:rsidR="007937A9" w:rsidRPr="007937A9" w:rsidRDefault="007937A9" w:rsidP="0079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Alto</w:t>
            </w:r>
          </w:p>
        </w:tc>
        <w:tc>
          <w:tcPr>
            <w:tcW w:w="0" w:type="auto"/>
            <w:hideMark/>
          </w:tcPr>
          <w:p w14:paraId="4220B918" w14:textId="77777777" w:rsidR="007937A9" w:rsidRPr="007937A9" w:rsidRDefault="007937A9" w:rsidP="0079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 actualiza para incluir el nuevo requisito y sus relaciones con evidencias y artefactos asociados.</w:t>
            </w:r>
          </w:p>
        </w:tc>
      </w:tr>
      <w:tr w:rsidR="007937A9" w:rsidRPr="007937A9" w14:paraId="2D88F5ED" w14:textId="77777777" w:rsidTr="0079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FF717" w14:textId="77777777" w:rsidR="007937A9" w:rsidRPr="007937A9" w:rsidRDefault="007937A9" w:rsidP="007937A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Diseño del sistema</w:t>
            </w:r>
          </w:p>
        </w:tc>
        <w:tc>
          <w:tcPr>
            <w:tcW w:w="0" w:type="auto"/>
            <w:hideMark/>
          </w:tcPr>
          <w:p w14:paraId="5FB724B7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Medio</w:t>
            </w:r>
          </w:p>
        </w:tc>
        <w:tc>
          <w:tcPr>
            <w:tcW w:w="0" w:type="auto"/>
            <w:hideMark/>
          </w:tcPr>
          <w:p w14:paraId="100867F6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Será necesario incorporar el módulo de validación institucional durante el diseño arquitectónico.</w:t>
            </w:r>
          </w:p>
        </w:tc>
      </w:tr>
      <w:tr w:rsidR="007937A9" w:rsidRPr="007937A9" w14:paraId="05E11BA3" w14:textId="77777777" w:rsidTr="0079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F495B" w14:textId="77777777" w:rsidR="007937A9" w:rsidRPr="007937A9" w:rsidRDefault="007937A9" w:rsidP="007937A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Cronograma</w:t>
            </w:r>
          </w:p>
        </w:tc>
        <w:tc>
          <w:tcPr>
            <w:tcW w:w="0" w:type="auto"/>
            <w:hideMark/>
          </w:tcPr>
          <w:p w14:paraId="4EBE141B" w14:textId="77777777" w:rsidR="007937A9" w:rsidRPr="007937A9" w:rsidRDefault="007937A9" w:rsidP="0079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Bajo</w:t>
            </w:r>
          </w:p>
        </w:tc>
        <w:tc>
          <w:tcPr>
            <w:tcW w:w="0" w:type="auto"/>
            <w:hideMark/>
          </w:tcPr>
          <w:p w14:paraId="6D1626F3" w14:textId="77777777" w:rsidR="007937A9" w:rsidRPr="007937A9" w:rsidRDefault="007937A9" w:rsidP="0079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esfuerzo adicional es reducido y puede incorporarse en una iteración posterior sin afectar significativamente la planificación general.</w:t>
            </w:r>
          </w:p>
        </w:tc>
      </w:tr>
    </w:tbl>
    <w:p w14:paraId="6D423448" w14:textId="430E4109" w:rsidR="007937A9" w:rsidRPr="007937A9" w:rsidRDefault="007937A9" w:rsidP="00793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</w:p>
    <w:p w14:paraId="1FDCA3B9" w14:textId="77777777" w:rsidR="007937A9" w:rsidRPr="007937A9" w:rsidRDefault="007937A9" w:rsidP="00793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79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12.4 Evaluación de Riesgos</w:t>
      </w:r>
    </w:p>
    <w:p w14:paraId="709CDB09" w14:textId="3C3F89C9" w:rsidR="007937A9" w:rsidRPr="007937A9" w:rsidRDefault="007937A9" w:rsidP="007937A9">
      <w:pPr>
        <w:pStyle w:val="Descripcin"/>
        <w:keepNext/>
        <w:jc w:val="center"/>
        <w:rPr>
          <w:rFonts w:ascii="Times New Roman" w:hAnsi="Times New Roman" w:cs="Times New Roman"/>
          <w:color w:val="auto"/>
        </w:rPr>
      </w:pPr>
      <w:r w:rsidRPr="007937A9">
        <w:rPr>
          <w:rFonts w:ascii="Times New Roman" w:hAnsi="Times New Roman" w:cs="Times New Roman"/>
          <w:color w:val="auto"/>
        </w:rPr>
        <w:t xml:space="preserve">Tabla </w:t>
      </w:r>
      <w:r>
        <w:rPr>
          <w:rFonts w:ascii="Times New Roman" w:hAnsi="Times New Roman" w:cs="Times New Roman"/>
          <w:color w:val="auto"/>
        </w:rPr>
        <w:t>12.</w:t>
      </w:r>
      <w:r w:rsidRPr="007937A9">
        <w:rPr>
          <w:rFonts w:ascii="Times New Roman" w:hAnsi="Times New Roman" w:cs="Times New Roman"/>
          <w:color w:val="auto"/>
        </w:rPr>
        <w:fldChar w:fldCharType="begin"/>
      </w:r>
      <w:r w:rsidRPr="007937A9">
        <w:rPr>
          <w:rFonts w:ascii="Times New Roman" w:hAnsi="Times New Roman" w:cs="Times New Roman"/>
          <w:color w:val="auto"/>
        </w:rPr>
        <w:instrText xml:space="preserve"> SEQ Tabla \* ARABIC </w:instrText>
      </w:r>
      <w:r w:rsidRPr="007937A9">
        <w:rPr>
          <w:rFonts w:ascii="Times New Roman" w:hAnsi="Times New Roman" w:cs="Times New Roman"/>
          <w:color w:val="auto"/>
        </w:rPr>
        <w:fldChar w:fldCharType="separate"/>
      </w:r>
      <w:r w:rsidRPr="007937A9">
        <w:rPr>
          <w:rFonts w:ascii="Times New Roman" w:hAnsi="Times New Roman" w:cs="Times New Roman"/>
          <w:noProof/>
          <w:color w:val="auto"/>
        </w:rPr>
        <w:t>3</w:t>
      </w:r>
      <w:r w:rsidRPr="007937A9">
        <w:rPr>
          <w:rFonts w:ascii="Times New Roman" w:hAnsi="Times New Roman" w:cs="Times New Roman"/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t>.</w:t>
      </w:r>
      <w:r w:rsidRPr="007937A9">
        <w:rPr>
          <w:rFonts w:ascii="Times New Roman" w:hAnsi="Times New Roman" w:cs="Times New Roman"/>
          <w:color w:val="auto"/>
        </w:rPr>
        <w:t xml:space="preserve"> Riesgos asociados al cambio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09"/>
        <w:gridCol w:w="1564"/>
        <w:gridCol w:w="1070"/>
        <w:gridCol w:w="3051"/>
      </w:tblGrid>
      <w:tr w:rsidR="007937A9" w:rsidRPr="007937A9" w14:paraId="6D03C5F6" w14:textId="77777777" w:rsidTr="00793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B8280" w14:textId="77777777" w:rsidR="007937A9" w:rsidRPr="007937A9" w:rsidRDefault="007937A9" w:rsidP="007937A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Riesgo</w:t>
            </w:r>
          </w:p>
        </w:tc>
        <w:tc>
          <w:tcPr>
            <w:tcW w:w="0" w:type="auto"/>
            <w:hideMark/>
          </w:tcPr>
          <w:p w14:paraId="7D7A707E" w14:textId="77777777" w:rsidR="007937A9" w:rsidRPr="007937A9" w:rsidRDefault="007937A9" w:rsidP="007937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Probabilidad</w:t>
            </w:r>
          </w:p>
        </w:tc>
        <w:tc>
          <w:tcPr>
            <w:tcW w:w="0" w:type="auto"/>
            <w:hideMark/>
          </w:tcPr>
          <w:p w14:paraId="5D3A85B0" w14:textId="77777777" w:rsidR="007937A9" w:rsidRPr="007937A9" w:rsidRDefault="007937A9" w:rsidP="007937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Impacto</w:t>
            </w:r>
          </w:p>
        </w:tc>
        <w:tc>
          <w:tcPr>
            <w:tcW w:w="0" w:type="auto"/>
            <w:hideMark/>
          </w:tcPr>
          <w:p w14:paraId="29278AC7" w14:textId="77777777" w:rsidR="007937A9" w:rsidRPr="007937A9" w:rsidRDefault="007937A9" w:rsidP="007937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Estrategia de mitigación</w:t>
            </w:r>
          </w:p>
        </w:tc>
      </w:tr>
      <w:tr w:rsidR="007937A9" w:rsidRPr="007937A9" w14:paraId="022095E3" w14:textId="77777777" w:rsidTr="0079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E6E1F" w14:textId="77777777" w:rsidR="007937A9" w:rsidRPr="007937A9" w:rsidRDefault="007937A9" w:rsidP="007937A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Retrasos en la implementación del mecanismo de validación institucional</w:t>
            </w:r>
          </w:p>
        </w:tc>
        <w:tc>
          <w:tcPr>
            <w:tcW w:w="0" w:type="auto"/>
            <w:hideMark/>
          </w:tcPr>
          <w:p w14:paraId="3E636990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Baja</w:t>
            </w:r>
          </w:p>
        </w:tc>
        <w:tc>
          <w:tcPr>
            <w:tcW w:w="0" w:type="auto"/>
            <w:hideMark/>
          </w:tcPr>
          <w:p w14:paraId="06D58C0A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4969FD20" w14:textId="77777777" w:rsidR="007937A9" w:rsidRPr="007937A9" w:rsidRDefault="007937A9" w:rsidP="007937A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Planificar el desarrollo dentro de una iteración específica del proyecto.</w:t>
            </w:r>
          </w:p>
        </w:tc>
      </w:tr>
      <w:tr w:rsidR="007937A9" w:rsidRPr="007937A9" w14:paraId="07FE1959" w14:textId="77777777" w:rsidTr="00793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2D01A" w14:textId="77777777" w:rsidR="007937A9" w:rsidRPr="007937A9" w:rsidRDefault="007937A9" w:rsidP="007937A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Cambios en los servicios institucionales de autenticación</w:t>
            </w:r>
          </w:p>
        </w:tc>
        <w:tc>
          <w:tcPr>
            <w:tcW w:w="0" w:type="auto"/>
            <w:hideMark/>
          </w:tcPr>
          <w:p w14:paraId="4D96367C" w14:textId="77777777" w:rsidR="007937A9" w:rsidRPr="007937A9" w:rsidRDefault="007937A9" w:rsidP="0079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Baja</w:t>
            </w:r>
          </w:p>
        </w:tc>
        <w:tc>
          <w:tcPr>
            <w:tcW w:w="0" w:type="auto"/>
            <w:hideMark/>
          </w:tcPr>
          <w:p w14:paraId="16B51701" w14:textId="77777777" w:rsidR="007937A9" w:rsidRPr="007937A9" w:rsidRDefault="007937A9" w:rsidP="007937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3C4040AE" w14:textId="77777777" w:rsidR="007937A9" w:rsidRPr="007937A9" w:rsidRDefault="007937A9" w:rsidP="0079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Diseñar una arquitectura desacoplada que permita adaptar el mecanismo de validación sin afectar otros módulos.</w:t>
            </w:r>
          </w:p>
        </w:tc>
      </w:tr>
      <w:tr w:rsidR="007937A9" w:rsidRPr="007937A9" w14:paraId="778879A5" w14:textId="77777777" w:rsidTr="00793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F1F68" w14:textId="77777777" w:rsidR="007937A9" w:rsidRPr="007937A9" w:rsidRDefault="007937A9" w:rsidP="007937A9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Incremento en la complejidad del proceso de registro</w:t>
            </w:r>
          </w:p>
        </w:tc>
        <w:tc>
          <w:tcPr>
            <w:tcW w:w="0" w:type="auto"/>
            <w:hideMark/>
          </w:tcPr>
          <w:p w14:paraId="5704BBD6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6BA6DF86" w14:textId="77777777" w:rsidR="007937A9" w:rsidRPr="007937A9" w:rsidRDefault="007937A9" w:rsidP="00793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Baja</w:t>
            </w:r>
          </w:p>
        </w:tc>
        <w:tc>
          <w:tcPr>
            <w:tcW w:w="0" w:type="auto"/>
            <w:hideMark/>
          </w:tcPr>
          <w:p w14:paraId="7BDA0F43" w14:textId="77777777" w:rsidR="007937A9" w:rsidRPr="007937A9" w:rsidRDefault="007937A9" w:rsidP="007937A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7937A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Diseñar una interfaz sencilla y proporcionar instrucciones claras durante el registro de usuarios.</w:t>
            </w:r>
          </w:p>
        </w:tc>
      </w:tr>
    </w:tbl>
    <w:p w14:paraId="70191BA4" w14:textId="14E1CAB7" w:rsidR="007937A9" w:rsidRPr="007937A9" w:rsidRDefault="007937A9" w:rsidP="00793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</w:p>
    <w:p w14:paraId="0E464689" w14:textId="77777777" w:rsidR="007937A9" w:rsidRPr="007937A9" w:rsidRDefault="007937A9" w:rsidP="007937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7937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12.5 Conclusión del Análisis de Impacto</w:t>
      </w:r>
    </w:p>
    <w:p w14:paraId="390CB53C" w14:textId="77777777" w:rsidR="007937A9" w:rsidRPr="007937A9" w:rsidRDefault="007937A9" w:rsidP="007937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7937A9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análisis realizado evidencia que la incorporación del requisito RF-16 genera un impacto positivo sobre la calidad y seguridad del sistema RoutTech. Aunque la inclusión de este requisito requiere actualizar algunos artefactos de la especificación, como las historias de usuario, los escenarios BDD y la matriz de trazabilidad, dichas modificaciones no afectan la arquitectura general del proyecto ni comprometen el cronograma de desarrollo.</w:t>
      </w:r>
    </w:p>
    <w:p w14:paraId="379192DE" w14:textId="77777777" w:rsidR="007937A9" w:rsidRPr="007937A9" w:rsidRDefault="007937A9" w:rsidP="007937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7937A9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Asimismo, los riesgos identificados presentan un nivel de criticidad bajo o moderado y pueden ser mitigados mediante una adecuada planificación técnica. Considerando los beneficios esperados y la importancia que los usuarios otorgaron a la seguridad durante el proceso de elicitación, se concluye que el cambio es </w:t>
      </w:r>
      <w:r w:rsidRPr="007937A9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técnicamente viable y recomendable</w:t>
      </w:r>
      <w:r w:rsidRPr="007937A9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por lo que se propone su aprobación por parte del Comité de Control de Cambios.</w:t>
      </w:r>
    </w:p>
    <w:p w14:paraId="13BFCED9" w14:textId="77777777" w:rsidR="003E0484" w:rsidRDefault="003E0484"/>
    <w:sectPr w:rsidR="003E0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A9"/>
    <w:rsid w:val="00266DA8"/>
    <w:rsid w:val="003C2360"/>
    <w:rsid w:val="003E0484"/>
    <w:rsid w:val="00471680"/>
    <w:rsid w:val="007937A9"/>
    <w:rsid w:val="0087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5045"/>
  <w15:chartTrackingRefBased/>
  <w15:docId w15:val="{EDDC9B2A-A7A0-46B1-BAEC-F26E87D2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3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3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93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7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7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7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7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7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7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3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Fuerte">
    <w:name w:val="Strong"/>
    <w:basedOn w:val="Fuentedeprrafopredeter"/>
    <w:uiPriority w:val="22"/>
    <w:qFormat/>
    <w:rsid w:val="007937A9"/>
    <w:rPr>
      <w:b/>
      <w:bCs/>
    </w:rPr>
  </w:style>
  <w:style w:type="table" w:styleId="Tablanormal1">
    <w:name w:val="Plain Table 1"/>
    <w:basedOn w:val="Tablanormal"/>
    <w:uiPriority w:val="41"/>
    <w:rsid w:val="007937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7937A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600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Espinoza</dc:creator>
  <cp:keywords/>
  <dc:description/>
  <cp:lastModifiedBy>Lucy Espinoza</cp:lastModifiedBy>
  <cp:revision>1</cp:revision>
  <dcterms:created xsi:type="dcterms:W3CDTF">2026-07-28T06:53:00Z</dcterms:created>
  <dcterms:modified xsi:type="dcterms:W3CDTF">2026-07-28T06:57:00Z</dcterms:modified>
</cp:coreProperties>
</file>