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DD" w:rsidRDefault="00D15319" w:rsidP="00B01E20">
      <w:pPr>
        <w:pStyle w:val="Title"/>
      </w:pPr>
      <w:r>
        <w:t>Fitting molecular dynamic</w:t>
      </w:r>
      <w:r w:rsidR="00BD688C">
        <w:t xml:space="preserve"> potential</w:t>
      </w:r>
      <w:r>
        <w:t>s</w:t>
      </w:r>
      <w:r w:rsidR="00BD688C">
        <w:t xml:space="preserve"> to inelastic neutron data</w:t>
      </w:r>
    </w:p>
    <w:p w:rsidR="00BD688C" w:rsidRDefault="00BD688C"/>
    <w:p w:rsidR="00B01E20" w:rsidRDefault="005E469C" w:rsidP="005E469C">
      <w:pPr>
        <w:pStyle w:val="Heading1"/>
      </w:pPr>
      <w:r>
        <w:t>Abstract</w:t>
      </w:r>
    </w:p>
    <w:p w:rsidR="005E469C" w:rsidRDefault="005E469C" w:rsidP="005E469C">
      <w:pPr>
        <w:pStyle w:val="Heading1"/>
      </w:pPr>
      <w:r>
        <w:t>Introduction</w:t>
      </w:r>
    </w:p>
    <w:p w:rsidR="00374708" w:rsidRDefault="006F0240" w:rsidP="005845DD">
      <w:r>
        <w:t xml:space="preserve">The </w:t>
      </w:r>
      <w:r w:rsidR="00374708">
        <w:t xml:space="preserve">MDMC </w:t>
      </w:r>
      <w:r w:rsidR="000D6608">
        <w:t>method</w:t>
      </w:r>
      <w:r>
        <w:t xml:space="preserve"> aim</w:t>
      </w:r>
      <w:r w:rsidR="000D6608">
        <w:t>s</w:t>
      </w:r>
      <w:r>
        <w:t xml:space="preserve"> to compare molecular dynamics (MD) models against</w:t>
      </w:r>
      <w:r w:rsidR="000D6608">
        <w:t xml:space="preserve"> dynamic</w:t>
      </w:r>
      <w:r>
        <w:t xml:space="preserve"> </w:t>
      </w:r>
      <w:r w:rsidR="000D6608">
        <w:t xml:space="preserve">and static experimental </w:t>
      </w:r>
      <w:r>
        <w:t xml:space="preserve">data and </w:t>
      </w:r>
      <w:r w:rsidR="000D6608">
        <w:t>finding MD models that fits</w:t>
      </w:r>
      <w:r>
        <w:t xml:space="preserve"> such data best in a fast and efficient way. The best fit MD model can then be run separately to produce movies of how the atoms move</w:t>
      </w:r>
      <w:r w:rsidR="000D6608">
        <w:t>s</w:t>
      </w:r>
      <w:r>
        <w:t xml:space="preserve"> and to understand </w:t>
      </w:r>
      <w:r w:rsidR="005845DD">
        <w:t xml:space="preserve">dynamical </w:t>
      </w:r>
      <w:r>
        <w:t xml:space="preserve">and static </w:t>
      </w:r>
      <w:r w:rsidR="005845DD">
        <w:t xml:space="preserve">properties of materials. An important part of this process involves </w:t>
      </w:r>
      <w:r w:rsidR="00374708">
        <w:t xml:space="preserve">the fitting of MD potential energy parameters against </w:t>
      </w:r>
      <w:proofErr w:type="gramStart"/>
      <w:r w:rsidR="005845DD">
        <w:t>S</w:t>
      </w:r>
      <w:r w:rsidR="00DA13F2">
        <w:t>(</w:t>
      </w:r>
      <w:proofErr w:type="gramEnd"/>
      <w:r w:rsidR="00DA13F2">
        <w:t xml:space="preserve">Q, </w:t>
      </w:r>
      <w:r w:rsidR="00DA13F2">
        <w:sym w:font="Symbol" w:char="F077"/>
      </w:r>
      <w:r w:rsidR="00DA13F2">
        <w:t xml:space="preserve">) </w:t>
      </w:r>
      <w:r w:rsidR="00374708">
        <w:t>data.</w:t>
      </w:r>
      <w:r w:rsidR="00FF2F28">
        <w:t xml:space="preserve"> MDMC stands for Molecular Dynamics Monte Carlo (Robert let me know if you can think of a better name). </w:t>
      </w:r>
    </w:p>
    <w:p w:rsidR="005845DD" w:rsidRPr="00374708" w:rsidRDefault="005845DD" w:rsidP="005845DD">
      <w:r>
        <w:t xml:space="preserve">Argon is a model material for which there is a high quality </w:t>
      </w:r>
      <w:proofErr w:type="gramStart"/>
      <w:r>
        <w:t>S</w:t>
      </w:r>
      <w:r w:rsidR="00DA13F2">
        <w:t>(</w:t>
      </w:r>
      <w:proofErr w:type="gramEnd"/>
      <w:r w:rsidR="00DA13F2">
        <w:t xml:space="preserve">Q, </w:t>
      </w:r>
      <w:r w:rsidR="00DA13F2">
        <w:sym w:font="Symbol" w:char="F077"/>
      </w:r>
      <w:r w:rsidR="00DA13F2">
        <w:t xml:space="preserve">) </w:t>
      </w:r>
      <w:r>
        <w:t xml:space="preserve">dataset available. </w:t>
      </w:r>
    </w:p>
    <w:p w:rsidR="006F0240" w:rsidRDefault="006F0240" w:rsidP="006F0240">
      <w:r>
        <w:t xml:space="preserve">Reference to </w:t>
      </w:r>
      <w:proofErr w:type="spellStart"/>
      <w:r>
        <w:t>Gereben</w:t>
      </w:r>
      <w:proofErr w:type="spellEnd"/>
      <w:r>
        <w:t>/</w:t>
      </w:r>
      <w:proofErr w:type="spellStart"/>
      <w:r>
        <w:t>Pusztai</w:t>
      </w:r>
      <w:proofErr w:type="spellEnd"/>
      <w:r>
        <w:t xml:space="preserve">/McGreevy -&gt; RMC and </w:t>
      </w:r>
      <w:proofErr w:type="gramStart"/>
      <w:r>
        <w:t>S(</w:t>
      </w:r>
      <w:proofErr w:type="gramEnd"/>
      <w:r>
        <w:t xml:space="preserve">Q, </w:t>
      </w:r>
      <w:r>
        <w:sym w:font="Symbol" w:char="F077"/>
      </w:r>
      <w:r>
        <w:t>).</w:t>
      </w:r>
    </w:p>
    <w:p w:rsidR="00374708" w:rsidRDefault="00374708" w:rsidP="005845DD">
      <w:r>
        <w:t xml:space="preserve">Reference to Alan Soper </w:t>
      </w:r>
      <w:r w:rsidR="003913ED">
        <w:t>work</w:t>
      </w:r>
      <w:r w:rsidR="00F00EF1">
        <w:t xml:space="preserve"> -&gt; </w:t>
      </w:r>
      <w:r>
        <w:t xml:space="preserve">fit of potential shape to </w:t>
      </w:r>
      <w:proofErr w:type="gramStart"/>
      <w:r>
        <w:t>S(</w:t>
      </w:r>
      <w:proofErr w:type="gramEnd"/>
      <w:r>
        <w:t>Q) data using MC</w:t>
      </w:r>
      <w:r w:rsidR="00F00EF1">
        <w:t>.</w:t>
      </w:r>
    </w:p>
    <w:p w:rsidR="00BD688C" w:rsidRDefault="00D15319" w:rsidP="00B01E20">
      <w:pPr>
        <w:pStyle w:val="Heading1"/>
      </w:pPr>
      <w:r>
        <w:t>MDMC</w:t>
      </w:r>
    </w:p>
    <w:p w:rsidR="00D15319" w:rsidRDefault="00D15319" w:rsidP="00374708">
      <w:pPr>
        <w:pStyle w:val="Heading2"/>
      </w:pPr>
      <w:r>
        <w:t>Method</w:t>
      </w:r>
    </w:p>
    <w:p w:rsidR="00BE6F15" w:rsidRDefault="00BE6F15">
      <w:r>
        <w:t xml:space="preserve">The </w:t>
      </w:r>
      <w:r w:rsidR="00FF2F28">
        <w:t xml:space="preserve">MDMC </w:t>
      </w:r>
      <w:r>
        <w:t>met</w:t>
      </w:r>
      <w:r w:rsidR="00FF2F28">
        <w:t>hod follows the following</w:t>
      </w:r>
      <w:r>
        <w:t xml:space="preserve"> steps</w:t>
      </w:r>
    </w:p>
    <w:p w:rsidR="00BE6F15" w:rsidRDefault="00DA13F2" w:rsidP="00457497">
      <w:pPr>
        <w:numPr>
          <w:ilvl w:val="0"/>
          <w:numId w:val="2"/>
        </w:numPr>
      </w:pPr>
      <w:r>
        <w:t>Specify starting values for the parameters that make up the</w:t>
      </w:r>
      <w:r w:rsidR="00FF2F28">
        <w:t xml:space="preserve"> </w:t>
      </w:r>
      <w:r>
        <w:t>potential energy (PE) function</w:t>
      </w:r>
      <w:r w:rsidR="0013665D">
        <w:t xml:space="preserve"> for the Molecular D</w:t>
      </w:r>
      <w:r w:rsidR="00FF2F28">
        <w:t xml:space="preserve">ynamics </w:t>
      </w:r>
      <w:r w:rsidR="0013665D">
        <w:t xml:space="preserve">(MD) </w:t>
      </w:r>
      <w:r w:rsidR="00FF2F28">
        <w:t>part of the algorithm</w:t>
      </w:r>
      <w:r w:rsidR="00457497">
        <w:t xml:space="preserve">. </w:t>
      </w:r>
      <w:r w:rsidR="00BE6F15">
        <w:t>Run initial MD simulation</w:t>
      </w:r>
      <w:r w:rsidR="00457497">
        <w:t xml:space="preserve">. </w:t>
      </w:r>
      <w:r w:rsidR="0013665D">
        <w:t>Then c</w:t>
      </w:r>
      <w:r w:rsidR="00BE6F15">
        <w:t xml:space="preserve">alculate </w:t>
      </w:r>
      <w:proofErr w:type="spellStart"/>
      <w:r w:rsidR="00BE6F15">
        <w:t>S</w:t>
      </w:r>
      <w:r w:rsidR="0013665D">
        <w:rPr>
          <w:vertAlign w:val="superscript"/>
        </w:rPr>
        <w:t>fit</w:t>
      </w:r>
      <w:proofErr w:type="spellEnd"/>
      <w:r>
        <w:t xml:space="preserve">(Q, </w:t>
      </w:r>
      <w:r>
        <w:sym w:font="Symbol" w:char="F077"/>
      </w:r>
      <w:r>
        <w:t xml:space="preserve">) </w:t>
      </w:r>
      <w:r w:rsidR="0013665D">
        <w:t xml:space="preserve">from this initial run </w:t>
      </w:r>
      <w:r w:rsidR="00457497">
        <w:t xml:space="preserve">and </w:t>
      </w:r>
      <w:r w:rsidR="0013665D">
        <w:t>the Figure of Merit (FOM) function that measure</w:t>
      </w:r>
      <w:r w:rsidR="000D6608">
        <w:t>s</w:t>
      </w:r>
      <w:r w:rsidR="0013665D">
        <w:t xml:space="preserve"> the discrepancy between</w:t>
      </w:r>
      <w:r w:rsidR="00BE6F15">
        <w:t xml:space="preserve"> </w:t>
      </w:r>
      <w:proofErr w:type="spellStart"/>
      <w:r w:rsidR="0013665D">
        <w:t>S</w:t>
      </w:r>
      <w:r w:rsidR="0013665D">
        <w:rPr>
          <w:vertAlign w:val="superscript"/>
        </w:rPr>
        <w:t>fit</w:t>
      </w:r>
      <w:proofErr w:type="spellEnd"/>
      <w:r w:rsidR="0013665D">
        <w:t xml:space="preserve">(Q, </w:t>
      </w:r>
      <w:r w:rsidR="0013665D">
        <w:sym w:font="Symbol" w:char="F077"/>
      </w:r>
      <w:r w:rsidR="0013665D">
        <w:t>) and</w:t>
      </w:r>
      <w:r w:rsidR="000D6608">
        <w:t xml:space="preserve"> the</w:t>
      </w:r>
      <w:r w:rsidR="0013665D">
        <w:t xml:space="preserve"> observed dynamical structure factor data:</w:t>
      </w:r>
      <w:r w:rsidR="00BE6F15">
        <w:t xml:space="preserve"> </w:t>
      </w:r>
      <w:proofErr w:type="spellStart"/>
      <w:r w:rsidR="00BE6F15">
        <w:t>S</w:t>
      </w:r>
      <w:r w:rsidR="0013665D">
        <w:rPr>
          <w:vertAlign w:val="superscript"/>
        </w:rPr>
        <w:t>data</w:t>
      </w:r>
      <w:proofErr w:type="spellEnd"/>
      <w:r>
        <w:t xml:space="preserve">(Q, </w:t>
      </w:r>
      <w:r>
        <w:sym w:font="Symbol" w:char="F077"/>
      </w:r>
      <w:r>
        <w:t>)</w:t>
      </w:r>
    </w:p>
    <w:p w:rsidR="00BE6F15" w:rsidRDefault="00BE6F15" w:rsidP="00BE6F15">
      <w:pPr>
        <w:numPr>
          <w:ilvl w:val="0"/>
          <w:numId w:val="2"/>
        </w:numPr>
      </w:pPr>
      <w:r>
        <w:t xml:space="preserve">Store </w:t>
      </w:r>
      <w:r w:rsidR="0013665D">
        <w:t xml:space="preserve">the </w:t>
      </w:r>
      <w:r>
        <w:t xml:space="preserve">initial FOM value and </w:t>
      </w:r>
      <w:r w:rsidR="000D6608">
        <w:t>MD</w:t>
      </w:r>
      <w:r w:rsidR="0013665D">
        <w:t xml:space="preserve"> </w:t>
      </w:r>
      <w:proofErr w:type="spellStart"/>
      <w:r>
        <w:t>phasespace</w:t>
      </w:r>
      <w:proofErr w:type="spellEnd"/>
      <w:r>
        <w:t xml:space="preserve"> configuration</w:t>
      </w:r>
    </w:p>
    <w:p w:rsidR="00BE6F15" w:rsidRDefault="00BE6F15" w:rsidP="00BE6F15">
      <w:pPr>
        <w:numPr>
          <w:ilvl w:val="0"/>
          <w:numId w:val="2"/>
        </w:numPr>
      </w:pPr>
      <w:r>
        <w:t xml:space="preserve">Select new </w:t>
      </w:r>
      <w:r w:rsidR="0013665D">
        <w:t xml:space="preserve">values for the </w:t>
      </w:r>
      <w:r>
        <w:t>PE parameters</w:t>
      </w:r>
      <w:r w:rsidR="00476E00">
        <w:t xml:space="preserve"> by randomly modifying </w:t>
      </w:r>
      <w:r w:rsidR="000D6608">
        <w:t>the previous PE</w:t>
      </w:r>
      <w:r w:rsidR="0013665D">
        <w:t xml:space="preserve"> parameters</w:t>
      </w:r>
    </w:p>
    <w:p w:rsidR="00BE6F15" w:rsidRDefault="00BE6F15" w:rsidP="00BE6F15">
      <w:pPr>
        <w:numPr>
          <w:ilvl w:val="0"/>
          <w:numId w:val="2"/>
        </w:numPr>
      </w:pPr>
      <w:r>
        <w:t xml:space="preserve">Run MD, calculate </w:t>
      </w:r>
      <w:proofErr w:type="spellStart"/>
      <w:r>
        <w:t>S</w:t>
      </w:r>
      <w:r w:rsidR="0013665D">
        <w:rPr>
          <w:vertAlign w:val="superscript"/>
        </w:rPr>
        <w:t>fit</w:t>
      </w:r>
      <w:proofErr w:type="spellEnd"/>
      <w:r w:rsidR="00DA13F2">
        <w:t xml:space="preserve">(Q, </w:t>
      </w:r>
      <w:r w:rsidR="00DA13F2">
        <w:sym w:font="Symbol" w:char="F077"/>
      </w:r>
      <w:r w:rsidR="00DA13F2">
        <w:t xml:space="preserve">) </w:t>
      </w:r>
      <w:r>
        <w:t>and FOM</w:t>
      </w:r>
    </w:p>
    <w:p w:rsidR="00457497" w:rsidRDefault="00C51B2B" w:rsidP="00766E4F">
      <w:pPr>
        <w:numPr>
          <w:ilvl w:val="0"/>
          <w:numId w:val="2"/>
        </w:numPr>
      </w:pPr>
      <w:r>
        <w:t>Use the Metropolis criterion</w:t>
      </w:r>
      <w:r w:rsidR="0013665D">
        <w:t xml:space="preserve"> </w:t>
      </w:r>
      <w:r w:rsidR="000D6608">
        <w:t xml:space="preserve">to </w:t>
      </w:r>
      <w:r w:rsidR="00457497">
        <w:t xml:space="preserve">accept or reject the </w:t>
      </w:r>
      <w:r>
        <w:t>new FOM and therefore</w:t>
      </w:r>
      <w:r w:rsidR="00476E00">
        <w:t xml:space="preserve"> the</w:t>
      </w:r>
      <w:r>
        <w:t xml:space="preserve"> PE parameter set used to </w:t>
      </w:r>
      <w:r w:rsidR="00476E00">
        <w:t xml:space="preserve">calculate this FOM; </w:t>
      </w:r>
      <w:r>
        <w:t>accept the new PE parameters with probability</w:t>
      </w:r>
      <w:proofErr w:type="gramStart"/>
      <w:r w:rsidR="00476E00">
        <w:t>:</w:t>
      </w:r>
      <w:r>
        <w:t xml:space="preserve"> </w:t>
      </w:r>
      <m:oMath>
        <w:proofErr w:type="gramEnd"/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accept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-FO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new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func>
              </m:e>
            </m:d>
          </m:e>
        </m:func>
      </m:oMath>
      <w:r>
        <w:t xml:space="preserve">, </w:t>
      </w:r>
      <w:r w:rsidR="00476E00">
        <w:t>where the Monte Carlo (MC) 'temperature' parameter T</w:t>
      </w:r>
      <w:r w:rsidR="00476E00" w:rsidRPr="00476E00">
        <w:rPr>
          <w:vertAlign w:val="subscript"/>
        </w:rPr>
        <w:t xml:space="preserve">MC </w:t>
      </w:r>
      <w:r w:rsidR="00476E00">
        <w:t>controls the acceptance rate</w:t>
      </w:r>
      <w:r w:rsidR="00457497">
        <w:t xml:space="preserve">. </w:t>
      </w:r>
      <w:r w:rsidR="00476E00">
        <w:t>Further, i</w:t>
      </w:r>
      <w:r w:rsidR="00457497">
        <w:t xml:space="preserve">f </w:t>
      </w:r>
      <w:r w:rsidR="000D6608">
        <w:t>this MC step (or MDMC cycle</w:t>
      </w:r>
      <w:r w:rsidR="00476E00">
        <w:t xml:space="preserve">) is accepted </w:t>
      </w:r>
      <w:r w:rsidR="004369E3">
        <w:t>overwrite</w:t>
      </w:r>
      <w:r w:rsidR="00476E00">
        <w:t xml:space="preserve"> the</w:t>
      </w:r>
      <w:r w:rsidR="004369E3">
        <w:t xml:space="preserve"> previously stored</w:t>
      </w:r>
      <w:r w:rsidR="00476E00">
        <w:t xml:space="preserve"> FOM </w:t>
      </w:r>
      <w:r w:rsidR="004369E3">
        <w:t xml:space="preserve">value </w:t>
      </w:r>
      <w:r w:rsidR="00476E00">
        <w:t xml:space="preserve">and </w:t>
      </w:r>
      <w:proofErr w:type="spellStart"/>
      <w:r w:rsidR="00476E00">
        <w:t>phasespace</w:t>
      </w:r>
      <w:proofErr w:type="spellEnd"/>
      <w:r w:rsidR="00476E00">
        <w:t xml:space="preserve"> configuration</w:t>
      </w:r>
      <w:r w:rsidR="004369E3">
        <w:t xml:space="preserve"> with the new FOM value and</w:t>
      </w:r>
      <w:r w:rsidR="00476E00">
        <w:t xml:space="preserve"> </w:t>
      </w:r>
      <w:proofErr w:type="spellStart"/>
      <w:r w:rsidR="00476E00">
        <w:t>phasespace</w:t>
      </w:r>
      <w:proofErr w:type="spellEnd"/>
      <w:r w:rsidR="00476E00">
        <w:t xml:space="preserve"> configuration. </w:t>
      </w:r>
    </w:p>
    <w:p w:rsidR="00374708" w:rsidRDefault="00476E00" w:rsidP="00766E4F">
      <w:pPr>
        <w:numPr>
          <w:ilvl w:val="0"/>
          <w:numId w:val="2"/>
        </w:numPr>
      </w:pPr>
      <w:r>
        <w:t>Return to 3</w:t>
      </w:r>
      <w:r w:rsidR="00457497">
        <w:t xml:space="preserve"> unti</w:t>
      </w:r>
      <w:r>
        <w:t>l convergence has been achieved or maximum number of iterations reached.</w:t>
      </w:r>
      <w:r w:rsidR="00457497">
        <w:t xml:space="preserve">  </w:t>
      </w:r>
    </w:p>
    <w:p w:rsidR="005845DD" w:rsidRDefault="004369E3" w:rsidP="006F7CDD">
      <w:r>
        <w:lastRenderedPageBreak/>
        <w:t>In this work, the</w:t>
      </w:r>
      <w:r w:rsidR="00DF64FA">
        <w:t xml:space="preserve"> shape of a</w:t>
      </w:r>
      <w:r w:rsidR="000D6608">
        <w:t>n</w:t>
      </w:r>
      <w:r w:rsidR="00DF64FA">
        <w:t xml:space="preserve"> MD potential is adjusted against dynamical structure factor </w:t>
      </w:r>
      <w:proofErr w:type="gramStart"/>
      <w:r w:rsidR="00DF64FA">
        <w:t>S</w:t>
      </w:r>
      <w:r>
        <w:t>(</w:t>
      </w:r>
      <w:proofErr w:type="gramEnd"/>
      <w:r>
        <w:t xml:space="preserve">Q, </w:t>
      </w:r>
      <w:r>
        <w:sym w:font="Symbol" w:char="F077"/>
      </w:r>
      <w:r>
        <w:t xml:space="preserve">) </w:t>
      </w:r>
      <w:r w:rsidR="00DF64FA">
        <w:t xml:space="preserve">data. Such data </w:t>
      </w:r>
      <w:r>
        <w:t>can be collected at large scale neutron facilities</w:t>
      </w:r>
      <w:r w:rsidR="00DF64FA">
        <w:t xml:space="preserve">. </w:t>
      </w:r>
      <w:proofErr w:type="gramStart"/>
      <w:r w:rsidR="00DF64FA">
        <w:t>S</w:t>
      </w:r>
      <w:r>
        <w:t>(</w:t>
      </w:r>
      <w:proofErr w:type="gramEnd"/>
      <w:r w:rsidRPr="004369E3">
        <w:rPr>
          <w:b/>
        </w:rPr>
        <w:t>Q</w:t>
      </w:r>
      <w:r>
        <w:t xml:space="preserve">, </w:t>
      </w:r>
      <w:r>
        <w:sym w:font="Symbol" w:char="F077"/>
      </w:r>
      <w:r>
        <w:t xml:space="preserve">) </w:t>
      </w:r>
      <w:r w:rsidR="00DF64FA">
        <w:t>is related to the time-dependent pair distribution function G(</w:t>
      </w:r>
      <w:proofErr w:type="spellStart"/>
      <w:r w:rsidR="00DF64FA" w:rsidRPr="004369E3">
        <w:rPr>
          <w:b/>
        </w:rPr>
        <w:t>r</w:t>
      </w:r>
      <w:r w:rsidR="00DF64FA">
        <w:t>,t</w:t>
      </w:r>
      <w:proofErr w:type="spellEnd"/>
      <w:r w:rsidR="00DF64FA">
        <w:t>) through the Fourier transform</w:t>
      </w:r>
    </w:p>
    <w:p w:rsidR="00842351" w:rsidRPr="00842351" w:rsidRDefault="005A59C1" w:rsidP="006F7CDD"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>∫G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Q⋅r</m:t>
                </m:r>
                <m:r>
                  <w:rPr>
                    <w:rFonts w:ascii="Cambria Math" w:hAnsi="Cambria Math"/>
                  </w:rPr>
                  <m:t>-ωt</m:t>
                </m:r>
              </m:e>
            </m:d>
          </m:sup>
        </m:sSup>
        <m:r>
          <w:rPr>
            <w:rFonts w:ascii="Cambria Math" w:hAnsi="Cambria Math"/>
          </w:rPr>
          <m:t>dtd</m:t>
        </m:r>
        <m:r>
          <m:rPr>
            <m:sty m:val="bi"/>
          </m:rPr>
          <w:rPr>
            <w:rFonts w:ascii="Cambria Math" w:hAnsi="Cambria Math"/>
          </w:rPr>
          <m:t>r</m:t>
        </m:r>
      </m:oMath>
      <w:r w:rsidR="00842351">
        <w:rPr>
          <w:b/>
        </w:rPr>
        <w:t xml:space="preserve">                                </w:t>
      </w:r>
      <w:r w:rsidR="00842351">
        <w:t>Eq. (</w:t>
      </w:r>
      <w:proofErr w:type="spellStart"/>
      <w:r w:rsidR="00842351">
        <w:t>Sqomega</w:t>
      </w:r>
      <w:proofErr w:type="spellEnd"/>
      <w:r w:rsidR="00842351">
        <w:t>)</w:t>
      </w:r>
    </w:p>
    <w:p w:rsidR="00DF64FA" w:rsidRDefault="00DF64FA" w:rsidP="006F7CDD">
      <w:r>
        <w:t>Ignoring Quantum effects then in the classical limit G(</w:t>
      </w:r>
      <w:proofErr w:type="spellStart"/>
      <w:r w:rsidRPr="0010321D">
        <w:rPr>
          <w:b/>
        </w:rPr>
        <w:t>r</w:t>
      </w:r>
      <w:proofErr w:type="gramStart"/>
      <w:r>
        <w:t>,t</w:t>
      </w:r>
      <w:proofErr w:type="spellEnd"/>
      <w:proofErr w:type="gramEnd"/>
      <w:r>
        <w:t>) for a mono-particle sample is</w:t>
      </w:r>
    </w:p>
    <w:p w:rsidR="00DF64FA" w:rsidRDefault="0089674F" w:rsidP="006F7CDD"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i,j</m:t>
                </m:r>
              </m:sub>
              <m:sup/>
              <m:e>
                <m:r>
                  <w:rPr>
                    <w:rFonts w:ascii="Cambria Math" w:hAnsi="Cambria Math"/>
                  </w:rPr>
                  <m:t>δ(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</m:e>
            </m:nary>
          </m:e>
        </m:d>
      </m:oMath>
      <w:r w:rsidR="00842351">
        <w:t xml:space="preserve">                                     Eq. (Grt)</w:t>
      </w:r>
    </w:p>
    <w:p w:rsidR="005E10C9" w:rsidRDefault="004369E3" w:rsidP="0010321D">
      <w:r>
        <w:t xml:space="preserve">Where </w:t>
      </w:r>
      <w:r w:rsidR="0010321D">
        <w:t>&lt;…&gt; denotes the thermal average and t</w:t>
      </w:r>
      <w:r w:rsidR="00DF64FA">
        <w:t xml:space="preserve">his function </w:t>
      </w:r>
      <w:r>
        <w:t>gives information about</w:t>
      </w:r>
      <w:r w:rsidR="00DF64FA">
        <w:t xml:space="preserve"> </w:t>
      </w:r>
      <w:r w:rsidR="00842351">
        <w:t>how</w:t>
      </w:r>
      <w:r w:rsidR="00DF64FA">
        <w:t xml:space="preserve"> </w:t>
      </w:r>
      <w:r w:rsidR="00842351">
        <w:t>N</w:t>
      </w:r>
      <w:r w:rsidR="00DF64FA">
        <w:t xml:space="preserve"> particle</w:t>
      </w:r>
      <w:r w:rsidR="000D6608">
        <w:t>s move</w:t>
      </w:r>
      <w:r w:rsidR="00DF64FA">
        <w:t xml:space="preserve"> with respect </w:t>
      </w:r>
      <w:r w:rsidR="00842351">
        <w:t>to themselves and each other</w:t>
      </w:r>
      <w:r w:rsidR="0010321D">
        <w:t xml:space="preserve">. </w:t>
      </w:r>
      <w:r w:rsidR="00DF64FA">
        <w:t>The thermal average is calculated by averaging over statistical independent (or nearly independent) G(</w:t>
      </w:r>
      <w:proofErr w:type="spellStart"/>
      <w:r w:rsidR="00DF64FA" w:rsidRPr="0010321D">
        <w:rPr>
          <w:b/>
        </w:rPr>
        <w:t>r</w:t>
      </w:r>
      <w:proofErr w:type="gramStart"/>
      <w:r w:rsidR="00DF64FA">
        <w:t>,t</w:t>
      </w:r>
      <w:proofErr w:type="spellEnd"/>
      <w:proofErr w:type="gramEnd"/>
      <w:r w:rsidR="00DF64FA">
        <w:t>) instances</w:t>
      </w:r>
      <w:r w:rsidR="005E10C9">
        <w:t xml:space="preserve"> (typically 20</w:t>
      </w:r>
      <w:r w:rsidR="00647C25">
        <w:t xml:space="preserve"> in this </w:t>
      </w:r>
      <w:r>
        <w:t xml:space="preserve">work). </w:t>
      </w:r>
      <w:r w:rsidR="00B35D45">
        <w:t>In this work</w:t>
      </w:r>
      <w:r w:rsidR="005E10C9">
        <w:t xml:space="preserve"> G(</w:t>
      </w:r>
      <w:proofErr w:type="spellStart"/>
      <w:r w:rsidR="005E10C9" w:rsidRPr="0010321D">
        <w:rPr>
          <w:b/>
        </w:rPr>
        <w:t>r</w:t>
      </w:r>
      <w:proofErr w:type="gramStart"/>
      <w:r w:rsidR="005E10C9">
        <w:t>,t</w:t>
      </w:r>
      <w:proofErr w:type="spellEnd"/>
      <w:proofErr w:type="gramEnd"/>
      <w:r w:rsidR="005E10C9">
        <w:t xml:space="preserve">) </w:t>
      </w:r>
      <w:r w:rsidR="00647C25">
        <w:t>instance</w:t>
      </w:r>
      <w:r w:rsidR="00B35D45">
        <w:t>s</w:t>
      </w:r>
      <w:r w:rsidR="00647C25">
        <w:t xml:space="preserve"> </w:t>
      </w:r>
      <w:r w:rsidR="00B35D45">
        <w:t>were calculated from</w:t>
      </w:r>
      <w:r w:rsidR="00647C25">
        <w:t xml:space="preserve"> MD run</w:t>
      </w:r>
      <w:r w:rsidR="00B35D45">
        <w:t xml:space="preserve">s using the </w:t>
      </w:r>
      <w:r w:rsidR="00842351">
        <w:t>appr</w:t>
      </w:r>
      <w:r w:rsidR="00647C25">
        <w:t xml:space="preserve">oach </w:t>
      </w:r>
      <w:r w:rsidR="00B35D45">
        <w:t xml:space="preserve">described </w:t>
      </w:r>
      <w:r w:rsidR="00647C25">
        <w:t>in Ref. [</w:t>
      </w:r>
      <w:proofErr w:type="spellStart"/>
      <w:r w:rsidR="00647C25">
        <w:t>Rapaport</w:t>
      </w:r>
      <w:proofErr w:type="spellEnd"/>
      <w:r w:rsidR="00647C25">
        <w:t xml:space="preserve">]. </w:t>
      </w:r>
    </w:p>
    <w:p w:rsidR="005E10C9" w:rsidRDefault="000D6608" w:rsidP="006F7CDD">
      <w:r>
        <w:t>T</w:t>
      </w:r>
      <w:r w:rsidR="00687098">
        <w:t>o</w:t>
      </w:r>
      <w:r w:rsidR="005E10C9">
        <w:t xml:space="preserve"> </w:t>
      </w:r>
      <w:r>
        <w:t xml:space="preserve">compare with neutron data the </w:t>
      </w:r>
      <w:r w:rsidR="005E10C9">
        <w:t>summation in Eq. (</w:t>
      </w:r>
      <w:proofErr w:type="spellStart"/>
      <w:r w:rsidR="005E10C9">
        <w:t>grt</w:t>
      </w:r>
      <w:proofErr w:type="spellEnd"/>
      <w:r w:rsidR="005E10C9">
        <w:t xml:space="preserve">) </w:t>
      </w:r>
      <w:r>
        <w:t xml:space="preserve">is </w:t>
      </w:r>
      <w:r w:rsidR="00647C25">
        <w:t xml:space="preserve">split </w:t>
      </w:r>
      <w:r w:rsidR="005E10C9">
        <w:t xml:space="preserve">up into a self-part and distinct-part. The self-part is </w:t>
      </w:r>
    </w:p>
    <w:p w:rsidR="00E807FE" w:rsidRDefault="00E75A83" w:rsidP="00E807FE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supHide m:val="on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</w:rPr>
                  <m:t>δ(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(0)</m:t>
                </m:r>
              </m:e>
            </m:nary>
          </m:e>
        </m:d>
      </m:oMath>
      <w:r w:rsidR="00E807FE">
        <w:t xml:space="preserve">                                     Eq. (GSrt)</w:t>
      </w:r>
    </w:p>
    <w:p w:rsidR="00DF64FA" w:rsidRDefault="008C0221" w:rsidP="006F7CDD">
      <w:proofErr w:type="gramStart"/>
      <w:r>
        <w:t>which</w:t>
      </w:r>
      <w:proofErr w:type="gramEnd"/>
      <w:r>
        <w:t xml:space="preserve"> describes the correlation of one particle with itself, i.e. single particle motion </w:t>
      </w:r>
      <w:r w:rsidR="000D6608">
        <w:t>a</w:t>
      </w:r>
      <w:r>
        <w:t>nd the distinct-</w:t>
      </w:r>
      <w:r w:rsidR="005E10C9">
        <w:t xml:space="preserve">part is </w:t>
      </w:r>
      <w:r>
        <w:t xml:space="preserve">the difference </w:t>
      </w:r>
      <w:proofErr w:type="spellStart"/>
      <w:r w:rsidR="005E10C9">
        <w:t>G</w:t>
      </w:r>
      <w:r w:rsidR="005E10C9" w:rsidRPr="008A17F8">
        <w:rPr>
          <w:vertAlign w:val="superscript"/>
        </w:rPr>
        <w:t>d</w:t>
      </w:r>
      <w:proofErr w:type="spellEnd"/>
      <w:r w:rsidR="00E807FE">
        <w:t>=G-G</w:t>
      </w:r>
      <w:r w:rsidR="00E807FE" w:rsidRPr="008A17F8">
        <w:rPr>
          <w:vertAlign w:val="superscript"/>
        </w:rPr>
        <w:t>s</w:t>
      </w:r>
      <w:r>
        <w:t>. T</w:t>
      </w:r>
      <w:r w:rsidR="005E10C9">
        <w:t xml:space="preserve">he neutron </w:t>
      </w:r>
      <w:r w:rsidR="00477C80">
        <w:t xml:space="preserve">partial differential </w:t>
      </w:r>
      <w:r w:rsidR="005E10C9">
        <w:t xml:space="preserve">cross section is proportional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inc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,ω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coh</m:t>
            </m:r>
          </m:sub>
        </m:sSub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,ω</m:t>
            </m:r>
          </m:e>
        </m:d>
      </m:oMath>
      <w:r w:rsidR="008A17F8">
        <w:t>, w</w:t>
      </w:r>
      <w:r w:rsidR="005E10C9">
        <w:t>here S</w:t>
      </w:r>
      <w:r w:rsidR="005E10C9" w:rsidRPr="008A17F8">
        <w:rPr>
          <w:vertAlign w:val="superscript"/>
        </w:rPr>
        <w:t>s</w:t>
      </w:r>
      <w:r w:rsidR="005E10C9">
        <w:t xml:space="preserve"> i</w:t>
      </w:r>
      <w:r w:rsidR="00E807FE">
        <w:t>s the Fourier transform of G</w:t>
      </w:r>
      <w:r w:rsidR="00E807FE" w:rsidRPr="008A17F8">
        <w:rPr>
          <w:vertAlign w:val="superscript"/>
        </w:rPr>
        <w:t>s</w:t>
      </w:r>
      <w:r>
        <w:t xml:space="preserve"> and </w:t>
      </w:r>
      <w:r>
        <w:sym w:font="Symbol" w:char="F073"/>
      </w:r>
      <w:r w:rsidRPr="00834D7E">
        <w:rPr>
          <w:vertAlign w:val="subscript"/>
        </w:rPr>
        <w:t>inc</w:t>
      </w:r>
      <w:r>
        <w:t xml:space="preserve"> and </w:t>
      </w:r>
      <w:r>
        <w:sym w:font="Symbol" w:char="F073"/>
      </w:r>
      <w:proofErr w:type="spellStart"/>
      <w:r w:rsidR="00477C80" w:rsidRPr="00834D7E">
        <w:rPr>
          <w:vertAlign w:val="subscript"/>
        </w:rPr>
        <w:t>coh</w:t>
      </w:r>
      <w:proofErr w:type="spellEnd"/>
      <w:r w:rsidR="00477C80">
        <w:t xml:space="preserve"> are the incoherent</w:t>
      </w:r>
      <w:r w:rsidR="00E807FE">
        <w:t xml:space="preserve"> </w:t>
      </w:r>
      <w:r w:rsidR="00477C80">
        <w:t xml:space="preserve">and coherent cross sections respectively. </w:t>
      </w:r>
      <w:r w:rsidR="00436635">
        <w:t>For more details on this see</w:t>
      </w:r>
      <w:r w:rsidR="007A6E30">
        <w:t>,</w:t>
      </w:r>
      <w:r w:rsidR="00436635">
        <w:t xml:space="preserve"> for instance</w:t>
      </w:r>
      <w:r w:rsidR="00687098">
        <w:t>,</w:t>
      </w:r>
      <w:r w:rsidR="007A6E30">
        <w:t xml:space="preserve"> </w:t>
      </w:r>
      <w:proofErr w:type="spellStart"/>
      <w:r w:rsidR="007A6E30">
        <w:t>Gereben</w:t>
      </w:r>
      <w:proofErr w:type="spellEnd"/>
      <w:r w:rsidR="007A6E30">
        <w:t xml:space="preserve"> et al., 2007</w:t>
      </w:r>
      <w:r w:rsidR="00436635">
        <w:t xml:space="preserve"> and references therein.</w:t>
      </w:r>
      <w:r w:rsidR="00834D7E">
        <w:t xml:space="preserve"> Note that for Argon the incoherent cross secti</w:t>
      </w:r>
      <w:r w:rsidR="00D73E07">
        <w:t xml:space="preserve">on can be neglected in which case </w:t>
      </w:r>
      <w:r w:rsidR="00834D7E">
        <w:t>the</w:t>
      </w:r>
      <w:r w:rsidR="00D73E07">
        <w:t xml:space="preserve"> </w:t>
      </w:r>
      <w:r w:rsidR="00834D7E">
        <w:t>neutr</w:t>
      </w:r>
      <w:r w:rsidR="00811A30">
        <w:t xml:space="preserve">on cross section </w:t>
      </w:r>
      <w:r w:rsidR="00D73E07">
        <w:t>is simply</w:t>
      </w:r>
      <w:r w:rsidR="00811A30">
        <w:t xml:space="preserve"> proportional to </w:t>
      </w:r>
      <w:proofErr w:type="gramStart"/>
      <w:r w:rsidR="00811A30">
        <w:t>S(</w:t>
      </w:r>
      <w:proofErr w:type="gramEnd"/>
      <w:r w:rsidR="00811A30" w:rsidRPr="004369E3">
        <w:rPr>
          <w:b/>
        </w:rPr>
        <w:t>Q</w:t>
      </w:r>
      <w:r w:rsidR="00811A30">
        <w:t xml:space="preserve">, </w:t>
      </w:r>
      <w:r w:rsidR="00811A30">
        <w:sym w:font="Symbol" w:char="F077"/>
      </w:r>
      <w:r w:rsidR="00811A30">
        <w:t>).</w:t>
      </w:r>
    </w:p>
    <w:p w:rsidR="0002047E" w:rsidRDefault="005E22DB" w:rsidP="006F7CDD">
      <w:r>
        <w:t>FOM is</w:t>
      </w:r>
      <w:r w:rsidR="00B35D45">
        <w:t xml:space="preserve"> in this work calculated using the least squared expression:</w:t>
      </w:r>
      <w:r w:rsidR="00813504">
        <w:t xml:space="preserve"> </w:t>
      </w:r>
      <w:r>
        <w:t xml:space="preserve"> </w:t>
      </w:r>
    </w:p>
    <w:p w:rsidR="005E22DB" w:rsidRPr="00B048A2" w:rsidRDefault="00B35D45" w:rsidP="006F7CDD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FOM=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obs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Calibri"/>
                                </w:rPr>
                                <m:t>cal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 xml:space="preserve"> </m:t>
              </m:r>
            </m:e>
          </m:nary>
        </m:oMath>
      </m:oMathPara>
    </w:p>
    <w:p w:rsidR="005E22DB" w:rsidRDefault="00B35D45" w:rsidP="006F7CDD">
      <w:r>
        <w:t>T</w:t>
      </w:r>
      <w:r w:rsidR="00E71383">
        <w:t xml:space="preserve">he </w:t>
      </w:r>
      <w:r w:rsidR="00813504">
        <w:t>summation is over the</w:t>
      </w:r>
      <w:r w:rsidR="00B048A2">
        <w:t xml:space="preserve"> observed data points. </w:t>
      </w:r>
      <w:r w:rsidR="00813504">
        <w:t xml:space="preserve"> </w:t>
      </w:r>
    </w:p>
    <w:p w:rsidR="00D17305" w:rsidRPr="00D17305" w:rsidRDefault="00374708" w:rsidP="00D17305">
      <w:pPr>
        <w:pStyle w:val="Heading2"/>
      </w:pPr>
      <w:r>
        <w:t>Calculation details</w:t>
      </w:r>
    </w:p>
    <w:p w:rsidR="00374708" w:rsidRDefault="00D17305" w:rsidP="00066838">
      <w:pPr>
        <w:numPr>
          <w:ilvl w:val="0"/>
          <w:numId w:val="1"/>
        </w:numPr>
      </w:pPr>
      <w:r>
        <w:t>MDMC</w:t>
      </w:r>
      <w:r w:rsidR="00066838">
        <w:t xml:space="preserve"> </w:t>
      </w:r>
      <w:r w:rsidR="00B67D85">
        <w:t xml:space="preserve">may be run </w:t>
      </w:r>
      <w:r w:rsidR="00066838">
        <w:t xml:space="preserve">in </w:t>
      </w:r>
      <w:r w:rsidR="00B67D85">
        <w:t>'</w:t>
      </w:r>
      <w:r>
        <w:t>semi</w:t>
      </w:r>
      <w:r w:rsidR="00B67D85">
        <w:t>'</w:t>
      </w:r>
      <w:r>
        <w:t xml:space="preserve"> </w:t>
      </w:r>
      <w:r w:rsidR="00066838">
        <w:t>non-equilibrium</w:t>
      </w:r>
      <w:r w:rsidR="00B67D85">
        <w:t xml:space="preserve"> </w:t>
      </w:r>
    </w:p>
    <w:p w:rsidR="00066838" w:rsidRDefault="00B67D85" w:rsidP="00066838">
      <w:pPr>
        <w:numPr>
          <w:ilvl w:val="0"/>
          <w:numId w:val="1"/>
        </w:numPr>
      </w:pPr>
      <w:r>
        <w:t xml:space="preserve">MDMC may initially be run with a </w:t>
      </w:r>
      <w:r w:rsidR="00066838">
        <w:t xml:space="preserve">reduced </w:t>
      </w:r>
      <w:r>
        <w:t>box size</w:t>
      </w:r>
    </w:p>
    <w:p w:rsidR="00374708" w:rsidRDefault="00374708" w:rsidP="00374708">
      <w:pPr>
        <w:pStyle w:val="Heading2"/>
      </w:pPr>
      <w:r>
        <w:t>Initial results</w:t>
      </w:r>
    </w:p>
    <w:p w:rsidR="005E22DB" w:rsidRDefault="00811A30" w:rsidP="005B20E4">
      <w:r>
        <w:t xml:space="preserve">Results from </w:t>
      </w:r>
      <w:r w:rsidR="00176EAD">
        <w:t xml:space="preserve">the MDMC algorithm </w:t>
      </w:r>
      <w:r>
        <w:t>is</w:t>
      </w:r>
      <w:r w:rsidR="00B67D85">
        <w:t xml:space="preserve"> demonstrated by fitting the </w:t>
      </w:r>
      <w:proofErr w:type="spellStart"/>
      <w:r w:rsidR="00176EAD">
        <w:t>Lennard</w:t>
      </w:r>
      <w:proofErr w:type="spellEnd"/>
      <w:r w:rsidR="00176EAD">
        <w:t xml:space="preserve">-Jones (LJ) potential </w:t>
      </w:r>
      <w:r w:rsidR="005B20E4">
        <w:t xml:space="preserve">energy </w:t>
      </w:r>
      <w:r w:rsidR="00B67D85">
        <w:t>parameters</w:t>
      </w:r>
      <w:r w:rsidR="005B20E4">
        <w:t xml:space="preserve"> </w:t>
      </w:r>
      <w:r w:rsidR="00176EAD">
        <w:t xml:space="preserve">against liquid Argon S(Q, </w:t>
      </w:r>
      <w:r w:rsidR="00176EAD">
        <w:sym w:font="Symbol" w:char="F077"/>
      </w:r>
      <w:r w:rsidR="00176EAD">
        <w:t>) data</w:t>
      </w:r>
      <w:r w:rsidR="00B67D85">
        <w:t>,</w:t>
      </w:r>
      <w:r w:rsidR="00176EAD">
        <w:t xml:space="preserve"> collected at </w:t>
      </w:r>
      <w:r w:rsidR="00A65C2E">
        <w:t>T=</w:t>
      </w:r>
      <w:r w:rsidR="00766E4F">
        <w:t>120K</w:t>
      </w:r>
      <w:r w:rsidR="00A65C2E">
        <w:t xml:space="preserve"> and </w:t>
      </w:r>
      <w:r w:rsidR="008E70DD">
        <w:sym w:font="Symbol" w:char="F072"/>
      </w:r>
      <w:r w:rsidR="008E70DD">
        <w:t>=0.0176Å</w:t>
      </w:r>
      <w:r w:rsidR="008E70DD" w:rsidRPr="008E70DD">
        <w:rPr>
          <w:vertAlign w:val="superscript"/>
        </w:rPr>
        <w:t>-3</w:t>
      </w:r>
      <w:r w:rsidR="005B20E4">
        <w:t>, see Figure (</w:t>
      </w:r>
      <w:proofErr w:type="spellStart"/>
      <w:r w:rsidR="005B20E4">
        <w:t>AgCompare</w:t>
      </w:r>
      <w:proofErr w:type="spellEnd"/>
      <w:r w:rsidR="005B20E4">
        <w:t xml:space="preserve">)(a) </w:t>
      </w:r>
      <w:r w:rsidR="00766E4F">
        <w:t>(van Well</w:t>
      </w:r>
      <w:r w:rsidR="00A65C2E">
        <w:t xml:space="preserve"> et al.</w:t>
      </w:r>
      <w:r w:rsidR="00294248">
        <w:t xml:space="preserve">, 1985). A simulation was executed </w:t>
      </w:r>
      <w:r w:rsidR="005B20E4">
        <w:t>where</w:t>
      </w:r>
      <w:r w:rsidR="00766E4F">
        <w:t xml:space="preserve"> </w:t>
      </w:r>
      <w:proofErr w:type="gramStart"/>
      <w:r w:rsidR="00766E4F">
        <w:t xml:space="preserve">the </w:t>
      </w:r>
      <m:oMath>
        <m:r>
          <w:rPr>
            <w:rFonts w:ascii="Cambria Math" w:hAnsi="Cambria Math"/>
          </w:rPr>
          <m:t>ϵ</m:t>
        </m:r>
      </m:oMath>
      <w:r w:rsidR="005B20E4">
        <w:t xml:space="preserve"> and</w:t>
      </w:r>
      <w:proofErr w:type="gramEnd"/>
      <w:r w:rsidR="00294248">
        <w:t xml:space="preserve"> </w:t>
      </w:r>
      <m:oMath>
        <m:r>
          <w:rPr>
            <w:rFonts w:ascii="Cambria Math" w:hAnsi="Cambria Math"/>
          </w:rPr>
          <m:t>σ</m:t>
        </m:r>
      </m:oMath>
      <w:r w:rsidR="00294248">
        <w:t xml:space="preserve"> </w:t>
      </w:r>
      <w:r w:rsidR="005B20E4">
        <w:t>LJ</w:t>
      </w:r>
      <w:r w:rsidR="00766E4F">
        <w:t xml:space="preserve"> </w:t>
      </w:r>
      <w:r w:rsidR="00294248">
        <w:t>parameters</w:t>
      </w:r>
      <w:r w:rsidR="005B20E4">
        <w:t xml:space="preserve"> were varied and a box containing 864 atoms was used</w:t>
      </w:r>
      <w:r w:rsidR="00732C03">
        <w:t xml:space="preserve">. The initial values </w:t>
      </w:r>
      <w:r w:rsidR="005B20E4">
        <w:t>w</w:t>
      </w:r>
      <w:r w:rsidR="00294248">
        <w:t xml:space="preserve">ere set to </w:t>
      </w:r>
      <w:r w:rsidR="00294248">
        <w:sym w:font="Symbol" w:char="F065"/>
      </w:r>
      <w:r w:rsidR="00732C03">
        <w:t xml:space="preserve">=1.5K/mol and </w:t>
      </w:r>
      <w:r w:rsidR="00294248">
        <w:sym w:font="Symbol" w:char="F073"/>
      </w:r>
      <w:r w:rsidR="005B20E4">
        <w:t xml:space="preserve">=4.0Å </w:t>
      </w:r>
      <w:r w:rsidR="00211A22">
        <w:t>an</w:t>
      </w:r>
      <w:r w:rsidR="005B20E4">
        <w:t>d this system settles down to the</w:t>
      </w:r>
      <w:r w:rsidR="00211A22">
        <w:t xml:space="preserve"> finite temperature</w:t>
      </w:r>
      <w:r w:rsidR="009F0542">
        <w:t xml:space="preserve"> crystalline phase </w:t>
      </w:r>
      <w:r w:rsidR="005B20E4">
        <w:t xml:space="preserve">shown in </w:t>
      </w:r>
      <w:r w:rsidR="00732C03">
        <w:t xml:space="preserve">Figure </w:t>
      </w:r>
      <w:r w:rsidR="00B67D85">
        <w:t>(</w:t>
      </w:r>
      <w:proofErr w:type="spellStart"/>
      <w:r w:rsidR="00B67D85">
        <w:t>AgCompare</w:t>
      </w:r>
      <w:proofErr w:type="spellEnd"/>
      <w:proofErr w:type="gramStart"/>
      <w:r w:rsidR="00B67D85">
        <w:t>)(</w:t>
      </w:r>
      <w:proofErr w:type="gramEnd"/>
      <w:r w:rsidR="00B67D85">
        <w:t>b),</w:t>
      </w:r>
      <w:r w:rsidR="005B20E4">
        <w:t xml:space="preserve"> this was</w:t>
      </w:r>
      <w:r w:rsidR="009F0542">
        <w:t xml:space="preserve"> the </w:t>
      </w:r>
      <w:r w:rsidR="00211A22">
        <w:t xml:space="preserve">initial </w:t>
      </w:r>
      <w:r w:rsidR="009F0542">
        <w:t xml:space="preserve">starting point of the MDMC simulation. </w:t>
      </w:r>
      <w:r w:rsidR="004A35DE">
        <w:t xml:space="preserve">The MDMC is then </w:t>
      </w:r>
      <w:r w:rsidR="004A35DE">
        <w:lastRenderedPageBreak/>
        <w:t xml:space="preserve">continued, where the two </w:t>
      </w:r>
      <w:r w:rsidR="009F0542">
        <w:t>LJ</w:t>
      </w:r>
      <w:r w:rsidR="00732C03">
        <w:t xml:space="preserve"> parameter</w:t>
      </w:r>
      <w:r w:rsidR="00B67D85">
        <w:t>s are both modified by a value picked randomly within the interval [-</w:t>
      </w:r>
      <w:r w:rsidR="00211A22">
        <w:t>0.1</w:t>
      </w:r>
      <w:proofErr w:type="gramStart"/>
      <w:r w:rsidR="00B67D85">
        <w:t>;0.1</w:t>
      </w:r>
      <w:proofErr w:type="gramEnd"/>
      <w:r w:rsidR="00B67D85">
        <w:t>]</w:t>
      </w:r>
      <w:r w:rsidR="00211A22">
        <w:t xml:space="preserve"> </w:t>
      </w:r>
      <w:r w:rsidR="004A35DE">
        <w:t xml:space="preserve">before each MD run and this is repeated for </w:t>
      </w:r>
      <w:r w:rsidR="00211A22">
        <w:t xml:space="preserve">a total of 400 </w:t>
      </w:r>
      <w:r>
        <w:t>cycles</w:t>
      </w:r>
      <w:r w:rsidR="004A35DE">
        <w:t xml:space="preserve"> or </w:t>
      </w:r>
      <w:r w:rsidR="00211A22">
        <w:t>MC steps</w:t>
      </w:r>
      <w:r w:rsidR="004A35DE">
        <w:t>. The</w:t>
      </w:r>
      <w:r w:rsidR="00211A22">
        <w:t xml:space="preserve"> </w:t>
      </w:r>
      <w:r w:rsidR="004A35DE">
        <w:t>val</w:t>
      </w:r>
      <w:r w:rsidR="005B20E4">
        <w:t xml:space="preserve">ues of </w:t>
      </w:r>
      <w:r w:rsidR="00B67D85">
        <w:t>the LJ parameter</w:t>
      </w:r>
      <w:r w:rsidR="005B20E4">
        <w:t xml:space="preserve"> that</w:t>
      </w:r>
      <w:r w:rsidR="004A35DE">
        <w:t xml:space="preserve"> produced the best fit to the </w:t>
      </w:r>
      <w:r w:rsidR="005B20E4">
        <w:t xml:space="preserve">Argon </w:t>
      </w:r>
      <w:r w:rsidR="004A35DE">
        <w:t xml:space="preserve">data </w:t>
      </w:r>
      <w:r w:rsidR="006558B4">
        <w:t>were</w:t>
      </w:r>
      <w:r w:rsidR="004A35DE">
        <w:t xml:space="preserve"> </w:t>
      </w:r>
      <w:r w:rsidR="006558B4">
        <w:sym w:font="Symbol" w:char="F065"/>
      </w:r>
      <w:r w:rsidR="006558B4">
        <w:sym w:font="Symbol" w:char="F0BB"/>
      </w:r>
      <w:r w:rsidR="006558B4">
        <w:t xml:space="preserve">1.020K/mol and </w:t>
      </w:r>
      <w:r w:rsidR="006558B4">
        <w:sym w:font="Symbol" w:char="F073"/>
      </w:r>
      <w:r w:rsidR="006558B4">
        <w:sym w:font="Symbol" w:char="F0BB"/>
      </w:r>
      <w:r w:rsidR="006558B4">
        <w:t xml:space="preserve">3.362Å </w:t>
      </w:r>
      <w:r w:rsidR="004A35DE">
        <w:t xml:space="preserve">and </w:t>
      </w:r>
      <w:r w:rsidR="006558B4">
        <w:t>Figures (</w:t>
      </w:r>
      <w:proofErr w:type="spellStart"/>
      <w:r w:rsidR="006558B4">
        <w:t>AgCompare</w:t>
      </w:r>
      <w:proofErr w:type="spellEnd"/>
      <w:proofErr w:type="gramStart"/>
      <w:r w:rsidR="006558B4">
        <w:t>)(</w:t>
      </w:r>
      <w:proofErr w:type="gramEnd"/>
      <w:r w:rsidR="006558B4">
        <w:t>c-d) show</w:t>
      </w:r>
      <w:r w:rsidR="00B67D85">
        <w:t xml:space="preserve"> </w:t>
      </w:r>
      <w:proofErr w:type="spellStart"/>
      <w:r w:rsidR="00B67D85">
        <w:t>S</w:t>
      </w:r>
      <w:r w:rsidR="00B67D85" w:rsidRPr="00B67D85">
        <w:rPr>
          <w:vertAlign w:val="superscript"/>
        </w:rPr>
        <w:t>fit</w:t>
      </w:r>
      <w:proofErr w:type="spellEnd"/>
      <w:r w:rsidR="00B67D85" w:rsidRPr="00B67D85">
        <w:rPr>
          <w:vertAlign w:val="superscript"/>
        </w:rPr>
        <w:t xml:space="preserve"> </w:t>
      </w:r>
      <w:r w:rsidR="00B67D85">
        <w:t xml:space="preserve">and </w:t>
      </w:r>
      <w:proofErr w:type="spellStart"/>
      <w:r w:rsidR="00B67D85">
        <w:t>G</w:t>
      </w:r>
      <w:r w:rsidR="00B67D85" w:rsidRPr="00B67D85">
        <w:rPr>
          <w:vertAlign w:val="superscript"/>
        </w:rPr>
        <w:t>d</w:t>
      </w:r>
      <w:proofErr w:type="spellEnd"/>
      <w:r w:rsidR="00B67D85">
        <w:t xml:space="preserve"> plots</w:t>
      </w:r>
      <w:r w:rsidR="006558B4">
        <w:t xml:space="preserve"> of</w:t>
      </w:r>
      <w:r w:rsidR="004A35DE">
        <w:t xml:space="preserve"> this</w:t>
      </w:r>
      <w:r w:rsidR="00B67D85">
        <w:t xml:space="preserve"> liquid. In </w:t>
      </w:r>
      <w:r w:rsidR="006558B4">
        <w:t>Figures (</w:t>
      </w:r>
      <w:proofErr w:type="spellStart"/>
      <w:r w:rsidR="006558B4">
        <w:t>AgC</w:t>
      </w:r>
      <w:r w:rsidR="00B67D85">
        <w:t>ompare</w:t>
      </w:r>
      <w:proofErr w:type="spellEnd"/>
      <w:proofErr w:type="gramStart"/>
      <w:r w:rsidR="00B67D85">
        <w:t>)(</w:t>
      </w:r>
      <w:proofErr w:type="gramEnd"/>
      <w:r w:rsidR="00B67D85">
        <w:t>e-g)</w:t>
      </w:r>
      <w:r w:rsidR="006558B4">
        <w:t xml:space="preserve"> </w:t>
      </w:r>
      <w:r w:rsidR="006B5AC1">
        <w:t xml:space="preserve">observed and calculated data </w:t>
      </w:r>
      <w:r w:rsidR="00B67D85">
        <w:t xml:space="preserve">are compared </w:t>
      </w:r>
      <w:r w:rsidR="006B5AC1">
        <w:t xml:space="preserve">and </w:t>
      </w:r>
      <w:r w:rsidR="00B67D85">
        <w:t>it is seen that very good agreement is obtained for this MDMC simulation.</w:t>
      </w:r>
    </w:p>
    <w:p w:rsidR="00526C4D" w:rsidRPr="003B0C0B" w:rsidRDefault="005E22DB">
      <w:r>
        <w:t>Th</w:t>
      </w:r>
      <w:r w:rsidR="00586ECD">
        <w:t>e progress of this MDMC simulation</w:t>
      </w:r>
      <w:r>
        <w:t xml:space="preserve"> as a function of MC step is shown in </w:t>
      </w:r>
      <w:r w:rsidR="003E0C03">
        <w:t>Figure (</w:t>
      </w:r>
      <w:proofErr w:type="spellStart"/>
      <w:r w:rsidR="00526C4D">
        <w:t>fomCombined</w:t>
      </w:r>
      <w:proofErr w:type="spellEnd"/>
      <w:r w:rsidR="003E0C03">
        <w:t>)</w:t>
      </w:r>
      <w:r w:rsidR="00526C4D">
        <w:t>,</w:t>
      </w:r>
      <w:r w:rsidR="00586ECD">
        <w:t xml:space="preserve"> where</w:t>
      </w:r>
      <w:r w:rsidR="00191594">
        <w:t xml:space="preserve"> the crosses and circles plot</w:t>
      </w:r>
      <w:r w:rsidR="00526C4D">
        <w:t xml:space="preserve"> the </w:t>
      </w:r>
      <w:r w:rsidR="00586ECD">
        <w:t>FOM value,</w:t>
      </w:r>
      <w:r w:rsidR="00526C4D">
        <w:t xml:space="preserve"> </w:t>
      </w:r>
      <w:r w:rsidR="00B4540E">
        <w:t>on a log scale</w:t>
      </w:r>
      <w:r w:rsidR="00586ECD">
        <w:t>,</w:t>
      </w:r>
      <w:r w:rsidR="00B4540E">
        <w:t xml:space="preserve"> </w:t>
      </w:r>
      <w:r w:rsidR="00526C4D">
        <w:t xml:space="preserve">for </w:t>
      </w:r>
      <w:r w:rsidR="00586ECD">
        <w:t xml:space="preserve">the </w:t>
      </w:r>
      <w:r w:rsidR="00526C4D">
        <w:t xml:space="preserve">accepted and rejected MC steps respectively. Within the first 20 MC steps </w:t>
      </w:r>
      <w:r w:rsidR="003B0C0B">
        <w:t xml:space="preserve">the FOM value drops </w:t>
      </w:r>
      <w:r>
        <w:t>very sharp</w:t>
      </w:r>
      <w:r w:rsidR="003B0C0B">
        <w:t>ly</w:t>
      </w:r>
      <w:r w:rsidR="00526C4D">
        <w:t xml:space="preserve"> </w:t>
      </w:r>
      <w:r>
        <w:t>transforming the system fr</w:t>
      </w:r>
      <w:r w:rsidR="00526C4D">
        <w:t xml:space="preserve">om </w:t>
      </w:r>
      <w:r w:rsidR="00586ECD">
        <w:t xml:space="preserve">a </w:t>
      </w:r>
      <w:r w:rsidR="00526C4D">
        <w:t xml:space="preserve">crystalline </w:t>
      </w:r>
      <w:r w:rsidR="003B0C0B">
        <w:t xml:space="preserve">to a liquid state and </w:t>
      </w:r>
      <w:r w:rsidR="007A40D6">
        <w:t xml:space="preserve">the system </w:t>
      </w:r>
      <w:r w:rsidR="003B0C0B">
        <w:t>there</w:t>
      </w:r>
      <w:r w:rsidR="00526C4D">
        <w:t xml:space="preserve">after </w:t>
      </w:r>
      <w:r w:rsidR="003B0C0B">
        <w:t>settles in this liquid state. After the first 200 MC steps</w:t>
      </w:r>
      <w:r w:rsidR="00F474F3">
        <w:t xml:space="preserve"> </w:t>
      </w:r>
      <w:r w:rsidR="003B0C0B">
        <w:t>the T</w:t>
      </w:r>
      <w:r w:rsidR="003B0C0B">
        <w:rPr>
          <w:vertAlign w:val="subscript"/>
        </w:rPr>
        <w:t>MC</w:t>
      </w:r>
      <w:r w:rsidR="003B0C0B">
        <w:t xml:space="preserve"> parameter was reduced from T</w:t>
      </w:r>
      <w:r w:rsidR="003B0C0B">
        <w:rPr>
          <w:vertAlign w:val="subscript"/>
        </w:rPr>
        <w:t>MC</w:t>
      </w:r>
      <w:r w:rsidR="003B0C0B">
        <w:t>=1 to T</w:t>
      </w:r>
      <w:r w:rsidR="003B0C0B">
        <w:rPr>
          <w:vertAlign w:val="subscript"/>
        </w:rPr>
        <w:t>MC</w:t>
      </w:r>
      <w:r w:rsidR="00586ECD">
        <w:t>=0.25. This</w:t>
      </w:r>
      <w:r w:rsidR="003B0C0B">
        <w:t xml:space="preserve"> reduced the percentage of acceptance step</w:t>
      </w:r>
      <w:r w:rsidR="007A40D6">
        <w:t>s</w:t>
      </w:r>
      <w:r w:rsidR="003B0C0B">
        <w:t xml:space="preserve"> from about 32% to 18% but no </w:t>
      </w:r>
      <w:r w:rsidR="007A40D6">
        <w:t>significant change in the liquid state is observed</w:t>
      </w:r>
      <w:r w:rsidR="003B0C0B">
        <w:t>.</w:t>
      </w:r>
    </w:p>
    <w:p w:rsidR="00BF607E" w:rsidRDefault="007A0FB5">
      <w:r>
        <w:t xml:space="preserve">The crosses in </w:t>
      </w:r>
      <w:r w:rsidR="00F474F3">
        <w:t xml:space="preserve">Figure (sigma-epsilon) </w:t>
      </w:r>
      <w:r>
        <w:t xml:space="preserve">show the values of </w:t>
      </w:r>
      <w:r w:rsidR="006277CE">
        <w:sym w:font="Symbol" w:char="F073"/>
      </w:r>
      <w:r w:rsidR="008C258D">
        <w:t xml:space="preserve"> and </w:t>
      </w:r>
      <w:r w:rsidR="006277CE">
        <w:sym w:font="Symbol" w:char="F065"/>
      </w:r>
      <w:r w:rsidR="006277CE">
        <w:t xml:space="preserve"> </w:t>
      </w:r>
      <w:r>
        <w:t xml:space="preserve">for </w:t>
      </w:r>
      <w:r w:rsidR="00586ECD">
        <w:t xml:space="preserve">the all the </w:t>
      </w:r>
      <w:r>
        <w:t>accepted MC step</w:t>
      </w:r>
      <w:r w:rsidR="00586ECD">
        <w:t>s</w:t>
      </w:r>
      <w:r>
        <w:t xml:space="preserve"> starting from</w:t>
      </w:r>
      <w:r w:rsidR="006277CE">
        <w:t xml:space="preserve"> the 15th accepted MC step</w:t>
      </w:r>
      <w:r w:rsidR="007E734E">
        <w:t>, and the horizo</w:t>
      </w:r>
      <w:r>
        <w:t>ntal and vertical dashed line the publish</w:t>
      </w:r>
      <w:r w:rsidR="007E734E">
        <w:t xml:space="preserve">ed values for </w:t>
      </w:r>
      <w:r w:rsidR="007E734E">
        <w:sym w:font="Symbol" w:char="F065"/>
      </w:r>
      <w:r w:rsidR="007E734E">
        <w:t xml:space="preserve">=1.0243K/mol and </w:t>
      </w:r>
      <w:r w:rsidR="007E734E">
        <w:sym w:font="Symbol" w:char="F073"/>
      </w:r>
      <w:r w:rsidR="00586ECD">
        <w:t>=3.36Å for this liquid</w:t>
      </w:r>
      <w:r w:rsidR="007E734E">
        <w:t xml:space="preserve"> (van Well et al., 1985). </w:t>
      </w:r>
      <w:r w:rsidR="008C258D">
        <w:t xml:space="preserve">Figure (diffusion Ag) </w:t>
      </w:r>
      <w:r w:rsidR="00586ECD">
        <w:t xml:space="preserve">shows </w:t>
      </w:r>
      <w:r w:rsidR="008C258D">
        <w:t>the value</w:t>
      </w:r>
      <w:r w:rsidR="00586ECD">
        <w:t>s</w:t>
      </w:r>
      <w:r w:rsidR="008C258D">
        <w:t xml:space="preserve"> of the diffusion constant</w:t>
      </w:r>
      <w:r w:rsidR="00586ECD">
        <w:t xml:space="preserve"> for the</w:t>
      </w:r>
      <w:r w:rsidR="007E734E">
        <w:t xml:space="preserve"> accepted MC step</w:t>
      </w:r>
      <w:r w:rsidR="00811A30">
        <w:t>s. A</w:t>
      </w:r>
      <w:r w:rsidR="00586ECD">
        <w:t>fter about 20 MC steps</w:t>
      </w:r>
      <w:r w:rsidR="007E734E">
        <w:t xml:space="preserve"> the sy</w:t>
      </w:r>
      <w:r w:rsidR="00586ECD">
        <w:t>stem settle in the liquid phase with a</w:t>
      </w:r>
      <w:r w:rsidR="007E734E">
        <w:t xml:space="preserve"> calculated diffusion constant </w:t>
      </w:r>
      <w:r w:rsidR="00586ECD">
        <w:t xml:space="preserve">fluctuating around a value close to </w:t>
      </w:r>
      <w:r w:rsidR="008C258D">
        <w:t xml:space="preserve">the </w:t>
      </w:r>
      <w:r w:rsidR="007E734E">
        <w:t xml:space="preserve">published </w:t>
      </w:r>
      <w:r w:rsidR="00586ECD">
        <w:t xml:space="preserve">diffusion constant </w:t>
      </w:r>
      <w:r w:rsidR="00795675">
        <w:t>valu</w:t>
      </w:r>
      <w:r w:rsidR="007E734E">
        <w:t>e for this system: D=0.68</w:t>
      </w:r>
      <w:r w:rsidR="00950542">
        <w:t xml:space="preserve"> 10</w:t>
      </w:r>
      <w:r w:rsidR="00950542">
        <w:rPr>
          <w:vertAlign w:val="superscript"/>
        </w:rPr>
        <w:t>-8</w:t>
      </w:r>
      <w:r w:rsidR="00950542">
        <w:t xml:space="preserve"> m</w:t>
      </w:r>
      <w:r w:rsidR="00950542">
        <w:rPr>
          <w:vertAlign w:val="superscript"/>
        </w:rPr>
        <w:t>2</w:t>
      </w:r>
      <w:r w:rsidR="00950542">
        <w:t>s</w:t>
      </w:r>
      <w:r w:rsidR="00950542">
        <w:rPr>
          <w:vertAlign w:val="superscript"/>
        </w:rPr>
        <w:t>-1</w:t>
      </w:r>
      <w:r w:rsidR="00950542">
        <w:t xml:space="preserve"> </w:t>
      </w:r>
      <w:r w:rsidR="007E734E">
        <w:t>(van Well et al., 1985).</w:t>
      </w:r>
    </w:p>
    <w:p w:rsidR="00BF607E" w:rsidRDefault="00374708" w:rsidP="00374708">
      <w:pPr>
        <w:pStyle w:val="Heading1"/>
      </w:pPr>
      <w:r>
        <w:t>Discussions</w:t>
      </w:r>
    </w:p>
    <w:p w:rsidR="00BF607E" w:rsidRDefault="00DF64FA">
      <w:r>
        <w:t>Could as</w:t>
      </w:r>
      <w:r w:rsidR="00294248">
        <w:t xml:space="preserve"> well use </w:t>
      </w:r>
      <w:proofErr w:type="gramStart"/>
      <w:r w:rsidR="00294248">
        <w:t>S(</w:t>
      </w:r>
      <w:proofErr w:type="gramEnd"/>
      <w:r w:rsidR="00294248">
        <w:t>Q) or a combination of S(Q) and S(</w:t>
      </w:r>
      <w:proofErr w:type="spellStart"/>
      <w:r w:rsidR="00294248">
        <w:t>Q,omega</w:t>
      </w:r>
      <w:proofErr w:type="spellEnd"/>
      <w:r w:rsidR="00294248">
        <w:t xml:space="preserve">) data. </w:t>
      </w:r>
    </w:p>
    <w:p w:rsidR="00BF607E" w:rsidRDefault="00294248">
      <w:proofErr w:type="gramStart"/>
      <w:r>
        <w:t>Could use constraints or restraints such as the diffusion con</w:t>
      </w:r>
      <w:r w:rsidR="00586ECD">
        <w:t>stant</w:t>
      </w:r>
      <w:r>
        <w:t>.</w:t>
      </w:r>
      <w:proofErr w:type="gramEnd"/>
    </w:p>
    <w:p w:rsidR="00B01E20" w:rsidRDefault="00B01E20" w:rsidP="005E469C">
      <w:pPr>
        <w:pStyle w:val="Heading1"/>
      </w:pPr>
      <w:r>
        <w:t>Conclusions</w:t>
      </w:r>
    </w:p>
    <w:p w:rsidR="00374708" w:rsidRDefault="00374708" w:rsidP="00374708"/>
    <w:p w:rsidR="00374708" w:rsidRDefault="00374708" w:rsidP="00053D11">
      <w:pPr>
        <w:pStyle w:val="Heading1"/>
      </w:pPr>
      <w:r>
        <w:t>Acknowledgements</w:t>
      </w:r>
    </w:p>
    <w:p w:rsidR="00374708" w:rsidRDefault="00374708" w:rsidP="00374708">
      <w:r>
        <w:t xml:space="preserve">Many thanks </w:t>
      </w:r>
      <w:proofErr w:type="gramStart"/>
      <w:r>
        <w:t>goes</w:t>
      </w:r>
      <w:proofErr w:type="gramEnd"/>
      <w:r>
        <w:t xml:space="preserve"> to Keith Refson for advising on </w:t>
      </w:r>
      <w:r w:rsidR="00766E4F">
        <w:t xml:space="preserve">how to get started with writing </w:t>
      </w:r>
      <w:r w:rsidR="00294248">
        <w:t>the</w:t>
      </w:r>
      <w:r w:rsidR="00766E4F">
        <w:t xml:space="preserve"> molecular dynamics module. </w:t>
      </w:r>
    </w:p>
    <w:p w:rsidR="00374708" w:rsidRDefault="00374708" w:rsidP="00374708"/>
    <w:p w:rsidR="00374708" w:rsidRDefault="004C1620" w:rsidP="00053D11">
      <w:pPr>
        <w:pStyle w:val="Heading1"/>
      </w:pPr>
      <w:r>
        <w:t>References</w:t>
      </w:r>
    </w:p>
    <w:p w:rsidR="004C1620" w:rsidRDefault="004C1620" w:rsidP="00374708">
      <w:proofErr w:type="gramStart"/>
      <w:r>
        <w:t xml:space="preserve">D. C. </w:t>
      </w:r>
      <w:proofErr w:type="spellStart"/>
      <w:r>
        <w:t>Rapaport</w:t>
      </w:r>
      <w:proofErr w:type="spellEnd"/>
      <w:r>
        <w:t>, “The Art of Molecular Dynamics Simulation”, 2</w:t>
      </w:r>
      <w:r w:rsidRPr="004C1620">
        <w:rPr>
          <w:vertAlign w:val="superscript"/>
        </w:rPr>
        <w:t>nd</w:t>
      </w:r>
      <w:r>
        <w:t xml:space="preserve"> ed., Cambridge University Press 2004.</w:t>
      </w:r>
      <w:proofErr w:type="gramEnd"/>
      <w:r>
        <w:t xml:space="preserve"> </w:t>
      </w:r>
    </w:p>
    <w:p w:rsidR="00374708" w:rsidRDefault="006F7CDD" w:rsidP="00374708">
      <w:proofErr w:type="gramStart"/>
      <w:r>
        <w:t>A. A. v</w:t>
      </w:r>
      <w:r w:rsidR="00436635">
        <w:t xml:space="preserve">an Well, P. </w:t>
      </w:r>
      <w:proofErr w:type="spellStart"/>
      <w:r w:rsidR="00436635">
        <w:t>Verkerk</w:t>
      </w:r>
      <w:proofErr w:type="spellEnd"/>
      <w:r w:rsidR="00436635">
        <w:t xml:space="preserve">, L. A. de </w:t>
      </w:r>
      <w:proofErr w:type="spellStart"/>
      <w:r w:rsidR="00436635">
        <w:t>Graaf</w:t>
      </w:r>
      <w:proofErr w:type="spellEnd"/>
      <w:r w:rsidR="00436635">
        <w:t>, J.-B.</w:t>
      </w:r>
      <w:proofErr w:type="gramEnd"/>
      <w:r w:rsidR="00436635">
        <w:t xml:space="preserve"> Suck and J. R. D. Copley</w:t>
      </w:r>
      <w:r>
        <w:t>, Phys. Rev</w:t>
      </w:r>
      <w:r w:rsidR="00A65C2E">
        <w:t>. A31, 3391 (1985)</w:t>
      </w:r>
    </w:p>
    <w:p w:rsidR="00436635" w:rsidRDefault="00436635" w:rsidP="00374708">
      <w:r>
        <w:t xml:space="preserve">O. </w:t>
      </w:r>
      <w:proofErr w:type="spellStart"/>
      <w:r>
        <w:t>Gereben</w:t>
      </w:r>
      <w:proofErr w:type="spellEnd"/>
      <w:r>
        <w:t xml:space="preserve">, L. </w:t>
      </w:r>
      <w:proofErr w:type="spellStart"/>
      <w:r>
        <w:t>Pusztai</w:t>
      </w:r>
      <w:proofErr w:type="spellEnd"/>
      <w:r>
        <w:t xml:space="preserve"> and R. L. McGreevy, J. Phys.: </w:t>
      </w:r>
      <w:proofErr w:type="spellStart"/>
      <w:r>
        <w:t>Condens</w:t>
      </w:r>
      <w:proofErr w:type="spellEnd"/>
      <w:r>
        <w:t>. Matter 19, 335223 (2007)</w:t>
      </w:r>
    </w:p>
    <w:p w:rsidR="006E03F7" w:rsidRDefault="006E03F7" w:rsidP="00374708">
      <w:pPr>
        <w:pStyle w:val="Heading1"/>
      </w:pPr>
      <w:r>
        <w:br w:type="page"/>
      </w:r>
      <w:r>
        <w:lastRenderedPageBreak/>
        <w:t>Captions</w:t>
      </w:r>
    </w:p>
    <w:p w:rsidR="006E03F7" w:rsidRDefault="006E03F7" w:rsidP="006E03F7"/>
    <w:p w:rsidR="002B4142" w:rsidRDefault="005D514F" w:rsidP="002B4142">
      <w:r>
        <w:t>Figure (</w:t>
      </w:r>
      <w:proofErr w:type="spellStart"/>
      <w:r>
        <w:t>Ag</w:t>
      </w:r>
      <w:r w:rsidR="00890A3E">
        <w:t>Compare</w:t>
      </w:r>
      <w:proofErr w:type="spellEnd"/>
      <w:r w:rsidR="006E03F7">
        <w:t xml:space="preserve">): </w:t>
      </w:r>
      <w:r w:rsidR="00C545B3">
        <w:t xml:space="preserve"> </w:t>
      </w:r>
      <w:r w:rsidR="00890A3E">
        <w:t xml:space="preserve">(a) </w:t>
      </w:r>
      <w:r w:rsidR="00C545B3">
        <w:t>Shows</w:t>
      </w:r>
      <w:r w:rsidR="008E70DD">
        <w:t xml:space="preserve"> the T=120K, </w:t>
      </w:r>
      <w:r w:rsidR="008E70DD">
        <w:sym w:font="Symbol" w:char="F072"/>
      </w:r>
      <w:r w:rsidR="008E70DD">
        <w:t>=0.0176Å</w:t>
      </w:r>
      <w:r w:rsidR="008E70DD" w:rsidRPr="008E70DD">
        <w:rPr>
          <w:vertAlign w:val="superscript"/>
        </w:rPr>
        <w:t>-3</w:t>
      </w:r>
      <w:r w:rsidR="00C545B3">
        <w:t xml:space="preserve"> </w:t>
      </w:r>
      <w:r w:rsidR="00175E82">
        <w:t xml:space="preserve">Argon </w:t>
      </w:r>
      <w:proofErr w:type="gramStart"/>
      <w:r w:rsidR="00C545B3">
        <w:t>S(</w:t>
      </w:r>
      <w:proofErr w:type="gramEnd"/>
      <w:r w:rsidR="00C545B3">
        <w:t xml:space="preserve">Q, </w:t>
      </w:r>
      <w:r w:rsidR="00890A3E">
        <w:sym w:font="Symbol" w:char="F077"/>
      </w:r>
      <w:r w:rsidR="00C545B3">
        <w:t xml:space="preserve">) </w:t>
      </w:r>
      <w:r w:rsidR="00175E82">
        <w:t>data</w:t>
      </w:r>
      <w:r w:rsidR="001177B0">
        <w:t xml:space="preserve"> from Ref. [</w:t>
      </w:r>
      <w:proofErr w:type="spellStart"/>
      <w:r w:rsidR="003A4AE0">
        <w:t>vanWell</w:t>
      </w:r>
      <w:proofErr w:type="spellEnd"/>
      <w:r w:rsidR="001177B0">
        <w:t xml:space="preserve">] multiplied by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ℏω/(2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T)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1177B0">
        <w:t xml:space="preserve">. </w:t>
      </w:r>
      <w:r w:rsidR="008E70DD">
        <w:t>This</w:t>
      </w:r>
      <w:r w:rsidR="003A4AE0">
        <w:t xml:space="preserve"> multiplication</w:t>
      </w:r>
      <w:r w:rsidR="001177B0">
        <w:t xml:space="preserve"> is </w:t>
      </w:r>
      <w:r w:rsidR="008E70DD">
        <w:t>performed</w:t>
      </w:r>
      <w:r w:rsidR="001177B0">
        <w:t xml:space="preserve"> to </w:t>
      </w:r>
      <w:r w:rsidR="00F04CCF">
        <w:t>‘</w:t>
      </w:r>
      <w:r w:rsidR="001177B0">
        <w:t>un</w:t>
      </w:r>
      <w:r w:rsidR="00F04CCF">
        <w:t>-</w:t>
      </w:r>
      <w:r w:rsidR="001177B0">
        <w:t>symmetrise</w:t>
      </w:r>
      <w:r w:rsidR="00F04CCF">
        <w:t>’</w:t>
      </w:r>
      <w:r w:rsidR="001177B0">
        <w:t xml:space="preserve"> the </w:t>
      </w:r>
      <w:r w:rsidR="00F04CCF">
        <w:t xml:space="preserve">symmetrised </w:t>
      </w:r>
      <w:proofErr w:type="gramStart"/>
      <w:r w:rsidR="00F04CCF">
        <w:t>S</w:t>
      </w:r>
      <w:r w:rsidR="002B373C">
        <w:t>(</w:t>
      </w:r>
      <w:proofErr w:type="gramEnd"/>
      <w:r w:rsidR="002B373C">
        <w:t xml:space="preserve">Q, </w:t>
      </w:r>
      <w:r w:rsidR="002B373C">
        <w:sym w:font="Symbol" w:char="F077"/>
      </w:r>
      <w:r w:rsidR="002B373C">
        <w:t xml:space="preserve">) </w:t>
      </w:r>
      <w:r w:rsidR="001177B0">
        <w:t>data</w:t>
      </w:r>
      <w:r w:rsidR="00127E4E">
        <w:t xml:space="preserve"> in</w:t>
      </w:r>
      <w:r w:rsidR="00C545B3">
        <w:t xml:space="preserve"> Ref. [</w:t>
      </w:r>
      <w:proofErr w:type="spellStart"/>
      <w:r w:rsidR="003A4AE0">
        <w:t>vanWell</w:t>
      </w:r>
      <w:proofErr w:type="spellEnd"/>
      <w:r w:rsidR="00C545B3">
        <w:t>]</w:t>
      </w:r>
      <w:r w:rsidR="00F04CCF">
        <w:t>, see Eq. [5] in that work</w:t>
      </w:r>
      <w:r w:rsidR="00633AFD">
        <w:t>.</w:t>
      </w:r>
      <w:r w:rsidR="000951B1">
        <w:t xml:space="preserve"> </w:t>
      </w:r>
      <w:r w:rsidR="004B355F">
        <w:t xml:space="preserve">(b) </w:t>
      </w:r>
      <w:proofErr w:type="gramStart"/>
      <w:r w:rsidR="004B355F">
        <w:t>shows</w:t>
      </w:r>
      <w:proofErr w:type="gramEnd"/>
      <w:r w:rsidR="004B355F">
        <w:t xml:space="preserve"> the distinct part of the pair-distribution function at the start MDMC simulation described in the text. (c-d) show </w:t>
      </w:r>
      <w:r w:rsidR="002B373C">
        <w:t xml:space="preserve">plots of </w:t>
      </w:r>
      <w:proofErr w:type="spellStart"/>
      <w:r w:rsidR="002B373C">
        <w:t>S</w:t>
      </w:r>
      <w:r w:rsidR="002B373C" w:rsidRPr="002B373C">
        <w:rPr>
          <w:vertAlign w:val="superscript"/>
        </w:rPr>
        <w:t>fit</w:t>
      </w:r>
      <w:proofErr w:type="spellEnd"/>
      <w:r w:rsidR="002B373C">
        <w:t xml:space="preserve"> and </w:t>
      </w:r>
      <w:proofErr w:type="spellStart"/>
      <w:r w:rsidR="002B373C">
        <w:t>G</w:t>
      </w:r>
      <w:r w:rsidR="002B373C" w:rsidRPr="002B373C">
        <w:rPr>
          <w:vertAlign w:val="superscript"/>
        </w:rPr>
        <w:t>d</w:t>
      </w:r>
      <w:proofErr w:type="spellEnd"/>
      <w:r w:rsidR="002B373C">
        <w:t xml:space="preserve"> for the best </w:t>
      </w:r>
      <w:proofErr w:type="spellStart"/>
      <w:r w:rsidR="002B373C">
        <w:t>best</w:t>
      </w:r>
      <w:proofErr w:type="spellEnd"/>
      <w:r w:rsidR="002B373C">
        <w:t xml:space="preserve"> fit obtained from </w:t>
      </w:r>
      <w:r w:rsidR="004B355F">
        <w:t xml:space="preserve">the MDMC simulation </w:t>
      </w:r>
      <w:r w:rsidR="002B373C">
        <w:t xml:space="preserve">described in the text </w:t>
      </w:r>
      <w:r w:rsidR="004B355F">
        <w:t xml:space="preserve">and (e) the difference between </w:t>
      </w:r>
      <w:proofErr w:type="gramStart"/>
      <w:r w:rsidR="004B355F">
        <w:t>S(</w:t>
      </w:r>
      <w:proofErr w:type="gramEnd"/>
      <w:r w:rsidR="004B355F">
        <w:t xml:space="preserve">Q, </w:t>
      </w:r>
      <w:r w:rsidR="004B355F">
        <w:sym w:font="Symbol" w:char="F077"/>
      </w:r>
      <w:r w:rsidR="004B355F">
        <w:t xml:space="preserve">) in (a) and (c). The solid line in (f) shows </w:t>
      </w:r>
      <m:oMath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data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Q,ω</m:t>
            </m:r>
          </m:e>
        </m:d>
        <m:r>
          <w:rPr>
            <w:rFonts w:ascii="Cambria Math" w:hAnsi="Cambria Math"/>
          </w:rPr>
          <m:t>dω</m:t>
        </m:r>
      </m:oMath>
      <w:r w:rsidR="004B355F">
        <w:t xml:space="preserve"> and the dashed </w:t>
      </w:r>
      <w:proofErr w:type="gramStart"/>
      <w:r w:rsidR="004B355F">
        <w:t xml:space="preserve">line </w:t>
      </w:r>
      <m:oMath>
        <w:proofErr w:type="gramEnd"/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fit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Q,ω</m:t>
            </m:r>
          </m:e>
        </m:d>
        <m:r>
          <w:rPr>
            <w:rFonts w:ascii="Cambria Math" w:hAnsi="Cambria Math"/>
          </w:rPr>
          <m:t>dω</m:t>
        </m:r>
      </m:oMath>
      <w:r w:rsidR="004B355F">
        <w:t>.</w:t>
      </w:r>
      <w:r w:rsidR="002B373C">
        <w:t xml:space="preserve"> </w:t>
      </w:r>
      <w:r>
        <w:t>Units used for the figure axes are: t [10</w:t>
      </w:r>
      <w:r>
        <w:rPr>
          <w:vertAlign w:val="superscript"/>
        </w:rPr>
        <w:t>-13</w:t>
      </w:r>
      <w:r>
        <w:t xml:space="preserve"> s];  </w:t>
      </w:r>
      <m:oMath>
        <m:r>
          <w:rPr>
            <w:rFonts w:ascii="Cambria Math" w:hAnsi="Cambria Math"/>
          </w:rPr>
          <m:t>ω</m:t>
        </m:r>
      </m:oMath>
      <w:r>
        <w:t xml:space="preserve"> [10</w:t>
      </w:r>
      <w:r>
        <w:rPr>
          <w:vertAlign w:val="superscript"/>
        </w:rPr>
        <w:t>13</w:t>
      </w:r>
      <w:r>
        <w:t xml:space="preserve"> s</w:t>
      </w:r>
      <w:r>
        <w:rPr>
          <w:vertAlign w:val="superscript"/>
        </w:rPr>
        <w:t>-1</w:t>
      </w:r>
      <w:r>
        <w:t>]; r [10</w:t>
      </w:r>
      <w:r>
        <w:rPr>
          <w:vertAlign w:val="superscript"/>
        </w:rPr>
        <w:t>^-10</w:t>
      </w:r>
      <w:r>
        <w:t xml:space="preserve"> m]; Q [10</w:t>
      </w:r>
      <w:r>
        <w:rPr>
          <w:vertAlign w:val="superscript"/>
        </w:rPr>
        <w:t>10</w:t>
      </w:r>
      <w:r>
        <w:t xml:space="preserve"> m</w:t>
      </w:r>
      <w:r>
        <w:rPr>
          <w:vertAlign w:val="superscript"/>
        </w:rPr>
        <w:t>-1</w:t>
      </w:r>
      <w:r>
        <w:t xml:space="preserve">]. </w:t>
      </w:r>
    </w:p>
    <w:p w:rsidR="002B4142" w:rsidRDefault="002B4142" w:rsidP="002B4142">
      <w:r>
        <w:t>Figure (</w:t>
      </w:r>
      <w:proofErr w:type="spellStart"/>
      <w:r>
        <w:t>fomCombined</w:t>
      </w:r>
      <w:proofErr w:type="spellEnd"/>
      <w:r>
        <w:t xml:space="preserve">): </w:t>
      </w:r>
      <w:r w:rsidR="003B0C0B">
        <w:t>Shows the FOM value</w:t>
      </w:r>
      <w:r w:rsidR="002B373C">
        <w:t>,</w:t>
      </w:r>
      <w:r w:rsidR="003B0C0B">
        <w:t xml:space="preserve"> </w:t>
      </w:r>
      <w:r w:rsidR="00B4540E">
        <w:t>on a log scale</w:t>
      </w:r>
      <w:r w:rsidR="002B373C">
        <w:t>,</w:t>
      </w:r>
      <w:r w:rsidR="00B4540E">
        <w:t xml:space="preserve"> </w:t>
      </w:r>
      <w:r w:rsidR="003B0C0B">
        <w:t xml:space="preserve">for accepted (crosses) and rejected (circles) MC steps. </w:t>
      </w:r>
      <w:r w:rsidR="007A40D6">
        <w:t>During the first 200 MC steps T</w:t>
      </w:r>
      <w:r w:rsidR="007A40D6">
        <w:rPr>
          <w:vertAlign w:val="subscript"/>
        </w:rPr>
        <w:t>MC</w:t>
      </w:r>
      <w:r w:rsidR="002B373C">
        <w:t>=1. The MDMC simulation</w:t>
      </w:r>
      <w:r w:rsidR="007A40D6">
        <w:t xml:space="preserve"> is then continued, after the first 200 MC steps, using as a starting point the LJ parameters with the lowest FOM value during the first 200 MC steps and with T</w:t>
      </w:r>
      <w:r w:rsidR="007A40D6">
        <w:rPr>
          <w:vertAlign w:val="subscript"/>
        </w:rPr>
        <w:t>MC</w:t>
      </w:r>
      <w:r w:rsidR="007A40D6">
        <w:t xml:space="preserve"> reduced by a factor of four.</w:t>
      </w:r>
    </w:p>
    <w:p w:rsidR="002B4142" w:rsidRDefault="002B4142" w:rsidP="002B4142">
      <w:r>
        <w:t>Figure (</w:t>
      </w:r>
      <w:proofErr w:type="spellStart"/>
      <w:r>
        <w:t>EpsilonSigma</w:t>
      </w:r>
      <w:proofErr w:type="spellEnd"/>
      <w:r>
        <w:t>): Plots the values</w:t>
      </w:r>
      <w:r w:rsidR="005528D1">
        <w:t>, as crosses,</w:t>
      </w:r>
      <w:r>
        <w:t xml:space="preserve"> of the LJ param</w:t>
      </w:r>
      <w:r w:rsidR="00742AEA">
        <w:t>eters for the accepted MC steps</w:t>
      </w:r>
      <w:r>
        <w:t xml:space="preserve"> </w:t>
      </w:r>
      <w:r w:rsidR="002A17EE">
        <w:t>after settling in the liquid state</w:t>
      </w:r>
      <w:r>
        <w:t>.</w:t>
      </w:r>
      <w:r w:rsidR="005528D1">
        <w:t xml:space="preserve"> </w:t>
      </w:r>
      <w:r w:rsidR="002A17EE">
        <w:t>The '+' at right hand corner shows the values of the LJ parameters at the start of the MDMC simulation. Also, t</w:t>
      </w:r>
      <w:r w:rsidR="005528D1">
        <w:t>o compare with the published LJ values for this system, the horizontal and vertical dashed line</w:t>
      </w:r>
      <w:r w:rsidR="002A17EE">
        <w:t xml:space="preserve"> show the published LJ values: </w:t>
      </w:r>
      <w:r w:rsidR="005528D1">
        <w:sym w:font="Symbol" w:char="F065"/>
      </w:r>
      <w:r w:rsidR="005528D1">
        <w:t xml:space="preserve">=1.0243K/mol and </w:t>
      </w:r>
      <w:r w:rsidR="005528D1">
        <w:sym w:font="Symbol" w:char="F073"/>
      </w:r>
      <w:r w:rsidR="005528D1">
        <w:t>=3.36Å respectively (van Well et al., 1985).</w:t>
      </w:r>
    </w:p>
    <w:p w:rsidR="002B4142" w:rsidRDefault="002B4142" w:rsidP="002B4142">
      <w:r>
        <w:t>Figure (diffuse): Shows the value of the calculated diffusion constant in units of [10</w:t>
      </w:r>
      <w:r>
        <w:rPr>
          <w:vertAlign w:val="superscript"/>
        </w:rPr>
        <w:t>-</w:t>
      </w:r>
      <w:r w:rsidR="00E17F15">
        <w:rPr>
          <w:vertAlign w:val="superscript"/>
        </w:rPr>
        <w:t>8</w:t>
      </w:r>
      <w:r>
        <w:t xml:space="preserve"> m</w:t>
      </w:r>
      <w:r>
        <w:rPr>
          <w:vertAlign w:val="superscript"/>
        </w:rPr>
        <w:t>2</w:t>
      </w:r>
      <w:r>
        <w:t>s</w:t>
      </w:r>
      <w:r>
        <w:rPr>
          <w:vertAlign w:val="superscript"/>
        </w:rPr>
        <w:t>-1</w:t>
      </w:r>
      <w:r>
        <w:t>] for all accepted MC steps.</w:t>
      </w:r>
      <w:r w:rsidR="00FC3510">
        <w:t xml:space="preserve"> The horizontal </w:t>
      </w:r>
      <w:r w:rsidR="00286D36">
        <w:t xml:space="preserve">solid </w:t>
      </w:r>
      <w:r w:rsidR="00FC3510">
        <w:t>line plots the published value for the diffusion constant: D=0.68 10</w:t>
      </w:r>
      <w:r w:rsidR="00FC3510">
        <w:rPr>
          <w:vertAlign w:val="superscript"/>
        </w:rPr>
        <w:t>-8</w:t>
      </w:r>
      <w:r w:rsidR="00FC3510">
        <w:t xml:space="preserve"> m</w:t>
      </w:r>
      <w:r w:rsidR="00FC3510">
        <w:rPr>
          <w:vertAlign w:val="superscript"/>
        </w:rPr>
        <w:t>2</w:t>
      </w:r>
      <w:r w:rsidR="00FC3510">
        <w:t>s</w:t>
      </w:r>
      <w:r w:rsidR="00FC3510">
        <w:rPr>
          <w:vertAlign w:val="superscript"/>
        </w:rPr>
        <w:t>-1</w:t>
      </w:r>
      <w:r w:rsidR="00FC3510">
        <w:t xml:space="preserve"> (van Well et al., 1985).</w:t>
      </w:r>
    </w:p>
    <w:p w:rsidR="00176EAD" w:rsidRDefault="00176EAD" w:rsidP="00374708">
      <w:pPr>
        <w:pStyle w:val="Caption"/>
      </w:pPr>
    </w:p>
    <w:p w:rsidR="00176EAD" w:rsidRDefault="00176EAD" w:rsidP="00374708">
      <w:pPr>
        <w:pStyle w:val="Caption"/>
      </w:pPr>
    </w:p>
    <w:p w:rsidR="00176EAD" w:rsidRDefault="00176EAD" w:rsidP="00374708">
      <w:pPr>
        <w:pStyle w:val="Caption"/>
      </w:pPr>
    </w:p>
    <w:p w:rsidR="00176EAD" w:rsidRDefault="00176EAD" w:rsidP="00374708">
      <w:pPr>
        <w:pStyle w:val="Caption"/>
      </w:pPr>
    </w:p>
    <w:p w:rsidR="00176EAD" w:rsidRDefault="00176EAD" w:rsidP="00374708">
      <w:pPr>
        <w:pStyle w:val="Caption"/>
      </w:pPr>
    </w:p>
    <w:p w:rsidR="00176EAD" w:rsidRDefault="00176EAD" w:rsidP="00374708">
      <w:pPr>
        <w:pStyle w:val="Caption"/>
      </w:pPr>
    </w:p>
    <w:p w:rsidR="00176EAD" w:rsidRDefault="00176EAD" w:rsidP="00374708">
      <w:pPr>
        <w:pStyle w:val="Caption"/>
      </w:pPr>
    </w:p>
    <w:p w:rsidR="00176EAD" w:rsidRDefault="00176EAD" w:rsidP="00374708">
      <w:pPr>
        <w:pStyle w:val="Caption"/>
      </w:pPr>
    </w:p>
    <w:p w:rsidR="00176EAD" w:rsidRDefault="00176EAD" w:rsidP="00374708">
      <w:pPr>
        <w:pStyle w:val="Caption"/>
      </w:pPr>
    </w:p>
    <w:p w:rsidR="00176EAD" w:rsidRDefault="00176EAD" w:rsidP="00374708">
      <w:pPr>
        <w:pStyle w:val="Caption"/>
      </w:pPr>
    </w:p>
    <w:p w:rsidR="00176EAD" w:rsidRDefault="00176EAD" w:rsidP="008B1328">
      <w:pPr>
        <w:spacing w:after="0" w:line="240" w:lineRule="auto"/>
        <w:rPr>
          <w:b/>
          <w:bCs/>
          <w:sz w:val="20"/>
          <w:szCs w:val="20"/>
        </w:rPr>
      </w:pPr>
      <w:r>
        <w:br w:type="page"/>
      </w:r>
    </w:p>
    <w:p w:rsidR="00374708" w:rsidRDefault="00374708" w:rsidP="00374708">
      <w:pPr>
        <w:pStyle w:val="Caption"/>
      </w:pPr>
      <w:r>
        <w:lastRenderedPageBreak/>
        <w:t xml:space="preserve">Figure </w:t>
      </w:r>
      <w:fldSimple w:instr=" SEQ Figure \* ARABIC ">
        <w:r w:rsidR="000742FE">
          <w:rPr>
            <w:noProof/>
          </w:rPr>
          <w:t>1</w:t>
        </w:r>
      </w:fldSimple>
      <w:r w:rsidR="005D514F">
        <w:t xml:space="preserve"> (</w:t>
      </w:r>
      <w:proofErr w:type="spellStart"/>
      <w:r w:rsidR="005D514F">
        <w:t>Ag</w:t>
      </w:r>
      <w:r w:rsidR="00176EAD">
        <w:t>Compare</w:t>
      </w:r>
      <w:proofErr w:type="spellEnd"/>
      <w:r>
        <w:t>)</w:t>
      </w:r>
    </w:p>
    <w:p w:rsidR="006277CE" w:rsidRDefault="00176EAD" w:rsidP="00374708">
      <w:pPr>
        <w:pStyle w:val="Caption"/>
      </w:pPr>
      <w:r>
        <w:rPr>
          <w:noProof/>
          <w:lang w:eastAsia="en-GB"/>
        </w:rPr>
        <w:drawing>
          <wp:inline distT="0" distB="0" distL="0" distR="0">
            <wp:extent cx="5724525" cy="8248650"/>
            <wp:effectExtent l="19050" t="0" r="9525" b="0"/>
            <wp:docPr id="1" name="Picture 1" descr="C:\Backup\Backup_folder1\work\words\MDMC\AgCompar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ackup\Backup_folder1\work\words\MDMC\AgCompare.t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CE" w:rsidRDefault="006277CE" w:rsidP="006277CE">
      <w:pPr>
        <w:rPr>
          <w:sz w:val="20"/>
          <w:szCs w:val="20"/>
        </w:rPr>
      </w:pPr>
      <w:r>
        <w:br w:type="page"/>
      </w:r>
    </w:p>
    <w:p w:rsidR="006277CE" w:rsidRDefault="006277CE" w:rsidP="00374708">
      <w:pPr>
        <w:pStyle w:val="Caption"/>
      </w:pPr>
      <w:r>
        <w:lastRenderedPageBreak/>
        <w:t>Figure (</w:t>
      </w:r>
      <w:proofErr w:type="spellStart"/>
      <w:r>
        <w:t>epsilonSigma</w:t>
      </w:r>
      <w:proofErr w:type="spellEnd"/>
      <w:r>
        <w:t>)</w:t>
      </w:r>
    </w:p>
    <w:p w:rsidR="00374708" w:rsidRDefault="00286D36" w:rsidP="00374708">
      <w:pPr>
        <w:pStyle w:val="Caption"/>
      </w:pPr>
      <w:r>
        <w:rPr>
          <w:noProof/>
          <w:lang w:eastAsia="en-GB"/>
        </w:rPr>
        <w:drawing>
          <wp:inline distT="0" distB="0" distL="0" distR="0">
            <wp:extent cx="5238750" cy="3931242"/>
            <wp:effectExtent l="19050" t="0" r="0" b="0"/>
            <wp:docPr id="5" name="Picture 2" descr="C:\Backup\Backup_folder1\work\words\MDMC\epsilonSigm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ackup\Backup_folder1\work\words\MDMC\epsilonSigma.t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510" w:rsidRDefault="00FC3510" w:rsidP="006277CE">
      <w:r>
        <w:t>Figure (</w:t>
      </w:r>
      <w:proofErr w:type="spellStart"/>
      <w:r>
        <w:t>fomCombined</w:t>
      </w:r>
      <w:proofErr w:type="spellEnd"/>
      <w:r>
        <w:t>)</w:t>
      </w:r>
    </w:p>
    <w:p w:rsidR="00FC3510" w:rsidRDefault="00FC3510" w:rsidP="006277CE">
      <w:r>
        <w:rPr>
          <w:noProof/>
          <w:lang w:eastAsia="en-GB"/>
        </w:rPr>
        <w:drawing>
          <wp:inline distT="0" distB="0" distL="0" distR="0">
            <wp:extent cx="5343525" cy="4009867"/>
            <wp:effectExtent l="19050" t="0" r="9525" b="0"/>
            <wp:docPr id="2" name="Picture 1" descr="C:\Backup\Backup_folder1\work\words\MDMC\fomCombin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ackup\Backup_folder1\work\words\MDMC\fomCombined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CE" w:rsidRDefault="006277CE" w:rsidP="006277CE">
      <w:r>
        <w:lastRenderedPageBreak/>
        <w:t>Figure (diffuse)</w:t>
      </w:r>
    </w:p>
    <w:p w:rsidR="006277CE" w:rsidRPr="006277CE" w:rsidRDefault="00705540" w:rsidP="006277CE">
      <w:r>
        <w:rPr>
          <w:noProof/>
          <w:lang w:eastAsia="en-GB"/>
        </w:rPr>
        <w:drawing>
          <wp:inline distT="0" distB="0" distL="0" distR="0">
            <wp:extent cx="5343525" cy="4009867"/>
            <wp:effectExtent l="19050" t="0" r="9525" b="0"/>
            <wp:docPr id="6" name="Picture 3" descr="C:\Backup\Backup_folder1\work\words\MDMC\diffus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ackup\Backup_folder1\work\words\MDMC\diffuse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7CE" w:rsidRPr="006277CE" w:rsidSect="0061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E2536"/>
    <w:multiLevelType w:val="hybridMultilevel"/>
    <w:tmpl w:val="FF2A9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365D5"/>
    <w:multiLevelType w:val="hybridMultilevel"/>
    <w:tmpl w:val="9EE8B436"/>
    <w:lvl w:ilvl="0" w:tplc="98266F26">
      <w:numFmt w:val="bullet"/>
      <w:lvlText w:val="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54174"/>
    <w:multiLevelType w:val="hybridMultilevel"/>
    <w:tmpl w:val="9022CC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E63DF"/>
    <w:multiLevelType w:val="hybridMultilevel"/>
    <w:tmpl w:val="14263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88C"/>
    <w:rsid w:val="00010248"/>
    <w:rsid w:val="0002047E"/>
    <w:rsid w:val="00053D11"/>
    <w:rsid w:val="00066838"/>
    <w:rsid w:val="000742FE"/>
    <w:rsid w:val="000951B1"/>
    <w:rsid w:val="000B267F"/>
    <w:rsid w:val="000D1084"/>
    <w:rsid w:val="000D6608"/>
    <w:rsid w:val="000F6253"/>
    <w:rsid w:val="0010321D"/>
    <w:rsid w:val="001177B0"/>
    <w:rsid w:val="00127E4E"/>
    <w:rsid w:val="0013665D"/>
    <w:rsid w:val="00175E82"/>
    <w:rsid w:val="00176EAD"/>
    <w:rsid w:val="00191594"/>
    <w:rsid w:val="00211A22"/>
    <w:rsid w:val="0026002A"/>
    <w:rsid w:val="00286D36"/>
    <w:rsid w:val="00294248"/>
    <w:rsid w:val="002A17EE"/>
    <w:rsid w:val="002A6EF6"/>
    <w:rsid w:val="002B373C"/>
    <w:rsid w:val="002B4142"/>
    <w:rsid w:val="002D4807"/>
    <w:rsid w:val="0031202E"/>
    <w:rsid w:val="00321516"/>
    <w:rsid w:val="00337CB4"/>
    <w:rsid w:val="00354FA5"/>
    <w:rsid w:val="00374708"/>
    <w:rsid w:val="00387C3D"/>
    <w:rsid w:val="003913ED"/>
    <w:rsid w:val="003A4AE0"/>
    <w:rsid w:val="003B0C0B"/>
    <w:rsid w:val="003E0C03"/>
    <w:rsid w:val="004131C5"/>
    <w:rsid w:val="0043411F"/>
    <w:rsid w:val="00436635"/>
    <w:rsid w:val="004369E3"/>
    <w:rsid w:val="00457497"/>
    <w:rsid w:val="00476E00"/>
    <w:rsid w:val="00477C80"/>
    <w:rsid w:val="004A35DE"/>
    <w:rsid w:val="004B355F"/>
    <w:rsid w:val="004C1620"/>
    <w:rsid w:val="005148CB"/>
    <w:rsid w:val="00526C4D"/>
    <w:rsid w:val="00531D39"/>
    <w:rsid w:val="005528D1"/>
    <w:rsid w:val="005845DD"/>
    <w:rsid w:val="00586ECD"/>
    <w:rsid w:val="005A59C1"/>
    <w:rsid w:val="005B20E4"/>
    <w:rsid w:val="005D514F"/>
    <w:rsid w:val="005E10C9"/>
    <w:rsid w:val="005E22DB"/>
    <w:rsid w:val="005E469C"/>
    <w:rsid w:val="005F50DD"/>
    <w:rsid w:val="006127DD"/>
    <w:rsid w:val="006277CE"/>
    <w:rsid w:val="00633AFD"/>
    <w:rsid w:val="00647C25"/>
    <w:rsid w:val="006558B4"/>
    <w:rsid w:val="00675655"/>
    <w:rsid w:val="00687098"/>
    <w:rsid w:val="006B5AC1"/>
    <w:rsid w:val="006D30E2"/>
    <w:rsid w:val="006D7DB6"/>
    <w:rsid w:val="006E03F7"/>
    <w:rsid w:val="006F0240"/>
    <w:rsid w:val="006F201A"/>
    <w:rsid w:val="006F7CDD"/>
    <w:rsid w:val="00705540"/>
    <w:rsid w:val="00710FE9"/>
    <w:rsid w:val="00732C03"/>
    <w:rsid w:val="00742AEA"/>
    <w:rsid w:val="00766E4F"/>
    <w:rsid w:val="00795411"/>
    <w:rsid w:val="00795675"/>
    <w:rsid w:val="007A0FB5"/>
    <w:rsid w:val="007A40D6"/>
    <w:rsid w:val="007A6E30"/>
    <w:rsid w:val="007B7D2A"/>
    <w:rsid w:val="007D11BB"/>
    <w:rsid w:val="007E734E"/>
    <w:rsid w:val="0080690F"/>
    <w:rsid w:val="00811A30"/>
    <w:rsid w:val="00813504"/>
    <w:rsid w:val="00815F23"/>
    <w:rsid w:val="00834D7E"/>
    <w:rsid w:val="00842351"/>
    <w:rsid w:val="00853E35"/>
    <w:rsid w:val="00887FDF"/>
    <w:rsid w:val="00890A3E"/>
    <w:rsid w:val="0089674F"/>
    <w:rsid w:val="008A17F8"/>
    <w:rsid w:val="008B1328"/>
    <w:rsid w:val="008C0221"/>
    <w:rsid w:val="008C258D"/>
    <w:rsid w:val="008D1E86"/>
    <w:rsid w:val="008E1274"/>
    <w:rsid w:val="008E70DD"/>
    <w:rsid w:val="008F7D08"/>
    <w:rsid w:val="00950542"/>
    <w:rsid w:val="00974BB9"/>
    <w:rsid w:val="009E3E1C"/>
    <w:rsid w:val="009F0542"/>
    <w:rsid w:val="00A315D4"/>
    <w:rsid w:val="00A65C2E"/>
    <w:rsid w:val="00AA538C"/>
    <w:rsid w:val="00AB350F"/>
    <w:rsid w:val="00B01E20"/>
    <w:rsid w:val="00B048A2"/>
    <w:rsid w:val="00B35D45"/>
    <w:rsid w:val="00B4540E"/>
    <w:rsid w:val="00B67D85"/>
    <w:rsid w:val="00B84B3B"/>
    <w:rsid w:val="00BB118A"/>
    <w:rsid w:val="00BD688C"/>
    <w:rsid w:val="00BE6F15"/>
    <w:rsid w:val="00BF607E"/>
    <w:rsid w:val="00C31634"/>
    <w:rsid w:val="00C40DFB"/>
    <w:rsid w:val="00C51B2B"/>
    <w:rsid w:val="00C545B3"/>
    <w:rsid w:val="00C67F11"/>
    <w:rsid w:val="00D15319"/>
    <w:rsid w:val="00D17305"/>
    <w:rsid w:val="00D378C9"/>
    <w:rsid w:val="00D73E07"/>
    <w:rsid w:val="00DA13F2"/>
    <w:rsid w:val="00DA694F"/>
    <w:rsid w:val="00DC0CF2"/>
    <w:rsid w:val="00DF64FA"/>
    <w:rsid w:val="00E17F15"/>
    <w:rsid w:val="00E71383"/>
    <w:rsid w:val="00E75A83"/>
    <w:rsid w:val="00E807FE"/>
    <w:rsid w:val="00EB512F"/>
    <w:rsid w:val="00F009FE"/>
    <w:rsid w:val="00F00EF1"/>
    <w:rsid w:val="00F04CCF"/>
    <w:rsid w:val="00F474F3"/>
    <w:rsid w:val="00F647B8"/>
    <w:rsid w:val="00FB40ED"/>
    <w:rsid w:val="00FC3510"/>
    <w:rsid w:val="00FF2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7F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2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70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2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01E2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01E20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7470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4708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EF6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A538C"/>
    <w:rPr>
      <w:color w:val="808080"/>
    </w:rPr>
  </w:style>
  <w:style w:type="paragraph" w:styleId="ListParagraph">
    <w:name w:val="List Paragraph"/>
    <w:basedOn w:val="Normal"/>
    <w:uiPriority w:val="34"/>
    <w:qFormat/>
    <w:rsid w:val="001032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7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ajm64</dc:creator>
  <cp:keywords/>
  <dc:description/>
  <cp:lastModifiedBy>ajm64</cp:lastModifiedBy>
  <cp:revision>52</cp:revision>
  <cp:lastPrinted>2009-06-24T07:51:00Z</cp:lastPrinted>
  <dcterms:created xsi:type="dcterms:W3CDTF">2009-05-12T14:13:00Z</dcterms:created>
  <dcterms:modified xsi:type="dcterms:W3CDTF">2009-06-24T10:00:00Z</dcterms:modified>
</cp:coreProperties>
</file>