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Broad-sense heritability (H²)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Narrow-sense heritability (h²)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3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5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body11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body17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body26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2026-01-13T10:21:46Z</dcterms:modified>
  <cp:category/>
</cp:coreProperties>
</file>