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Broad-sense heritability (H²)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Narrow-sense heritability (h²)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3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5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body11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body17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body26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2025-10-10T15:05:49Z</dcterms:modified>
  <cp:category/>
</cp:coreProperties>
</file>