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Broad-sense heritability (H²)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Narrow-sense heritability (h²)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3"/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5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body11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body17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body26
        <w:tc>
          <w:tcPr>
            <w:gridSpan w:val="3"/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 Mean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[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,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2025-11-05T11:30:14Z</dcterms:modified>
  <cp:category/>
</cp:coreProperties>
</file>