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% Growth Inhib.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References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± 11.5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Chinalia,F.A., Regali-Seleghin,M.H. and Correa,E.M. (2007) 2, 4-D toxicity: cause, effect and control. Terrestrial and Aquatic Environmental Toxicology, 1, 24–33.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± 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 ± 5.6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Hughes,M.F. (2002) Arsenic toxicity and potential mechanisms of action. Toxicol. Lett., 133, 1–16.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25.4 ± 5.4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Lim,S., Ahn,S.Y., Song,I.C., Chung,M.H., Jang,H.C., Park,K.S., Lee,K.-U., Pak,Y.K. and Lee,H.K. (2009) Chronic exposure to the herbicide, atrazine, causes mitochondrial dysfunction and insulin resistance. PLoS One, 4, e5186.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54.1 ± 7.5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Qu,F. and Zheng,W. (2024) Cadmium exposure: Mechanisms and pathways of toxicity and implications for human health. Toxics, 12, 388.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7.3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± 8.6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56.5 ± 8.1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± 4.9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Tao,H., Fang,C., Xiao,Y. and Jin,Y. (2024) The toxicity and health risk of chlorothalonil to non-target animals and humans: A systematic review. Chemosphere, 358, 142241.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 ± 6.8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 ± 15.7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Gaetke,L.M., Chow-Johnson,H.S. and Chow,C.K. (2014) Copper: toxicological relevance and mechanisms. Arch. Toxicol., 88, 1929–1938.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± 3.5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Generalova,A., Davidova,S. and Satchanska,G. (2025) The mechanisms of lead toxicity in living organisms. J. Xenobiot., 15, 146.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 ± 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Roede,J.R. and Jones,D.P. (2014) Thiol-reactivity of the fungicide maneb. Redox Biol., 2, 651–655.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43.4 ± 7.8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47.6 ± 11.5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Kang,B., Wang,J., Guo,S. and Yang,L. (2024) Mercury-induced toxicity: Mechanisms, molecular pathways, and gene regulation. Sci. Total Environ., 943, 173577.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± 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Macomber,L. and Hausinger,R.P. (2011) Mechanisms of nickel toxicity in microorganisms. Metallomics, 3, 1153–1162.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 ± 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44.8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73.4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± 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± 4.9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Plum,L.M., Rink,L. and Haase,H. (2010) The essential toxin: impact of zinc on human health. Int. J. Environ. Res. Public Health, 7, 1342–1365.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2026-01-13T09:24:05Z</dcterms:modified>
  <cp:category/>
</cp:coreProperties>
</file>