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Group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Average SD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MoA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AChE inhibition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41.590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16.441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Oxidative phosphorylation inhibition (OXPHOS inhibition)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41.222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13.666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Redox cycling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37.539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7.619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36.146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17.562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Thiol binding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34.479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17.919</w:t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Multiple mechanisms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19.870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NA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Use</w:t>
            </w:r>
          </w:p>
        </w:tc>
        <w:tc>
          <w:tcPr>
            <w:tcBorders>
              <w:bottom w:val="single" w:sz="8" w:space="0" w:color="BEBEBE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Insecticide</w:t>
            </w:r>
          </w:p>
        </w:tc>
        <w:tc>
          <w:tcPr>
            <w:tcBorders>
              <w:bottom w:val="none" w:sz="0" w:space="0" w:color="FFFFFF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43.867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16.172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Metal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38.207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19.071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Herbicide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33.533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5.415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Flame Retardant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31.525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8.974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Fungicide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30.222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±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12.188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2026-01-13T09:24:43Z</dcterms:modified>
  <cp:category/>
</cp:coreProperties>
</file>