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Broad-sense heritability (H²)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Narrow-sense heritability (h²)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3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5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body11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body17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body26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2026-01-12T08:36:59Z</dcterms:modified>
  <cp:category/>
</cp:coreProperties>
</file>