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% Growth Inhib.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References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± 11.5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Chinalia,F.A., Regali-Seleghin,M.H. and Correa,E.M. (2007) 2, 4-D toxicity: cause, effect and control. Terrestrial and Aquatic Environmental Toxicology, 1, 24–33.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± 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 ± 5.6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Hughes,M.F. (2002) Arsenic toxicity and potential mechanisms of action. Toxicol. Lett., 133, 1–16.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25.4 ± 5.4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Lim,S., Ahn,S.Y., Song,I.C., Chung,M.H., Jang,H.C., Park,K.S., Lee,K.-U., Pak,Y.K. and Lee,H.K. (2009) Chronic exposure to the herbicide, atrazine, causes mitochondrial dysfunction and insulin resistance. PLoS One, 4, e5186.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54.1 ± 7.5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Qu,F. and Zheng,W. (2024) Cadmium exposure: Mechanisms and pathways of toxicity and implications for human health. Toxics, 12, 388.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7.3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± 8.6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56.5 ± 8.1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 ± 4.9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Tao,H., Fang,C., Xiao,Y. and Jin,Y. (2024) The toxicity and health risk of chlorothalonil to non-target animals and humans: A systematic review. Chemosphere, 358, 142241.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 ± 6.8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 ± 15.7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Gaetke,L.M., Chow-Johnson,H.S. and Chow,C.K. (2014) Copper: toxicological relevance and mechanisms. Arch. Toxicol., 88, 1929–1938.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 mechanisms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 ± 3.5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Generalova,A., Davidova,S. and Satchanska,G. (2025) The mechanisms of lead toxicity in living organisms. J. Xenobiot., 15, 146.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37.7 ± 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Roede,J.R. and Jones,D.P. (2014) Thiol-reactivity of the fungicide maneb. Redox Biol., 2, 651–655.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43.4 ± 7.8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47.6 ± 11.5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Kang,B., Wang,J., Guo,S. and Yang,L. (2024) Mercury-induced toxicity: Mechanisms, molecular pathways, and gene regulation. Sci. Total Environ., 943, 173577.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 ± 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Macomber,L. and Hausinger,R.P. (2011) Mechanisms of nickel toxicity in microorganisms. Metallomics, 3, 1153–1162.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29.1 ± 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44.8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38.5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73.4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 ± 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52.1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± 4.9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Plum,L.M., Rink,L. and Haase,H. (2010) The essential toxin: impact of zinc on human health. Int. J. Environ. Res. Public Health, 7, 1342–1365.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2026-01-12T14:04:22Z</dcterms:modified>
  <cp:category/>
</cp:coreProperties>
</file>