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Broad-sense heritability (H²)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Narrow-sense heritability (h²)</w:t>
            </w:r>
          </w:p>
        </w:tc>
      </w:tr>
      <w:tr>
        <w:trPr>
          <w:cantSplit/>
          <w:trHeight w:val="360" w:hRule="auto"/>
        </w:trPr>
        body 1
        <w:tc>
          <w:tcPr>
            <w:gridSpan w:val="3"/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6.25 µM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5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body11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250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body17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body26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µM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Lead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Copper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250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2026-01-12T14:05:39Z</dcterms:modified>
  <cp:category/>
</cp:coreProperties>
</file>