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Title"/>
        <w:spacing w:line="593" w:lineRule="exact"/>
      </w:pPr>
      <w:r>
        <w:rPr>
          <w:color w:val="999999"/>
        </w:rPr>
        <w:t>Belt</w:t>
      </w:r>
      <w:r>
        <w:rPr>
          <w:color w:val="999999"/>
          <w:spacing w:val="-24"/>
        </w:rPr>
        <w:t> </w:t>
      </w:r>
      <w:r>
        <w:rPr>
          <w:color w:val="999999"/>
        </w:rPr>
        <w:t>and</w:t>
      </w:r>
      <w:r>
        <w:rPr>
          <w:color w:val="999999"/>
          <w:spacing w:val="-23"/>
        </w:rPr>
        <w:t> </w:t>
      </w:r>
      <w:r>
        <w:rPr>
          <w:color w:val="999999"/>
        </w:rPr>
        <w:t>Road</w:t>
      </w:r>
      <w:r>
        <w:rPr>
          <w:color w:val="999999"/>
          <w:spacing w:val="-24"/>
        </w:rPr>
        <w:t> </w:t>
      </w:r>
      <w:r>
        <w:rPr>
          <w:color w:val="999999"/>
        </w:rPr>
        <w:t>Reboot:</w:t>
      </w:r>
      <w:r>
        <w:rPr>
          <w:color w:val="999999"/>
          <w:spacing w:val="-23"/>
        </w:rPr>
        <w:t> </w:t>
      </w:r>
      <w:r>
        <w:rPr>
          <w:color w:val="999999"/>
        </w:rPr>
        <w:t>Beijing’s</w:t>
      </w:r>
      <w:r>
        <w:rPr>
          <w:color w:val="999999"/>
          <w:spacing w:val="-23"/>
        </w:rPr>
        <w:t> </w:t>
      </w:r>
      <w:r>
        <w:rPr>
          <w:color w:val="999999"/>
        </w:rPr>
        <w:t>Bid</w:t>
      </w:r>
      <w:r>
        <w:rPr>
          <w:color w:val="999999"/>
          <w:spacing w:val="-24"/>
        </w:rPr>
        <w:t> </w:t>
      </w:r>
      <w:r>
        <w:rPr>
          <w:color w:val="999999"/>
          <w:spacing w:val="-5"/>
        </w:rPr>
        <w:t>to</w:t>
      </w:r>
    </w:p>
    <w:p>
      <w:pPr>
        <w:pStyle w:val="Title"/>
        <w:spacing w:line="328" w:lineRule="auto" w:before="226"/>
        <w:ind w:right="845"/>
      </w:pPr>
      <w:r>
        <w:rPr>
          <w:color w:val="999999"/>
          <w:spacing w:val="-4"/>
        </w:rPr>
        <w:t>De-Risk</w:t>
      </w:r>
      <w:r>
        <w:rPr>
          <w:color w:val="999999"/>
          <w:spacing w:val="-30"/>
        </w:rPr>
        <w:t> </w:t>
      </w:r>
      <w:r>
        <w:rPr>
          <w:color w:val="999999"/>
          <w:spacing w:val="-4"/>
        </w:rPr>
        <w:t>Its</w:t>
      </w:r>
      <w:r>
        <w:rPr>
          <w:color w:val="999999"/>
          <w:spacing w:val="-30"/>
        </w:rPr>
        <w:t> </w:t>
      </w:r>
      <w:r>
        <w:rPr>
          <w:color w:val="999999"/>
          <w:spacing w:val="-4"/>
        </w:rPr>
        <w:t>Global</w:t>
      </w:r>
      <w:r>
        <w:rPr>
          <w:color w:val="999999"/>
          <w:spacing w:val="-30"/>
        </w:rPr>
        <w:t> </w:t>
      </w:r>
      <w:r>
        <w:rPr>
          <w:color w:val="999999"/>
          <w:spacing w:val="-4"/>
        </w:rPr>
        <w:t>Infrastructure </w:t>
      </w:r>
      <w:r>
        <w:rPr>
          <w:color w:val="999999"/>
          <w:spacing w:val="-2"/>
        </w:rPr>
        <w:t>Initiative</w:t>
      </w:r>
    </w:p>
    <w:p>
      <w:pPr>
        <w:pStyle w:val="BodyText"/>
        <w:spacing w:before="10"/>
        <w:rPr>
          <w:rFonts w:ascii="Trebuchet MS"/>
          <w:sz w:val="72"/>
        </w:rPr>
      </w:pPr>
    </w:p>
    <w:p>
      <w:pPr>
        <w:pStyle w:val="Heading1"/>
        <w:spacing w:line="348" w:lineRule="auto"/>
        <w:ind w:right="845"/>
        <w:rPr>
          <w:rFonts w:ascii="Trebuchet MS" w:hAnsi="Trebuchet MS"/>
        </w:rPr>
      </w:pPr>
      <w:r>
        <w:rPr>
          <w:rFonts w:ascii="Trebuchet MS" w:hAnsi="Trebuchet MS"/>
        </w:rPr>
        <w:t>Chapter 1: Belt and Road Reconstruction—From Fire-Fighting to Future-Prooﬁng</w:t>
      </w: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rPr>
          <w:rFonts w:ascii="Trebuchet MS"/>
          <w:sz w:val="40"/>
        </w:rPr>
      </w:pPr>
    </w:p>
    <w:p>
      <w:pPr>
        <w:pStyle w:val="BodyText"/>
        <w:spacing w:before="8"/>
        <w:rPr>
          <w:rFonts w:ascii="Trebuchet MS"/>
          <w:sz w:val="57"/>
        </w:rPr>
      </w:pPr>
    </w:p>
    <w:p>
      <w:pPr>
        <w:pStyle w:val="BodyText"/>
        <w:ind w:left="100"/>
        <w:rPr>
          <w:rFonts w:ascii="Trebuchet MS"/>
        </w:rPr>
      </w:pPr>
      <w:r>
        <w:rPr>
          <w:rFonts w:ascii="Trebuchet MS"/>
          <w:w w:val="105"/>
        </w:rPr>
        <w:t>November</w:t>
      </w:r>
      <w:r>
        <w:rPr>
          <w:rFonts w:ascii="Trebuchet MS"/>
          <w:spacing w:val="-17"/>
          <w:w w:val="105"/>
        </w:rPr>
        <w:t> </w:t>
      </w:r>
      <w:r>
        <w:rPr>
          <w:rFonts w:ascii="Trebuchet MS"/>
          <w:spacing w:val="-4"/>
          <w:w w:val="105"/>
        </w:rPr>
        <w:t>2023</w:t>
      </w:r>
    </w:p>
    <w:p>
      <w:pPr>
        <w:pStyle w:val="BodyText"/>
        <w:rPr>
          <w:rFonts w:ascii="Trebuchet MS"/>
        </w:rPr>
      </w:pPr>
    </w:p>
    <w:p>
      <w:pPr>
        <w:pStyle w:val="BodyText"/>
        <w:spacing w:line="328" w:lineRule="auto" w:before="146"/>
        <w:ind w:left="100" w:right="485"/>
        <w:rPr>
          <w:rFonts w:ascii="Trebuchet MS"/>
        </w:rPr>
      </w:pPr>
      <w:r>
        <w:rPr>
          <w:rFonts w:ascii="Trebuchet MS"/>
        </w:rPr>
        <w:t>Bradley</w:t>
      </w:r>
      <w:r>
        <w:rPr>
          <w:rFonts w:ascii="Trebuchet MS"/>
          <w:spacing w:val="-4"/>
        </w:rPr>
        <w:t> </w:t>
      </w:r>
      <w:r>
        <w:rPr>
          <w:rFonts w:ascii="Trebuchet MS"/>
        </w:rPr>
        <w:t>C.</w:t>
      </w:r>
      <w:r>
        <w:rPr>
          <w:rFonts w:ascii="Trebuchet MS"/>
          <w:spacing w:val="-4"/>
        </w:rPr>
        <w:t> </w:t>
      </w:r>
      <w:r>
        <w:rPr>
          <w:rFonts w:ascii="Trebuchet MS"/>
        </w:rPr>
        <w:t>Parks,</w:t>
      </w:r>
      <w:r>
        <w:rPr>
          <w:rFonts w:ascii="Trebuchet MS"/>
          <w:spacing w:val="-4"/>
        </w:rPr>
        <w:t> </w:t>
      </w:r>
      <w:r>
        <w:rPr>
          <w:rFonts w:ascii="Trebuchet MS"/>
        </w:rPr>
        <w:t>Ammar</w:t>
      </w:r>
      <w:r>
        <w:rPr>
          <w:rFonts w:ascii="Trebuchet MS"/>
          <w:spacing w:val="-4"/>
        </w:rPr>
        <w:t> </w:t>
      </w:r>
      <w:r>
        <w:rPr>
          <w:rFonts w:ascii="Trebuchet MS"/>
        </w:rPr>
        <w:t>A.</w:t>
      </w:r>
      <w:r>
        <w:rPr>
          <w:rFonts w:ascii="Trebuchet MS"/>
          <w:spacing w:val="-4"/>
        </w:rPr>
        <w:t> </w:t>
      </w:r>
      <w:r>
        <w:rPr>
          <w:rFonts w:ascii="Trebuchet MS"/>
        </w:rPr>
        <w:t>Malik,</w:t>
      </w:r>
      <w:r>
        <w:rPr>
          <w:rFonts w:ascii="Trebuchet MS"/>
          <w:spacing w:val="-4"/>
        </w:rPr>
        <w:t> </w:t>
      </w:r>
      <w:r>
        <w:rPr>
          <w:rFonts w:ascii="Trebuchet MS"/>
        </w:rPr>
        <w:t>Brooke</w:t>
      </w:r>
      <w:r>
        <w:rPr>
          <w:rFonts w:ascii="Trebuchet MS"/>
          <w:spacing w:val="-4"/>
        </w:rPr>
        <w:t> </w:t>
      </w:r>
      <w:r>
        <w:rPr>
          <w:rFonts w:ascii="Trebuchet MS"/>
        </w:rPr>
        <w:t>Escobar,</w:t>
      </w:r>
      <w:r>
        <w:rPr>
          <w:rFonts w:ascii="Trebuchet MS"/>
          <w:spacing w:val="-4"/>
        </w:rPr>
        <w:t> </w:t>
      </w:r>
      <w:r>
        <w:rPr>
          <w:rFonts w:ascii="Trebuchet MS"/>
        </w:rPr>
        <w:t>Sheng</w:t>
      </w:r>
      <w:r>
        <w:rPr>
          <w:rFonts w:ascii="Trebuchet MS"/>
          <w:spacing w:val="-4"/>
        </w:rPr>
        <w:t> </w:t>
      </w:r>
      <w:r>
        <w:rPr>
          <w:rFonts w:ascii="Trebuchet MS"/>
        </w:rPr>
        <w:t>Zhang,</w:t>
      </w:r>
      <w:r>
        <w:rPr>
          <w:rFonts w:ascii="Trebuchet MS"/>
          <w:spacing w:val="-4"/>
        </w:rPr>
        <w:t> </w:t>
      </w:r>
      <w:r>
        <w:rPr>
          <w:rFonts w:ascii="Trebuchet MS"/>
        </w:rPr>
        <w:t>Rory</w:t>
      </w:r>
      <w:r>
        <w:rPr>
          <w:rFonts w:ascii="Trebuchet MS"/>
          <w:spacing w:val="-4"/>
        </w:rPr>
        <w:t> </w:t>
      </w:r>
      <w:r>
        <w:rPr>
          <w:rFonts w:ascii="Trebuchet MS"/>
        </w:rPr>
        <w:t>Fedorochko, Kyra Solomon, Fei Wang, Lydia Vlasto, Katherine Walsh, and Seth Goodman</w:t>
      </w:r>
    </w:p>
    <w:p>
      <w:pPr>
        <w:pStyle w:val="BodyText"/>
        <w:rPr>
          <w:rFonts w:ascii="Trebuchet MS"/>
          <w:sz w:val="20"/>
        </w:rPr>
      </w:pPr>
    </w:p>
    <w:p>
      <w:pPr>
        <w:pStyle w:val="BodyText"/>
        <w:spacing w:before="4"/>
        <w:rPr>
          <w:rFonts w:ascii="Trebuchet MS"/>
          <w:sz w:val="15"/>
        </w:rPr>
      </w:pPr>
      <w:r>
        <w:rPr/>
        <w:drawing>
          <wp:anchor distT="0" distB="0" distL="0" distR="0" allowOverlap="1" layoutInCell="1" locked="0" behindDoc="0" simplePos="0" relativeHeight="0">
            <wp:simplePos x="0" y="0"/>
            <wp:positionH relativeFrom="page">
              <wp:posOffset>933450</wp:posOffset>
            </wp:positionH>
            <wp:positionV relativeFrom="paragraph">
              <wp:posOffset>128574</wp:posOffset>
            </wp:positionV>
            <wp:extent cx="2453568" cy="516540"/>
            <wp:effectExtent l="0" t="0" r="0" b="0"/>
            <wp:wrapTopAndBottom/>
            <wp:docPr id="1" name="image1.png"/>
            <wp:cNvGraphicFramePr>
              <a:graphicFrameLocks noChangeAspect="1"/>
            </wp:cNvGraphicFramePr>
            <a:graphic>
              <a:graphicData uri="http://schemas.openxmlformats.org/drawingml/2006/picture">
                <pic:pic>
                  <pic:nvPicPr>
                    <pic:cNvPr id="2" name="image1.png"/>
                    <pic:cNvPicPr/>
                  </pic:nvPicPr>
                  <pic:blipFill>
                    <a:blip r:embed="rId5" cstate="print"/>
                    <a:stretch>
                      <a:fillRect/>
                    </a:stretch>
                  </pic:blipFill>
                  <pic:spPr>
                    <a:xfrm>
                      <a:off x="0" y="0"/>
                      <a:ext cx="2453568" cy="516540"/>
                    </a:xfrm>
                    <a:prstGeom prst="rect">
                      <a:avLst/>
                    </a:prstGeom>
                  </pic:spPr>
                </pic:pic>
              </a:graphicData>
            </a:graphic>
          </wp:anchor>
        </w:drawing>
      </w:r>
    </w:p>
    <w:p>
      <w:pPr>
        <w:spacing w:after="0"/>
        <w:rPr>
          <w:rFonts w:ascii="Trebuchet MS"/>
          <w:sz w:val="15"/>
        </w:rPr>
        <w:sectPr>
          <w:type w:val="continuous"/>
          <w:pgSz w:w="12240" w:h="15840"/>
          <w:pgMar w:top="1460" w:bottom="280" w:left="1340" w:right="1340"/>
        </w:sectPr>
      </w:pPr>
    </w:p>
    <w:p>
      <w:pPr>
        <w:pStyle w:val="Heading1"/>
        <w:spacing w:line="350" w:lineRule="auto" w:before="10"/>
        <w:ind w:left="460" w:right="485"/>
      </w:pPr>
      <w:r>
        <w:rPr/>
        <w:t>Chapter</w:t>
      </w:r>
      <w:r>
        <w:rPr>
          <w:spacing w:val="-11"/>
        </w:rPr>
        <w:t> </w:t>
      </w:r>
      <w:r>
        <w:rPr/>
        <w:t>1:</w:t>
      </w:r>
      <w:r>
        <w:rPr>
          <w:spacing w:val="-11"/>
        </w:rPr>
        <w:t> </w:t>
      </w:r>
      <w:r>
        <w:rPr/>
        <w:t>Belt</w:t>
      </w:r>
      <w:r>
        <w:rPr>
          <w:spacing w:val="-11"/>
        </w:rPr>
        <w:t> </w:t>
      </w:r>
      <w:r>
        <w:rPr/>
        <w:t>and</w:t>
      </w:r>
      <w:r>
        <w:rPr>
          <w:spacing w:val="-11"/>
        </w:rPr>
        <w:t> </w:t>
      </w:r>
      <w:r>
        <w:rPr/>
        <w:t>Road</w:t>
      </w:r>
      <w:r>
        <w:rPr>
          <w:spacing w:val="-11"/>
        </w:rPr>
        <w:t> </w:t>
      </w:r>
      <w:r>
        <w:rPr/>
        <w:t>Reconstruction—From Fire-Fighting to Future-Prooﬁng</w:t>
      </w:r>
    </w:p>
    <w:p>
      <w:pPr>
        <w:pStyle w:val="Heading3"/>
        <w:spacing w:line="312" w:lineRule="auto" w:before="239"/>
        <w:ind w:right="845"/>
      </w:pPr>
      <w:r>
        <w:rPr/>
        <w:t>Section</w:t>
      </w:r>
      <w:r>
        <w:rPr>
          <w:spacing w:val="-4"/>
        </w:rPr>
        <w:t> </w:t>
      </w:r>
      <w:r>
        <w:rPr/>
        <w:t>1:</w:t>
      </w:r>
      <w:r>
        <w:rPr>
          <w:spacing w:val="-4"/>
        </w:rPr>
        <w:t> </w:t>
      </w:r>
      <w:r>
        <w:rPr/>
        <w:t>Has</w:t>
      </w:r>
      <w:r>
        <w:rPr>
          <w:spacing w:val="-4"/>
        </w:rPr>
        <w:t> </w:t>
      </w:r>
      <w:r>
        <w:rPr/>
        <w:t>Beijing’s</w:t>
      </w:r>
      <w:r>
        <w:rPr>
          <w:spacing w:val="-4"/>
        </w:rPr>
        <w:t> </w:t>
      </w:r>
      <w:r>
        <w:rPr/>
        <w:t>global</w:t>
      </w:r>
      <w:r>
        <w:rPr>
          <w:spacing w:val="-4"/>
        </w:rPr>
        <w:t> </w:t>
      </w:r>
      <w:r>
        <w:rPr/>
        <w:t>infrastructure</w:t>
      </w:r>
      <w:r>
        <w:rPr>
          <w:spacing w:val="-4"/>
        </w:rPr>
        <w:t> </w:t>
      </w:r>
      <w:r>
        <w:rPr/>
        <w:t>initiative become an asset or a liability?</w:t>
      </w:r>
    </w:p>
    <w:p>
      <w:pPr>
        <w:pStyle w:val="BodyText"/>
        <w:spacing w:line="333" w:lineRule="auto" w:before="162"/>
        <w:ind w:left="460" w:right="463"/>
      </w:pPr>
      <w:r>
        <w:rPr/>
        <w:t>Two competing narratives about China’s overseas development program are gaining traction. The ﬁrst is that Beijing sits atop a mountain of foreign </w:t>
      </w:r>
      <w:r>
        <w:rPr/>
        <w:t>exchange reserves and has gained the upper hand in a zero-sum, great power competition by using its ﬂagship infrastructure program—the Belt and Road Initiative (BRI)—</w:t>
      </w:r>
      <w:r>
        <w:rPr>
          <w:w w:val="105"/>
        </w:rPr>
        <w:t>to</w:t>
      </w:r>
      <w:r>
        <w:rPr>
          <w:spacing w:val="-12"/>
          <w:w w:val="105"/>
        </w:rPr>
        <w:t> </w:t>
      </w:r>
      <w:r>
        <w:rPr>
          <w:w w:val="105"/>
        </w:rPr>
        <w:t>win</w:t>
      </w:r>
      <w:r>
        <w:rPr>
          <w:spacing w:val="-12"/>
          <w:w w:val="105"/>
        </w:rPr>
        <w:t> </w:t>
      </w:r>
      <w:r>
        <w:rPr>
          <w:w w:val="105"/>
        </w:rPr>
        <w:t>the</w:t>
      </w:r>
      <w:r>
        <w:rPr>
          <w:spacing w:val="-12"/>
          <w:w w:val="105"/>
        </w:rPr>
        <w:t> </w:t>
      </w:r>
      <w:r>
        <w:rPr>
          <w:w w:val="105"/>
        </w:rPr>
        <w:t>loyalty</w:t>
      </w:r>
      <w:r>
        <w:rPr>
          <w:spacing w:val="-12"/>
          <w:w w:val="105"/>
        </w:rPr>
        <w:t> </w:t>
      </w:r>
      <w:r>
        <w:rPr>
          <w:w w:val="105"/>
        </w:rPr>
        <w:t>of</w:t>
      </w:r>
      <w:r>
        <w:rPr>
          <w:spacing w:val="-12"/>
          <w:w w:val="105"/>
        </w:rPr>
        <w:t> </w:t>
      </w:r>
      <w:r>
        <w:rPr>
          <w:w w:val="105"/>
        </w:rPr>
        <w:t>foreign</w:t>
      </w:r>
      <w:r>
        <w:rPr>
          <w:spacing w:val="-12"/>
          <w:w w:val="105"/>
        </w:rPr>
        <w:t> </w:t>
      </w:r>
      <w:r>
        <w:rPr>
          <w:w w:val="105"/>
        </w:rPr>
        <w:t>leaders</w:t>
      </w:r>
      <w:r>
        <w:rPr>
          <w:spacing w:val="-12"/>
          <w:w w:val="105"/>
        </w:rPr>
        <w:t> </w:t>
      </w:r>
      <w:r>
        <w:rPr>
          <w:w w:val="105"/>
        </w:rPr>
        <w:t>and</w:t>
      </w:r>
      <w:r>
        <w:rPr>
          <w:spacing w:val="-12"/>
          <w:w w:val="105"/>
        </w:rPr>
        <w:t> </w:t>
      </w:r>
      <w:r>
        <w:rPr>
          <w:w w:val="105"/>
        </w:rPr>
        <w:t>generate</w:t>
      </w:r>
      <w:r>
        <w:rPr>
          <w:spacing w:val="-12"/>
          <w:w w:val="105"/>
        </w:rPr>
        <w:t> </w:t>
      </w:r>
      <w:r>
        <w:rPr>
          <w:w w:val="105"/>
        </w:rPr>
        <w:t>favorable</w:t>
      </w:r>
      <w:r>
        <w:rPr>
          <w:spacing w:val="-12"/>
          <w:w w:val="105"/>
        </w:rPr>
        <w:t> </w:t>
      </w:r>
      <w:r>
        <w:rPr>
          <w:w w:val="105"/>
        </w:rPr>
        <w:t>international</w:t>
      </w:r>
      <w:r>
        <w:rPr>
          <w:spacing w:val="-7"/>
          <w:w w:val="105"/>
        </w:rPr>
        <w:t> </w:t>
      </w:r>
      <w:r>
        <w:rPr>
          <w:w w:val="105"/>
        </w:rPr>
        <w:t>public sentiment.</w:t>
      </w:r>
      <w:r>
        <w:rPr>
          <w:spacing w:val="-14"/>
          <w:w w:val="105"/>
        </w:rPr>
        <w:t> </w:t>
      </w:r>
      <w:r>
        <w:rPr>
          <w:w w:val="105"/>
        </w:rPr>
        <w:t>According</w:t>
      </w:r>
      <w:r>
        <w:rPr>
          <w:spacing w:val="-14"/>
          <w:w w:val="105"/>
        </w:rPr>
        <w:t> </w:t>
      </w:r>
      <w:r>
        <w:rPr>
          <w:w w:val="105"/>
        </w:rPr>
        <w:t>to</w:t>
      </w:r>
      <w:r>
        <w:rPr>
          <w:spacing w:val="-14"/>
          <w:w w:val="105"/>
        </w:rPr>
        <w:t> </w:t>
      </w:r>
      <w:r>
        <w:rPr>
          <w:w w:val="105"/>
        </w:rPr>
        <w:t>this</w:t>
      </w:r>
      <w:r>
        <w:rPr>
          <w:spacing w:val="-14"/>
          <w:w w:val="105"/>
        </w:rPr>
        <w:t> </w:t>
      </w:r>
      <w:r>
        <w:rPr>
          <w:w w:val="105"/>
        </w:rPr>
        <w:t>narrative,</w:t>
      </w:r>
      <w:r>
        <w:rPr>
          <w:spacing w:val="-14"/>
          <w:w w:val="105"/>
        </w:rPr>
        <w:t> </w:t>
      </w:r>
      <w:r>
        <w:rPr>
          <w:w w:val="105"/>
        </w:rPr>
        <w:t>China</w:t>
      </w:r>
      <w:r>
        <w:rPr>
          <w:spacing w:val="-14"/>
          <w:w w:val="105"/>
        </w:rPr>
        <w:t> </w:t>
      </w:r>
      <w:r>
        <w:rPr>
          <w:w w:val="105"/>
        </w:rPr>
        <w:t>is</w:t>
      </w:r>
      <w:r>
        <w:rPr>
          <w:spacing w:val="-14"/>
          <w:w w:val="105"/>
        </w:rPr>
        <w:t> </w:t>
      </w:r>
      <w:r>
        <w:rPr>
          <w:w w:val="105"/>
        </w:rPr>
        <w:t>an</w:t>
      </w:r>
      <w:r>
        <w:rPr>
          <w:spacing w:val="-14"/>
          <w:w w:val="105"/>
        </w:rPr>
        <w:t> </w:t>
      </w:r>
      <w:r>
        <w:rPr>
          <w:w w:val="105"/>
        </w:rPr>
        <w:t>international</w:t>
      </w:r>
      <w:r>
        <w:rPr>
          <w:spacing w:val="-14"/>
          <w:w w:val="105"/>
        </w:rPr>
        <w:t> </w:t>
      </w:r>
      <w:r>
        <w:rPr>
          <w:w w:val="105"/>
        </w:rPr>
        <w:t>lender</w:t>
      </w:r>
      <w:r>
        <w:rPr>
          <w:spacing w:val="-14"/>
          <w:w w:val="105"/>
        </w:rPr>
        <w:t> </w:t>
      </w:r>
      <w:r>
        <w:rPr>
          <w:w w:val="105"/>
        </w:rPr>
        <w:t>of</w:t>
      </w:r>
      <w:r>
        <w:rPr>
          <w:spacing w:val="-10"/>
          <w:w w:val="105"/>
        </w:rPr>
        <w:t> </w:t>
      </w:r>
      <w:r>
        <w:rPr>
          <w:w w:val="105"/>
        </w:rPr>
        <w:t>ﬁrst resort</w:t>
      </w:r>
      <w:r>
        <w:rPr>
          <w:spacing w:val="-9"/>
          <w:w w:val="105"/>
        </w:rPr>
        <w:t> </w:t>
      </w:r>
      <w:r>
        <w:rPr>
          <w:w w:val="105"/>
        </w:rPr>
        <w:t>that</w:t>
      </w:r>
      <w:r>
        <w:rPr>
          <w:spacing w:val="-9"/>
          <w:w w:val="105"/>
        </w:rPr>
        <w:t> </w:t>
      </w:r>
      <w:r>
        <w:rPr>
          <w:w w:val="105"/>
        </w:rPr>
        <w:t>developing</w:t>
      </w:r>
      <w:r>
        <w:rPr>
          <w:spacing w:val="-9"/>
          <w:w w:val="105"/>
        </w:rPr>
        <w:t> </w:t>
      </w:r>
      <w:r>
        <w:rPr>
          <w:w w:val="105"/>
        </w:rPr>
        <w:t>countries</w:t>
      </w:r>
      <w:r>
        <w:rPr>
          <w:spacing w:val="-9"/>
          <w:w w:val="105"/>
        </w:rPr>
        <w:t> </w:t>
      </w:r>
      <w:r>
        <w:rPr>
          <w:w w:val="105"/>
        </w:rPr>
        <w:t>cannot</w:t>
      </w:r>
      <w:r>
        <w:rPr>
          <w:spacing w:val="-9"/>
          <w:w w:val="105"/>
        </w:rPr>
        <w:t> </w:t>
      </w:r>
      <w:r>
        <w:rPr>
          <w:w w:val="105"/>
        </w:rPr>
        <w:t>afford</w:t>
      </w:r>
      <w:r>
        <w:rPr>
          <w:spacing w:val="-9"/>
          <w:w w:val="105"/>
        </w:rPr>
        <w:t> </w:t>
      </w:r>
      <w:r>
        <w:rPr>
          <w:w w:val="105"/>
        </w:rPr>
        <w:t>to</w:t>
      </w:r>
      <w:r>
        <w:rPr>
          <w:spacing w:val="-9"/>
          <w:w w:val="105"/>
        </w:rPr>
        <w:t> </w:t>
      </w:r>
      <w:r>
        <w:rPr>
          <w:w w:val="105"/>
        </w:rPr>
        <w:t>alienate</w:t>
      </w:r>
      <w:r>
        <w:rPr>
          <w:spacing w:val="-9"/>
          <w:w w:val="105"/>
        </w:rPr>
        <w:t> </w:t>
      </w:r>
      <w:r>
        <w:rPr>
          <w:w w:val="105"/>
        </w:rPr>
        <w:t>or</w:t>
      </w:r>
      <w:r>
        <w:rPr>
          <w:spacing w:val="-9"/>
          <w:w w:val="105"/>
        </w:rPr>
        <w:t> </w:t>
      </w:r>
      <w:r>
        <w:rPr>
          <w:w w:val="105"/>
        </w:rPr>
        <w:t>antagonize.</w:t>
      </w:r>
      <w:r>
        <w:rPr>
          <w:spacing w:val="-9"/>
          <w:w w:val="105"/>
        </w:rPr>
        <w:t> </w:t>
      </w:r>
      <w:r>
        <w:rPr>
          <w:w w:val="105"/>
        </w:rPr>
        <w:t>It </w:t>
      </w:r>
      <w:r>
        <w:rPr/>
        <w:t>bankrolls big-ticket infrastructure projects—such as roads, railways, bridges, tunnels, power plants, and telecommunication systems—that neither the U.S.</w:t>
      </w:r>
      <w:r>
        <w:rPr>
          <w:spacing w:val="80"/>
          <w:w w:val="105"/>
        </w:rPr>
        <w:t> </w:t>
      </w:r>
      <w:r>
        <w:rPr>
          <w:w w:val="105"/>
        </w:rPr>
        <w:t>nor</w:t>
      </w:r>
      <w:r>
        <w:rPr>
          <w:spacing w:val="-13"/>
          <w:w w:val="105"/>
        </w:rPr>
        <w:t> </w:t>
      </w:r>
      <w:r>
        <w:rPr>
          <w:w w:val="105"/>
        </w:rPr>
        <w:t>its</w:t>
      </w:r>
      <w:r>
        <w:rPr>
          <w:spacing w:val="-13"/>
          <w:w w:val="105"/>
        </w:rPr>
        <w:t> </w:t>
      </w:r>
      <w:r>
        <w:rPr>
          <w:w w:val="105"/>
        </w:rPr>
        <w:t>allies</w:t>
      </w:r>
      <w:r>
        <w:rPr>
          <w:spacing w:val="-13"/>
          <w:w w:val="105"/>
        </w:rPr>
        <w:t> </w:t>
      </w:r>
      <w:r>
        <w:rPr>
          <w:w w:val="105"/>
        </w:rPr>
        <w:t>will</w:t>
      </w:r>
      <w:r>
        <w:rPr>
          <w:spacing w:val="-13"/>
          <w:w w:val="105"/>
        </w:rPr>
        <w:t> </w:t>
      </w:r>
      <w:r>
        <w:rPr>
          <w:w w:val="105"/>
        </w:rPr>
        <w:t>support.</w:t>
      </w:r>
      <w:r>
        <w:rPr>
          <w:spacing w:val="-13"/>
          <w:w w:val="105"/>
        </w:rPr>
        <w:t> </w:t>
      </w:r>
      <w:r>
        <w:rPr>
          <w:w w:val="105"/>
        </w:rPr>
        <w:t>It</w:t>
      </w:r>
      <w:r>
        <w:rPr>
          <w:spacing w:val="-13"/>
          <w:w w:val="105"/>
        </w:rPr>
        <w:t> </w:t>
      </w:r>
      <w:r>
        <w:rPr>
          <w:w w:val="105"/>
        </w:rPr>
        <w:t>plies</w:t>
      </w:r>
      <w:r>
        <w:rPr>
          <w:spacing w:val="-13"/>
          <w:w w:val="105"/>
        </w:rPr>
        <w:t> </w:t>
      </w:r>
      <w:r>
        <w:rPr>
          <w:w w:val="105"/>
        </w:rPr>
        <w:t>foreign</w:t>
      </w:r>
      <w:r>
        <w:rPr>
          <w:spacing w:val="-13"/>
          <w:w w:val="105"/>
        </w:rPr>
        <w:t> </w:t>
      </w:r>
      <w:r>
        <w:rPr>
          <w:w w:val="105"/>
        </w:rPr>
        <w:t>leaders</w:t>
      </w:r>
      <w:r>
        <w:rPr>
          <w:spacing w:val="-13"/>
          <w:w w:val="105"/>
        </w:rPr>
        <w:t> </w:t>
      </w:r>
      <w:r>
        <w:rPr>
          <w:w w:val="105"/>
        </w:rPr>
        <w:t>with</w:t>
      </w:r>
      <w:r>
        <w:rPr>
          <w:spacing w:val="-13"/>
          <w:w w:val="105"/>
        </w:rPr>
        <w:t> </w:t>
      </w:r>
      <w:r>
        <w:rPr>
          <w:w w:val="105"/>
        </w:rPr>
        <w:t>lavish</w:t>
      </w:r>
      <w:r>
        <w:rPr>
          <w:spacing w:val="-13"/>
          <w:w w:val="105"/>
        </w:rPr>
        <w:t> </w:t>
      </w:r>
      <w:r>
        <w:rPr>
          <w:w w:val="105"/>
        </w:rPr>
        <w:t>spending</w:t>
      </w:r>
      <w:r>
        <w:rPr>
          <w:spacing w:val="-13"/>
          <w:w w:val="105"/>
        </w:rPr>
        <w:t> </w:t>
      </w:r>
      <w:r>
        <w:rPr>
          <w:w w:val="105"/>
        </w:rPr>
        <w:t>on</w:t>
      </w:r>
      <w:r>
        <w:rPr>
          <w:spacing w:val="-13"/>
          <w:w w:val="105"/>
        </w:rPr>
        <w:t> </w:t>
      </w:r>
      <w:r>
        <w:rPr>
          <w:w w:val="105"/>
        </w:rPr>
        <w:t>vanity </w:t>
      </w:r>
      <w:r>
        <w:rPr/>
        <w:t>projects like statues, theaters, museums, convention centers, stadiums, </w:t>
      </w:r>
      <w:r>
        <w:rPr>
          <w:w w:val="105"/>
        </w:rPr>
        <w:t>presidential</w:t>
      </w:r>
      <w:r>
        <w:rPr>
          <w:spacing w:val="-18"/>
          <w:w w:val="105"/>
        </w:rPr>
        <w:t> </w:t>
      </w:r>
      <w:r>
        <w:rPr>
          <w:w w:val="105"/>
        </w:rPr>
        <w:t>palaces,</w:t>
      </w:r>
      <w:r>
        <w:rPr>
          <w:spacing w:val="-17"/>
          <w:w w:val="105"/>
        </w:rPr>
        <w:t> </w:t>
      </w:r>
      <w:r>
        <w:rPr>
          <w:w w:val="105"/>
        </w:rPr>
        <w:t>and</w:t>
      </w:r>
      <w:r>
        <w:rPr>
          <w:spacing w:val="-18"/>
          <w:w w:val="105"/>
        </w:rPr>
        <w:t> </w:t>
      </w:r>
      <w:r>
        <w:rPr>
          <w:w w:val="105"/>
        </w:rPr>
        <w:t>parliamentary</w:t>
      </w:r>
      <w:r>
        <w:rPr>
          <w:spacing w:val="-18"/>
          <w:w w:val="105"/>
        </w:rPr>
        <w:t> </w:t>
      </w:r>
      <w:r>
        <w:rPr>
          <w:w w:val="105"/>
        </w:rPr>
        <w:t>buildings.</w:t>
      </w:r>
      <w:r>
        <w:rPr>
          <w:spacing w:val="-17"/>
          <w:w w:val="105"/>
        </w:rPr>
        <w:t> </w:t>
      </w:r>
      <w:r>
        <w:rPr>
          <w:w w:val="105"/>
        </w:rPr>
        <w:t>It</w:t>
      </w:r>
      <w:r>
        <w:rPr>
          <w:spacing w:val="-18"/>
          <w:w w:val="105"/>
        </w:rPr>
        <w:t> </w:t>
      </w:r>
      <w:r>
        <w:rPr>
          <w:w w:val="105"/>
        </w:rPr>
        <w:t>is</w:t>
      </w:r>
      <w:r>
        <w:rPr>
          <w:spacing w:val="-17"/>
          <w:w w:val="105"/>
        </w:rPr>
        <w:t> </w:t>
      </w:r>
      <w:r>
        <w:rPr>
          <w:w w:val="105"/>
        </w:rPr>
        <w:t>also</w:t>
      </w:r>
      <w:r>
        <w:rPr>
          <w:spacing w:val="-18"/>
          <w:w w:val="105"/>
        </w:rPr>
        <w:t> </w:t>
      </w:r>
      <w:r>
        <w:rPr>
          <w:w w:val="105"/>
        </w:rPr>
        <w:t>a</w:t>
      </w:r>
      <w:r>
        <w:rPr>
          <w:spacing w:val="-17"/>
          <w:w w:val="105"/>
        </w:rPr>
        <w:t> </w:t>
      </w:r>
      <w:r>
        <w:rPr>
          <w:w w:val="105"/>
        </w:rPr>
        <w:t>deep-pocketed lender</w:t>
      </w:r>
      <w:r>
        <w:rPr>
          <w:spacing w:val="-9"/>
          <w:w w:val="105"/>
        </w:rPr>
        <w:t> </w:t>
      </w:r>
      <w:r>
        <w:rPr>
          <w:w w:val="105"/>
        </w:rPr>
        <w:t>of</w:t>
      </w:r>
      <w:r>
        <w:rPr>
          <w:spacing w:val="-9"/>
          <w:w w:val="105"/>
        </w:rPr>
        <w:t> </w:t>
      </w:r>
      <w:r>
        <w:rPr>
          <w:w w:val="105"/>
        </w:rPr>
        <w:t>last</w:t>
      </w:r>
      <w:r>
        <w:rPr>
          <w:spacing w:val="-9"/>
          <w:w w:val="105"/>
        </w:rPr>
        <w:t> </w:t>
      </w:r>
      <w:r>
        <w:rPr>
          <w:w w:val="105"/>
        </w:rPr>
        <w:t>resort</w:t>
      </w:r>
      <w:r>
        <w:rPr>
          <w:spacing w:val="-9"/>
          <w:w w:val="105"/>
        </w:rPr>
        <w:t> </w:t>
      </w:r>
      <w:r>
        <w:rPr>
          <w:w w:val="105"/>
        </w:rPr>
        <w:t>that</w:t>
      </w:r>
      <w:r>
        <w:rPr>
          <w:spacing w:val="-9"/>
          <w:w w:val="105"/>
        </w:rPr>
        <w:t> </w:t>
      </w:r>
      <w:r>
        <w:rPr>
          <w:w w:val="105"/>
        </w:rPr>
        <w:t>is</w:t>
      </w:r>
      <w:r>
        <w:rPr>
          <w:spacing w:val="-9"/>
          <w:w w:val="105"/>
        </w:rPr>
        <w:t> </w:t>
      </w:r>
      <w:r>
        <w:rPr>
          <w:w w:val="105"/>
        </w:rPr>
        <w:t>willing</w:t>
      </w:r>
      <w:r>
        <w:rPr>
          <w:spacing w:val="-9"/>
          <w:w w:val="105"/>
        </w:rPr>
        <w:t> </w:t>
      </w:r>
      <w:r>
        <w:rPr>
          <w:w w:val="105"/>
        </w:rPr>
        <w:t>and</w:t>
      </w:r>
      <w:r>
        <w:rPr>
          <w:spacing w:val="-9"/>
          <w:w w:val="105"/>
        </w:rPr>
        <w:t> </w:t>
      </w:r>
      <w:r>
        <w:rPr>
          <w:w w:val="105"/>
        </w:rPr>
        <w:t>able</w:t>
      </w:r>
      <w:r>
        <w:rPr>
          <w:spacing w:val="-9"/>
          <w:w w:val="105"/>
        </w:rPr>
        <w:t> </w:t>
      </w:r>
      <w:r>
        <w:rPr>
          <w:w w:val="105"/>
        </w:rPr>
        <w:t>to</w:t>
      </w:r>
      <w:r>
        <w:rPr>
          <w:spacing w:val="-9"/>
          <w:w w:val="105"/>
        </w:rPr>
        <w:t> </w:t>
      </w:r>
      <w:r>
        <w:rPr>
          <w:w w:val="105"/>
        </w:rPr>
        <w:t>bail</w:t>
      </w:r>
      <w:r>
        <w:rPr>
          <w:spacing w:val="-9"/>
          <w:w w:val="105"/>
        </w:rPr>
        <w:t> </w:t>
      </w:r>
      <w:r>
        <w:rPr>
          <w:w w:val="105"/>
        </w:rPr>
        <w:t>out</w:t>
      </w:r>
      <w:r>
        <w:rPr>
          <w:spacing w:val="-9"/>
          <w:w w:val="105"/>
        </w:rPr>
        <w:t> </w:t>
      </w:r>
      <w:r>
        <w:rPr>
          <w:w w:val="105"/>
        </w:rPr>
        <w:t>borrowers</w:t>
      </w:r>
      <w:r>
        <w:rPr>
          <w:spacing w:val="-9"/>
          <w:w w:val="105"/>
        </w:rPr>
        <w:t> </w:t>
      </w:r>
      <w:r>
        <w:rPr>
          <w:w w:val="105"/>
        </w:rPr>
        <w:t>when</w:t>
      </w:r>
      <w:r>
        <w:rPr>
          <w:spacing w:val="-9"/>
          <w:w w:val="105"/>
        </w:rPr>
        <w:t> </w:t>
      </w:r>
      <w:r>
        <w:rPr>
          <w:w w:val="105"/>
        </w:rPr>
        <w:t>they</w:t>
      </w:r>
      <w:r>
        <w:rPr>
          <w:spacing w:val="-9"/>
          <w:w w:val="105"/>
        </w:rPr>
        <w:t> </w:t>
      </w:r>
      <w:r>
        <w:rPr>
          <w:w w:val="105"/>
        </w:rPr>
        <w:t>are </w:t>
      </w:r>
      <w:r>
        <w:rPr>
          <w:spacing w:val="-2"/>
          <w:w w:val="105"/>
        </w:rPr>
        <w:t>underwater</w:t>
      </w:r>
      <w:r>
        <w:rPr>
          <w:spacing w:val="-6"/>
          <w:w w:val="105"/>
        </w:rPr>
        <w:t> </w:t>
      </w:r>
      <w:r>
        <w:rPr>
          <w:spacing w:val="-2"/>
          <w:w w:val="105"/>
        </w:rPr>
        <w:t>or</w:t>
      </w:r>
      <w:r>
        <w:rPr>
          <w:spacing w:val="-6"/>
          <w:w w:val="105"/>
        </w:rPr>
        <w:t> </w:t>
      </w:r>
      <w:r>
        <w:rPr>
          <w:spacing w:val="-2"/>
          <w:w w:val="105"/>
        </w:rPr>
        <w:t>sailing</w:t>
      </w:r>
      <w:r>
        <w:rPr>
          <w:spacing w:val="-6"/>
          <w:w w:val="105"/>
        </w:rPr>
        <w:t> </w:t>
      </w:r>
      <w:r>
        <w:rPr>
          <w:spacing w:val="-2"/>
          <w:w w:val="105"/>
        </w:rPr>
        <w:t>into</w:t>
      </w:r>
      <w:r>
        <w:rPr>
          <w:spacing w:val="-6"/>
          <w:w w:val="105"/>
        </w:rPr>
        <w:t> </w:t>
      </w:r>
      <w:r>
        <w:rPr>
          <w:spacing w:val="-2"/>
          <w:w w:val="105"/>
        </w:rPr>
        <w:t>strong</w:t>
      </w:r>
      <w:r>
        <w:rPr>
          <w:spacing w:val="-6"/>
          <w:w w:val="105"/>
        </w:rPr>
        <w:t> </w:t>
      </w:r>
      <w:r>
        <w:rPr>
          <w:spacing w:val="-2"/>
          <w:w w:val="105"/>
        </w:rPr>
        <w:t>macroeconomic</w:t>
      </w:r>
      <w:r>
        <w:rPr>
          <w:spacing w:val="-6"/>
          <w:w w:val="105"/>
        </w:rPr>
        <w:t> </w:t>
      </w:r>
      <w:r>
        <w:rPr>
          <w:spacing w:val="-2"/>
          <w:w w:val="105"/>
        </w:rPr>
        <w:t>headwinds.</w:t>
      </w:r>
      <w:r>
        <w:rPr>
          <w:spacing w:val="-6"/>
          <w:w w:val="105"/>
        </w:rPr>
        <w:t> </w:t>
      </w:r>
      <w:r>
        <w:rPr>
          <w:spacing w:val="-2"/>
          <w:w w:val="105"/>
        </w:rPr>
        <w:t>Strategists</w:t>
      </w:r>
      <w:r>
        <w:rPr>
          <w:spacing w:val="-6"/>
          <w:w w:val="105"/>
        </w:rPr>
        <w:t> </w:t>
      </w:r>
      <w:r>
        <w:rPr>
          <w:spacing w:val="-2"/>
          <w:w w:val="105"/>
        </w:rPr>
        <w:t>and </w:t>
      </w:r>
      <w:r>
        <w:rPr/>
        <w:t>decision-makers in Western capitals often invoke this argument—about Chinese </w:t>
      </w:r>
      <w:r>
        <w:rPr>
          <w:w w:val="105"/>
        </w:rPr>
        <w:t>strength—to</w:t>
      </w:r>
      <w:r>
        <w:rPr>
          <w:spacing w:val="-18"/>
          <w:w w:val="105"/>
        </w:rPr>
        <w:t> </w:t>
      </w:r>
      <w:r>
        <w:rPr>
          <w:w w:val="105"/>
        </w:rPr>
        <w:t>make</w:t>
      </w:r>
      <w:r>
        <w:rPr>
          <w:spacing w:val="-17"/>
          <w:w w:val="105"/>
        </w:rPr>
        <w:t> </w:t>
      </w:r>
      <w:r>
        <w:rPr>
          <w:w w:val="105"/>
        </w:rPr>
        <w:t>the</w:t>
      </w:r>
      <w:r>
        <w:rPr>
          <w:spacing w:val="-18"/>
          <w:w w:val="105"/>
        </w:rPr>
        <w:t> </w:t>
      </w:r>
      <w:r>
        <w:rPr>
          <w:w w:val="105"/>
        </w:rPr>
        <w:t>case</w:t>
      </w:r>
      <w:r>
        <w:rPr>
          <w:spacing w:val="-18"/>
          <w:w w:val="105"/>
        </w:rPr>
        <w:t> </w:t>
      </w:r>
      <w:r>
        <w:rPr>
          <w:w w:val="105"/>
        </w:rPr>
        <w:t>that</w:t>
      </w:r>
      <w:r>
        <w:rPr>
          <w:spacing w:val="-17"/>
          <w:w w:val="105"/>
        </w:rPr>
        <w:t> </w:t>
      </w:r>
      <w:r>
        <w:rPr>
          <w:w w:val="105"/>
        </w:rPr>
        <w:t>Beijing</w:t>
      </w:r>
      <w:r>
        <w:rPr>
          <w:spacing w:val="-18"/>
          <w:w w:val="105"/>
        </w:rPr>
        <w:t> </w:t>
      </w:r>
      <w:r>
        <w:rPr>
          <w:w w:val="105"/>
        </w:rPr>
        <w:t>is</w:t>
      </w:r>
      <w:r>
        <w:rPr>
          <w:spacing w:val="-17"/>
          <w:w w:val="105"/>
        </w:rPr>
        <w:t> </w:t>
      </w:r>
      <w:r>
        <w:rPr>
          <w:w w:val="105"/>
        </w:rPr>
        <w:t>“outmaneuvering</w:t>
      </w:r>
      <w:r>
        <w:rPr>
          <w:spacing w:val="-18"/>
          <w:w w:val="105"/>
        </w:rPr>
        <w:t> </w:t>
      </w:r>
      <w:r>
        <w:rPr>
          <w:w w:val="105"/>
        </w:rPr>
        <w:t>us</w:t>
      </w:r>
      <w:r>
        <w:rPr>
          <w:spacing w:val="-17"/>
          <w:w w:val="105"/>
        </w:rPr>
        <w:t> </w:t>
      </w:r>
      <w:r>
        <w:rPr>
          <w:w w:val="105"/>
        </w:rPr>
        <w:t>in</w:t>
      </w:r>
      <w:r>
        <w:rPr>
          <w:spacing w:val="-18"/>
          <w:w w:val="105"/>
        </w:rPr>
        <w:t> </w:t>
      </w:r>
      <w:r>
        <w:rPr>
          <w:w w:val="105"/>
        </w:rPr>
        <w:t>overseas theaters,” “eating our lunch,” or “winning the global battle for hearts and </w:t>
      </w:r>
      <w:r>
        <w:rPr>
          <w:spacing w:val="-2"/>
          <w:w w:val="105"/>
        </w:rPr>
        <w:t>minds.”</w:t>
      </w:r>
      <w:r>
        <w:rPr>
          <w:spacing w:val="-2"/>
          <w:w w:val="105"/>
          <w:vertAlign w:val="superscript"/>
        </w:rPr>
        <w:t>[1]</w:t>
      </w:r>
    </w:p>
    <w:p>
      <w:pPr>
        <w:pStyle w:val="BodyText"/>
        <w:spacing w:before="11"/>
        <w:rPr>
          <w:sz w:val="26"/>
        </w:rPr>
      </w:pPr>
    </w:p>
    <w:p>
      <w:pPr>
        <w:pStyle w:val="BodyText"/>
        <w:spacing w:line="333" w:lineRule="auto"/>
        <w:ind w:left="460" w:right="485"/>
      </w:pPr>
      <w:r>
        <w:t>But a second narrative—a counter-narrative about Chinese weakness—is gaining currency in Washington, London, and Brussels. The BRI, in this alternative reading, is more of a liability than an asset, and Beijing is on a perilous path, in danger of spending its way into international disrepute. Developing countries that borrowed extensively from China are now saddled with debts for oversized infrastructure projects that generate insufﬁcient revenue. The grace periods on these loans are expiring, forcing Beijing into an unfamiliar and uncomfortable role as the developing world’s largest ofﬁcial debt collector. On one hand, it wants to position itself at the front of the repayment line by requiring that borrowers grant it sources of leverage—such as cash collateral in escrow accounts—that other ofﬁcial creditors do not possess. On the other hand, it wants to characterize itself as a global champion of “South-South cooperation” that privileges solidarity with low-income countries (LICs) and middle-income countries (MICs). Another source of vulnerability is that politicians in the Global South increasingly feel compelled to cancel or mothball high-proﬁle BRI projects because rising levels of public antipathy toward China are making it difﬁcult to maintain close relations with Beijing. International media outlets are also training their sights on an array of problems in the BRI project portfolio, such as overpricing, corruption, habitat destruction, and involuntary displacement of vulnerable and marginalized populations.</w:t>
      </w:r>
    </w:p>
    <w:p>
      <w:pPr>
        <w:pStyle w:val="BodyText"/>
        <w:spacing w:before="8"/>
        <w:rPr>
          <w:sz w:val="12"/>
        </w:rPr>
      </w:pPr>
      <w:r>
        <w:rPr/>
        <w:pict>
          <v:shape style="position:absolute;margin-left:90pt;margin-top:8.520215pt;width:144pt;height:.1pt;mso-position-horizontal-relative:page;mso-position-vertical-relative:paragraph;z-index:-15728128;mso-wrap-distance-left:0;mso-wrap-distance-right:0" id="docshape2" coordorigin="1800,170" coordsize="2880,0" path="m1800,170l4680,170e" filled="false" stroked="true" strokeweight=".75pt" strokecolor="#000000">
            <v:path arrowok="t"/>
            <v:stroke dashstyle="solid"/>
            <w10:wrap type="topAndBottom"/>
          </v:shape>
        </w:pict>
      </w:r>
    </w:p>
    <w:p>
      <w:pPr>
        <w:spacing w:after="0" w:line="249" w:lineRule="auto"/>
        <w:jc w:val="left"/>
        <w:rPr>
          <w:sz w:val="18"/>
        </w:rPr>
        <w:sectPr>
          <w:footerReference w:type="default" r:id="rId6"/>
          <w:pgSz w:w="12240" w:h="15840"/>
          <w:pgMar w:footer="720" w:header="0" w:top="1500" w:bottom="920" w:left="1340" w:right="1340"/>
          <w:pgNumType w:start="1"/>
        </w:sectPr>
      </w:pPr>
    </w:p>
    <w:p>
      <w:pPr>
        <w:pStyle w:val="BodyText"/>
        <w:rPr>
          <w:sz w:val="27"/>
        </w:rPr>
      </w:pPr>
    </w:p>
    <w:p>
      <w:pPr>
        <w:pStyle w:val="BodyText"/>
        <w:spacing w:line="333" w:lineRule="auto" w:before="1"/>
        <w:ind w:left="460" w:right="561"/>
      </w:pPr>
      <w:r>
        <w:rPr/>
        <w:t>The</w:t>
      </w:r>
      <w:r>
        <w:rPr>
          <w:spacing w:val="-7"/>
        </w:rPr>
        <w:t> </w:t>
      </w:r>
      <w:r>
        <w:rPr/>
        <w:t>fundamental</w:t>
      </w:r>
      <w:r>
        <w:rPr>
          <w:spacing w:val="-7"/>
        </w:rPr>
        <w:t> </w:t>
      </w:r>
      <w:r>
        <w:rPr/>
        <w:t>difference</w:t>
      </w:r>
      <w:r>
        <w:rPr>
          <w:spacing w:val="-7"/>
        </w:rPr>
        <w:t> </w:t>
      </w:r>
      <w:r>
        <w:rPr/>
        <w:t>between</w:t>
      </w:r>
      <w:r>
        <w:rPr>
          <w:spacing w:val="-7"/>
        </w:rPr>
        <w:t> </w:t>
      </w:r>
      <w:r>
        <w:rPr/>
        <w:t>these</w:t>
      </w:r>
      <w:r>
        <w:rPr>
          <w:spacing w:val="-7"/>
        </w:rPr>
        <w:t> </w:t>
      </w:r>
      <w:r>
        <w:rPr/>
        <w:t>narratives</w:t>
      </w:r>
      <w:r>
        <w:rPr>
          <w:spacing w:val="-7"/>
        </w:rPr>
        <w:t> </w:t>
      </w:r>
      <w:r>
        <w:rPr/>
        <w:t>is</w:t>
      </w:r>
      <w:r>
        <w:rPr>
          <w:spacing w:val="-7"/>
        </w:rPr>
        <w:t> </w:t>
      </w:r>
      <w:r>
        <w:rPr/>
        <w:t>that</w:t>
      </w:r>
      <w:r>
        <w:rPr>
          <w:spacing w:val="-7"/>
        </w:rPr>
        <w:t> </w:t>
      </w:r>
      <w:r>
        <w:rPr/>
        <w:t>one</w:t>
      </w:r>
      <w:r>
        <w:rPr>
          <w:spacing w:val="-7"/>
        </w:rPr>
        <w:t> </w:t>
      </w:r>
      <w:r>
        <w:rPr/>
        <w:t>assumes</w:t>
      </w:r>
      <w:r>
        <w:rPr>
          <w:spacing w:val="-7"/>
        </w:rPr>
        <w:t> </w:t>
      </w:r>
      <w:r>
        <w:rPr/>
        <w:t>China is</w:t>
      </w:r>
      <w:r>
        <w:rPr>
          <w:spacing w:val="-5"/>
        </w:rPr>
        <w:t> </w:t>
      </w:r>
      <w:r>
        <w:rPr/>
        <w:t>playing</w:t>
      </w:r>
      <w:r>
        <w:rPr>
          <w:spacing w:val="-5"/>
        </w:rPr>
        <w:t> </w:t>
      </w:r>
      <w:r>
        <w:rPr/>
        <w:t>offense</w:t>
      </w:r>
      <w:r>
        <w:rPr>
          <w:spacing w:val="-5"/>
        </w:rPr>
        <w:t> </w:t>
      </w:r>
      <w:r>
        <w:rPr/>
        <w:t>and</w:t>
      </w:r>
      <w:r>
        <w:rPr>
          <w:spacing w:val="-5"/>
        </w:rPr>
        <w:t> </w:t>
      </w:r>
      <w:r>
        <w:rPr/>
        <w:t>the</w:t>
      </w:r>
      <w:r>
        <w:rPr>
          <w:spacing w:val="-5"/>
        </w:rPr>
        <w:t> </w:t>
      </w:r>
      <w:r>
        <w:rPr/>
        <w:t>other</w:t>
      </w:r>
      <w:r>
        <w:rPr>
          <w:spacing w:val="-5"/>
        </w:rPr>
        <w:t> </w:t>
      </w:r>
      <w:r>
        <w:rPr/>
        <w:t>assumes</w:t>
      </w:r>
      <w:r>
        <w:rPr>
          <w:spacing w:val="-5"/>
        </w:rPr>
        <w:t> </w:t>
      </w:r>
      <w:r>
        <w:rPr/>
        <w:t>China</w:t>
      </w:r>
      <w:r>
        <w:rPr>
          <w:spacing w:val="-5"/>
        </w:rPr>
        <w:t> </w:t>
      </w:r>
      <w:r>
        <w:rPr/>
        <w:t>is</w:t>
      </w:r>
      <w:r>
        <w:rPr>
          <w:spacing w:val="-5"/>
        </w:rPr>
        <w:t> </w:t>
      </w:r>
      <w:r>
        <w:rPr/>
        <w:t>playing</w:t>
      </w:r>
      <w:r>
        <w:rPr>
          <w:spacing w:val="-5"/>
        </w:rPr>
        <w:t> </w:t>
      </w:r>
      <w:r>
        <w:rPr/>
        <w:t>defense.</w:t>
      </w:r>
      <w:r>
        <w:rPr>
          <w:spacing w:val="-5"/>
        </w:rPr>
        <w:t> </w:t>
      </w:r>
      <w:r>
        <w:rPr/>
        <w:t>Which</w:t>
      </w:r>
      <w:r>
        <w:rPr>
          <w:spacing w:val="-5"/>
        </w:rPr>
        <w:t> </w:t>
      </w:r>
      <w:r>
        <w:rPr/>
        <w:t>one</w:t>
      </w:r>
      <w:r>
        <w:rPr>
          <w:spacing w:val="-5"/>
        </w:rPr>
        <w:t> </w:t>
      </w:r>
      <w:r>
        <w:rPr/>
        <w:t>is a better characterization of reality? Or is it possible that both—or neither—are true? Beijing is clearly aware that it faces a BRI “buyer’s remorse” problem.</w:t>
      </w:r>
      <w:r>
        <w:rPr>
          <w:vertAlign w:val="superscript"/>
        </w:rPr>
        <w:t>[2]</w:t>
      </w:r>
      <w:r>
        <w:rPr>
          <w:vertAlign w:val="baseline"/>
        </w:rPr>
        <w:t> But have Chinese lending and grant-giving institutions learned from their past mistakes and recalibrated their policies and practices? If so, how?</w:t>
      </w:r>
    </w:p>
    <w:p>
      <w:pPr>
        <w:pStyle w:val="BodyText"/>
        <w:spacing w:before="5"/>
        <w:rPr>
          <w:sz w:val="27"/>
        </w:rPr>
      </w:pPr>
    </w:p>
    <w:p>
      <w:pPr>
        <w:pStyle w:val="BodyText"/>
        <w:spacing w:line="333" w:lineRule="auto" w:before="1"/>
        <w:ind w:left="460" w:right="449"/>
      </w:pPr>
      <w:r>
        <w:rPr/>
        <w:pict>
          <v:shape style="position:absolute;margin-left:90pt;margin-top:175.365128pt;width:144pt;height:.1pt;mso-position-horizontal-relative:page;mso-position-vertical-relative:paragraph;z-index:-15727616;mso-wrap-distance-left:0;mso-wrap-distance-right:0" id="docshape3" coordorigin="1800,3507" coordsize="2880,0" path="m1800,3507l4680,3507e" filled="false" stroked="true" strokeweight=".75pt" strokecolor="#000000">
            <v:path arrowok="t"/>
            <v:stroke dashstyle="solid"/>
            <w10:wrap type="topAndBottom"/>
          </v:shape>
        </w:pict>
      </w:r>
      <w:r>
        <w:rPr>
          <w:w w:val="105"/>
        </w:rPr>
        <w:t>One</w:t>
      </w:r>
      <w:r>
        <w:rPr>
          <w:spacing w:val="-16"/>
          <w:w w:val="105"/>
        </w:rPr>
        <w:t> </w:t>
      </w:r>
      <w:r>
        <w:rPr>
          <w:w w:val="105"/>
        </w:rPr>
        <w:t>of</w:t>
      </w:r>
      <w:r>
        <w:rPr>
          <w:spacing w:val="-16"/>
          <w:w w:val="105"/>
        </w:rPr>
        <w:t> </w:t>
      </w:r>
      <w:r>
        <w:rPr>
          <w:w w:val="105"/>
        </w:rPr>
        <w:t>the</w:t>
      </w:r>
      <w:r>
        <w:rPr>
          <w:spacing w:val="-16"/>
          <w:w w:val="105"/>
        </w:rPr>
        <w:t> </w:t>
      </w:r>
      <w:r>
        <w:rPr>
          <w:w w:val="105"/>
        </w:rPr>
        <w:t>ﬁrst</w:t>
      </w:r>
      <w:r>
        <w:rPr>
          <w:spacing w:val="-16"/>
          <w:w w:val="105"/>
        </w:rPr>
        <w:t> </w:t>
      </w:r>
      <w:r>
        <w:rPr>
          <w:w w:val="105"/>
        </w:rPr>
        <w:t>signs</w:t>
      </w:r>
      <w:r>
        <w:rPr>
          <w:spacing w:val="-16"/>
          <w:w w:val="105"/>
        </w:rPr>
        <w:t> </w:t>
      </w:r>
      <w:r>
        <w:rPr>
          <w:w w:val="105"/>
        </w:rPr>
        <w:t>that</w:t>
      </w:r>
      <w:r>
        <w:rPr>
          <w:spacing w:val="-16"/>
          <w:w w:val="105"/>
        </w:rPr>
        <w:t> </w:t>
      </w:r>
      <w:r>
        <w:rPr>
          <w:w w:val="105"/>
        </w:rPr>
        <w:t>Beijing</w:t>
      </w:r>
      <w:r>
        <w:rPr>
          <w:spacing w:val="-16"/>
          <w:w w:val="105"/>
        </w:rPr>
        <w:t> </w:t>
      </w:r>
      <w:r>
        <w:rPr>
          <w:w w:val="105"/>
        </w:rPr>
        <w:t>was</w:t>
      </w:r>
      <w:r>
        <w:rPr>
          <w:spacing w:val="-16"/>
          <w:w w:val="105"/>
        </w:rPr>
        <w:t> </w:t>
      </w:r>
      <w:r>
        <w:rPr>
          <w:w w:val="105"/>
        </w:rPr>
        <w:t>considering</w:t>
      </w:r>
      <w:r>
        <w:rPr>
          <w:spacing w:val="-16"/>
          <w:w w:val="105"/>
        </w:rPr>
        <w:t> </w:t>
      </w:r>
      <w:r>
        <w:rPr>
          <w:w w:val="105"/>
        </w:rPr>
        <w:t>a</w:t>
      </w:r>
      <w:r>
        <w:rPr>
          <w:spacing w:val="-16"/>
          <w:w w:val="105"/>
        </w:rPr>
        <w:t> </w:t>
      </w:r>
      <w:r>
        <w:rPr>
          <w:w w:val="105"/>
        </w:rPr>
        <w:t>major</w:t>
      </w:r>
      <w:r>
        <w:rPr>
          <w:spacing w:val="-16"/>
          <w:w w:val="105"/>
        </w:rPr>
        <w:t> </w:t>
      </w:r>
      <w:r>
        <w:rPr>
          <w:w w:val="105"/>
        </w:rPr>
        <w:t>course</w:t>
      </w:r>
      <w:r>
        <w:rPr>
          <w:spacing w:val="-16"/>
          <w:w w:val="105"/>
        </w:rPr>
        <w:t> </w:t>
      </w:r>
      <w:r>
        <w:rPr>
          <w:w w:val="105"/>
        </w:rPr>
        <w:t>correction </w:t>
      </w:r>
      <w:r>
        <w:rPr/>
        <w:t>came in October 2016 when an ofﬁcial with China’s National Development and Reform Commission (NDRC) told a London-based newspaper that “these days </w:t>
      </w:r>
      <w:r>
        <w:rPr>
          <w:w w:val="105"/>
        </w:rPr>
        <w:t>we</w:t>
      </w:r>
      <w:r>
        <w:rPr>
          <w:spacing w:val="-6"/>
          <w:w w:val="105"/>
        </w:rPr>
        <w:t> </w:t>
      </w:r>
      <w:r>
        <w:rPr>
          <w:w w:val="105"/>
        </w:rPr>
        <w:t>need</w:t>
      </w:r>
      <w:r>
        <w:rPr>
          <w:spacing w:val="-6"/>
          <w:w w:val="105"/>
        </w:rPr>
        <w:t> </w:t>
      </w:r>
      <w:r>
        <w:rPr>
          <w:w w:val="105"/>
        </w:rPr>
        <w:t>viable</w:t>
      </w:r>
      <w:r>
        <w:rPr>
          <w:spacing w:val="-6"/>
          <w:w w:val="105"/>
        </w:rPr>
        <w:t> </w:t>
      </w:r>
      <w:r>
        <w:rPr>
          <w:w w:val="105"/>
        </w:rPr>
        <w:t>projects</w:t>
      </w:r>
      <w:r>
        <w:rPr>
          <w:spacing w:val="-6"/>
          <w:w w:val="105"/>
        </w:rPr>
        <w:t> </w:t>
      </w:r>
      <w:r>
        <w:rPr>
          <w:w w:val="105"/>
        </w:rPr>
        <w:t>and</w:t>
      </w:r>
      <w:r>
        <w:rPr>
          <w:spacing w:val="-6"/>
          <w:w w:val="105"/>
        </w:rPr>
        <w:t> </w:t>
      </w:r>
      <w:r>
        <w:rPr>
          <w:w w:val="105"/>
        </w:rPr>
        <w:t>a</w:t>
      </w:r>
      <w:r>
        <w:rPr>
          <w:spacing w:val="-6"/>
          <w:w w:val="105"/>
        </w:rPr>
        <w:t> </w:t>
      </w:r>
      <w:r>
        <w:rPr>
          <w:w w:val="105"/>
        </w:rPr>
        <w:t>good</w:t>
      </w:r>
      <w:r>
        <w:rPr>
          <w:spacing w:val="-6"/>
          <w:w w:val="105"/>
        </w:rPr>
        <w:t> </w:t>
      </w:r>
      <w:r>
        <w:rPr>
          <w:w w:val="105"/>
        </w:rPr>
        <w:t>return.</w:t>
      </w:r>
      <w:r>
        <w:rPr>
          <w:spacing w:val="-6"/>
          <w:w w:val="105"/>
        </w:rPr>
        <w:t> </w:t>
      </w:r>
      <w:r>
        <w:rPr>
          <w:w w:val="105"/>
        </w:rPr>
        <w:t>We</w:t>
      </w:r>
      <w:r>
        <w:rPr>
          <w:spacing w:val="-6"/>
          <w:w w:val="105"/>
        </w:rPr>
        <w:t> </w:t>
      </w:r>
      <w:r>
        <w:rPr>
          <w:w w:val="105"/>
        </w:rPr>
        <w:t>don’t</w:t>
      </w:r>
      <w:r>
        <w:rPr>
          <w:spacing w:val="-6"/>
          <w:w w:val="105"/>
        </w:rPr>
        <w:t> </w:t>
      </w:r>
      <w:r>
        <w:rPr>
          <w:w w:val="105"/>
        </w:rPr>
        <w:t>want</w:t>
      </w:r>
      <w:r>
        <w:rPr>
          <w:spacing w:val="-6"/>
          <w:w w:val="105"/>
        </w:rPr>
        <w:t> </w:t>
      </w:r>
      <w:r>
        <w:rPr>
          <w:w w:val="105"/>
        </w:rPr>
        <w:t>to</w:t>
      </w:r>
      <w:r>
        <w:rPr>
          <w:spacing w:val="-6"/>
          <w:w w:val="105"/>
        </w:rPr>
        <w:t> </w:t>
      </w:r>
      <w:r>
        <w:rPr>
          <w:w w:val="105"/>
        </w:rPr>
        <w:t>back</w:t>
      </w:r>
      <w:r>
        <w:rPr>
          <w:spacing w:val="-6"/>
          <w:w w:val="105"/>
        </w:rPr>
        <w:t> </w:t>
      </w:r>
      <w:r>
        <w:rPr>
          <w:w w:val="105"/>
        </w:rPr>
        <w:t>losers” </w:t>
      </w:r>
      <w:r>
        <w:rPr/>
        <w:t>(Financial Times 2016). Then, in May 2017, Xi Jinping announced that “[w]e will </w:t>
      </w:r>
      <w:r>
        <w:rPr>
          <w:spacing w:val="-2"/>
          <w:w w:val="105"/>
        </w:rPr>
        <w:t>[...]</w:t>
      </w:r>
      <w:r>
        <w:rPr>
          <w:spacing w:val="-7"/>
          <w:w w:val="105"/>
        </w:rPr>
        <w:t> </w:t>
      </w:r>
      <w:r>
        <w:rPr>
          <w:spacing w:val="-2"/>
          <w:w w:val="105"/>
        </w:rPr>
        <w:t>strengthen</w:t>
      </w:r>
      <w:r>
        <w:rPr>
          <w:spacing w:val="-7"/>
          <w:w w:val="105"/>
        </w:rPr>
        <w:t> </w:t>
      </w:r>
      <w:r>
        <w:rPr>
          <w:spacing w:val="-2"/>
          <w:w w:val="105"/>
        </w:rPr>
        <w:t>international</w:t>
      </w:r>
      <w:r>
        <w:rPr>
          <w:spacing w:val="-7"/>
          <w:w w:val="105"/>
        </w:rPr>
        <w:t> </w:t>
      </w:r>
      <w:r>
        <w:rPr>
          <w:spacing w:val="-2"/>
          <w:w w:val="105"/>
        </w:rPr>
        <w:t>cooperation</w:t>
      </w:r>
      <w:r>
        <w:rPr>
          <w:spacing w:val="-7"/>
          <w:w w:val="105"/>
        </w:rPr>
        <w:t> </w:t>
      </w:r>
      <w:r>
        <w:rPr>
          <w:spacing w:val="-2"/>
          <w:w w:val="105"/>
        </w:rPr>
        <w:t>on</w:t>
      </w:r>
      <w:r>
        <w:rPr>
          <w:spacing w:val="-7"/>
          <w:w w:val="105"/>
        </w:rPr>
        <w:t> </w:t>
      </w:r>
      <w:r>
        <w:rPr>
          <w:spacing w:val="-2"/>
          <w:w w:val="105"/>
        </w:rPr>
        <w:t>anti-corruption</w:t>
      </w:r>
      <w:r>
        <w:rPr>
          <w:spacing w:val="-7"/>
          <w:w w:val="105"/>
        </w:rPr>
        <w:t> </w:t>
      </w:r>
      <w:r>
        <w:rPr>
          <w:spacing w:val="-2"/>
          <w:w w:val="105"/>
        </w:rPr>
        <w:t>in</w:t>
      </w:r>
      <w:r>
        <w:rPr>
          <w:spacing w:val="-7"/>
          <w:w w:val="105"/>
        </w:rPr>
        <w:t> </w:t>
      </w:r>
      <w:r>
        <w:rPr>
          <w:spacing w:val="-2"/>
          <w:w w:val="105"/>
        </w:rPr>
        <w:t>order</w:t>
      </w:r>
      <w:r>
        <w:rPr>
          <w:spacing w:val="-7"/>
          <w:w w:val="105"/>
        </w:rPr>
        <w:t> </w:t>
      </w:r>
      <w:r>
        <w:rPr>
          <w:spacing w:val="-2"/>
          <w:w w:val="105"/>
        </w:rPr>
        <w:t>to</w:t>
      </w:r>
      <w:r>
        <w:rPr>
          <w:spacing w:val="-7"/>
          <w:w w:val="105"/>
        </w:rPr>
        <w:t> </w:t>
      </w:r>
      <w:r>
        <w:rPr>
          <w:spacing w:val="-2"/>
          <w:w w:val="105"/>
        </w:rPr>
        <w:t>build</w:t>
      </w:r>
      <w:r>
        <w:rPr>
          <w:spacing w:val="-7"/>
          <w:w w:val="105"/>
        </w:rPr>
        <w:t> </w:t>
      </w:r>
      <w:r>
        <w:rPr>
          <w:spacing w:val="-2"/>
          <w:w w:val="105"/>
        </w:rPr>
        <w:t>the </w:t>
      </w:r>
      <w:r>
        <w:rPr>
          <w:w w:val="105"/>
        </w:rPr>
        <w:t>Belt</w:t>
      </w:r>
      <w:r>
        <w:rPr>
          <w:spacing w:val="-12"/>
          <w:w w:val="105"/>
        </w:rPr>
        <w:t> </w:t>
      </w:r>
      <w:r>
        <w:rPr>
          <w:w w:val="105"/>
        </w:rPr>
        <w:t>and</w:t>
      </w:r>
      <w:r>
        <w:rPr>
          <w:spacing w:val="-12"/>
          <w:w w:val="105"/>
        </w:rPr>
        <w:t> </w:t>
      </w:r>
      <w:r>
        <w:rPr>
          <w:w w:val="105"/>
        </w:rPr>
        <w:t>Road</w:t>
      </w:r>
      <w:r>
        <w:rPr>
          <w:spacing w:val="-12"/>
          <w:w w:val="105"/>
        </w:rPr>
        <w:t> </w:t>
      </w:r>
      <w:r>
        <w:rPr>
          <w:w w:val="105"/>
        </w:rPr>
        <w:t>Initiative</w:t>
      </w:r>
      <w:r>
        <w:rPr>
          <w:spacing w:val="-12"/>
          <w:w w:val="105"/>
        </w:rPr>
        <w:t> </w:t>
      </w:r>
      <w:r>
        <w:rPr>
          <w:w w:val="105"/>
        </w:rPr>
        <w:t>with</w:t>
      </w:r>
      <w:r>
        <w:rPr>
          <w:spacing w:val="-12"/>
          <w:w w:val="105"/>
        </w:rPr>
        <w:t> </w:t>
      </w:r>
      <w:r>
        <w:rPr>
          <w:w w:val="105"/>
        </w:rPr>
        <w:t>integrity.”</w:t>
      </w:r>
      <w:r>
        <w:rPr>
          <w:w w:val="105"/>
          <w:vertAlign w:val="superscript"/>
        </w:rPr>
        <w:t>[3]</w:t>
      </w:r>
      <w:r>
        <w:rPr>
          <w:spacing w:val="-13"/>
          <w:w w:val="105"/>
          <w:vertAlign w:val="baseline"/>
        </w:rPr>
        <w:t> </w:t>
      </w:r>
      <w:r>
        <w:rPr>
          <w:w w:val="105"/>
          <w:vertAlign w:val="baseline"/>
        </w:rPr>
        <w:t>He</w:t>
      </w:r>
      <w:r>
        <w:rPr>
          <w:spacing w:val="-12"/>
          <w:w w:val="105"/>
          <w:vertAlign w:val="baseline"/>
        </w:rPr>
        <w:t> </w:t>
      </w:r>
      <w:r>
        <w:rPr>
          <w:w w:val="105"/>
          <w:vertAlign w:val="baseline"/>
        </w:rPr>
        <w:t>delivered</w:t>
      </w:r>
      <w:r>
        <w:rPr>
          <w:spacing w:val="-12"/>
          <w:w w:val="105"/>
          <w:vertAlign w:val="baseline"/>
        </w:rPr>
        <w:t> </w:t>
      </w:r>
      <w:r>
        <w:rPr>
          <w:w w:val="105"/>
          <w:vertAlign w:val="baseline"/>
        </w:rPr>
        <w:t>a</w:t>
      </w:r>
      <w:r>
        <w:rPr>
          <w:spacing w:val="-12"/>
          <w:w w:val="105"/>
          <w:vertAlign w:val="baseline"/>
        </w:rPr>
        <w:t> </w:t>
      </w:r>
      <w:r>
        <w:rPr>
          <w:w w:val="105"/>
          <w:vertAlign w:val="baseline"/>
        </w:rPr>
        <w:t>similar</w:t>
      </w:r>
      <w:r>
        <w:rPr>
          <w:spacing w:val="-12"/>
          <w:w w:val="105"/>
          <w:vertAlign w:val="baseline"/>
        </w:rPr>
        <w:t> </w:t>
      </w:r>
      <w:r>
        <w:rPr>
          <w:w w:val="105"/>
          <w:vertAlign w:val="baseline"/>
        </w:rPr>
        <w:t>message</w:t>
      </w:r>
      <w:r>
        <w:rPr>
          <w:spacing w:val="-12"/>
          <w:w w:val="105"/>
          <w:vertAlign w:val="baseline"/>
        </w:rPr>
        <w:t> </w:t>
      </w:r>
      <w:r>
        <w:rPr>
          <w:w w:val="105"/>
          <w:vertAlign w:val="baseline"/>
        </w:rPr>
        <w:t>in September</w:t>
      </w:r>
      <w:r>
        <w:rPr>
          <w:spacing w:val="-10"/>
          <w:w w:val="105"/>
          <w:vertAlign w:val="baseline"/>
        </w:rPr>
        <w:t> </w:t>
      </w:r>
      <w:r>
        <w:rPr>
          <w:w w:val="105"/>
          <w:vertAlign w:val="baseline"/>
        </w:rPr>
        <w:t>2018:</w:t>
      </w:r>
      <w:r>
        <w:rPr>
          <w:spacing w:val="-10"/>
          <w:w w:val="105"/>
          <w:vertAlign w:val="baseline"/>
        </w:rPr>
        <w:t> </w:t>
      </w:r>
      <w:r>
        <w:rPr>
          <w:w w:val="105"/>
          <w:vertAlign w:val="baseline"/>
        </w:rPr>
        <w:t>ﬁnancing</w:t>
      </w:r>
      <w:r>
        <w:rPr>
          <w:spacing w:val="-10"/>
          <w:w w:val="105"/>
          <w:vertAlign w:val="baseline"/>
        </w:rPr>
        <w:t> </w:t>
      </w:r>
      <w:r>
        <w:rPr>
          <w:w w:val="105"/>
          <w:vertAlign w:val="baseline"/>
        </w:rPr>
        <w:t>from</w:t>
      </w:r>
      <w:r>
        <w:rPr>
          <w:spacing w:val="-10"/>
          <w:w w:val="105"/>
          <w:vertAlign w:val="baseline"/>
        </w:rPr>
        <w:t> </w:t>
      </w:r>
      <w:r>
        <w:rPr>
          <w:w w:val="105"/>
          <w:vertAlign w:val="baseline"/>
        </w:rPr>
        <w:t>China</w:t>
      </w:r>
      <w:r>
        <w:rPr>
          <w:spacing w:val="-10"/>
          <w:w w:val="105"/>
          <w:vertAlign w:val="baseline"/>
        </w:rPr>
        <w:t> </w:t>
      </w:r>
      <w:r>
        <w:rPr>
          <w:w w:val="105"/>
          <w:vertAlign w:val="baseline"/>
        </w:rPr>
        <w:t>was</w:t>
      </w:r>
      <w:r>
        <w:rPr>
          <w:spacing w:val="-10"/>
          <w:w w:val="105"/>
          <w:vertAlign w:val="baseline"/>
        </w:rPr>
        <w:t> </w:t>
      </w:r>
      <w:r>
        <w:rPr>
          <w:w w:val="105"/>
          <w:vertAlign w:val="baseline"/>
        </w:rPr>
        <w:t>“not</w:t>
      </w:r>
      <w:r>
        <w:rPr>
          <w:spacing w:val="-10"/>
          <w:w w:val="105"/>
          <w:vertAlign w:val="baseline"/>
        </w:rPr>
        <w:t> </w:t>
      </w:r>
      <w:r>
        <w:rPr>
          <w:w w:val="105"/>
          <w:vertAlign w:val="baseline"/>
        </w:rPr>
        <w:t>to</w:t>
      </w:r>
      <w:r>
        <w:rPr>
          <w:spacing w:val="-10"/>
          <w:w w:val="105"/>
          <w:vertAlign w:val="baseline"/>
        </w:rPr>
        <w:t> </w:t>
      </w:r>
      <w:r>
        <w:rPr>
          <w:w w:val="105"/>
          <w:vertAlign w:val="baseline"/>
        </w:rPr>
        <w:t>be</w:t>
      </w:r>
      <w:r>
        <w:rPr>
          <w:spacing w:val="-10"/>
          <w:w w:val="105"/>
          <w:vertAlign w:val="baseline"/>
        </w:rPr>
        <w:t> </w:t>
      </w:r>
      <w:r>
        <w:rPr>
          <w:w w:val="105"/>
          <w:vertAlign w:val="baseline"/>
        </w:rPr>
        <w:t>spent</w:t>
      </w:r>
      <w:r>
        <w:rPr>
          <w:spacing w:val="-10"/>
          <w:w w:val="105"/>
          <w:vertAlign w:val="baseline"/>
        </w:rPr>
        <w:t> </w:t>
      </w:r>
      <w:r>
        <w:rPr>
          <w:w w:val="105"/>
          <w:vertAlign w:val="baseline"/>
        </w:rPr>
        <w:t>on</w:t>
      </w:r>
      <w:r>
        <w:rPr>
          <w:spacing w:val="-10"/>
          <w:w w:val="105"/>
          <w:vertAlign w:val="baseline"/>
        </w:rPr>
        <w:t> </w:t>
      </w:r>
      <w:r>
        <w:rPr>
          <w:w w:val="105"/>
          <w:vertAlign w:val="baseline"/>
        </w:rPr>
        <w:t>any</w:t>
      </w:r>
      <w:r>
        <w:rPr>
          <w:spacing w:val="-10"/>
          <w:w w:val="105"/>
          <w:vertAlign w:val="baseline"/>
        </w:rPr>
        <w:t> </w:t>
      </w:r>
      <w:r>
        <w:rPr>
          <w:w w:val="105"/>
          <w:vertAlign w:val="baseline"/>
        </w:rPr>
        <w:t>vanity projects but in places where they count the most.”</w:t>
      </w:r>
      <w:r>
        <w:rPr>
          <w:w w:val="105"/>
          <w:vertAlign w:val="superscript"/>
        </w:rPr>
        <w:t>[4]</w:t>
      </w:r>
    </w:p>
    <w:p>
      <w:pPr>
        <w:spacing w:after="0"/>
        <w:jc w:val="left"/>
        <w:rPr>
          <w:sz w:val="18"/>
        </w:rPr>
        <w:sectPr>
          <w:pgSz w:w="12240" w:h="15840"/>
          <w:pgMar w:header="0" w:footer="720" w:top="1400" w:bottom="920" w:left="1340" w:right="1340"/>
        </w:sectPr>
      </w:pPr>
    </w:p>
    <w:p>
      <w:pPr>
        <w:pStyle w:val="BodyText"/>
        <w:spacing w:line="333" w:lineRule="auto" w:before="27"/>
        <w:ind w:left="460" w:right="669"/>
      </w:pPr>
      <w:r>
        <w:rPr/>
        <w:t>Calls for a major overhaul of the country’s ﬂagship global infrastructure initiative—dubbed “BRI 2.0”—grew louder over the course of the next two</w:t>
      </w:r>
      <w:r>
        <w:rPr>
          <w:spacing w:val="40"/>
        </w:rPr>
        <w:t> </w:t>
      </w:r>
      <w:r>
        <w:rPr/>
        <w:t>years. In April 2019, at the Second Belt and Road Forum for International Cooperation, Xi announced that the next phase of the BRI (“BRI 2.0”) would </w:t>
      </w:r>
      <w:r>
        <w:rPr/>
        <w:t>be “open, green and clean” (Ministry of Foreign Affairs of the People’s Republic of China 2019). He also said that China would “adopt widely accepted rules and standards and encourage participating companies to follow general</w:t>
      </w:r>
      <w:r>
        <w:rPr>
          <w:spacing w:val="40"/>
        </w:rPr>
        <w:t> </w:t>
      </w:r>
      <w:r>
        <w:rPr/>
        <w:t>international rules and standards in project development, operation, procurement and tendering and bidding” (Ministry of Foreign Affairs of the People's Republic of China 2019). Then, in 2020, Beijing signaled interest in “multilateralizing” the BRI and harmonizing some of its policies and practices with prevailing international development ﬁnance rules and standards.</w:t>
      </w:r>
      <w:r>
        <w:rPr>
          <w:vertAlign w:val="superscript"/>
        </w:rPr>
        <w:t>[5]</w:t>
      </w:r>
    </w:p>
    <w:p>
      <w:pPr>
        <w:pStyle w:val="BodyText"/>
        <w:spacing w:before="3"/>
        <w:rPr>
          <w:sz w:val="27"/>
        </w:rPr>
      </w:pPr>
    </w:p>
    <w:p>
      <w:pPr>
        <w:pStyle w:val="BodyText"/>
        <w:spacing w:line="333" w:lineRule="auto"/>
        <w:ind w:left="460" w:right="491"/>
      </w:pPr>
      <w:r>
        <w:t>However, it is unclear if these rhetorical commitments have translated into signiﬁcant changes in the way that Beijing administers its overseas development program. Some “China watchers” have expressed skepticism that Beijing is sincerely interested in ﬁnancing, designing, and implementing infrastructure projects in coordination and collaboration with multilateral institutions and Western powers. One reason to question the credibility of Beijing’s commitment to BRI 2.0 is that the country’s comparative advantages (scale, speed, and near-term economic impact) vis-à-vis OECD-DAC donors and multilateral development banks may not be fully compatible with BRI multilateralization.[6] Another reason is that China has a long track record of engaging in strictly bilateral, “go-it-alone” efforts to manage overseas crises.[7] Intensifying competition in the global infrastructure ﬁnance market presents an additional challenge: the U.S., the U.K., and the other members of the G7 are now promoting a Partnership for Global Infrastructure and Investment (PGII)—previously known as the Build Back Better World (B3W) initiative—that they characterize as an alternative, higher quality option for countries that want to undertake infrastructure projects based on the principles of sustainable and transparent ﬁnancing, public sector mobilization of private capital, consultation and partnership with local communities, and strict adherence to environmental, social, and governance (ESG) safeguards.[8] Therefore, if Beijing wanted to protect the BRI brand by spreading reputational risk across a larger group of donors and lenders, it would have to secure the buy-in of a set of actors who do not seem to be particularly interested in collaboration (Parks 2019; Dreher et al. 2022).</w:t>
      </w:r>
    </w:p>
    <w:p>
      <w:pPr>
        <w:pStyle w:val="BodyText"/>
        <w:spacing w:before="1"/>
        <w:rPr>
          <w:sz w:val="27"/>
        </w:rPr>
      </w:pPr>
      <w:r>
        <w:rPr/>
        <w:pict>
          <v:shape style="position:absolute;margin-left:90pt;margin-top:16.814014pt;width:144pt;height:.1pt;mso-position-horizontal-relative:page;mso-position-vertical-relative:paragraph;z-index:-15727104;mso-wrap-distance-left:0;mso-wrap-distance-right:0" id="docshape4" coordorigin="1800,336" coordsize="2880,0" path="m1800,336l4680,33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pStyle w:val="BodyText"/>
        <w:spacing w:before="4"/>
        <w:rPr>
          <w:sz w:val="27"/>
        </w:rPr>
      </w:pPr>
    </w:p>
    <w:p>
      <w:pPr>
        <w:pStyle w:val="BodyText"/>
        <w:spacing w:line="333" w:lineRule="auto"/>
        <w:ind w:left="460" w:right="563"/>
      </w:pPr>
      <w:r>
        <w:t>Regardless of whether China can convince traditional donors and lenders to jump on the BRI bandwagon, there are indications that a reboot of the infrastructure initiative is underway. In November 2017, the country's top banking regulator—China Banking Regulatory Commission (CBRC)—introduced new rules that require China Development Bank (CDB) and China Eximbank to put in place more robust environmental and social risk management procedures (CBRC 2017a, 2017b). Then, in 2021, China’s State Administration of Foreign Exchange (SAFE)—the ultimate source of funding for most of China’s state-owned policy banks, commercial banks, and investment funds (see Box 2b in Chapter 2)—announced that it would prioritize “adopting MDB’s ESG criteria” and “incorporating ESG principles into the whole project investment process from decision-making to post-investment management” (SAFE 2021: 54). At the same time, SAFE’s parent organization (the PBOC) called for a reduction in collateralized lending to overseas borrowers that present high levels of repayment risk (Chen 2023: 1173).[9]</w:t>
      </w:r>
    </w:p>
    <w:p>
      <w:pPr>
        <w:pStyle w:val="BodyText"/>
        <w:spacing w:before="1"/>
        <w:rPr>
          <w:sz w:val="27"/>
        </w:rPr>
      </w:pPr>
    </w:p>
    <w:p>
      <w:pPr>
        <w:pStyle w:val="BodyText"/>
        <w:spacing w:line="333" w:lineRule="auto"/>
        <w:ind w:left="460" w:right="485"/>
      </w:pPr>
      <w:r>
        <w:t>In this chapter, we document the evolving nature, scale, and composition of China’s overseas development program. We also explain why China has pivoted into an international crisis manager role and how it is seeking to manage three different types of risk in its overseas project portfolio: (1) repayment risk, (2) ESG-related project performance risk, and (3) reputational risk.</w:t>
      </w:r>
    </w:p>
    <w:p>
      <w:pPr>
        <w:spacing w:after="0" w:line="249" w:lineRule="auto"/>
        <w:jc w:val="left"/>
        <w:rPr>
          <w:sz w:val="18"/>
        </w:rPr>
        <w:sectPr>
          <w:pgSz w:w="12240" w:h="15840"/>
          <w:pgMar w:header="0" w:footer="720" w:top="1400" w:bottom="920" w:left="1340" w:right="1340"/>
        </w:sectPr>
      </w:pPr>
    </w:p>
    <w:p>
      <w:pPr>
        <w:pStyle w:val="BodyText"/>
        <w:spacing w:before="8"/>
        <w:rPr>
          <w:sz w:val="27"/>
        </w:rPr>
      </w:pPr>
    </w:p>
    <w:p>
      <w:pPr>
        <w:pStyle w:val="BodyText"/>
        <w:spacing w:line="333" w:lineRule="auto"/>
        <w:ind w:left="460" w:right="535"/>
      </w:pPr>
      <w:r>
        <w:rPr>
          <w:spacing w:val="-2"/>
          <w:w w:val="105"/>
        </w:rPr>
        <w:t>In</w:t>
      </w:r>
      <w:r>
        <w:rPr>
          <w:spacing w:val="-12"/>
          <w:w w:val="105"/>
        </w:rPr>
        <w:t> </w:t>
      </w:r>
      <w:r>
        <w:rPr>
          <w:spacing w:val="-2"/>
          <w:w w:val="105"/>
        </w:rPr>
        <w:t>Chapters</w:t>
      </w:r>
      <w:r>
        <w:rPr>
          <w:spacing w:val="-12"/>
          <w:w w:val="105"/>
        </w:rPr>
        <w:t> </w:t>
      </w:r>
      <w:r>
        <w:rPr>
          <w:spacing w:val="-2"/>
          <w:w w:val="105"/>
        </w:rPr>
        <w:t>2</w:t>
      </w:r>
      <w:r>
        <w:rPr>
          <w:spacing w:val="-12"/>
          <w:w w:val="105"/>
        </w:rPr>
        <w:t> </w:t>
      </w:r>
      <w:r>
        <w:rPr>
          <w:spacing w:val="-2"/>
          <w:w w:val="105"/>
        </w:rPr>
        <w:t>and</w:t>
      </w:r>
      <w:r>
        <w:rPr>
          <w:spacing w:val="-12"/>
          <w:w w:val="105"/>
        </w:rPr>
        <w:t> </w:t>
      </w:r>
      <w:r>
        <w:rPr>
          <w:spacing w:val="-2"/>
          <w:w w:val="105"/>
        </w:rPr>
        <w:t>3,</w:t>
      </w:r>
      <w:r>
        <w:rPr>
          <w:spacing w:val="-12"/>
          <w:w w:val="105"/>
        </w:rPr>
        <w:t> </w:t>
      </w:r>
      <w:r>
        <w:rPr>
          <w:spacing w:val="-2"/>
          <w:w w:val="105"/>
        </w:rPr>
        <w:t>we</w:t>
      </w:r>
      <w:r>
        <w:rPr>
          <w:spacing w:val="-12"/>
          <w:w w:val="105"/>
        </w:rPr>
        <w:t> </w:t>
      </w:r>
      <w:r>
        <w:rPr>
          <w:spacing w:val="-2"/>
          <w:w w:val="105"/>
        </w:rPr>
        <w:t>identify</w:t>
      </w:r>
      <w:r>
        <w:rPr>
          <w:spacing w:val="-12"/>
          <w:w w:val="105"/>
        </w:rPr>
        <w:t> </w:t>
      </w:r>
      <w:r>
        <w:rPr>
          <w:spacing w:val="-2"/>
          <w:w w:val="105"/>
        </w:rPr>
        <w:t>the</w:t>
      </w:r>
      <w:r>
        <w:rPr>
          <w:spacing w:val="-12"/>
          <w:w w:val="105"/>
        </w:rPr>
        <w:t> </w:t>
      </w:r>
      <w:r>
        <w:rPr>
          <w:spacing w:val="-2"/>
          <w:w w:val="105"/>
        </w:rPr>
        <w:t>speciﬁc</w:t>
      </w:r>
      <w:r>
        <w:rPr>
          <w:spacing w:val="-12"/>
          <w:w w:val="105"/>
        </w:rPr>
        <w:t> </w:t>
      </w:r>
      <w:r>
        <w:rPr>
          <w:spacing w:val="-2"/>
          <w:w w:val="105"/>
        </w:rPr>
        <w:t>measures</w:t>
      </w:r>
      <w:r>
        <w:rPr>
          <w:spacing w:val="-12"/>
          <w:w w:val="105"/>
        </w:rPr>
        <w:t> </w:t>
      </w:r>
      <w:r>
        <w:rPr>
          <w:spacing w:val="-2"/>
          <w:w w:val="105"/>
        </w:rPr>
        <w:t>that</w:t>
      </w:r>
      <w:r>
        <w:rPr>
          <w:spacing w:val="-12"/>
          <w:w w:val="105"/>
        </w:rPr>
        <w:t> </w:t>
      </w:r>
      <w:r>
        <w:rPr>
          <w:spacing w:val="-2"/>
          <w:w w:val="105"/>
        </w:rPr>
        <w:t>Beijing</w:t>
      </w:r>
      <w:r>
        <w:rPr>
          <w:spacing w:val="-12"/>
          <w:w w:val="105"/>
        </w:rPr>
        <w:t> </w:t>
      </w:r>
      <w:r>
        <w:rPr>
          <w:spacing w:val="-2"/>
          <w:w w:val="105"/>
        </w:rPr>
        <w:t>has</w:t>
      </w:r>
      <w:r>
        <w:rPr>
          <w:spacing w:val="-12"/>
          <w:w w:val="105"/>
        </w:rPr>
        <w:t> </w:t>
      </w:r>
      <w:r>
        <w:rPr>
          <w:spacing w:val="-2"/>
          <w:w w:val="105"/>
        </w:rPr>
        <w:t>taken</w:t>
      </w:r>
      <w:r>
        <w:rPr>
          <w:spacing w:val="-12"/>
          <w:w w:val="105"/>
        </w:rPr>
        <w:t> </w:t>
      </w:r>
      <w:r>
        <w:rPr>
          <w:spacing w:val="-2"/>
          <w:w w:val="105"/>
        </w:rPr>
        <w:t>to </w:t>
      </w:r>
      <w:r>
        <w:rPr/>
        <w:t>de-risk its overseas development ﬁnance portfolio, and evaluate whether these changes are consistent with its rhetorical commitments to multilateralization </w:t>
      </w:r>
      <w:r>
        <w:rPr/>
        <w:t>and </w:t>
      </w:r>
      <w:r>
        <w:rPr>
          <w:w w:val="105"/>
        </w:rPr>
        <w:t>harmonization</w:t>
      </w:r>
      <w:r>
        <w:rPr>
          <w:spacing w:val="-15"/>
          <w:w w:val="105"/>
        </w:rPr>
        <w:t> </w:t>
      </w:r>
      <w:r>
        <w:rPr>
          <w:w w:val="105"/>
        </w:rPr>
        <w:t>with</w:t>
      </w:r>
      <w:r>
        <w:rPr>
          <w:spacing w:val="-15"/>
          <w:w w:val="105"/>
        </w:rPr>
        <w:t> </w:t>
      </w:r>
      <w:r>
        <w:rPr>
          <w:w w:val="105"/>
        </w:rPr>
        <w:t>the</w:t>
      </w:r>
      <w:r>
        <w:rPr>
          <w:spacing w:val="-15"/>
          <w:w w:val="105"/>
        </w:rPr>
        <w:t> </w:t>
      </w:r>
      <w:r>
        <w:rPr>
          <w:w w:val="105"/>
        </w:rPr>
        <w:t>prevailing</w:t>
      </w:r>
      <w:r>
        <w:rPr>
          <w:spacing w:val="-15"/>
          <w:w w:val="105"/>
        </w:rPr>
        <w:t> </w:t>
      </w:r>
      <w:r>
        <w:rPr>
          <w:w w:val="105"/>
        </w:rPr>
        <w:t>international</w:t>
      </w:r>
      <w:r>
        <w:rPr>
          <w:spacing w:val="-15"/>
          <w:w w:val="105"/>
        </w:rPr>
        <w:t> </w:t>
      </w:r>
      <w:r>
        <w:rPr>
          <w:w w:val="105"/>
        </w:rPr>
        <w:t>development</w:t>
      </w:r>
      <w:r>
        <w:rPr>
          <w:spacing w:val="-15"/>
          <w:w w:val="105"/>
        </w:rPr>
        <w:t> </w:t>
      </w:r>
      <w:r>
        <w:rPr>
          <w:w w:val="105"/>
        </w:rPr>
        <w:t>ﬁnance</w:t>
      </w:r>
      <w:r>
        <w:rPr>
          <w:spacing w:val="-15"/>
          <w:w w:val="105"/>
        </w:rPr>
        <w:t> </w:t>
      </w:r>
      <w:r>
        <w:rPr>
          <w:w w:val="105"/>
        </w:rPr>
        <w:t>rules</w:t>
      </w:r>
      <w:r>
        <w:rPr>
          <w:spacing w:val="-15"/>
          <w:w w:val="105"/>
        </w:rPr>
        <w:t> </w:t>
      </w:r>
      <w:r>
        <w:rPr>
          <w:w w:val="105"/>
        </w:rPr>
        <w:t>and standards.</w:t>
      </w:r>
      <w:r>
        <w:rPr>
          <w:spacing w:val="-18"/>
          <w:w w:val="105"/>
        </w:rPr>
        <w:t> </w:t>
      </w:r>
      <w:r>
        <w:rPr>
          <w:w w:val="105"/>
        </w:rPr>
        <w:t>Then,</w:t>
      </w:r>
      <w:r>
        <w:rPr>
          <w:spacing w:val="-17"/>
          <w:w w:val="105"/>
        </w:rPr>
        <w:t> </w:t>
      </w:r>
      <w:r>
        <w:rPr>
          <w:w w:val="105"/>
        </w:rPr>
        <w:t>in</w:t>
      </w:r>
      <w:r>
        <w:rPr>
          <w:spacing w:val="-18"/>
          <w:w w:val="105"/>
        </w:rPr>
        <w:t> </w:t>
      </w:r>
      <w:r>
        <w:rPr>
          <w:w w:val="105"/>
        </w:rPr>
        <w:t>Chapter</w:t>
      </w:r>
      <w:r>
        <w:rPr>
          <w:spacing w:val="-18"/>
          <w:w w:val="105"/>
        </w:rPr>
        <w:t> </w:t>
      </w:r>
      <w:r>
        <w:rPr>
          <w:w w:val="105"/>
        </w:rPr>
        <w:t>4,</w:t>
      </w:r>
      <w:r>
        <w:rPr>
          <w:spacing w:val="-17"/>
          <w:w w:val="105"/>
        </w:rPr>
        <w:t> </w:t>
      </w:r>
      <w:r>
        <w:rPr>
          <w:w w:val="105"/>
        </w:rPr>
        <w:t>we</w:t>
      </w:r>
      <w:r>
        <w:rPr>
          <w:spacing w:val="-18"/>
          <w:w w:val="105"/>
        </w:rPr>
        <w:t> </w:t>
      </w:r>
      <w:r>
        <w:rPr>
          <w:w w:val="105"/>
        </w:rPr>
        <w:t>explain</w:t>
      </w:r>
      <w:r>
        <w:rPr>
          <w:spacing w:val="-17"/>
          <w:w w:val="105"/>
        </w:rPr>
        <w:t> </w:t>
      </w:r>
      <w:r>
        <w:rPr>
          <w:w w:val="105"/>
        </w:rPr>
        <w:t>how</w:t>
      </w:r>
      <w:r>
        <w:rPr>
          <w:spacing w:val="-18"/>
          <w:w w:val="105"/>
        </w:rPr>
        <w:t> </w:t>
      </w:r>
      <w:r>
        <w:rPr>
          <w:w w:val="105"/>
        </w:rPr>
        <w:t>China</w:t>
      </w:r>
      <w:r>
        <w:rPr>
          <w:spacing w:val="-17"/>
          <w:w w:val="105"/>
        </w:rPr>
        <w:t> </w:t>
      </w:r>
      <w:r>
        <w:rPr>
          <w:w w:val="105"/>
        </w:rPr>
        <w:t>has</w:t>
      </w:r>
      <w:r>
        <w:rPr>
          <w:spacing w:val="-18"/>
          <w:w w:val="105"/>
        </w:rPr>
        <w:t> </w:t>
      </w:r>
      <w:r>
        <w:rPr>
          <w:w w:val="105"/>
        </w:rPr>
        <w:t>used</w:t>
      </w:r>
      <w:r>
        <w:rPr>
          <w:spacing w:val="-17"/>
          <w:w w:val="105"/>
        </w:rPr>
        <w:t> </w:t>
      </w:r>
      <w:r>
        <w:rPr>
          <w:w w:val="105"/>
        </w:rPr>
        <w:t>aid</w:t>
      </w:r>
      <w:r>
        <w:rPr>
          <w:spacing w:val="-18"/>
          <w:w w:val="105"/>
        </w:rPr>
        <w:t> </w:t>
      </w:r>
      <w:r>
        <w:rPr>
          <w:w w:val="105"/>
        </w:rPr>
        <w:t>and</w:t>
      </w:r>
      <w:r>
        <w:rPr>
          <w:spacing w:val="-17"/>
          <w:w w:val="105"/>
        </w:rPr>
        <w:t> </w:t>
      </w:r>
      <w:r>
        <w:rPr>
          <w:w w:val="105"/>
        </w:rPr>
        <w:t>credit </w:t>
      </w:r>
      <w:r>
        <w:rPr/>
        <w:t>instruments to respond to the soft power gains and losses it has experienced in </w:t>
      </w:r>
      <w:r>
        <w:rPr>
          <w:w w:val="105"/>
        </w:rPr>
        <w:t>LICs</w:t>
      </w:r>
      <w:r>
        <w:rPr>
          <w:spacing w:val="-11"/>
          <w:w w:val="105"/>
        </w:rPr>
        <w:t> </w:t>
      </w:r>
      <w:r>
        <w:rPr>
          <w:w w:val="105"/>
        </w:rPr>
        <w:t>and</w:t>
      </w:r>
      <w:r>
        <w:rPr>
          <w:spacing w:val="-11"/>
          <w:w w:val="105"/>
        </w:rPr>
        <w:t> </w:t>
      </w:r>
      <w:r>
        <w:rPr>
          <w:w w:val="105"/>
        </w:rPr>
        <w:t>MICs.</w:t>
      </w:r>
      <w:r>
        <w:rPr>
          <w:spacing w:val="-11"/>
          <w:w w:val="105"/>
        </w:rPr>
        <w:t> </w:t>
      </w:r>
      <w:r>
        <w:rPr>
          <w:w w:val="105"/>
        </w:rPr>
        <w:t>Our</w:t>
      </w:r>
      <w:r>
        <w:rPr>
          <w:spacing w:val="-11"/>
          <w:w w:val="105"/>
        </w:rPr>
        <w:t> </w:t>
      </w:r>
      <w:r>
        <w:rPr>
          <w:w w:val="105"/>
        </w:rPr>
        <w:t>ﬁndings</w:t>
      </w:r>
      <w:r>
        <w:rPr>
          <w:spacing w:val="-11"/>
          <w:w w:val="105"/>
        </w:rPr>
        <w:t> </w:t>
      </w:r>
      <w:r>
        <w:rPr>
          <w:w w:val="105"/>
        </w:rPr>
        <w:t>suggest</w:t>
      </w:r>
      <w:r>
        <w:rPr>
          <w:spacing w:val="-11"/>
          <w:w w:val="105"/>
        </w:rPr>
        <w:t> </w:t>
      </w:r>
      <w:r>
        <w:rPr>
          <w:w w:val="105"/>
        </w:rPr>
        <w:t>that</w:t>
      </w:r>
      <w:r>
        <w:rPr>
          <w:spacing w:val="-11"/>
          <w:w w:val="105"/>
        </w:rPr>
        <w:t> </w:t>
      </w:r>
      <w:r>
        <w:rPr>
          <w:w w:val="105"/>
        </w:rPr>
        <w:t>the</w:t>
      </w:r>
      <w:r>
        <w:rPr>
          <w:spacing w:val="-11"/>
          <w:w w:val="105"/>
        </w:rPr>
        <w:t> </w:t>
      </w:r>
      <w:r>
        <w:rPr>
          <w:w w:val="105"/>
        </w:rPr>
        <w:t>ambition</w:t>
      </w:r>
      <w:r>
        <w:rPr>
          <w:spacing w:val="-11"/>
          <w:w w:val="105"/>
        </w:rPr>
        <w:t> </w:t>
      </w:r>
      <w:r>
        <w:rPr>
          <w:w w:val="105"/>
        </w:rPr>
        <w:t>of</w:t>
      </w:r>
      <w:r>
        <w:rPr>
          <w:spacing w:val="-11"/>
          <w:w w:val="105"/>
        </w:rPr>
        <w:t> </w:t>
      </w:r>
      <w:r>
        <w:rPr>
          <w:w w:val="105"/>
        </w:rPr>
        <w:t>Beijing’s</w:t>
      </w:r>
      <w:r>
        <w:rPr>
          <w:spacing w:val="-11"/>
          <w:w w:val="105"/>
        </w:rPr>
        <w:t> </w:t>
      </w:r>
      <w:r>
        <w:rPr>
          <w:w w:val="105"/>
        </w:rPr>
        <w:t>effort</w:t>
      </w:r>
      <w:r>
        <w:rPr>
          <w:spacing w:val="-11"/>
          <w:w w:val="105"/>
        </w:rPr>
        <w:t> </w:t>
      </w:r>
      <w:r>
        <w:rPr>
          <w:w w:val="105"/>
        </w:rPr>
        <w:t>to “future-proof”</w:t>
      </w:r>
      <w:r>
        <w:rPr>
          <w:spacing w:val="-2"/>
          <w:w w:val="105"/>
        </w:rPr>
        <w:t> </w:t>
      </w:r>
      <w:r>
        <w:rPr>
          <w:w w:val="105"/>
        </w:rPr>
        <w:t>its</w:t>
      </w:r>
      <w:r>
        <w:rPr>
          <w:spacing w:val="-2"/>
          <w:w w:val="105"/>
        </w:rPr>
        <w:t> </w:t>
      </w:r>
      <w:r>
        <w:rPr>
          <w:w w:val="105"/>
        </w:rPr>
        <w:t>overseas</w:t>
      </w:r>
      <w:r>
        <w:rPr>
          <w:spacing w:val="-2"/>
          <w:w w:val="105"/>
        </w:rPr>
        <w:t> </w:t>
      </w:r>
      <w:r>
        <w:rPr>
          <w:w w:val="105"/>
        </w:rPr>
        <w:t>development</w:t>
      </w:r>
      <w:r>
        <w:rPr>
          <w:spacing w:val="-2"/>
          <w:w w:val="105"/>
        </w:rPr>
        <w:t> </w:t>
      </w:r>
      <w:r>
        <w:rPr>
          <w:w w:val="105"/>
        </w:rPr>
        <w:t>ﬁnance</w:t>
      </w:r>
      <w:r>
        <w:rPr>
          <w:spacing w:val="-2"/>
          <w:w w:val="105"/>
        </w:rPr>
        <w:t> </w:t>
      </w:r>
      <w:r>
        <w:rPr>
          <w:w w:val="105"/>
        </w:rPr>
        <w:t>portfolio—and</w:t>
      </w:r>
      <w:r>
        <w:rPr>
          <w:spacing w:val="-2"/>
          <w:w w:val="105"/>
        </w:rPr>
        <w:t> </w:t>
      </w:r>
      <w:r>
        <w:rPr>
          <w:w w:val="105"/>
        </w:rPr>
        <w:t>its</w:t>
      </w:r>
      <w:r>
        <w:rPr>
          <w:spacing w:val="-2"/>
          <w:w w:val="105"/>
        </w:rPr>
        <w:t> </w:t>
      </w:r>
      <w:r>
        <w:rPr>
          <w:w w:val="105"/>
        </w:rPr>
        <w:t>ﬂagship, global</w:t>
      </w:r>
      <w:r>
        <w:rPr>
          <w:spacing w:val="-7"/>
          <w:w w:val="105"/>
        </w:rPr>
        <w:t> </w:t>
      </w:r>
      <w:r>
        <w:rPr>
          <w:w w:val="105"/>
        </w:rPr>
        <w:t>infrastructure</w:t>
      </w:r>
      <w:r>
        <w:rPr>
          <w:spacing w:val="-7"/>
          <w:w w:val="105"/>
        </w:rPr>
        <w:t> </w:t>
      </w:r>
      <w:r>
        <w:rPr>
          <w:w w:val="105"/>
        </w:rPr>
        <w:t>initiative—should</w:t>
      </w:r>
      <w:r>
        <w:rPr>
          <w:spacing w:val="-7"/>
          <w:w w:val="105"/>
        </w:rPr>
        <w:t> </w:t>
      </w:r>
      <w:r>
        <w:rPr>
          <w:w w:val="105"/>
        </w:rPr>
        <w:t>not</w:t>
      </w:r>
      <w:r>
        <w:rPr>
          <w:spacing w:val="-7"/>
          <w:w w:val="105"/>
        </w:rPr>
        <w:t> </w:t>
      </w:r>
      <w:r>
        <w:rPr>
          <w:w w:val="105"/>
        </w:rPr>
        <w:t>be</w:t>
      </w:r>
      <w:r>
        <w:rPr>
          <w:spacing w:val="-7"/>
          <w:w w:val="105"/>
        </w:rPr>
        <w:t> </w:t>
      </w:r>
      <w:r>
        <w:rPr>
          <w:w w:val="105"/>
        </w:rPr>
        <w:t>underestimated.</w:t>
      </w:r>
    </w:p>
    <w:p>
      <w:pPr>
        <w:pStyle w:val="BodyText"/>
        <w:spacing w:before="6"/>
        <w:rPr>
          <w:sz w:val="27"/>
        </w:rPr>
      </w:pPr>
    </w:p>
    <w:p>
      <w:pPr>
        <w:pStyle w:val="Heading3"/>
        <w:spacing w:line="312" w:lineRule="auto"/>
        <w:ind w:right="845"/>
      </w:pPr>
      <w:r>
        <w:rPr/>
        <w:t>Section 2: Myth-busting evidence about the scale and </w:t>
      </w:r>
      <w:r>
        <w:rPr>
          <w:spacing w:val="-2"/>
          <w:w w:val="105"/>
        </w:rPr>
        <w:t>composition</w:t>
      </w:r>
      <w:r>
        <w:rPr>
          <w:spacing w:val="-22"/>
          <w:w w:val="105"/>
        </w:rPr>
        <w:t> </w:t>
      </w:r>
      <w:r>
        <w:rPr>
          <w:spacing w:val="-2"/>
          <w:w w:val="105"/>
        </w:rPr>
        <w:t>of</w:t>
      </w:r>
      <w:r>
        <w:rPr>
          <w:spacing w:val="-21"/>
          <w:w w:val="105"/>
        </w:rPr>
        <w:t> </w:t>
      </w:r>
      <w:r>
        <w:rPr>
          <w:spacing w:val="-2"/>
          <w:w w:val="105"/>
        </w:rPr>
        <w:t>China’s</w:t>
      </w:r>
      <w:r>
        <w:rPr>
          <w:spacing w:val="-22"/>
          <w:w w:val="105"/>
        </w:rPr>
        <w:t> </w:t>
      </w:r>
      <w:r>
        <w:rPr>
          <w:spacing w:val="-2"/>
          <w:w w:val="105"/>
        </w:rPr>
        <w:t>overseas</w:t>
      </w:r>
      <w:r>
        <w:rPr>
          <w:spacing w:val="-21"/>
          <w:w w:val="105"/>
        </w:rPr>
        <w:t> </w:t>
      </w:r>
      <w:r>
        <w:rPr>
          <w:spacing w:val="-2"/>
          <w:w w:val="105"/>
        </w:rPr>
        <w:t>development program—and</w:t>
      </w:r>
      <w:r>
        <w:rPr>
          <w:spacing w:val="-17"/>
          <w:w w:val="105"/>
        </w:rPr>
        <w:t> </w:t>
      </w:r>
      <w:r>
        <w:rPr>
          <w:spacing w:val="-2"/>
          <w:w w:val="105"/>
        </w:rPr>
        <w:t>how</w:t>
      </w:r>
      <w:r>
        <w:rPr>
          <w:spacing w:val="-17"/>
          <w:w w:val="105"/>
        </w:rPr>
        <w:t> </w:t>
      </w:r>
      <w:r>
        <w:rPr>
          <w:spacing w:val="-2"/>
          <w:w w:val="105"/>
        </w:rPr>
        <w:t>its</w:t>
      </w:r>
      <w:r>
        <w:rPr>
          <w:spacing w:val="-16"/>
          <w:w w:val="105"/>
        </w:rPr>
        <w:t> </w:t>
      </w:r>
      <w:r>
        <w:rPr>
          <w:spacing w:val="-2"/>
          <w:w w:val="105"/>
        </w:rPr>
        <w:t>rivals</w:t>
      </w:r>
      <w:r>
        <w:rPr>
          <w:spacing w:val="-16"/>
          <w:w w:val="105"/>
        </w:rPr>
        <w:t> </w:t>
      </w:r>
      <w:r>
        <w:rPr>
          <w:spacing w:val="-2"/>
          <w:w w:val="105"/>
        </w:rPr>
        <w:t>have</w:t>
      </w:r>
      <w:r>
        <w:rPr>
          <w:spacing w:val="-16"/>
          <w:w w:val="105"/>
        </w:rPr>
        <w:t> </w:t>
      </w:r>
      <w:r>
        <w:rPr>
          <w:spacing w:val="-2"/>
          <w:w w:val="105"/>
        </w:rPr>
        <w:t>responded</w:t>
      </w:r>
    </w:p>
    <w:p>
      <w:pPr>
        <w:pStyle w:val="BodyText"/>
        <w:spacing w:line="333" w:lineRule="auto" w:before="164"/>
        <w:ind w:left="460" w:right="577"/>
      </w:pPr>
      <w:r>
        <w:t>AidData maintains the world’s most comprehensive dataset of international development ﬁnance commitments from China to the developing world. The latest (3.0) version of our Global Chinese Development Finance (GCDF) dataset captures 20,985 projects and activities in 146 countries supported by ﬁnancial and in-kind transfers worth $1.34 trillion from ofﬁcial sector institutions in China.[10] It covers every low-income, lower-middle income, and upper-middle income country and territory across every major world region, including Africa, Asia, Oceania, the Middle East, Latin America and the Caribbean, and Central and Eastern Europe (including 19 additional countries or territories where systematic searches were undertaken but no Chinese government-ﬁnanced projects and activities were identiﬁed). The dataset tracks projects and activities over 22 commitment years (2000-2021), and it includes details on the timing of project/activity implementation over a 24-year period (2000-2023). 17,957 records in the dataset represent formally approved, active, and completed projects and activities. The remaining 3,028 records in the 3.0 dataset represent (1) projects and activities that secured ofﬁcial ﬁnancial or in-kind commitments from China but were subsequently suspended or canceled; (2) projects and activities that secured pledges of ﬁnancial or in-kind support from ofﬁcial sector institutions in China but never reached the formal approval (ofﬁcial commitment) stage; and (3) so-called “umbrella” records that are designed to support multiple subsidiary projects and activities. Figure 1.1 presents the global distribution of approved, active, and completed projects and activities that were ﬁnanced with Ofﬁcial Development Assistance (ODA) and Other Ofﬁcial Flows (OOF) from China between 2000 and 2021.[11]</w:t>
      </w:r>
    </w:p>
    <w:p>
      <w:pPr>
        <w:pStyle w:val="BodyText"/>
        <w:spacing w:before="8"/>
      </w:pPr>
      <w:r>
        <w:rPr/>
        <w:pict>
          <v:shape style="position:absolute;margin-left:90pt;margin-top:15.413875pt;width:144pt;height:.1pt;mso-position-horizontal-relative:page;mso-position-vertical-relative:paragraph;z-index:-15726080;mso-wrap-distance-left:0;mso-wrap-distance-right:0" id="docshape6" coordorigin="1800,308" coordsize="2880,0" path="m1800,308l4680,30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pStyle w:val="BodyText"/>
        <w:rPr>
          <w:sz w:val="20"/>
        </w:rPr>
      </w:pPr>
    </w:p>
    <w:p>
      <w:pPr>
        <w:pStyle w:val="BodyText"/>
        <w:spacing w:before="3"/>
        <w:rPr>
          <w:sz w:val="18"/>
        </w:rPr>
      </w:pPr>
      <w:r>
        <w:rPr/>
        <w:pict>
          <v:shape style="position:absolute;margin-left:84pt;margin-top:11.708319pt;width:444pt;height:38pt;mso-position-horizontal-relative:page;mso-position-vertical-relative:paragraph;z-index:-15725568;mso-wrap-distance-left:0;mso-wrap-distance-right:0" type="#_x0000_t202" id="docshape7" filled="true" fillcolor="#5b666f" stroked="false">
            <v:textbox inset="0,0,0,0">
              <w:txbxContent>
                <w:p>
                  <w:pPr>
                    <w:spacing w:before="132"/>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1.1</w:t>
                  </w:r>
                </w:p>
              </w:txbxContent>
            </v:textbox>
            <v:fill type="solid"/>
            <w10:wrap type="topAndBottom"/>
          </v:shape>
        </w:pict>
      </w:r>
    </w:p>
    <w:p>
      <w:pPr>
        <w:pStyle w:val="Heading2"/>
        <w:spacing w:line="328" w:lineRule="auto" w:before="1"/>
        <w:ind w:left="460"/>
        <w:rPr>
          <w:rFonts w:ascii="Trebuchet MS" w:hAnsi="Trebuchet MS"/>
        </w:rPr>
      </w:pPr>
      <w:r>
        <w:rPr>
          <w:rFonts w:ascii="Trebuchet MS" w:hAnsi="Trebuchet MS"/>
          <w:spacing w:val="-4"/>
        </w:rPr>
        <w:t>The</w:t>
      </w:r>
      <w:r>
        <w:rPr>
          <w:rFonts w:ascii="Trebuchet MS" w:hAnsi="Trebuchet MS"/>
          <w:spacing w:val="-21"/>
        </w:rPr>
        <w:t> </w:t>
      </w:r>
      <w:r>
        <w:rPr>
          <w:rFonts w:ascii="Trebuchet MS" w:hAnsi="Trebuchet MS"/>
          <w:spacing w:val="-4"/>
        </w:rPr>
        <w:t>global</w:t>
      </w:r>
      <w:r>
        <w:rPr>
          <w:rFonts w:ascii="Trebuchet MS" w:hAnsi="Trebuchet MS"/>
          <w:spacing w:val="-20"/>
        </w:rPr>
        <w:t> </w:t>
      </w:r>
      <w:r>
        <w:rPr>
          <w:rFonts w:ascii="Trebuchet MS" w:hAnsi="Trebuchet MS"/>
          <w:spacing w:val="-4"/>
        </w:rPr>
        <w:t>distribution</w:t>
      </w:r>
      <w:r>
        <w:rPr>
          <w:rFonts w:ascii="Trebuchet MS" w:hAnsi="Trebuchet MS"/>
          <w:spacing w:val="-20"/>
        </w:rPr>
        <w:t> </w:t>
      </w:r>
      <w:r>
        <w:rPr>
          <w:rFonts w:ascii="Trebuchet MS" w:hAnsi="Trebuchet MS"/>
          <w:spacing w:val="-4"/>
        </w:rPr>
        <w:t>of</w:t>
      </w:r>
      <w:r>
        <w:rPr>
          <w:rFonts w:ascii="Trebuchet MS" w:hAnsi="Trebuchet MS"/>
          <w:spacing w:val="-20"/>
        </w:rPr>
        <w:t> </w:t>
      </w:r>
      <w:r>
        <w:rPr>
          <w:rFonts w:ascii="Trebuchet MS" w:hAnsi="Trebuchet MS"/>
          <w:spacing w:val="-4"/>
        </w:rPr>
        <w:t>Chinese</w:t>
      </w:r>
      <w:r>
        <w:rPr>
          <w:rFonts w:ascii="Trebuchet MS" w:hAnsi="Trebuchet MS"/>
          <w:spacing w:val="-20"/>
        </w:rPr>
        <w:t> </w:t>
      </w:r>
      <w:r>
        <w:rPr>
          <w:rFonts w:ascii="Trebuchet MS" w:hAnsi="Trebuchet MS"/>
          <w:spacing w:val="-4"/>
        </w:rPr>
        <w:t>ODA-</w:t>
      </w:r>
      <w:r>
        <w:rPr>
          <w:rFonts w:ascii="Trebuchet MS" w:hAnsi="Trebuchet MS"/>
          <w:spacing w:val="-20"/>
        </w:rPr>
        <w:t> </w:t>
      </w:r>
      <w:r>
        <w:rPr>
          <w:rFonts w:ascii="Trebuchet MS" w:hAnsi="Trebuchet MS"/>
          <w:spacing w:val="-4"/>
        </w:rPr>
        <w:t>and</w:t>
      </w:r>
      <w:r>
        <w:rPr>
          <w:rFonts w:ascii="Trebuchet MS" w:hAnsi="Trebuchet MS"/>
          <w:spacing w:val="-20"/>
        </w:rPr>
        <w:t> </w:t>
      </w:r>
      <w:r>
        <w:rPr>
          <w:rFonts w:ascii="Trebuchet MS" w:hAnsi="Trebuchet MS"/>
          <w:spacing w:val="-4"/>
        </w:rPr>
        <w:t>OOF-ﬁnanced </w:t>
      </w:r>
      <w:r>
        <w:rPr>
          <w:rFonts w:ascii="Trebuchet MS" w:hAnsi="Trebuchet MS"/>
        </w:rPr>
        <w:t>projects in LICs and MICs</w:t>
      </w:r>
    </w:p>
    <w:p>
      <w:pPr>
        <w:pStyle w:val="BodyText"/>
        <w:spacing w:before="7"/>
        <w:rPr>
          <w:rFonts w:ascii="Trebuchet MS"/>
          <w:b/>
          <w:sz w:val="5"/>
        </w:rPr>
      </w:pPr>
      <w:r>
        <w:rPr/>
        <w:drawing>
          <wp:anchor distT="0" distB="0" distL="0" distR="0" allowOverlap="1" layoutInCell="1" locked="0" behindDoc="0" simplePos="0" relativeHeight="7">
            <wp:simplePos x="0" y="0"/>
            <wp:positionH relativeFrom="page">
              <wp:posOffset>1199554</wp:posOffset>
            </wp:positionH>
            <wp:positionV relativeFrom="paragraph">
              <wp:posOffset>56690</wp:posOffset>
            </wp:positionV>
            <wp:extent cx="5386926" cy="3821811"/>
            <wp:effectExtent l="0" t="0" r="0" b="0"/>
            <wp:wrapTopAndBottom/>
            <wp:docPr id="3" name="image2.jpeg"/>
            <wp:cNvGraphicFramePr>
              <a:graphicFrameLocks noChangeAspect="1"/>
            </wp:cNvGraphicFramePr>
            <a:graphic>
              <a:graphicData uri="http://schemas.openxmlformats.org/drawingml/2006/picture">
                <pic:pic>
                  <pic:nvPicPr>
                    <pic:cNvPr id="4" name="image2.jpeg"/>
                    <pic:cNvPicPr/>
                  </pic:nvPicPr>
                  <pic:blipFill>
                    <a:blip r:embed="rId7" cstate="print"/>
                    <a:stretch>
                      <a:fillRect/>
                    </a:stretch>
                  </pic:blipFill>
                  <pic:spPr>
                    <a:xfrm>
                      <a:off x="0" y="0"/>
                      <a:ext cx="5386926" cy="3821811"/>
                    </a:xfrm>
                    <a:prstGeom prst="rect">
                      <a:avLst/>
                    </a:prstGeom>
                  </pic:spPr>
                </pic:pic>
              </a:graphicData>
            </a:graphic>
          </wp:anchor>
        </w:drawing>
      </w:r>
    </w:p>
    <w:p>
      <w:pPr>
        <w:spacing w:line="333" w:lineRule="auto" w:before="185"/>
        <w:ind w:left="460" w:right="845" w:firstLine="0"/>
        <w:jc w:val="left"/>
        <w:rPr>
          <w:i/>
          <w:sz w:val="18"/>
        </w:rPr>
      </w:pPr>
      <w:r>
        <w:rPr>
          <w:i/>
          <w:w w:val="105"/>
          <w:sz w:val="18"/>
        </w:rPr>
        <w:t>Notes:</w:t>
      </w:r>
      <w:r>
        <w:rPr>
          <w:i/>
          <w:spacing w:val="-10"/>
          <w:w w:val="105"/>
          <w:sz w:val="18"/>
        </w:rPr>
        <w:t> </w:t>
      </w:r>
      <w:r>
        <w:rPr>
          <w:i/>
          <w:w w:val="105"/>
          <w:sz w:val="18"/>
        </w:rPr>
        <w:t>This</w:t>
      </w:r>
      <w:r>
        <w:rPr>
          <w:i/>
          <w:spacing w:val="-10"/>
          <w:w w:val="105"/>
          <w:sz w:val="18"/>
        </w:rPr>
        <w:t> </w:t>
      </w:r>
      <w:r>
        <w:rPr>
          <w:i/>
          <w:w w:val="105"/>
          <w:sz w:val="18"/>
        </w:rPr>
        <w:t>map</w:t>
      </w:r>
      <w:r>
        <w:rPr>
          <w:i/>
          <w:spacing w:val="-10"/>
          <w:w w:val="105"/>
          <w:sz w:val="18"/>
        </w:rPr>
        <w:t> </w:t>
      </w:r>
      <w:r>
        <w:rPr>
          <w:i/>
          <w:w w:val="105"/>
          <w:sz w:val="18"/>
        </w:rPr>
        <w:t>shows</w:t>
      </w:r>
      <w:r>
        <w:rPr>
          <w:i/>
          <w:spacing w:val="-10"/>
          <w:w w:val="105"/>
          <w:sz w:val="18"/>
        </w:rPr>
        <w:t> </w:t>
      </w:r>
      <w:r>
        <w:rPr>
          <w:i/>
          <w:w w:val="105"/>
          <w:sz w:val="18"/>
        </w:rPr>
        <w:t>the</w:t>
      </w:r>
      <w:r>
        <w:rPr>
          <w:i/>
          <w:spacing w:val="-10"/>
          <w:w w:val="105"/>
          <w:sz w:val="18"/>
        </w:rPr>
        <w:t> </w:t>
      </w:r>
      <w:r>
        <w:rPr>
          <w:i/>
          <w:w w:val="105"/>
          <w:sz w:val="18"/>
        </w:rPr>
        <w:t>geographic</w:t>
      </w:r>
      <w:r>
        <w:rPr>
          <w:i/>
          <w:spacing w:val="-10"/>
          <w:w w:val="105"/>
          <w:sz w:val="18"/>
        </w:rPr>
        <w:t> </w:t>
      </w:r>
      <w:r>
        <w:rPr>
          <w:i/>
          <w:w w:val="105"/>
          <w:sz w:val="18"/>
        </w:rPr>
        <w:t>locations</w:t>
      </w:r>
      <w:r>
        <w:rPr>
          <w:i/>
          <w:spacing w:val="-10"/>
          <w:w w:val="105"/>
          <w:sz w:val="18"/>
        </w:rPr>
        <w:t> </w:t>
      </w:r>
      <w:r>
        <w:rPr>
          <w:i/>
          <w:w w:val="105"/>
          <w:sz w:val="18"/>
        </w:rPr>
        <w:t>of</w:t>
      </w:r>
      <w:r>
        <w:rPr>
          <w:i/>
          <w:spacing w:val="-10"/>
          <w:w w:val="105"/>
          <w:sz w:val="18"/>
        </w:rPr>
        <w:t> </w:t>
      </w:r>
      <w:r>
        <w:rPr>
          <w:i/>
          <w:w w:val="105"/>
          <w:sz w:val="18"/>
        </w:rPr>
        <w:t>projects</w:t>
      </w:r>
      <w:r>
        <w:rPr>
          <w:i/>
          <w:spacing w:val="-10"/>
          <w:w w:val="105"/>
          <w:sz w:val="18"/>
        </w:rPr>
        <w:t> </w:t>
      </w:r>
      <w:r>
        <w:rPr>
          <w:i/>
          <w:w w:val="105"/>
          <w:sz w:val="18"/>
        </w:rPr>
        <w:t>supported</w:t>
      </w:r>
      <w:r>
        <w:rPr>
          <w:i/>
          <w:spacing w:val="-10"/>
          <w:w w:val="105"/>
          <w:sz w:val="18"/>
        </w:rPr>
        <w:t> </w:t>
      </w:r>
      <w:r>
        <w:rPr>
          <w:i/>
          <w:w w:val="105"/>
          <w:sz w:val="18"/>
        </w:rPr>
        <w:t>by</w:t>
      </w:r>
      <w:r>
        <w:rPr>
          <w:i/>
          <w:spacing w:val="-10"/>
          <w:w w:val="105"/>
          <w:sz w:val="18"/>
        </w:rPr>
        <w:t> </w:t>
      </w:r>
      <w:r>
        <w:rPr>
          <w:i/>
          <w:w w:val="105"/>
          <w:sz w:val="18"/>
        </w:rPr>
        <w:t>Chinese</w:t>
      </w:r>
      <w:r>
        <w:rPr>
          <w:i/>
          <w:spacing w:val="-10"/>
          <w:w w:val="105"/>
          <w:sz w:val="18"/>
        </w:rPr>
        <w:t> </w:t>
      </w:r>
      <w:r>
        <w:rPr>
          <w:i/>
          <w:w w:val="105"/>
          <w:sz w:val="18"/>
        </w:rPr>
        <w:t>ODA</w:t>
      </w:r>
      <w:r>
        <w:rPr>
          <w:i/>
          <w:spacing w:val="-10"/>
          <w:w w:val="105"/>
          <w:sz w:val="18"/>
        </w:rPr>
        <w:t> </w:t>
      </w:r>
      <w:r>
        <w:rPr>
          <w:i/>
          <w:w w:val="105"/>
          <w:sz w:val="18"/>
        </w:rPr>
        <w:t>and</w:t>
      </w:r>
      <w:r>
        <w:rPr>
          <w:i/>
          <w:spacing w:val="-10"/>
          <w:w w:val="105"/>
          <w:sz w:val="18"/>
        </w:rPr>
        <w:t> </w:t>
      </w:r>
      <w:r>
        <w:rPr>
          <w:i/>
          <w:w w:val="105"/>
          <w:sz w:val="18"/>
        </w:rPr>
        <w:t>OOF</w:t>
      </w:r>
      <w:r>
        <w:rPr>
          <w:i/>
          <w:w w:val="105"/>
          <w:sz w:val="18"/>
        </w:rPr>
        <w:t> </w:t>
      </w:r>
      <w:r>
        <w:rPr>
          <w:i/>
          <w:sz w:val="18"/>
        </w:rPr>
        <w:t>commitments</w:t>
      </w:r>
      <w:r>
        <w:rPr>
          <w:i/>
          <w:spacing w:val="-2"/>
          <w:sz w:val="18"/>
        </w:rPr>
        <w:t> </w:t>
      </w:r>
      <w:r>
        <w:rPr>
          <w:i/>
          <w:sz w:val="18"/>
        </w:rPr>
        <w:t>across</w:t>
      </w:r>
      <w:r>
        <w:rPr>
          <w:i/>
          <w:spacing w:val="-2"/>
          <w:sz w:val="18"/>
        </w:rPr>
        <w:t> </w:t>
      </w:r>
      <w:r>
        <w:rPr>
          <w:i/>
          <w:sz w:val="18"/>
        </w:rPr>
        <w:t>all</w:t>
      </w:r>
      <w:r>
        <w:rPr>
          <w:i/>
          <w:spacing w:val="-2"/>
          <w:sz w:val="18"/>
        </w:rPr>
        <w:t> </w:t>
      </w:r>
      <w:r>
        <w:rPr>
          <w:i/>
          <w:sz w:val="18"/>
        </w:rPr>
        <w:t>LICs</w:t>
      </w:r>
      <w:r>
        <w:rPr>
          <w:i/>
          <w:spacing w:val="-2"/>
          <w:sz w:val="18"/>
        </w:rPr>
        <w:t> </w:t>
      </w:r>
      <w:r>
        <w:rPr>
          <w:i/>
          <w:sz w:val="18"/>
        </w:rPr>
        <w:t>and</w:t>
      </w:r>
      <w:r>
        <w:rPr>
          <w:i/>
          <w:spacing w:val="-2"/>
          <w:sz w:val="18"/>
        </w:rPr>
        <w:t> </w:t>
      </w:r>
      <w:r>
        <w:rPr>
          <w:i/>
          <w:sz w:val="18"/>
        </w:rPr>
        <w:t>MICs</w:t>
      </w:r>
      <w:r>
        <w:rPr>
          <w:i/>
          <w:spacing w:val="-2"/>
          <w:sz w:val="18"/>
        </w:rPr>
        <w:t> </w:t>
      </w:r>
      <w:r>
        <w:rPr>
          <w:i/>
          <w:sz w:val="18"/>
        </w:rPr>
        <w:t>between</w:t>
      </w:r>
      <w:r>
        <w:rPr>
          <w:i/>
          <w:spacing w:val="-2"/>
          <w:sz w:val="18"/>
        </w:rPr>
        <w:t> </w:t>
      </w:r>
      <w:r>
        <w:rPr>
          <w:i/>
          <w:sz w:val="18"/>
        </w:rPr>
        <w:t>2000</w:t>
      </w:r>
      <w:r>
        <w:rPr>
          <w:i/>
          <w:spacing w:val="-2"/>
          <w:sz w:val="18"/>
        </w:rPr>
        <w:t> </w:t>
      </w:r>
      <w:r>
        <w:rPr>
          <w:i/>
          <w:sz w:val="18"/>
        </w:rPr>
        <w:t>and</w:t>
      </w:r>
      <w:r>
        <w:rPr>
          <w:i/>
          <w:spacing w:val="-2"/>
          <w:sz w:val="18"/>
        </w:rPr>
        <w:t> </w:t>
      </w:r>
      <w:r>
        <w:rPr>
          <w:i/>
          <w:sz w:val="18"/>
        </w:rPr>
        <w:t>2021.</w:t>
      </w:r>
      <w:r>
        <w:rPr>
          <w:i/>
          <w:spacing w:val="-2"/>
          <w:sz w:val="18"/>
        </w:rPr>
        <w:t> </w:t>
      </w:r>
      <w:r>
        <w:rPr>
          <w:i/>
          <w:sz w:val="18"/>
        </w:rPr>
        <w:t>Only</w:t>
      </w:r>
      <w:r>
        <w:rPr>
          <w:i/>
          <w:spacing w:val="-2"/>
          <w:sz w:val="18"/>
        </w:rPr>
        <w:t> </w:t>
      </w:r>
      <w:r>
        <w:rPr>
          <w:i/>
          <w:sz w:val="18"/>
        </w:rPr>
        <w:t>projects</w:t>
      </w:r>
      <w:r>
        <w:rPr>
          <w:i/>
          <w:spacing w:val="-2"/>
          <w:sz w:val="18"/>
        </w:rPr>
        <w:t> </w:t>
      </w:r>
      <w:r>
        <w:rPr>
          <w:i/>
          <w:sz w:val="18"/>
        </w:rPr>
        <w:t>from</w:t>
      </w:r>
      <w:r>
        <w:rPr>
          <w:i/>
          <w:spacing w:val="-2"/>
          <w:sz w:val="18"/>
        </w:rPr>
        <w:t> </w:t>
      </w:r>
      <w:r>
        <w:rPr>
          <w:i/>
          <w:sz w:val="18"/>
        </w:rPr>
        <w:t>the</w:t>
      </w:r>
      <w:r>
        <w:rPr>
          <w:i/>
          <w:spacing w:val="-2"/>
          <w:sz w:val="18"/>
        </w:rPr>
        <w:t> </w:t>
      </w:r>
      <w:r>
        <w:rPr>
          <w:i/>
          <w:sz w:val="18"/>
        </w:rPr>
        <w:t>3.0</w:t>
      </w:r>
      <w:r>
        <w:rPr>
          <w:i/>
          <w:spacing w:val="-2"/>
          <w:sz w:val="18"/>
        </w:rPr>
        <w:t> </w:t>
      </w:r>
      <w:r>
        <w:rPr>
          <w:i/>
          <w:sz w:val="18"/>
        </w:rPr>
        <w:t>version</w:t>
      </w:r>
      <w:r>
        <w:rPr>
          <w:i/>
          <w:spacing w:val="-2"/>
          <w:sz w:val="18"/>
        </w:rPr>
        <w:t> </w:t>
      </w:r>
      <w:r>
        <w:rPr>
          <w:i/>
          <w:sz w:val="18"/>
        </w:rPr>
        <w:t>of</w:t>
      </w:r>
    </w:p>
    <w:p>
      <w:pPr>
        <w:pStyle w:val="BodyText"/>
        <w:spacing w:before="9"/>
        <w:rPr>
          <w:i/>
          <w:sz w:val="13"/>
        </w:rPr>
      </w:pPr>
      <w:r>
        <w:rPr/>
        <w:pict>
          <v:shape style="position:absolute;margin-left:90pt;margin-top:9.158596pt;width:144pt;height:.1pt;mso-position-horizontal-relative:page;mso-position-vertical-relative:paragraph;z-index:-15724544;mso-wrap-distance-left:0;mso-wrap-distance-right:0" id="docshape8" coordorigin="1800,183" coordsize="2880,0" path="m1800,183l4680,18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spacing w:line="333" w:lineRule="auto" w:before="47"/>
        <w:ind w:left="460" w:right="845" w:firstLine="0"/>
        <w:jc w:val="left"/>
        <w:rPr>
          <w:i/>
          <w:sz w:val="18"/>
        </w:rPr>
      </w:pPr>
      <w:r>
        <w:rPr>
          <w:i/>
          <w:sz w:val="18"/>
        </w:rPr>
        <w:t>AidData’s GCDF dataset that have physical footprints or involve speciﬁc locations are represented.</w:t>
      </w:r>
      <w:r>
        <w:rPr>
          <w:i/>
          <w:sz w:val="18"/>
        </w:rPr>
        <w:t> Goodman et al. (2023) describes the process by which these point, polygon, and line vector data </w:t>
      </w:r>
      <w:r>
        <w:rPr>
          <w:i/>
          <w:sz w:val="18"/>
        </w:rPr>
        <w:t>were </w:t>
      </w:r>
      <w:r>
        <w:rPr>
          <w:i/>
          <w:spacing w:val="-2"/>
          <w:sz w:val="18"/>
        </w:rPr>
        <w:t>generated.</w:t>
      </w:r>
    </w:p>
    <w:p>
      <w:pPr>
        <w:pStyle w:val="BodyText"/>
        <w:rPr>
          <w:i/>
          <w:sz w:val="18"/>
        </w:rPr>
      </w:pPr>
    </w:p>
    <w:p>
      <w:pPr>
        <w:pStyle w:val="BodyText"/>
        <w:spacing w:line="333" w:lineRule="auto" w:before="112"/>
        <w:ind w:left="460" w:right="564"/>
      </w:pPr>
      <w:r>
        <w:t>When AidData released the 2.0 version of the GCDF dataset in September 2021, it provided evidence that China was outspending the U.S. in the developing world on at least a 2-to-1 basis.[12] The 3.0 version of the GCDF dataset demonstrates that China remains the single largest source of international development ﬁnance in the world. In 2021, ofﬁcial ﬁnancial ﬂows (ODA and OOF commitments) from China to LICs and MICs amounted to $79 billion (see Figure 1.2).[13] None of China’s peers or rivals have overseas lending and grant-giving programs that are comparable in scale. In 2021, no single member of the G7 provided ofﬁcial ﬁnancial ﬂows to LICs and MICs in excess of $61 billion.[14] China also outspent all multilateral sources of international development ﬁnance. The single largest multilateral source of international development ﬁnance in 2021 was the World Bank, with international development ﬁnance commitments worth approximately $53 billion.</w:t>
      </w:r>
    </w:p>
    <w:p>
      <w:pPr>
        <w:pStyle w:val="BodyText"/>
        <w:spacing w:before="2"/>
        <w:rPr>
          <w:sz w:val="27"/>
        </w:rPr>
      </w:pPr>
    </w:p>
    <w:p>
      <w:pPr>
        <w:pStyle w:val="BodyText"/>
        <w:spacing w:line="333" w:lineRule="auto"/>
        <w:ind w:left="460" w:right="485"/>
      </w:pPr>
      <w:r>
        <w:t>According to the conventional wisdom among think tanks and media outlets, Beijing made a concerted effort to rein in the BRI after 2017 (Lu 2023; Olander 2023; Do Rosario and Savage 2023) and its annual development ﬁnance commitments plummeted to nearly zero by 2021 (Gallagher and Ray 2020; Hwang et al. 2022; Ray 2023; Myers and Ray 2023; Moses et al. 2023).[15] However, the 3.0 version of AidData’s GCDF dataset debunks the myth that Beijing’s overseas development program has experienced a total collapse. With more complete data on the full range of China’s lending and grant-giving activities in LICs and MICs, it shows a far less dramatic decline in overseas spending during the late BRI period: ofﬁcial ﬁnancial ﬂows (ODA and OOF commitments) from China to LICs and MICs declined from $115 billion in 2018 to $104 billion in 2019 and $74 billion in 2020, before increasing to $79 billion in 2021 (see Figure 1.2).[16]</w:t>
      </w:r>
    </w:p>
    <w:p>
      <w:pPr>
        <w:pStyle w:val="BodyText"/>
        <w:spacing w:before="4"/>
        <w:rPr>
          <w:sz w:val="12"/>
        </w:rPr>
      </w:pPr>
      <w:r>
        <w:rPr/>
        <w:pict>
          <v:shape style="position:absolute;margin-left:90pt;margin-top:8.341285pt;width:144pt;height:.1pt;mso-position-horizontal-relative:page;mso-position-vertical-relative:paragraph;z-index:-15724032;mso-wrap-distance-left:0;mso-wrap-distance-right:0" id="docshape9" coordorigin="1800,167" coordsize="2880,0" path="m1800,167l4680,167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80" w:bottom="920" w:left="1340" w:right="1340"/>
        </w:sectPr>
      </w:pPr>
    </w:p>
    <w:p>
      <w:pPr>
        <w:pStyle w:val="BodyText"/>
        <w:rPr>
          <w:sz w:val="20"/>
        </w:rPr>
      </w:pPr>
    </w:p>
    <w:p>
      <w:pPr>
        <w:pStyle w:val="BodyText"/>
        <w:spacing w:before="10"/>
        <w:rPr>
          <w:sz w:val="18"/>
        </w:rPr>
      </w:pPr>
      <w:r>
        <w:rPr/>
        <w:pict>
          <v:shape style="position:absolute;margin-left:84pt;margin-top:12.068371pt;width:444pt;height:38pt;mso-position-horizontal-relative:page;mso-position-vertical-relative:paragraph;z-index:-15723520;mso-wrap-distance-left:0;mso-wrap-distance-right:0" type="#_x0000_t202" id="docshape10" filled="true" fillcolor="#5b666f" stroked="false">
            <v:textbox inset="0,0,0,0">
              <w:txbxContent>
                <w:p>
                  <w:pPr>
                    <w:spacing w:before="126"/>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1.2</w:t>
                  </w:r>
                </w:p>
              </w:txbxContent>
            </v:textbox>
            <v:fill type="solid"/>
            <w10:wrap type="topAndBottom"/>
          </v:shape>
        </w:pict>
      </w:r>
      <w:r>
        <w:rPr/>
        <w:drawing>
          <wp:anchor distT="0" distB="0" distL="0" distR="0" allowOverlap="1" layoutInCell="1" locked="0" behindDoc="0" simplePos="0" relativeHeight="11">
            <wp:simplePos x="0" y="0"/>
            <wp:positionH relativeFrom="page">
              <wp:posOffset>1255811</wp:posOffset>
            </wp:positionH>
            <wp:positionV relativeFrom="paragraph">
              <wp:posOffset>765192</wp:posOffset>
            </wp:positionV>
            <wp:extent cx="5204597" cy="3184398"/>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5204597" cy="3184398"/>
                    </a:xfrm>
                    <a:prstGeom prst="rect">
                      <a:avLst/>
                    </a:prstGeom>
                  </pic:spPr>
                </pic:pic>
              </a:graphicData>
            </a:graphic>
          </wp:anchor>
        </w:drawing>
      </w:r>
    </w:p>
    <w:p>
      <w:pPr>
        <w:pStyle w:val="BodyText"/>
        <w:spacing w:before="7"/>
        <w:rPr>
          <w:sz w:val="15"/>
        </w:rPr>
      </w:pPr>
    </w:p>
    <w:p>
      <w:pPr>
        <w:pStyle w:val="BodyText"/>
        <w:rPr>
          <w:sz w:val="20"/>
        </w:rPr>
      </w:pPr>
    </w:p>
    <w:p>
      <w:pPr>
        <w:pStyle w:val="BodyText"/>
        <w:spacing w:before="2"/>
        <w:rPr>
          <w:sz w:val="19"/>
        </w:rPr>
      </w:pPr>
    </w:p>
    <w:p>
      <w:pPr>
        <w:spacing w:line="333" w:lineRule="auto" w:before="0"/>
        <w:ind w:left="460" w:right="485" w:firstLine="0"/>
        <w:jc w:val="left"/>
        <w:rPr>
          <w:i/>
          <w:sz w:val="18"/>
        </w:rPr>
      </w:pPr>
      <w:r>
        <w:rPr>
          <w:i/>
          <w:sz w:val="18"/>
        </w:rPr>
        <w:t>Notes: AidData relies on OECD-DAC measurement criteria to make ODA and OOF determinations </w:t>
      </w:r>
      <w:r>
        <w:rPr>
          <w:i/>
          <w:sz w:val="18"/>
        </w:rPr>
        <w:t>(see</w:t>
      </w:r>
      <w:r>
        <w:rPr>
          <w:i/>
          <w:sz w:val="18"/>
        </w:rPr>
        <w:t> </w:t>
      </w:r>
      <w:r>
        <w:rPr>
          <w:i/>
          <w:w w:val="105"/>
          <w:sz w:val="18"/>
        </w:rPr>
        <w:t>Section</w:t>
      </w:r>
      <w:r>
        <w:rPr>
          <w:i/>
          <w:spacing w:val="-14"/>
          <w:w w:val="105"/>
          <w:sz w:val="18"/>
        </w:rPr>
        <w:t> </w:t>
      </w:r>
      <w:r>
        <w:rPr>
          <w:i/>
          <w:w w:val="105"/>
          <w:sz w:val="18"/>
        </w:rPr>
        <w:t>A-2</w:t>
      </w:r>
      <w:r>
        <w:rPr>
          <w:i/>
          <w:spacing w:val="-13"/>
          <w:w w:val="105"/>
          <w:sz w:val="18"/>
        </w:rPr>
        <w:t> </w:t>
      </w:r>
      <w:r>
        <w:rPr>
          <w:i/>
          <w:w w:val="105"/>
          <w:sz w:val="18"/>
        </w:rPr>
        <w:t>of</w:t>
      </w:r>
      <w:r>
        <w:rPr>
          <w:i/>
          <w:spacing w:val="-13"/>
          <w:w w:val="105"/>
          <w:sz w:val="18"/>
        </w:rPr>
        <w:t> </w:t>
      </w:r>
      <w:r>
        <w:rPr>
          <w:i/>
          <w:w w:val="105"/>
          <w:sz w:val="18"/>
        </w:rPr>
        <w:t>the</w:t>
      </w:r>
      <w:r>
        <w:rPr>
          <w:i/>
          <w:spacing w:val="-13"/>
          <w:w w:val="105"/>
          <w:sz w:val="18"/>
        </w:rPr>
        <w:t> </w:t>
      </w:r>
      <w:r>
        <w:rPr>
          <w:i/>
          <w:w w:val="105"/>
          <w:sz w:val="18"/>
        </w:rPr>
        <w:t>Appendix</w:t>
      </w:r>
      <w:r>
        <w:rPr>
          <w:i/>
          <w:spacing w:val="-13"/>
          <w:w w:val="105"/>
          <w:sz w:val="18"/>
        </w:rPr>
        <w:t> </w:t>
      </w:r>
      <w:r>
        <w:rPr>
          <w:i/>
          <w:w w:val="105"/>
          <w:sz w:val="18"/>
        </w:rPr>
        <w:t>for</w:t>
      </w:r>
      <w:r>
        <w:rPr>
          <w:i/>
          <w:spacing w:val="-13"/>
          <w:w w:val="105"/>
          <w:sz w:val="18"/>
        </w:rPr>
        <w:t> </w:t>
      </w:r>
      <w:r>
        <w:rPr>
          <w:i/>
          <w:w w:val="105"/>
          <w:sz w:val="18"/>
        </w:rPr>
        <w:t>details).</w:t>
      </w:r>
      <w:r>
        <w:rPr>
          <w:i/>
          <w:spacing w:val="-13"/>
          <w:w w:val="105"/>
          <w:sz w:val="18"/>
        </w:rPr>
        <w:t> </w:t>
      </w:r>
      <w:r>
        <w:rPr>
          <w:i/>
          <w:w w:val="105"/>
          <w:sz w:val="18"/>
        </w:rPr>
        <w:t>The</w:t>
      </w:r>
      <w:r>
        <w:rPr>
          <w:i/>
          <w:spacing w:val="-14"/>
          <w:w w:val="105"/>
          <w:sz w:val="18"/>
        </w:rPr>
        <w:t> </w:t>
      </w:r>
      <w:r>
        <w:rPr>
          <w:i/>
          <w:w w:val="105"/>
          <w:sz w:val="18"/>
        </w:rPr>
        <w:t>Vague</w:t>
      </w:r>
      <w:r>
        <w:rPr>
          <w:i/>
          <w:spacing w:val="-13"/>
          <w:w w:val="105"/>
          <w:sz w:val="18"/>
        </w:rPr>
        <w:t> </w:t>
      </w:r>
      <w:r>
        <w:rPr>
          <w:i/>
          <w:w w:val="105"/>
          <w:sz w:val="18"/>
        </w:rPr>
        <w:t>(Ofﬁcial</w:t>
      </w:r>
      <w:r>
        <w:rPr>
          <w:i/>
          <w:spacing w:val="-13"/>
          <w:w w:val="105"/>
          <w:sz w:val="18"/>
        </w:rPr>
        <w:t> </w:t>
      </w:r>
      <w:r>
        <w:rPr>
          <w:i/>
          <w:w w:val="105"/>
          <w:sz w:val="18"/>
        </w:rPr>
        <w:t>Finance)</w:t>
      </w:r>
      <w:r>
        <w:rPr>
          <w:i/>
          <w:spacing w:val="-13"/>
          <w:w w:val="105"/>
          <w:sz w:val="18"/>
        </w:rPr>
        <w:t> </w:t>
      </w:r>
      <w:r>
        <w:rPr>
          <w:i/>
          <w:w w:val="105"/>
          <w:sz w:val="18"/>
        </w:rPr>
        <w:t>is</w:t>
      </w:r>
      <w:r>
        <w:rPr>
          <w:i/>
          <w:spacing w:val="-13"/>
          <w:w w:val="105"/>
          <w:sz w:val="18"/>
        </w:rPr>
        <w:t> </w:t>
      </w:r>
      <w:r>
        <w:rPr>
          <w:i/>
          <w:w w:val="105"/>
          <w:sz w:val="18"/>
        </w:rPr>
        <w:t>a</w:t>
      </w:r>
      <w:r>
        <w:rPr>
          <w:i/>
          <w:spacing w:val="-13"/>
          <w:w w:val="105"/>
          <w:sz w:val="18"/>
        </w:rPr>
        <w:t> </w:t>
      </w:r>
      <w:r>
        <w:rPr>
          <w:i/>
          <w:w w:val="105"/>
          <w:sz w:val="18"/>
        </w:rPr>
        <w:t>residual</w:t>
      </w:r>
      <w:r>
        <w:rPr>
          <w:i/>
          <w:spacing w:val="-13"/>
          <w:w w:val="105"/>
          <w:sz w:val="18"/>
        </w:rPr>
        <w:t> </w:t>
      </w:r>
      <w:r>
        <w:rPr>
          <w:i/>
          <w:w w:val="105"/>
          <w:sz w:val="18"/>
        </w:rPr>
        <w:t>category</w:t>
      </w:r>
      <w:r>
        <w:rPr>
          <w:i/>
          <w:spacing w:val="-13"/>
          <w:w w:val="105"/>
          <w:sz w:val="18"/>
        </w:rPr>
        <w:t> </w:t>
      </w:r>
      <w:r>
        <w:rPr>
          <w:i/>
          <w:w w:val="105"/>
          <w:sz w:val="18"/>
        </w:rPr>
        <w:t>for</w:t>
      </w:r>
      <w:r>
        <w:rPr>
          <w:i/>
          <w:spacing w:val="-14"/>
          <w:w w:val="105"/>
          <w:sz w:val="18"/>
        </w:rPr>
        <w:t> </w:t>
      </w:r>
      <w:r>
        <w:rPr>
          <w:i/>
          <w:w w:val="105"/>
          <w:sz w:val="18"/>
        </w:rPr>
        <w:t>ofﬁcial ﬁnancial</w:t>
      </w:r>
      <w:r>
        <w:rPr>
          <w:i/>
          <w:spacing w:val="-9"/>
          <w:w w:val="105"/>
          <w:sz w:val="18"/>
        </w:rPr>
        <w:t> </w:t>
      </w:r>
      <w:r>
        <w:rPr>
          <w:i/>
          <w:w w:val="105"/>
          <w:sz w:val="18"/>
        </w:rPr>
        <w:t>commitments</w:t>
      </w:r>
      <w:r>
        <w:rPr>
          <w:i/>
          <w:spacing w:val="-9"/>
          <w:w w:val="105"/>
          <w:sz w:val="18"/>
        </w:rPr>
        <w:t> </w:t>
      </w:r>
      <w:r>
        <w:rPr>
          <w:i/>
          <w:w w:val="105"/>
          <w:sz w:val="18"/>
        </w:rPr>
        <w:t>from</w:t>
      </w:r>
      <w:r>
        <w:rPr>
          <w:i/>
          <w:spacing w:val="-9"/>
          <w:w w:val="105"/>
          <w:sz w:val="18"/>
        </w:rPr>
        <w:t> </w:t>
      </w:r>
      <w:r>
        <w:rPr>
          <w:i/>
          <w:w w:val="105"/>
          <w:sz w:val="18"/>
        </w:rPr>
        <w:t>China</w:t>
      </w:r>
      <w:r>
        <w:rPr>
          <w:i/>
          <w:spacing w:val="-9"/>
          <w:w w:val="105"/>
          <w:sz w:val="18"/>
        </w:rPr>
        <w:t> </w:t>
      </w:r>
      <w:r>
        <w:rPr>
          <w:i/>
          <w:w w:val="105"/>
          <w:sz w:val="18"/>
        </w:rPr>
        <w:t>that</w:t>
      </w:r>
      <w:r>
        <w:rPr>
          <w:i/>
          <w:spacing w:val="-9"/>
          <w:w w:val="105"/>
          <w:sz w:val="18"/>
        </w:rPr>
        <w:t> </w:t>
      </w:r>
      <w:r>
        <w:rPr>
          <w:i/>
          <w:w w:val="105"/>
          <w:sz w:val="18"/>
        </w:rPr>
        <w:t>could</w:t>
      </w:r>
      <w:r>
        <w:rPr>
          <w:i/>
          <w:spacing w:val="-9"/>
          <w:w w:val="105"/>
          <w:sz w:val="18"/>
        </w:rPr>
        <w:t> </w:t>
      </w:r>
      <w:r>
        <w:rPr>
          <w:i/>
          <w:w w:val="105"/>
          <w:sz w:val="18"/>
        </w:rPr>
        <w:t>not</w:t>
      </w:r>
      <w:r>
        <w:rPr>
          <w:i/>
          <w:spacing w:val="-9"/>
          <w:w w:val="105"/>
          <w:sz w:val="18"/>
        </w:rPr>
        <w:t> </w:t>
      </w:r>
      <w:r>
        <w:rPr>
          <w:i/>
          <w:w w:val="105"/>
          <w:sz w:val="18"/>
        </w:rPr>
        <w:t>be</w:t>
      </w:r>
      <w:r>
        <w:rPr>
          <w:i/>
          <w:spacing w:val="-9"/>
          <w:w w:val="105"/>
          <w:sz w:val="18"/>
        </w:rPr>
        <w:t> </w:t>
      </w:r>
      <w:r>
        <w:rPr>
          <w:i/>
          <w:w w:val="105"/>
          <w:sz w:val="18"/>
        </w:rPr>
        <w:t>reliably</w:t>
      </w:r>
      <w:r>
        <w:rPr>
          <w:i/>
          <w:spacing w:val="-9"/>
          <w:w w:val="105"/>
          <w:sz w:val="18"/>
        </w:rPr>
        <w:t> </w:t>
      </w:r>
      <w:r>
        <w:rPr>
          <w:i/>
          <w:w w:val="105"/>
          <w:sz w:val="18"/>
        </w:rPr>
        <w:t>categorized</w:t>
      </w:r>
      <w:r>
        <w:rPr>
          <w:i/>
          <w:spacing w:val="-9"/>
          <w:w w:val="105"/>
          <w:sz w:val="18"/>
        </w:rPr>
        <w:t> </w:t>
      </w:r>
      <w:r>
        <w:rPr>
          <w:i/>
          <w:w w:val="105"/>
          <w:sz w:val="18"/>
        </w:rPr>
        <w:t>as</w:t>
      </w:r>
      <w:r>
        <w:rPr>
          <w:i/>
          <w:spacing w:val="-9"/>
          <w:w w:val="105"/>
          <w:sz w:val="18"/>
        </w:rPr>
        <w:t> </w:t>
      </w:r>
      <w:r>
        <w:rPr>
          <w:i/>
          <w:w w:val="105"/>
          <w:sz w:val="18"/>
        </w:rPr>
        <w:t>ODA</w:t>
      </w:r>
      <w:r>
        <w:rPr>
          <w:i/>
          <w:spacing w:val="-9"/>
          <w:w w:val="105"/>
          <w:sz w:val="18"/>
        </w:rPr>
        <w:t> </w:t>
      </w:r>
      <w:r>
        <w:rPr>
          <w:i/>
          <w:w w:val="105"/>
          <w:sz w:val="18"/>
        </w:rPr>
        <w:t>or</w:t>
      </w:r>
      <w:r>
        <w:rPr>
          <w:i/>
          <w:spacing w:val="-9"/>
          <w:w w:val="105"/>
          <w:sz w:val="18"/>
        </w:rPr>
        <w:t> </w:t>
      </w:r>
      <w:r>
        <w:rPr>
          <w:i/>
          <w:w w:val="105"/>
          <w:sz w:val="18"/>
        </w:rPr>
        <w:t>OOF</w:t>
      </w:r>
      <w:r>
        <w:rPr>
          <w:i/>
          <w:spacing w:val="-9"/>
          <w:w w:val="105"/>
          <w:sz w:val="18"/>
        </w:rPr>
        <w:t> </w:t>
      </w:r>
      <w:r>
        <w:rPr>
          <w:i/>
          <w:w w:val="105"/>
          <w:sz w:val="18"/>
        </w:rPr>
        <w:t>because</w:t>
      </w:r>
      <w:r>
        <w:rPr>
          <w:i/>
          <w:spacing w:val="-9"/>
          <w:w w:val="105"/>
          <w:sz w:val="18"/>
        </w:rPr>
        <w:t> </w:t>
      </w:r>
      <w:r>
        <w:rPr>
          <w:i/>
          <w:w w:val="105"/>
          <w:sz w:val="18"/>
        </w:rPr>
        <w:t>of insufﬁciently detailed information.</w:t>
      </w:r>
    </w:p>
    <w:p>
      <w:pPr>
        <w:pStyle w:val="BodyText"/>
        <w:rPr>
          <w:i/>
          <w:sz w:val="18"/>
        </w:rPr>
      </w:pPr>
    </w:p>
    <w:p>
      <w:pPr>
        <w:pStyle w:val="BodyText"/>
        <w:spacing w:line="333" w:lineRule="auto" w:before="112"/>
        <w:ind w:left="460" w:right="515"/>
      </w:pPr>
      <w:r>
        <w:t>In Chapter 2, we set the record straight by demonstrating that a sharp decline in dollar-denominated, bilateral lending for public investment projects did indeed take place between 2018 and 2021, but it was offset to a signiﬁcant extent by contemporaneous increases in RMB-denominated, bilateral emergency rescue lending and increases in non-emergency lending via syndication and multilateralization. We also provide evidence that, although Beijing is reducing its reliance on the policy banks, it is ratcheting up its use of the country’s state-owned commercial banks and central bank.</w:t>
      </w:r>
    </w:p>
    <w:p>
      <w:pPr>
        <w:pStyle w:val="BodyText"/>
        <w:spacing w:before="4"/>
        <w:rPr>
          <w:sz w:val="25"/>
        </w:rPr>
      </w:pPr>
      <w:r>
        <w:rPr/>
        <w:pict>
          <v:shape style="position:absolute;margin-left:90pt;margin-top:15.800254pt;width:144pt;height:.1pt;mso-position-horizontal-relative:page;mso-position-vertical-relative:paragraph;z-index:-15722496;mso-wrap-distance-left:0;mso-wrap-distance-right:0" id="docshape11" coordorigin="1800,316" coordsize="2880,0" path="m1800,316l4680,31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pStyle w:val="BodyText"/>
      </w:pPr>
    </w:p>
    <w:p>
      <w:pPr>
        <w:pStyle w:val="BodyText"/>
        <w:spacing w:line="333" w:lineRule="auto" w:before="151"/>
        <w:ind w:left="460" w:right="458"/>
      </w:pPr>
      <w:r>
        <w:rPr>
          <w:spacing w:val="-2"/>
          <w:w w:val="105"/>
        </w:rPr>
        <w:t>The</w:t>
      </w:r>
      <w:r>
        <w:rPr>
          <w:spacing w:val="-11"/>
          <w:w w:val="105"/>
        </w:rPr>
        <w:t> </w:t>
      </w:r>
      <w:r>
        <w:rPr>
          <w:spacing w:val="-2"/>
          <w:w w:val="105"/>
        </w:rPr>
        <w:t>scale</w:t>
      </w:r>
      <w:r>
        <w:rPr>
          <w:spacing w:val="-11"/>
          <w:w w:val="105"/>
        </w:rPr>
        <w:t> </w:t>
      </w:r>
      <w:r>
        <w:rPr>
          <w:spacing w:val="-2"/>
          <w:w w:val="105"/>
        </w:rPr>
        <w:t>of</w:t>
      </w:r>
      <w:r>
        <w:rPr>
          <w:spacing w:val="-11"/>
          <w:w w:val="105"/>
        </w:rPr>
        <w:t> </w:t>
      </w:r>
      <w:r>
        <w:rPr>
          <w:spacing w:val="-2"/>
          <w:w w:val="105"/>
        </w:rPr>
        <w:t>China’s</w:t>
      </w:r>
      <w:r>
        <w:rPr>
          <w:spacing w:val="-11"/>
          <w:w w:val="105"/>
        </w:rPr>
        <w:t> </w:t>
      </w:r>
      <w:r>
        <w:rPr>
          <w:spacing w:val="-2"/>
          <w:w w:val="105"/>
        </w:rPr>
        <w:t>ambition</w:t>
      </w:r>
      <w:r>
        <w:rPr>
          <w:spacing w:val="-11"/>
          <w:w w:val="105"/>
        </w:rPr>
        <w:t> </w:t>
      </w:r>
      <w:r>
        <w:rPr>
          <w:spacing w:val="-2"/>
          <w:w w:val="105"/>
        </w:rPr>
        <w:t>as</w:t>
      </w:r>
      <w:r>
        <w:rPr>
          <w:spacing w:val="-11"/>
          <w:w w:val="105"/>
        </w:rPr>
        <w:t> </w:t>
      </w:r>
      <w:r>
        <w:rPr>
          <w:spacing w:val="-2"/>
          <w:w w:val="105"/>
        </w:rPr>
        <w:t>a</w:t>
      </w:r>
      <w:r>
        <w:rPr>
          <w:spacing w:val="-11"/>
          <w:w w:val="105"/>
        </w:rPr>
        <w:t> </w:t>
      </w:r>
      <w:r>
        <w:rPr>
          <w:spacing w:val="-2"/>
          <w:w w:val="105"/>
        </w:rPr>
        <w:t>global</w:t>
      </w:r>
      <w:r>
        <w:rPr>
          <w:spacing w:val="-11"/>
          <w:w w:val="105"/>
        </w:rPr>
        <w:t> </w:t>
      </w:r>
      <w:r>
        <w:rPr>
          <w:spacing w:val="-2"/>
          <w:w w:val="105"/>
        </w:rPr>
        <w:t>development</w:t>
      </w:r>
      <w:r>
        <w:rPr>
          <w:spacing w:val="-11"/>
          <w:w w:val="105"/>
        </w:rPr>
        <w:t> </w:t>
      </w:r>
      <w:r>
        <w:rPr>
          <w:spacing w:val="-2"/>
          <w:w w:val="105"/>
        </w:rPr>
        <w:t>ﬁnancier</w:t>
      </w:r>
      <w:r>
        <w:rPr>
          <w:spacing w:val="-11"/>
          <w:w w:val="105"/>
        </w:rPr>
        <w:t> </w:t>
      </w:r>
      <w:r>
        <w:rPr>
          <w:spacing w:val="-2"/>
          <w:w w:val="105"/>
        </w:rPr>
        <w:t>becomes</w:t>
      </w:r>
      <w:r>
        <w:rPr>
          <w:spacing w:val="-11"/>
          <w:w w:val="105"/>
        </w:rPr>
        <w:t> </w:t>
      </w:r>
      <w:r>
        <w:rPr>
          <w:spacing w:val="-2"/>
          <w:w w:val="105"/>
        </w:rPr>
        <w:t>even </w:t>
      </w:r>
      <w:r>
        <w:rPr>
          <w:w w:val="105"/>
        </w:rPr>
        <w:t>clearer</w:t>
      </w:r>
      <w:r>
        <w:rPr>
          <w:spacing w:val="-12"/>
          <w:w w:val="105"/>
        </w:rPr>
        <w:t> </w:t>
      </w:r>
      <w:r>
        <w:rPr>
          <w:w w:val="105"/>
        </w:rPr>
        <w:t>in</w:t>
      </w:r>
      <w:r>
        <w:rPr>
          <w:spacing w:val="-12"/>
          <w:w w:val="105"/>
        </w:rPr>
        <w:t> </w:t>
      </w:r>
      <w:r>
        <w:rPr>
          <w:w w:val="105"/>
        </w:rPr>
        <w:t>an</w:t>
      </w:r>
      <w:r>
        <w:rPr>
          <w:spacing w:val="-12"/>
          <w:w w:val="105"/>
        </w:rPr>
        <w:t> </w:t>
      </w:r>
      <w:r>
        <w:rPr>
          <w:w w:val="105"/>
        </w:rPr>
        <w:t>analysis</w:t>
      </w:r>
      <w:r>
        <w:rPr>
          <w:spacing w:val="-12"/>
          <w:w w:val="105"/>
        </w:rPr>
        <w:t> </w:t>
      </w:r>
      <w:r>
        <w:rPr>
          <w:w w:val="105"/>
        </w:rPr>
        <w:t>of</w:t>
      </w:r>
      <w:r>
        <w:rPr>
          <w:spacing w:val="-12"/>
          <w:w w:val="105"/>
        </w:rPr>
        <w:t> </w:t>
      </w:r>
      <w:r>
        <w:rPr>
          <w:w w:val="105"/>
        </w:rPr>
        <w:t>“stocks”</w:t>
      </w:r>
      <w:r>
        <w:rPr>
          <w:spacing w:val="-12"/>
          <w:w w:val="105"/>
        </w:rPr>
        <w:t> </w:t>
      </w:r>
      <w:r>
        <w:rPr>
          <w:w w:val="105"/>
        </w:rPr>
        <w:t>rather</w:t>
      </w:r>
      <w:r>
        <w:rPr>
          <w:spacing w:val="-12"/>
          <w:w w:val="105"/>
        </w:rPr>
        <w:t> </w:t>
      </w:r>
      <w:r>
        <w:rPr>
          <w:w w:val="105"/>
        </w:rPr>
        <w:t>than</w:t>
      </w:r>
      <w:r>
        <w:rPr>
          <w:spacing w:val="-12"/>
          <w:w w:val="105"/>
        </w:rPr>
        <w:t> </w:t>
      </w:r>
      <w:r>
        <w:rPr>
          <w:w w:val="105"/>
        </w:rPr>
        <w:t>“ﬂows.”</w:t>
      </w:r>
      <w:r>
        <w:rPr>
          <w:w w:val="105"/>
          <w:vertAlign w:val="superscript"/>
        </w:rPr>
        <w:t>[17]</w:t>
      </w:r>
      <w:r>
        <w:rPr>
          <w:spacing w:val="-13"/>
          <w:w w:val="105"/>
          <w:vertAlign w:val="baseline"/>
        </w:rPr>
        <w:t> </w:t>
      </w:r>
      <w:r>
        <w:rPr>
          <w:w w:val="105"/>
          <w:vertAlign w:val="baseline"/>
        </w:rPr>
        <w:t>Figure</w:t>
      </w:r>
      <w:r>
        <w:rPr>
          <w:spacing w:val="-12"/>
          <w:w w:val="105"/>
          <w:vertAlign w:val="baseline"/>
        </w:rPr>
        <w:t> </w:t>
      </w:r>
      <w:r>
        <w:rPr>
          <w:w w:val="105"/>
          <w:vertAlign w:val="baseline"/>
        </w:rPr>
        <w:t>1.3</w:t>
      </w:r>
      <w:r>
        <w:rPr>
          <w:spacing w:val="-12"/>
          <w:w w:val="105"/>
          <w:vertAlign w:val="baseline"/>
        </w:rPr>
        <w:t> </w:t>
      </w:r>
      <w:r>
        <w:rPr>
          <w:w w:val="105"/>
          <w:vertAlign w:val="baseline"/>
        </w:rPr>
        <w:t>provides </w:t>
      </w:r>
      <w:r>
        <w:rPr>
          <w:vertAlign w:val="baseline"/>
        </w:rPr>
        <w:t>evidence that the inﬂation-adjusted value of Beijing’s 21st-century overseas </w:t>
      </w:r>
      <w:r>
        <w:rPr>
          <w:spacing w:val="-2"/>
          <w:w w:val="105"/>
          <w:vertAlign w:val="baseline"/>
        </w:rPr>
        <w:t>development</w:t>
      </w:r>
      <w:r>
        <w:rPr>
          <w:spacing w:val="-10"/>
          <w:w w:val="105"/>
          <w:vertAlign w:val="baseline"/>
        </w:rPr>
        <w:t> </w:t>
      </w:r>
      <w:r>
        <w:rPr>
          <w:spacing w:val="-2"/>
          <w:w w:val="105"/>
          <w:vertAlign w:val="baseline"/>
        </w:rPr>
        <w:t>ﬁnance</w:t>
      </w:r>
      <w:r>
        <w:rPr>
          <w:spacing w:val="-10"/>
          <w:w w:val="105"/>
          <w:vertAlign w:val="baseline"/>
        </w:rPr>
        <w:t> </w:t>
      </w:r>
      <w:r>
        <w:rPr>
          <w:spacing w:val="-2"/>
          <w:w w:val="105"/>
          <w:vertAlign w:val="baseline"/>
        </w:rPr>
        <w:t>portfolio</w:t>
      </w:r>
      <w:r>
        <w:rPr>
          <w:spacing w:val="-10"/>
          <w:w w:val="105"/>
          <w:vertAlign w:val="baseline"/>
        </w:rPr>
        <w:t> </w:t>
      </w:r>
      <w:r>
        <w:rPr>
          <w:spacing w:val="-2"/>
          <w:w w:val="105"/>
          <w:vertAlign w:val="baseline"/>
        </w:rPr>
        <w:t>reached</w:t>
      </w:r>
      <w:r>
        <w:rPr>
          <w:spacing w:val="-10"/>
          <w:w w:val="105"/>
          <w:vertAlign w:val="baseline"/>
        </w:rPr>
        <w:t> </w:t>
      </w:r>
      <w:r>
        <w:rPr>
          <w:spacing w:val="-2"/>
          <w:w w:val="105"/>
          <w:vertAlign w:val="baseline"/>
        </w:rPr>
        <w:t>the</w:t>
      </w:r>
      <w:r>
        <w:rPr>
          <w:spacing w:val="-10"/>
          <w:w w:val="105"/>
          <w:vertAlign w:val="baseline"/>
        </w:rPr>
        <w:t> </w:t>
      </w:r>
      <w:r>
        <w:rPr>
          <w:spacing w:val="-2"/>
          <w:w w:val="105"/>
          <w:vertAlign w:val="baseline"/>
        </w:rPr>
        <w:t>$745</w:t>
      </w:r>
      <w:r>
        <w:rPr>
          <w:spacing w:val="-10"/>
          <w:w w:val="105"/>
          <w:vertAlign w:val="baseline"/>
        </w:rPr>
        <w:t> </w:t>
      </w:r>
      <w:r>
        <w:rPr>
          <w:spacing w:val="-2"/>
          <w:w w:val="105"/>
          <w:vertAlign w:val="baseline"/>
        </w:rPr>
        <w:t>billion</w:t>
      </w:r>
      <w:r>
        <w:rPr>
          <w:spacing w:val="-10"/>
          <w:w w:val="105"/>
          <w:vertAlign w:val="baseline"/>
        </w:rPr>
        <w:t> </w:t>
      </w:r>
      <w:r>
        <w:rPr>
          <w:spacing w:val="-2"/>
          <w:w w:val="105"/>
          <w:vertAlign w:val="baseline"/>
        </w:rPr>
        <w:t>mark</w:t>
      </w:r>
      <w:r>
        <w:rPr>
          <w:spacing w:val="-10"/>
          <w:w w:val="105"/>
          <w:vertAlign w:val="baseline"/>
        </w:rPr>
        <w:t> </w:t>
      </w:r>
      <w:r>
        <w:rPr>
          <w:spacing w:val="-2"/>
          <w:w w:val="105"/>
          <w:vertAlign w:val="baseline"/>
        </w:rPr>
        <w:t>by</w:t>
      </w:r>
      <w:r>
        <w:rPr>
          <w:spacing w:val="-10"/>
          <w:w w:val="105"/>
          <w:vertAlign w:val="baseline"/>
        </w:rPr>
        <w:t> </w:t>
      </w:r>
      <w:r>
        <w:rPr>
          <w:spacing w:val="-2"/>
          <w:w w:val="105"/>
          <w:vertAlign w:val="baseline"/>
        </w:rPr>
        <w:t>the</w:t>
      </w:r>
      <w:r>
        <w:rPr>
          <w:spacing w:val="-10"/>
          <w:w w:val="105"/>
          <w:vertAlign w:val="baseline"/>
        </w:rPr>
        <w:t> </w:t>
      </w:r>
      <w:r>
        <w:rPr>
          <w:spacing w:val="-2"/>
          <w:w w:val="105"/>
          <w:vertAlign w:val="baseline"/>
        </w:rPr>
        <w:t>ﬁrst</w:t>
      </w:r>
      <w:r>
        <w:rPr>
          <w:spacing w:val="-10"/>
          <w:w w:val="105"/>
          <w:vertAlign w:val="baseline"/>
        </w:rPr>
        <w:t> </w:t>
      </w:r>
      <w:r>
        <w:rPr>
          <w:spacing w:val="-2"/>
          <w:w w:val="105"/>
          <w:vertAlign w:val="baseline"/>
        </w:rPr>
        <w:t>full</w:t>
      </w:r>
      <w:r>
        <w:rPr>
          <w:spacing w:val="-10"/>
          <w:w w:val="105"/>
          <w:vertAlign w:val="baseline"/>
        </w:rPr>
        <w:t> </w:t>
      </w:r>
      <w:r>
        <w:rPr>
          <w:spacing w:val="-2"/>
          <w:w w:val="105"/>
          <w:vertAlign w:val="baseline"/>
        </w:rPr>
        <w:t>year </w:t>
      </w:r>
      <w:r>
        <w:rPr>
          <w:vertAlign w:val="baseline"/>
        </w:rPr>
        <w:t>of BRI implementation (2014) and surpassed the $1 trillion mark by the fourth </w:t>
      </w:r>
      <w:r>
        <w:rPr>
          <w:vertAlign w:val="baseline"/>
        </w:rPr>
        <w:t>full </w:t>
      </w:r>
      <w:r>
        <w:rPr>
          <w:w w:val="105"/>
          <w:vertAlign w:val="baseline"/>
        </w:rPr>
        <w:t>year</w:t>
      </w:r>
      <w:r>
        <w:rPr>
          <w:spacing w:val="-11"/>
          <w:w w:val="105"/>
          <w:vertAlign w:val="baseline"/>
        </w:rPr>
        <w:t> </w:t>
      </w:r>
      <w:r>
        <w:rPr>
          <w:w w:val="105"/>
          <w:vertAlign w:val="baseline"/>
        </w:rPr>
        <w:t>of</w:t>
      </w:r>
      <w:r>
        <w:rPr>
          <w:spacing w:val="-11"/>
          <w:w w:val="105"/>
          <w:vertAlign w:val="baseline"/>
        </w:rPr>
        <w:t> </w:t>
      </w:r>
      <w:r>
        <w:rPr>
          <w:w w:val="105"/>
          <w:vertAlign w:val="baseline"/>
        </w:rPr>
        <w:t>BRI</w:t>
      </w:r>
      <w:r>
        <w:rPr>
          <w:spacing w:val="-11"/>
          <w:w w:val="105"/>
          <w:vertAlign w:val="baseline"/>
        </w:rPr>
        <w:t> </w:t>
      </w:r>
      <w:r>
        <w:rPr>
          <w:w w:val="105"/>
          <w:vertAlign w:val="baseline"/>
        </w:rPr>
        <w:t>implementation</w:t>
      </w:r>
      <w:r>
        <w:rPr>
          <w:spacing w:val="-11"/>
          <w:w w:val="105"/>
          <w:vertAlign w:val="baseline"/>
        </w:rPr>
        <w:t> </w:t>
      </w:r>
      <w:r>
        <w:rPr>
          <w:w w:val="105"/>
          <w:vertAlign w:val="baseline"/>
        </w:rPr>
        <w:t>(2017).</w:t>
      </w:r>
      <w:r>
        <w:rPr>
          <w:spacing w:val="-11"/>
          <w:w w:val="105"/>
          <w:vertAlign w:val="baseline"/>
        </w:rPr>
        <w:t> </w:t>
      </w:r>
      <w:r>
        <w:rPr>
          <w:w w:val="105"/>
          <w:vertAlign w:val="baseline"/>
        </w:rPr>
        <w:t>The</w:t>
      </w:r>
      <w:r>
        <w:rPr>
          <w:spacing w:val="-11"/>
          <w:w w:val="105"/>
          <w:vertAlign w:val="baseline"/>
        </w:rPr>
        <w:t> </w:t>
      </w:r>
      <w:r>
        <w:rPr>
          <w:w w:val="105"/>
          <w:vertAlign w:val="baseline"/>
        </w:rPr>
        <w:t>portfolio</w:t>
      </w:r>
      <w:r>
        <w:rPr>
          <w:spacing w:val="-11"/>
          <w:w w:val="105"/>
          <w:vertAlign w:val="baseline"/>
        </w:rPr>
        <w:t> </w:t>
      </w:r>
      <w:r>
        <w:rPr>
          <w:w w:val="105"/>
          <w:vertAlign w:val="baseline"/>
        </w:rPr>
        <w:t>continued</w:t>
      </w:r>
      <w:r>
        <w:rPr>
          <w:spacing w:val="-11"/>
          <w:w w:val="105"/>
          <w:vertAlign w:val="baseline"/>
        </w:rPr>
        <w:t> </w:t>
      </w:r>
      <w:r>
        <w:rPr>
          <w:w w:val="105"/>
          <w:vertAlign w:val="baseline"/>
        </w:rPr>
        <w:t>to</w:t>
      </w:r>
      <w:r>
        <w:rPr>
          <w:spacing w:val="-11"/>
          <w:w w:val="105"/>
          <w:vertAlign w:val="baseline"/>
        </w:rPr>
        <w:t> </w:t>
      </w:r>
      <w:r>
        <w:rPr>
          <w:w w:val="105"/>
          <w:vertAlign w:val="baseline"/>
        </w:rPr>
        <w:t>expand</w:t>
      </w:r>
      <w:r>
        <w:rPr>
          <w:spacing w:val="-11"/>
          <w:w w:val="105"/>
          <w:vertAlign w:val="baseline"/>
        </w:rPr>
        <w:t> </w:t>
      </w:r>
      <w:r>
        <w:rPr>
          <w:w w:val="105"/>
          <w:vertAlign w:val="baseline"/>
        </w:rPr>
        <w:t>in </w:t>
      </w:r>
      <w:r>
        <w:rPr>
          <w:vertAlign w:val="baseline"/>
        </w:rPr>
        <w:t>subsequent years—so much so that it exceeded $1.3 trillion in 2021.</w:t>
      </w:r>
      <w:r>
        <w:rPr>
          <w:vertAlign w:val="superscript"/>
        </w:rPr>
        <w:t>[18]</w:t>
      </w:r>
      <w:r>
        <w:rPr>
          <w:spacing w:val="-1"/>
          <w:vertAlign w:val="baseline"/>
        </w:rPr>
        <w:t> </w:t>
      </w:r>
      <w:r>
        <w:rPr>
          <w:vertAlign w:val="baseline"/>
        </w:rPr>
        <w:t>Figure 1.4 </w:t>
      </w:r>
      <w:r>
        <w:rPr>
          <w:w w:val="105"/>
          <w:vertAlign w:val="baseline"/>
        </w:rPr>
        <w:t>presents</w:t>
      </w:r>
      <w:r>
        <w:rPr>
          <w:spacing w:val="-14"/>
          <w:w w:val="105"/>
          <w:vertAlign w:val="baseline"/>
        </w:rPr>
        <w:t> </w:t>
      </w:r>
      <w:r>
        <w:rPr>
          <w:w w:val="105"/>
          <w:vertAlign w:val="baseline"/>
        </w:rPr>
        <w:t>the</w:t>
      </w:r>
      <w:r>
        <w:rPr>
          <w:spacing w:val="-14"/>
          <w:w w:val="105"/>
          <w:vertAlign w:val="baseline"/>
        </w:rPr>
        <w:t> </w:t>
      </w:r>
      <w:r>
        <w:rPr>
          <w:w w:val="105"/>
          <w:vertAlign w:val="baseline"/>
        </w:rPr>
        <w:t>cumulative</w:t>
      </w:r>
      <w:r>
        <w:rPr>
          <w:spacing w:val="-14"/>
          <w:w w:val="105"/>
          <w:vertAlign w:val="baseline"/>
        </w:rPr>
        <w:t> </w:t>
      </w:r>
      <w:r>
        <w:rPr>
          <w:w w:val="105"/>
          <w:vertAlign w:val="baseline"/>
        </w:rPr>
        <w:t>amount</w:t>
      </w:r>
      <w:r>
        <w:rPr>
          <w:spacing w:val="-14"/>
          <w:w w:val="105"/>
          <w:vertAlign w:val="baseline"/>
        </w:rPr>
        <w:t> </w:t>
      </w:r>
      <w:r>
        <w:rPr>
          <w:w w:val="105"/>
          <w:vertAlign w:val="baseline"/>
        </w:rPr>
        <w:t>of</w:t>
      </w:r>
      <w:r>
        <w:rPr>
          <w:spacing w:val="-14"/>
          <w:w w:val="105"/>
          <w:vertAlign w:val="baseline"/>
        </w:rPr>
        <w:t> </w:t>
      </w:r>
      <w:r>
        <w:rPr>
          <w:w w:val="105"/>
          <w:vertAlign w:val="baseline"/>
        </w:rPr>
        <w:t>Chinese</w:t>
      </w:r>
      <w:r>
        <w:rPr>
          <w:spacing w:val="-14"/>
          <w:w w:val="105"/>
          <w:vertAlign w:val="baseline"/>
        </w:rPr>
        <w:t> </w:t>
      </w:r>
      <w:r>
        <w:rPr>
          <w:w w:val="105"/>
          <w:vertAlign w:val="baseline"/>
        </w:rPr>
        <w:t>ODA</w:t>
      </w:r>
      <w:r>
        <w:rPr>
          <w:spacing w:val="-14"/>
          <w:w w:val="105"/>
          <w:vertAlign w:val="baseline"/>
        </w:rPr>
        <w:t> </w:t>
      </w:r>
      <w:r>
        <w:rPr>
          <w:w w:val="105"/>
          <w:vertAlign w:val="baseline"/>
        </w:rPr>
        <w:t>and</w:t>
      </w:r>
      <w:r>
        <w:rPr>
          <w:spacing w:val="-14"/>
          <w:w w:val="105"/>
          <w:vertAlign w:val="baseline"/>
        </w:rPr>
        <w:t> </w:t>
      </w:r>
      <w:r>
        <w:rPr>
          <w:w w:val="105"/>
          <w:vertAlign w:val="baseline"/>
        </w:rPr>
        <w:t>OOF</w:t>
      </w:r>
      <w:r>
        <w:rPr>
          <w:spacing w:val="-14"/>
          <w:w w:val="105"/>
          <w:vertAlign w:val="baseline"/>
        </w:rPr>
        <w:t> </w:t>
      </w:r>
      <w:r>
        <w:rPr>
          <w:w w:val="105"/>
          <w:vertAlign w:val="baseline"/>
        </w:rPr>
        <w:t>from</w:t>
      </w:r>
      <w:r>
        <w:rPr>
          <w:spacing w:val="-14"/>
          <w:w w:val="105"/>
          <w:vertAlign w:val="baseline"/>
        </w:rPr>
        <w:t> </w:t>
      </w:r>
      <w:r>
        <w:rPr>
          <w:w w:val="105"/>
          <w:vertAlign w:val="baseline"/>
        </w:rPr>
        <w:t>2014</w:t>
      </w:r>
      <w:r>
        <w:rPr>
          <w:spacing w:val="-14"/>
          <w:w w:val="105"/>
          <w:vertAlign w:val="baseline"/>
        </w:rPr>
        <w:t> </w:t>
      </w:r>
      <w:r>
        <w:rPr>
          <w:w w:val="105"/>
          <w:vertAlign w:val="baseline"/>
        </w:rPr>
        <w:t>to</w:t>
      </w:r>
      <w:r>
        <w:rPr>
          <w:spacing w:val="-14"/>
          <w:w w:val="105"/>
          <w:vertAlign w:val="baseline"/>
        </w:rPr>
        <w:t> </w:t>
      </w:r>
      <w:r>
        <w:rPr>
          <w:w w:val="105"/>
          <w:vertAlign w:val="baseline"/>
        </w:rPr>
        <w:t>2021 and</w:t>
      </w:r>
      <w:r>
        <w:rPr>
          <w:spacing w:val="-18"/>
          <w:w w:val="105"/>
          <w:vertAlign w:val="baseline"/>
        </w:rPr>
        <w:t> </w:t>
      </w:r>
      <w:r>
        <w:rPr>
          <w:w w:val="105"/>
          <w:vertAlign w:val="baseline"/>
        </w:rPr>
        <w:t>compares</w:t>
      </w:r>
      <w:r>
        <w:rPr>
          <w:spacing w:val="-17"/>
          <w:w w:val="105"/>
          <w:vertAlign w:val="baseline"/>
        </w:rPr>
        <w:t> </w:t>
      </w:r>
      <w:r>
        <w:rPr>
          <w:w w:val="105"/>
          <w:vertAlign w:val="baseline"/>
        </w:rPr>
        <w:t>it</w:t>
      </w:r>
      <w:r>
        <w:rPr>
          <w:spacing w:val="-18"/>
          <w:w w:val="105"/>
          <w:vertAlign w:val="baseline"/>
        </w:rPr>
        <w:t> </w:t>
      </w:r>
      <w:r>
        <w:rPr>
          <w:w w:val="105"/>
          <w:vertAlign w:val="baseline"/>
        </w:rPr>
        <w:t>to</w:t>
      </w:r>
      <w:r>
        <w:rPr>
          <w:spacing w:val="-18"/>
          <w:w w:val="105"/>
          <w:vertAlign w:val="baseline"/>
        </w:rPr>
        <w:t> </w:t>
      </w:r>
      <w:r>
        <w:rPr>
          <w:w w:val="105"/>
          <w:vertAlign w:val="baseline"/>
        </w:rPr>
        <w:t>cumulative</w:t>
      </w:r>
      <w:r>
        <w:rPr>
          <w:spacing w:val="-17"/>
          <w:w w:val="105"/>
          <w:vertAlign w:val="baseline"/>
        </w:rPr>
        <w:t> </w:t>
      </w:r>
      <w:r>
        <w:rPr>
          <w:w w:val="105"/>
          <w:vertAlign w:val="baseline"/>
        </w:rPr>
        <w:t>amounts</w:t>
      </w:r>
      <w:r>
        <w:rPr>
          <w:spacing w:val="-18"/>
          <w:w w:val="105"/>
          <w:vertAlign w:val="baseline"/>
        </w:rPr>
        <w:t> </w:t>
      </w:r>
      <w:r>
        <w:rPr>
          <w:w w:val="105"/>
          <w:vertAlign w:val="baseline"/>
        </w:rPr>
        <w:t>of</w:t>
      </w:r>
      <w:r>
        <w:rPr>
          <w:spacing w:val="-17"/>
          <w:w w:val="105"/>
          <w:vertAlign w:val="baseline"/>
        </w:rPr>
        <w:t> </w:t>
      </w:r>
      <w:r>
        <w:rPr>
          <w:w w:val="105"/>
          <w:vertAlign w:val="baseline"/>
        </w:rPr>
        <w:t>ODA</w:t>
      </w:r>
      <w:r>
        <w:rPr>
          <w:spacing w:val="-18"/>
          <w:w w:val="105"/>
          <w:vertAlign w:val="baseline"/>
        </w:rPr>
        <w:t> </w:t>
      </w:r>
      <w:r>
        <w:rPr>
          <w:w w:val="105"/>
          <w:vertAlign w:val="baseline"/>
        </w:rPr>
        <w:t>and</w:t>
      </w:r>
      <w:r>
        <w:rPr>
          <w:spacing w:val="-17"/>
          <w:w w:val="105"/>
          <w:vertAlign w:val="baseline"/>
        </w:rPr>
        <w:t> </w:t>
      </w:r>
      <w:r>
        <w:rPr>
          <w:w w:val="105"/>
          <w:vertAlign w:val="baseline"/>
        </w:rPr>
        <w:t>OOF</w:t>
      </w:r>
      <w:r>
        <w:rPr>
          <w:spacing w:val="-18"/>
          <w:w w:val="105"/>
          <w:vertAlign w:val="baseline"/>
        </w:rPr>
        <w:t> </w:t>
      </w:r>
      <w:r>
        <w:rPr>
          <w:w w:val="105"/>
          <w:vertAlign w:val="baseline"/>
        </w:rPr>
        <w:t>from</w:t>
      </w:r>
      <w:r>
        <w:rPr>
          <w:spacing w:val="-17"/>
          <w:w w:val="105"/>
          <w:vertAlign w:val="baseline"/>
        </w:rPr>
        <w:t> </w:t>
      </w:r>
      <w:r>
        <w:rPr>
          <w:w w:val="105"/>
          <w:vertAlign w:val="baseline"/>
        </w:rPr>
        <w:t>each</w:t>
      </w:r>
      <w:r>
        <w:rPr>
          <w:spacing w:val="-18"/>
          <w:w w:val="105"/>
          <w:vertAlign w:val="baseline"/>
        </w:rPr>
        <w:t> </w:t>
      </w:r>
      <w:r>
        <w:rPr>
          <w:w w:val="105"/>
          <w:vertAlign w:val="baseline"/>
        </w:rPr>
        <w:t>member</w:t>
      </w:r>
      <w:r>
        <w:rPr>
          <w:spacing w:val="-17"/>
          <w:w w:val="105"/>
          <w:vertAlign w:val="baseline"/>
        </w:rPr>
        <w:t> </w:t>
      </w:r>
      <w:r>
        <w:rPr>
          <w:w w:val="105"/>
          <w:vertAlign w:val="baseline"/>
        </w:rPr>
        <w:t>of the</w:t>
      </w:r>
      <w:r>
        <w:rPr>
          <w:spacing w:val="-18"/>
          <w:w w:val="105"/>
          <w:vertAlign w:val="baseline"/>
        </w:rPr>
        <w:t> </w:t>
      </w:r>
      <w:r>
        <w:rPr>
          <w:w w:val="105"/>
          <w:vertAlign w:val="baseline"/>
        </w:rPr>
        <w:t>G7</w:t>
      </w:r>
      <w:r>
        <w:rPr>
          <w:spacing w:val="-17"/>
          <w:w w:val="105"/>
          <w:vertAlign w:val="baseline"/>
        </w:rPr>
        <w:t> </w:t>
      </w:r>
      <w:r>
        <w:rPr>
          <w:w w:val="105"/>
          <w:vertAlign w:val="baseline"/>
        </w:rPr>
        <w:t>over</w:t>
      </w:r>
      <w:r>
        <w:rPr>
          <w:spacing w:val="-18"/>
          <w:w w:val="105"/>
          <w:vertAlign w:val="baseline"/>
        </w:rPr>
        <w:t> </w:t>
      </w:r>
      <w:r>
        <w:rPr>
          <w:w w:val="105"/>
          <w:vertAlign w:val="baseline"/>
        </w:rPr>
        <w:t>the</w:t>
      </w:r>
      <w:r>
        <w:rPr>
          <w:spacing w:val="-18"/>
          <w:w w:val="105"/>
          <w:vertAlign w:val="baseline"/>
        </w:rPr>
        <w:t> </w:t>
      </w:r>
      <w:r>
        <w:rPr>
          <w:w w:val="105"/>
          <w:vertAlign w:val="baseline"/>
        </w:rPr>
        <w:t>same</w:t>
      </w:r>
      <w:r>
        <w:rPr>
          <w:spacing w:val="-17"/>
          <w:w w:val="105"/>
          <w:vertAlign w:val="baseline"/>
        </w:rPr>
        <w:t> </w:t>
      </w:r>
      <w:r>
        <w:rPr>
          <w:w w:val="105"/>
          <w:vertAlign w:val="baseline"/>
        </w:rPr>
        <w:t>time</w:t>
      </w:r>
      <w:r>
        <w:rPr>
          <w:spacing w:val="-18"/>
          <w:w w:val="105"/>
          <w:vertAlign w:val="baseline"/>
        </w:rPr>
        <w:t> </w:t>
      </w:r>
      <w:r>
        <w:rPr>
          <w:w w:val="105"/>
          <w:vertAlign w:val="baseline"/>
        </w:rPr>
        <w:t>period.</w:t>
      </w:r>
      <w:r>
        <w:rPr>
          <w:spacing w:val="-17"/>
          <w:w w:val="105"/>
          <w:vertAlign w:val="baseline"/>
        </w:rPr>
        <w:t> </w:t>
      </w:r>
      <w:r>
        <w:rPr>
          <w:w w:val="105"/>
          <w:vertAlign w:val="baseline"/>
        </w:rPr>
        <w:t>China’s</w:t>
      </w:r>
      <w:r>
        <w:rPr>
          <w:spacing w:val="-18"/>
          <w:w w:val="105"/>
          <w:vertAlign w:val="baseline"/>
        </w:rPr>
        <w:t> </w:t>
      </w:r>
      <w:r>
        <w:rPr>
          <w:w w:val="105"/>
          <w:vertAlign w:val="baseline"/>
        </w:rPr>
        <w:t>overseas</w:t>
      </w:r>
      <w:r>
        <w:rPr>
          <w:spacing w:val="-17"/>
          <w:w w:val="105"/>
          <w:vertAlign w:val="baseline"/>
        </w:rPr>
        <w:t> </w:t>
      </w:r>
      <w:r>
        <w:rPr>
          <w:w w:val="105"/>
          <w:vertAlign w:val="baseline"/>
        </w:rPr>
        <w:t>development</w:t>
      </w:r>
      <w:r>
        <w:rPr>
          <w:spacing w:val="-18"/>
          <w:w w:val="105"/>
          <w:vertAlign w:val="baseline"/>
        </w:rPr>
        <w:t> </w:t>
      </w:r>
      <w:r>
        <w:rPr>
          <w:w w:val="105"/>
          <w:vertAlign w:val="baseline"/>
        </w:rPr>
        <w:t>program</w:t>
      </w:r>
      <w:r>
        <w:rPr>
          <w:spacing w:val="-17"/>
          <w:w w:val="105"/>
          <w:vertAlign w:val="baseline"/>
        </w:rPr>
        <w:t> </w:t>
      </w:r>
      <w:r>
        <w:rPr>
          <w:w w:val="105"/>
          <w:vertAlign w:val="baseline"/>
        </w:rPr>
        <w:t>is </w:t>
      </w:r>
      <w:r>
        <w:rPr>
          <w:vertAlign w:val="baseline"/>
        </w:rPr>
        <w:t>vastly larger than that of any G7 member, including the U.S. Beijing has outspent Washington</w:t>
      </w:r>
      <w:r>
        <w:rPr>
          <w:spacing w:val="-6"/>
          <w:vertAlign w:val="baseline"/>
        </w:rPr>
        <w:t> </w:t>
      </w:r>
      <w:r>
        <w:rPr>
          <w:vertAlign w:val="baseline"/>
        </w:rPr>
        <w:t>in</w:t>
      </w:r>
      <w:r>
        <w:rPr>
          <w:spacing w:val="-6"/>
          <w:vertAlign w:val="baseline"/>
        </w:rPr>
        <w:t> </w:t>
      </w:r>
      <w:r>
        <w:rPr>
          <w:vertAlign w:val="baseline"/>
        </w:rPr>
        <w:t>LICs</w:t>
      </w:r>
      <w:r>
        <w:rPr>
          <w:spacing w:val="-6"/>
          <w:vertAlign w:val="baseline"/>
        </w:rPr>
        <w:t> </w:t>
      </w:r>
      <w:r>
        <w:rPr>
          <w:vertAlign w:val="baseline"/>
        </w:rPr>
        <w:t>and</w:t>
      </w:r>
      <w:r>
        <w:rPr>
          <w:spacing w:val="-6"/>
          <w:vertAlign w:val="baseline"/>
        </w:rPr>
        <w:t> </w:t>
      </w:r>
      <w:r>
        <w:rPr>
          <w:vertAlign w:val="baseline"/>
        </w:rPr>
        <w:t>MICs</w:t>
      </w:r>
      <w:r>
        <w:rPr>
          <w:spacing w:val="-6"/>
          <w:vertAlign w:val="baseline"/>
        </w:rPr>
        <w:t> </w:t>
      </w:r>
      <w:r>
        <w:rPr>
          <w:vertAlign w:val="baseline"/>
        </w:rPr>
        <w:t>on</w:t>
      </w:r>
      <w:r>
        <w:rPr>
          <w:spacing w:val="-6"/>
          <w:vertAlign w:val="baseline"/>
        </w:rPr>
        <w:t> </w:t>
      </w:r>
      <w:r>
        <w:rPr>
          <w:vertAlign w:val="baseline"/>
        </w:rPr>
        <w:t>a</w:t>
      </w:r>
      <w:r>
        <w:rPr>
          <w:spacing w:val="-6"/>
          <w:vertAlign w:val="baseline"/>
        </w:rPr>
        <w:t> </w:t>
      </w:r>
      <w:r>
        <w:rPr>
          <w:vertAlign w:val="baseline"/>
        </w:rPr>
        <w:t>more</w:t>
      </w:r>
      <w:r>
        <w:rPr>
          <w:spacing w:val="-6"/>
          <w:vertAlign w:val="baseline"/>
        </w:rPr>
        <w:t> </w:t>
      </w:r>
      <w:r>
        <w:rPr>
          <w:vertAlign w:val="baseline"/>
        </w:rPr>
        <w:t>than</w:t>
      </w:r>
      <w:r>
        <w:rPr>
          <w:spacing w:val="-6"/>
          <w:vertAlign w:val="baseline"/>
        </w:rPr>
        <w:t> </w:t>
      </w:r>
      <w:r>
        <w:rPr>
          <w:vertAlign w:val="baseline"/>
        </w:rPr>
        <w:t>two-to-one</w:t>
      </w:r>
      <w:r>
        <w:rPr>
          <w:spacing w:val="-6"/>
          <w:vertAlign w:val="baseline"/>
        </w:rPr>
        <w:t> </w:t>
      </w:r>
      <w:r>
        <w:rPr>
          <w:vertAlign w:val="baseline"/>
        </w:rPr>
        <w:t>basis</w:t>
      </w:r>
      <w:r>
        <w:rPr>
          <w:spacing w:val="-6"/>
          <w:vertAlign w:val="baseline"/>
        </w:rPr>
        <w:t> </w:t>
      </w:r>
      <w:r>
        <w:rPr>
          <w:vertAlign w:val="baseline"/>
        </w:rPr>
        <w:t>since</w:t>
      </w:r>
      <w:r>
        <w:rPr>
          <w:spacing w:val="-6"/>
          <w:vertAlign w:val="baseline"/>
        </w:rPr>
        <w:t> </w:t>
      </w:r>
      <w:r>
        <w:rPr>
          <w:vertAlign w:val="baseline"/>
        </w:rPr>
        <w:t>the</w:t>
      </w:r>
      <w:r>
        <w:rPr>
          <w:spacing w:val="-6"/>
          <w:vertAlign w:val="baseline"/>
        </w:rPr>
        <w:t> </w:t>
      </w:r>
      <w:r>
        <w:rPr>
          <w:vertAlign w:val="baseline"/>
        </w:rPr>
        <w:t>BRI</w:t>
      </w:r>
      <w:r>
        <w:rPr>
          <w:spacing w:val="-6"/>
          <w:vertAlign w:val="baseline"/>
        </w:rPr>
        <w:t> </w:t>
      </w:r>
      <w:r>
        <w:rPr>
          <w:vertAlign w:val="baseline"/>
        </w:rPr>
        <w:t>was </w:t>
      </w:r>
      <w:r>
        <w:rPr>
          <w:w w:val="105"/>
          <w:vertAlign w:val="baseline"/>
        </w:rPr>
        <w:t>launched.</w:t>
      </w:r>
      <w:r>
        <w:rPr>
          <w:w w:val="105"/>
          <w:vertAlign w:val="superscript"/>
        </w:rPr>
        <w:t>[19]</w:t>
      </w:r>
      <w:r>
        <w:rPr>
          <w:spacing w:val="-18"/>
          <w:w w:val="105"/>
          <w:vertAlign w:val="baseline"/>
        </w:rPr>
        <w:t> </w:t>
      </w:r>
      <w:r>
        <w:rPr>
          <w:w w:val="105"/>
          <w:vertAlign w:val="baseline"/>
        </w:rPr>
        <w:t>Between</w:t>
      </w:r>
      <w:r>
        <w:rPr>
          <w:spacing w:val="-17"/>
          <w:w w:val="105"/>
          <w:vertAlign w:val="baseline"/>
        </w:rPr>
        <w:t> </w:t>
      </w:r>
      <w:r>
        <w:rPr>
          <w:w w:val="105"/>
          <w:vertAlign w:val="baseline"/>
        </w:rPr>
        <w:t>2014</w:t>
      </w:r>
      <w:r>
        <w:rPr>
          <w:spacing w:val="-18"/>
          <w:w w:val="105"/>
          <w:vertAlign w:val="baseline"/>
        </w:rPr>
        <w:t> </w:t>
      </w:r>
      <w:r>
        <w:rPr>
          <w:w w:val="105"/>
          <w:vertAlign w:val="baseline"/>
        </w:rPr>
        <w:t>and</w:t>
      </w:r>
      <w:r>
        <w:rPr>
          <w:spacing w:val="-18"/>
          <w:w w:val="105"/>
          <w:vertAlign w:val="baseline"/>
        </w:rPr>
        <w:t> </w:t>
      </w:r>
      <w:r>
        <w:rPr>
          <w:w w:val="105"/>
          <w:vertAlign w:val="baseline"/>
        </w:rPr>
        <w:t>2021,</w:t>
      </w:r>
      <w:r>
        <w:rPr>
          <w:spacing w:val="-17"/>
          <w:w w:val="105"/>
          <w:vertAlign w:val="baseline"/>
        </w:rPr>
        <w:t> </w:t>
      </w:r>
      <w:r>
        <w:rPr>
          <w:w w:val="105"/>
          <w:vertAlign w:val="baseline"/>
        </w:rPr>
        <w:t>ofﬁcial</w:t>
      </w:r>
      <w:r>
        <w:rPr>
          <w:spacing w:val="-18"/>
          <w:w w:val="105"/>
          <w:vertAlign w:val="baseline"/>
        </w:rPr>
        <w:t> </w:t>
      </w:r>
      <w:r>
        <w:rPr>
          <w:w w:val="105"/>
          <w:vertAlign w:val="baseline"/>
        </w:rPr>
        <w:t>ﬁnancial</w:t>
      </w:r>
      <w:r>
        <w:rPr>
          <w:spacing w:val="-17"/>
          <w:w w:val="105"/>
          <w:vertAlign w:val="baseline"/>
        </w:rPr>
        <w:t> </w:t>
      </w:r>
      <w:r>
        <w:rPr>
          <w:w w:val="105"/>
          <w:vertAlign w:val="baseline"/>
        </w:rPr>
        <w:t>ﬂows</w:t>
      </w:r>
      <w:r>
        <w:rPr>
          <w:spacing w:val="-18"/>
          <w:w w:val="105"/>
          <w:vertAlign w:val="baseline"/>
        </w:rPr>
        <w:t> </w:t>
      </w:r>
      <w:r>
        <w:rPr>
          <w:w w:val="105"/>
          <w:vertAlign w:val="baseline"/>
        </w:rPr>
        <w:t>from</w:t>
      </w:r>
      <w:r>
        <w:rPr>
          <w:spacing w:val="-17"/>
          <w:w w:val="105"/>
          <w:vertAlign w:val="baseline"/>
        </w:rPr>
        <w:t> </w:t>
      </w:r>
      <w:r>
        <w:rPr>
          <w:w w:val="105"/>
          <w:vertAlign w:val="baseline"/>
        </w:rPr>
        <w:t>China</w:t>
      </w:r>
      <w:r>
        <w:rPr>
          <w:spacing w:val="-18"/>
          <w:w w:val="105"/>
          <w:vertAlign w:val="baseline"/>
        </w:rPr>
        <w:t> </w:t>
      </w:r>
      <w:r>
        <w:rPr>
          <w:w w:val="105"/>
          <w:vertAlign w:val="baseline"/>
        </w:rPr>
        <w:t>to</w:t>
      </w:r>
      <w:r>
        <w:rPr>
          <w:spacing w:val="-17"/>
          <w:w w:val="105"/>
          <w:vertAlign w:val="baseline"/>
        </w:rPr>
        <w:t> </w:t>
      </w:r>
      <w:r>
        <w:rPr>
          <w:w w:val="105"/>
          <w:vertAlign w:val="baseline"/>
        </w:rPr>
        <w:t>the </w:t>
      </w:r>
      <w:r>
        <w:rPr>
          <w:vertAlign w:val="baseline"/>
        </w:rPr>
        <w:t>developing world amounted to $680 billion, while those from the U.S. amounted </w:t>
      </w:r>
      <w:r>
        <w:rPr>
          <w:w w:val="105"/>
          <w:vertAlign w:val="baseline"/>
        </w:rPr>
        <w:t>to</w:t>
      </w:r>
      <w:r>
        <w:rPr>
          <w:spacing w:val="-9"/>
          <w:w w:val="105"/>
          <w:vertAlign w:val="baseline"/>
        </w:rPr>
        <w:t> </w:t>
      </w:r>
      <w:r>
        <w:rPr>
          <w:w w:val="105"/>
          <w:vertAlign w:val="baseline"/>
        </w:rPr>
        <w:t>$319</w:t>
      </w:r>
      <w:r>
        <w:rPr>
          <w:spacing w:val="-9"/>
          <w:w w:val="105"/>
          <w:vertAlign w:val="baseline"/>
        </w:rPr>
        <w:t> </w:t>
      </w:r>
      <w:r>
        <w:rPr>
          <w:w w:val="105"/>
          <w:vertAlign w:val="baseline"/>
        </w:rPr>
        <w:t>billion.</w:t>
      </w:r>
      <w:r>
        <w:rPr>
          <w:w w:val="105"/>
          <w:vertAlign w:val="superscript"/>
        </w:rPr>
        <w:t>[20]</w:t>
      </w:r>
      <w:r>
        <w:rPr>
          <w:spacing w:val="-10"/>
          <w:w w:val="105"/>
          <w:vertAlign w:val="baseline"/>
        </w:rPr>
        <w:t> </w:t>
      </w:r>
      <w:r>
        <w:rPr>
          <w:w w:val="105"/>
          <w:vertAlign w:val="baseline"/>
        </w:rPr>
        <w:t>Over</w:t>
      </w:r>
      <w:r>
        <w:rPr>
          <w:spacing w:val="-9"/>
          <w:w w:val="105"/>
          <w:vertAlign w:val="baseline"/>
        </w:rPr>
        <w:t> </w:t>
      </w:r>
      <w:r>
        <w:rPr>
          <w:w w:val="105"/>
          <w:vertAlign w:val="baseline"/>
        </w:rPr>
        <w:t>the</w:t>
      </w:r>
      <w:r>
        <w:rPr>
          <w:spacing w:val="-9"/>
          <w:w w:val="105"/>
          <w:vertAlign w:val="baseline"/>
        </w:rPr>
        <w:t> </w:t>
      </w:r>
      <w:r>
        <w:rPr>
          <w:w w:val="105"/>
          <w:vertAlign w:val="baseline"/>
        </w:rPr>
        <w:t>same</w:t>
      </w:r>
      <w:r>
        <w:rPr>
          <w:spacing w:val="-9"/>
          <w:w w:val="105"/>
          <w:vertAlign w:val="baseline"/>
        </w:rPr>
        <w:t> </w:t>
      </w:r>
      <w:r>
        <w:rPr>
          <w:w w:val="105"/>
          <w:vertAlign w:val="baseline"/>
        </w:rPr>
        <w:t>time</w:t>
      </w:r>
      <w:r>
        <w:rPr>
          <w:spacing w:val="-9"/>
          <w:w w:val="105"/>
          <w:vertAlign w:val="baseline"/>
        </w:rPr>
        <w:t> </w:t>
      </w:r>
      <w:r>
        <w:rPr>
          <w:w w:val="105"/>
          <w:vertAlign w:val="baseline"/>
        </w:rPr>
        <w:t>period,</w:t>
      </w:r>
      <w:r>
        <w:rPr>
          <w:spacing w:val="-9"/>
          <w:w w:val="105"/>
          <w:vertAlign w:val="baseline"/>
        </w:rPr>
        <w:t> </w:t>
      </w:r>
      <w:r>
        <w:rPr>
          <w:w w:val="105"/>
          <w:vertAlign w:val="baseline"/>
        </w:rPr>
        <w:t>China</w:t>
      </w:r>
      <w:r>
        <w:rPr>
          <w:spacing w:val="-9"/>
          <w:w w:val="105"/>
          <w:vertAlign w:val="baseline"/>
        </w:rPr>
        <w:t> </w:t>
      </w:r>
      <w:r>
        <w:rPr>
          <w:w w:val="105"/>
          <w:vertAlign w:val="baseline"/>
        </w:rPr>
        <w:t>also</w:t>
      </w:r>
      <w:r>
        <w:rPr>
          <w:spacing w:val="-9"/>
          <w:w w:val="105"/>
          <w:vertAlign w:val="baseline"/>
        </w:rPr>
        <w:t> </w:t>
      </w:r>
      <w:r>
        <w:rPr>
          <w:w w:val="105"/>
          <w:vertAlign w:val="baseline"/>
        </w:rPr>
        <w:t>outspent</w:t>
      </w:r>
      <w:r>
        <w:rPr>
          <w:spacing w:val="-9"/>
          <w:w w:val="105"/>
          <w:vertAlign w:val="baseline"/>
        </w:rPr>
        <w:t> </w:t>
      </w:r>
      <w:r>
        <w:rPr>
          <w:w w:val="105"/>
          <w:vertAlign w:val="baseline"/>
        </w:rPr>
        <w:t>the</w:t>
      </w:r>
      <w:r>
        <w:rPr>
          <w:spacing w:val="-9"/>
          <w:w w:val="105"/>
          <w:vertAlign w:val="baseline"/>
        </w:rPr>
        <w:t> </w:t>
      </w:r>
      <w:r>
        <w:rPr>
          <w:w w:val="105"/>
          <w:vertAlign w:val="baseline"/>
        </w:rPr>
        <w:t>single </w:t>
      </w:r>
      <w:r>
        <w:rPr>
          <w:vertAlign w:val="baseline"/>
        </w:rPr>
        <w:t>largest source of multilateral development ﬁnance—the World Bank—on a more </w:t>
      </w:r>
      <w:r>
        <w:rPr>
          <w:w w:val="105"/>
          <w:vertAlign w:val="baseline"/>
        </w:rPr>
        <w:t>than two-to-one basis.</w:t>
      </w:r>
      <w:r>
        <w:rPr>
          <w:w w:val="105"/>
          <w:vertAlign w:val="superscript"/>
        </w:rPr>
        <w:t>[21]</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3"/>
        </w:rPr>
      </w:pPr>
      <w:r>
        <w:rPr/>
        <w:pict>
          <v:shape style="position:absolute;margin-left:90pt;margin-top:14.86084pt;width:144pt;height:.1pt;mso-position-horizontal-relative:page;mso-position-vertical-relative:paragraph;z-index:-15721984;mso-wrap-distance-left:0;mso-wrap-distance-right:0" id="docshape12" coordorigin="1800,297" coordsize="2880,0" path="m1800,297l4680,297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pStyle w:val="BodyText"/>
        <w:ind w:left="340"/>
        <w:rPr>
          <w:sz w:val="20"/>
        </w:rPr>
      </w:pPr>
      <w:r>
        <w:rPr>
          <w:sz w:val="20"/>
        </w:rPr>
        <w:pict>
          <v:shape style="width:444pt;height:38pt;mso-position-horizontal-relative:char;mso-position-vertical-relative:line" type="#_x0000_t202" id="docshape13" filled="true" fillcolor="#5b666f" stroked="false">
            <w10:anchorlock/>
            <v:textbox inset="0,0,0,0">
              <w:txbxContent>
                <w:p>
                  <w:pPr>
                    <w:spacing w:before="129"/>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1.3</w:t>
                  </w:r>
                </w:p>
              </w:txbxContent>
            </v:textbox>
            <v:fill type="solid"/>
          </v:shape>
        </w:pict>
      </w:r>
      <w:r>
        <w:rPr>
          <w:sz w:val="20"/>
        </w:rPr>
      </w:r>
    </w:p>
    <w:p>
      <w:pPr>
        <w:pStyle w:val="BodyText"/>
        <w:rPr>
          <w:sz w:val="14"/>
        </w:rPr>
      </w:pPr>
      <w:r>
        <w:rPr/>
        <w:drawing>
          <wp:anchor distT="0" distB="0" distL="0" distR="0" allowOverlap="1" layoutInCell="1" locked="0" behindDoc="0" simplePos="0" relativeHeight="15">
            <wp:simplePos x="0" y="0"/>
            <wp:positionH relativeFrom="page">
              <wp:posOffset>1253132</wp:posOffset>
            </wp:positionH>
            <wp:positionV relativeFrom="paragraph">
              <wp:posOffset>117870</wp:posOffset>
            </wp:positionV>
            <wp:extent cx="5059640" cy="3184398"/>
            <wp:effectExtent l="0" t="0" r="0" b="0"/>
            <wp:wrapTopAndBottom/>
            <wp:docPr id="7" name="image4.jpeg"/>
            <wp:cNvGraphicFramePr>
              <a:graphicFrameLocks noChangeAspect="1"/>
            </wp:cNvGraphicFramePr>
            <a:graphic>
              <a:graphicData uri="http://schemas.openxmlformats.org/drawingml/2006/picture">
                <pic:pic>
                  <pic:nvPicPr>
                    <pic:cNvPr id="8" name="image4.jpeg"/>
                    <pic:cNvPicPr/>
                  </pic:nvPicPr>
                  <pic:blipFill>
                    <a:blip r:embed="rId9" cstate="print"/>
                    <a:stretch>
                      <a:fillRect/>
                    </a:stretch>
                  </pic:blipFill>
                  <pic:spPr>
                    <a:xfrm>
                      <a:off x="0" y="0"/>
                      <a:ext cx="5059640" cy="3184398"/>
                    </a:xfrm>
                    <a:prstGeom prst="rect">
                      <a:avLst/>
                    </a:prstGeom>
                  </pic:spPr>
                </pic:pic>
              </a:graphicData>
            </a:graphic>
          </wp:anchor>
        </w:drawing>
      </w:r>
    </w:p>
    <w:p>
      <w:pPr>
        <w:pStyle w:val="BodyText"/>
        <w:rPr>
          <w:sz w:val="20"/>
        </w:rPr>
      </w:pPr>
    </w:p>
    <w:p>
      <w:pPr>
        <w:pStyle w:val="BodyText"/>
        <w:spacing w:before="2"/>
        <w:rPr>
          <w:sz w:val="19"/>
        </w:rPr>
      </w:pPr>
    </w:p>
    <w:p>
      <w:pPr>
        <w:spacing w:line="333" w:lineRule="auto" w:before="0"/>
        <w:ind w:left="460" w:right="485" w:firstLine="0"/>
        <w:jc w:val="left"/>
        <w:rPr>
          <w:i/>
          <w:sz w:val="18"/>
        </w:rPr>
      </w:pPr>
      <w:r>
        <w:rPr>
          <w:i/>
          <w:sz w:val="18"/>
        </w:rPr>
        <w:t>Notes: AidData relies on OECD-DAC measurement criteria to make ODA and OOF determinations (as</w:t>
      </w:r>
      <w:r>
        <w:rPr>
          <w:i/>
          <w:sz w:val="18"/>
        </w:rPr>
        <w:t> described</w:t>
      </w:r>
      <w:r>
        <w:rPr>
          <w:i/>
          <w:spacing w:val="-2"/>
          <w:sz w:val="18"/>
        </w:rPr>
        <w:t> </w:t>
      </w:r>
      <w:r>
        <w:rPr>
          <w:i/>
          <w:sz w:val="18"/>
        </w:rPr>
        <w:t>in</w:t>
      </w:r>
      <w:r>
        <w:rPr>
          <w:i/>
          <w:spacing w:val="-2"/>
          <w:sz w:val="18"/>
        </w:rPr>
        <w:t> </w:t>
      </w:r>
      <w:r>
        <w:rPr>
          <w:i/>
          <w:sz w:val="18"/>
        </w:rPr>
        <w:t>Section</w:t>
      </w:r>
      <w:r>
        <w:rPr>
          <w:i/>
          <w:spacing w:val="-2"/>
          <w:sz w:val="18"/>
        </w:rPr>
        <w:t> </w:t>
      </w:r>
      <w:r>
        <w:rPr>
          <w:i/>
          <w:sz w:val="18"/>
        </w:rPr>
        <w:t>A-2</w:t>
      </w:r>
      <w:r>
        <w:rPr>
          <w:i/>
          <w:spacing w:val="-2"/>
          <w:sz w:val="18"/>
        </w:rPr>
        <w:t> </w:t>
      </w:r>
      <w:r>
        <w:rPr>
          <w:i/>
          <w:sz w:val="18"/>
        </w:rPr>
        <w:t>of</w:t>
      </w:r>
      <w:r>
        <w:rPr>
          <w:i/>
          <w:spacing w:val="-2"/>
          <w:sz w:val="18"/>
        </w:rPr>
        <w:t> </w:t>
      </w:r>
      <w:r>
        <w:rPr>
          <w:i/>
          <w:sz w:val="18"/>
        </w:rPr>
        <w:t>the</w:t>
      </w:r>
      <w:r>
        <w:rPr>
          <w:i/>
          <w:spacing w:val="-2"/>
          <w:sz w:val="18"/>
        </w:rPr>
        <w:t> </w:t>
      </w:r>
      <w:r>
        <w:rPr>
          <w:i/>
          <w:sz w:val="18"/>
        </w:rPr>
        <w:t>Appendix).</w:t>
      </w:r>
      <w:r>
        <w:rPr>
          <w:i/>
          <w:spacing w:val="-2"/>
          <w:sz w:val="18"/>
        </w:rPr>
        <w:t> </w:t>
      </w:r>
      <w:r>
        <w:rPr>
          <w:i/>
          <w:sz w:val="18"/>
        </w:rPr>
        <w:t>The</w:t>
      </w:r>
      <w:r>
        <w:rPr>
          <w:i/>
          <w:spacing w:val="-2"/>
          <w:sz w:val="18"/>
        </w:rPr>
        <w:t> </w:t>
      </w:r>
      <w:r>
        <w:rPr>
          <w:i/>
          <w:sz w:val="18"/>
        </w:rPr>
        <w:t>Vague</w:t>
      </w:r>
      <w:r>
        <w:rPr>
          <w:i/>
          <w:spacing w:val="-2"/>
          <w:sz w:val="18"/>
        </w:rPr>
        <w:t> </w:t>
      </w:r>
      <w:r>
        <w:rPr>
          <w:i/>
          <w:sz w:val="18"/>
        </w:rPr>
        <w:t>(Ofﬁcial</w:t>
      </w:r>
      <w:r>
        <w:rPr>
          <w:i/>
          <w:spacing w:val="-2"/>
          <w:sz w:val="18"/>
        </w:rPr>
        <w:t> </w:t>
      </w:r>
      <w:r>
        <w:rPr>
          <w:i/>
          <w:sz w:val="18"/>
        </w:rPr>
        <w:t>Finance)</w:t>
      </w:r>
      <w:r>
        <w:rPr>
          <w:i/>
          <w:spacing w:val="-2"/>
          <w:sz w:val="18"/>
        </w:rPr>
        <w:t> </w:t>
      </w:r>
      <w:r>
        <w:rPr>
          <w:i/>
          <w:sz w:val="18"/>
        </w:rPr>
        <w:t>is</w:t>
      </w:r>
      <w:r>
        <w:rPr>
          <w:i/>
          <w:spacing w:val="-2"/>
          <w:sz w:val="18"/>
        </w:rPr>
        <w:t> </w:t>
      </w:r>
      <w:r>
        <w:rPr>
          <w:i/>
          <w:sz w:val="18"/>
        </w:rPr>
        <w:t>a</w:t>
      </w:r>
      <w:r>
        <w:rPr>
          <w:i/>
          <w:spacing w:val="-2"/>
          <w:sz w:val="18"/>
        </w:rPr>
        <w:t> </w:t>
      </w:r>
      <w:r>
        <w:rPr>
          <w:i/>
          <w:sz w:val="18"/>
        </w:rPr>
        <w:t>residual</w:t>
      </w:r>
      <w:r>
        <w:rPr>
          <w:i/>
          <w:spacing w:val="-2"/>
          <w:sz w:val="18"/>
        </w:rPr>
        <w:t> </w:t>
      </w:r>
      <w:r>
        <w:rPr>
          <w:i/>
          <w:sz w:val="18"/>
        </w:rPr>
        <w:t>category</w:t>
      </w:r>
      <w:r>
        <w:rPr>
          <w:i/>
          <w:spacing w:val="-2"/>
          <w:sz w:val="18"/>
        </w:rPr>
        <w:t> </w:t>
      </w:r>
      <w:r>
        <w:rPr>
          <w:i/>
          <w:sz w:val="18"/>
        </w:rPr>
        <w:t>for</w:t>
      </w:r>
      <w:r>
        <w:rPr>
          <w:i/>
          <w:spacing w:val="-2"/>
          <w:sz w:val="18"/>
        </w:rPr>
        <w:t> </w:t>
      </w:r>
      <w:r>
        <w:rPr>
          <w:i/>
          <w:sz w:val="18"/>
        </w:rPr>
        <w:t>ofﬁcial </w:t>
      </w:r>
      <w:r>
        <w:rPr>
          <w:i/>
          <w:w w:val="105"/>
          <w:sz w:val="18"/>
        </w:rPr>
        <w:t>ﬁnancial</w:t>
      </w:r>
      <w:r>
        <w:rPr>
          <w:i/>
          <w:spacing w:val="-9"/>
          <w:w w:val="105"/>
          <w:sz w:val="18"/>
        </w:rPr>
        <w:t> </w:t>
      </w:r>
      <w:r>
        <w:rPr>
          <w:i/>
          <w:w w:val="105"/>
          <w:sz w:val="18"/>
        </w:rPr>
        <w:t>commitments</w:t>
      </w:r>
      <w:r>
        <w:rPr>
          <w:i/>
          <w:spacing w:val="-9"/>
          <w:w w:val="105"/>
          <w:sz w:val="18"/>
        </w:rPr>
        <w:t> </w:t>
      </w:r>
      <w:r>
        <w:rPr>
          <w:i/>
          <w:w w:val="105"/>
          <w:sz w:val="18"/>
        </w:rPr>
        <w:t>from</w:t>
      </w:r>
      <w:r>
        <w:rPr>
          <w:i/>
          <w:spacing w:val="-9"/>
          <w:w w:val="105"/>
          <w:sz w:val="18"/>
        </w:rPr>
        <w:t> </w:t>
      </w:r>
      <w:r>
        <w:rPr>
          <w:i/>
          <w:w w:val="105"/>
          <w:sz w:val="18"/>
        </w:rPr>
        <w:t>China</w:t>
      </w:r>
      <w:r>
        <w:rPr>
          <w:i/>
          <w:spacing w:val="-9"/>
          <w:w w:val="105"/>
          <w:sz w:val="18"/>
        </w:rPr>
        <w:t> </w:t>
      </w:r>
      <w:r>
        <w:rPr>
          <w:i/>
          <w:w w:val="105"/>
          <w:sz w:val="18"/>
        </w:rPr>
        <w:t>that</w:t>
      </w:r>
      <w:r>
        <w:rPr>
          <w:i/>
          <w:spacing w:val="-9"/>
          <w:w w:val="105"/>
          <w:sz w:val="18"/>
        </w:rPr>
        <w:t> </w:t>
      </w:r>
      <w:r>
        <w:rPr>
          <w:i/>
          <w:w w:val="105"/>
          <w:sz w:val="18"/>
        </w:rPr>
        <w:t>could</w:t>
      </w:r>
      <w:r>
        <w:rPr>
          <w:i/>
          <w:spacing w:val="-9"/>
          <w:w w:val="105"/>
          <w:sz w:val="18"/>
        </w:rPr>
        <w:t> </w:t>
      </w:r>
      <w:r>
        <w:rPr>
          <w:i/>
          <w:w w:val="105"/>
          <w:sz w:val="18"/>
        </w:rPr>
        <w:t>not</w:t>
      </w:r>
      <w:r>
        <w:rPr>
          <w:i/>
          <w:spacing w:val="-9"/>
          <w:w w:val="105"/>
          <w:sz w:val="18"/>
        </w:rPr>
        <w:t> </w:t>
      </w:r>
      <w:r>
        <w:rPr>
          <w:i/>
          <w:w w:val="105"/>
          <w:sz w:val="18"/>
        </w:rPr>
        <w:t>be</w:t>
      </w:r>
      <w:r>
        <w:rPr>
          <w:i/>
          <w:spacing w:val="-9"/>
          <w:w w:val="105"/>
          <w:sz w:val="18"/>
        </w:rPr>
        <w:t> </w:t>
      </w:r>
      <w:r>
        <w:rPr>
          <w:i/>
          <w:w w:val="105"/>
          <w:sz w:val="18"/>
        </w:rPr>
        <w:t>reliably</w:t>
      </w:r>
      <w:r>
        <w:rPr>
          <w:i/>
          <w:spacing w:val="-9"/>
          <w:w w:val="105"/>
          <w:sz w:val="18"/>
        </w:rPr>
        <w:t> </w:t>
      </w:r>
      <w:r>
        <w:rPr>
          <w:i/>
          <w:w w:val="105"/>
          <w:sz w:val="18"/>
        </w:rPr>
        <w:t>categorized</w:t>
      </w:r>
      <w:r>
        <w:rPr>
          <w:i/>
          <w:spacing w:val="-9"/>
          <w:w w:val="105"/>
          <w:sz w:val="18"/>
        </w:rPr>
        <w:t> </w:t>
      </w:r>
      <w:r>
        <w:rPr>
          <w:i/>
          <w:w w:val="105"/>
          <w:sz w:val="18"/>
        </w:rPr>
        <w:t>as</w:t>
      </w:r>
      <w:r>
        <w:rPr>
          <w:i/>
          <w:spacing w:val="-9"/>
          <w:w w:val="105"/>
          <w:sz w:val="18"/>
        </w:rPr>
        <w:t> </w:t>
      </w:r>
      <w:r>
        <w:rPr>
          <w:i/>
          <w:w w:val="105"/>
          <w:sz w:val="18"/>
        </w:rPr>
        <w:t>ODA</w:t>
      </w:r>
      <w:r>
        <w:rPr>
          <w:i/>
          <w:spacing w:val="-9"/>
          <w:w w:val="105"/>
          <w:sz w:val="18"/>
        </w:rPr>
        <w:t> </w:t>
      </w:r>
      <w:r>
        <w:rPr>
          <w:i/>
          <w:w w:val="105"/>
          <w:sz w:val="18"/>
        </w:rPr>
        <w:t>or</w:t>
      </w:r>
      <w:r>
        <w:rPr>
          <w:i/>
          <w:spacing w:val="-9"/>
          <w:w w:val="105"/>
          <w:sz w:val="18"/>
        </w:rPr>
        <w:t> </w:t>
      </w:r>
      <w:r>
        <w:rPr>
          <w:i/>
          <w:w w:val="105"/>
          <w:sz w:val="18"/>
        </w:rPr>
        <w:t>OOF</w:t>
      </w:r>
      <w:r>
        <w:rPr>
          <w:i/>
          <w:spacing w:val="-9"/>
          <w:w w:val="105"/>
          <w:sz w:val="18"/>
        </w:rPr>
        <w:t> </w:t>
      </w:r>
      <w:r>
        <w:rPr>
          <w:i/>
          <w:w w:val="105"/>
          <w:sz w:val="18"/>
        </w:rPr>
        <w:t>because</w:t>
      </w:r>
      <w:r>
        <w:rPr>
          <w:i/>
          <w:spacing w:val="-9"/>
          <w:w w:val="105"/>
          <w:sz w:val="18"/>
        </w:rPr>
        <w:t> </w:t>
      </w:r>
      <w:r>
        <w:rPr>
          <w:i/>
          <w:w w:val="105"/>
          <w:sz w:val="18"/>
        </w:rPr>
        <w:t>of insufﬁciently</w:t>
      </w:r>
      <w:r>
        <w:rPr>
          <w:i/>
          <w:spacing w:val="-5"/>
          <w:w w:val="105"/>
          <w:sz w:val="18"/>
        </w:rPr>
        <w:t> </w:t>
      </w:r>
      <w:r>
        <w:rPr>
          <w:i/>
          <w:w w:val="105"/>
          <w:sz w:val="18"/>
        </w:rPr>
        <w:t>detailed</w:t>
      </w:r>
      <w:r>
        <w:rPr>
          <w:i/>
          <w:spacing w:val="-5"/>
          <w:w w:val="105"/>
          <w:sz w:val="18"/>
        </w:rPr>
        <w:t> </w:t>
      </w:r>
      <w:r>
        <w:rPr>
          <w:i/>
          <w:w w:val="105"/>
          <w:sz w:val="18"/>
        </w:rPr>
        <w:t>information.</w:t>
      </w:r>
      <w:r>
        <w:rPr>
          <w:i/>
          <w:spacing w:val="-5"/>
          <w:w w:val="105"/>
          <w:sz w:val="18"/>
        </w:rPr>
        <w:t> </w:t>
      </w:r>
      <w:r>
        <w:rPr>
          <w:i/>
          <w:w w:val="105"/>
          <w:sz w:val="18"/>
        </w:rPr>
        <w:t>This</w:t>
      </w:r>
      <w:r>
        <w:rPr>
          <w:i/>
          <w:spacing w:val="-5"/>
          <w:w w:val="105"/>
          <w:sz w:val="18"/>
        </w:rPr>
        <w:t> </w:t>
      </w:r>
      <w:r>
        <w:rPr>
          <w:i/>
          <w:w w:val="105"/>
          <w:sz w:val="18"/>
        </w:rPr>
        <w:t>ﬁgure</w:t>
      </w:r>
      <w:r>
        <w:rPr>
          <w:i/>
          <w:spacing w:val="-5"/>
          <w:w w:val="105"/>
          <w:sz w:val="18"/>
        </w:rPr>
        <w:t> </w:t>
      </w:r>
      <w:r>
        <w:rPr>
          <w:i/>
          <w:w w:val="105"/>
          <w:sz w:val="18"/>
        </w:rPr>
        <w:t>excludes</w:t>
      </w:r>
      <w:r>
        <w:rPr>
          <w:i/>
          <w:spacing w:val="-5"/>
          <w:w w:val="105"/>
          <w:sz w:val="18"/>
        </w:rPr>
        <w:t> </w:t>
      </w:r>
      <w:r>
        <w:rPr>
          <w:i/>
          <w:w w:val="105"/>
          <w:sz w:val="18"/>
        </w:rPr>
        <w:t>short-term</w:t>
      </w:r>
      <w:r>
        <w:rPr>
          <w:i/>
          <w:spacing w:val="-5"/>
          <w:w w:val="105"/>
          <w:sz w:val="18"/>
        </w:rPr>
        <w:t> </w:t>
      </w:r>
      <w:r>
        <w:rPr>
          <w:i/>
          <w:w w:val="105"/>
          <w:sz w:val="18"/>
        </w:rPr>
        <w:t>"rollover"</w:t>
      </w:r>
      <w:r>
        <w:rPr>
          <w:i/>
          <w:spacing w:val="-5"/>
          <w:w w:val="105"/>
          <w:sz w:val="18"/>
        </w:rPr>
        <w:t> </w:t>
      </w:r>
      <w:r>
        <w:rPr>
          <w:i/>
          <w:w w:val="105"/>
          <w:sz w:val="18"/>
        </w:rPr>
        <w:t>facilities</w:t>
      </w:r>
      <w:r>
        <w:rPr>
          <w:i/>
          <w:spacing w:val="-5"/>
          <w:w w:val="105"/>
          <w:sz w:val="18"/>
        </w:rPr>
        <w:t> </w:t>
      </w:r>
      <w:r>
        <w:rPr>
          <w:i/>
          <w:w w:val="105"/>
          <w:sz w:val="18"/>
        </w:rPr>
        <w:t>from</w:t>
      </w:r>
      <w:r>
        <w:rPr>
          <w:i/>
          <w:spacing w:val="-5"/>
          <w:w w:val="105"/>
          <w:sz w:val="18"/>
        </w:rPr>
        <w:t> </w:t>
      </w:r>
      <w:r>
        <w:rPr>
          <w:i/>
          <w:w w:val="105"/>
          <w:sz w:val="18"/>
        </w:rPr>
        <w:t>the</w:t>
      </w:r>
      <w:r>
        <w:rPr>
          <w:i/>
          <w:spacing w:val="-5"/>
          <w:w w:val="105"/>
          <w:sz w:val="18"/>
        </w:rPr>
        <w:t> </w:t>
      </w:r>
      <w:r>
        <w:rPr>
          <w:i/>
          <w:w w:val="105"/>
          <w:sz w:val="18"/>
        </w:rPr>
        <w:t>tally</w:t>
      </w:r>
      <w:r>
        <w:rPr>
          <w:i/>
          <w:spacing w:val="-5"/>
          <w:w w:val="105"/>
          <w:sz w:val="18"/>
        </w:rPr>
        <w:t> </w:t>
      </w:r>
      <w:r>
        <w:rPr>
          <w:i/>
          <w:w w:val="105"/>
          <w:sz w:val="18"/>
        </w:rPr>
        <w:t>of ofﬁcial</w:t>
      </w:r>
      <w:r>
        <w:rPr>
          <w:i/>
          <w:spacing w:val="-11"/>
          <w:w w:val="105"/>
          <w:sz w:val="18"/>
        </w:rPr>
        <w:t> </w:t>
      </w:r>
      <w:r>
        <w:rPr>
          <w:i/>
          <w:w w:val="105"/>
          <w:sz w:val="18"/>
        </w:rPr>
        <w:t>ﬁnancial</w:t>
      </w:r>
      <w:r>
        <w:rPr>
          <w:i/>
          <w:spacing w:val="-11"/>
          <w:w w:val="105"/>
          <w:sz w:val="18"/>
        </w:rPr>
        <w:t> </w:t>
      </w:r>
      <w:r>
        <w:rPr>
          <w:i/>
          <w:w w:val="105"/>
          <w:sz w:val="18"/>
        </w:rPr>
        <w:t>commitments</w:t>
      </w:r>
      <w:r>
        <w:rPr>
          <w:i/>
          <w:spacing w:val="-11"/>
          <w:w w:val="105"/>
          <w:sz w:val="18"/>
        </w:rPr>
        <w:t> </w:t>
      </w:r>
      <w:r>
        <w:rPr>
          <w:i/>
          <w:w w:val="105"/>
          <w:sz w:val="18"/>
        </w:rPr>
        <w:t>(see</w:t>
      </w:r>
      <w:r>
        <w:rPr>
          <w:i/>
          <w:spacing w:val="-11"/>
          <w:w w:val="105"/>
          <w:sz w:val="18"/>
        </w:rPr>
        <w:t> </w:t>
      </w:r>
      <w:r>
        <w:rPr>
          <w:i/>
          <w:w w:val="105"/>
          <w:sz w:val="18"/>
        </w:rPr>
        <w:t>Box</w:t>
      </w:r>
      <w:r>
        <w:rPr>
          <w:i/>
          <w:spacing w:val="-11"/>
          <w:w w:val="105"/>
          <w:sz w:val="18"/>
        </w:rPr>
        <w:t> </w:t>
      </w:r>
      <w:r>
        <w:rPr>
          <w:i/>
          <w:w w:val="105"/>
          <w:sz w:val="18"/>
        </w:rPr>
        <w:t>2c</w:t>
      </w:r>
      <w:r>
        <w:rPr>
          <w:i/>
          <w:spacing w:val="-11"/>
          <w:w w:val="105"/>
          <w:sz w:val="18"/>
        </w:rPr>
        <w:t> </w:t>
      </w:r>
      <w:r>
        <w:rPr>
          <w:i/>
          <w:w w:val="105"/>
          <w:sz w:val="18"/>
        </w:rPr>
        <w:t>and</w:t>
      </w:r>
      <w:r>
        <w:rPr>
          <w:i/>
          <w:spacing w:val="-11"/>
          <w:w w:val="105"/>
          <w:sz w:val="18"/>
        </w:rPr>
        <w:t> </w:t>
      </w:r>
      <w:r>
        <w:rPr>
          <w:i/>
          <w:w w:val="105"/>
          <w:sz w:val="18"/>
        </w:rPr>
        <w:t>Section</w:t>
      </w:r>
      <w:r>
        <w:rPr>
          <w:i/>
          <w:spacing w:val="-11"/>
          <w:w w:val="105"/>
          <w:sz w:val="18"/>
        </w:rPr>
        <w:t> </w:t>
      </w:r>
      <w:r>
        <w:rPr>
          <w:i/>
          <w:w w:val="105"/>
          <w:sz w:val="18"/>
        </w:rPr>
        <w:t>A-3</w:t>
      </w:r>
      <w:r>
        <w:rPr>
          <w:i/>
          <w:spacing w:val="-11"/>
          <w:w w:val="105"/>
          <w:sz w:val="18"/>
        </w:rPr>
        <w:t> </w:t>
      </w:r>
      <w:r>
        <w:rPr>
          <w:i/>
          <w:w w:val="105"/>
          <w:sz w:val="18"/>
        </w:rPr>
        <w:t>in</w:t>
      </w:r>
      <w:r>
        <w:rPr>
          <w:i/>
          <w:spacing w:val="-11"/>
          <w:w w:val="105"/>
          <w:sz w:val="18"/>
        </w:rPr>
        <w:t> </w:t>
      </w:r>
      <w:r>
        <w:rPr>
          <w:i/>
          <w:w w:val="105"/>
          <w:sz w:val="18"/>
        </w:rPr>
        <w:t>the</w:t>
      </w:r>
      <w:r>
        <w:rPr>
          <w:i/>
          <w:spacing w:val="-11"/>
          <w:w w:val="105"/>
          <w:sz w:val="18"/>
        </w:rPr>
        <w:t> </w:t>
      </w:r>
      <w:r>
        <w:rPr>
          <w:i/>
          <w:w w:val="105"/>
          <w:sz w:val="18"/>
        </w:rPr>
        <w:t>Appendix).</w:t>
      </w:r>
    </w:p>
    <w:p>
      <w:pPr>
        <w:spacing w:after="0" w:line="333" w:lineRule="auto"/>
        <w:jc w:val="left"/>
        <w:rPr>
          <w:sz w:val="18"/>
        </w:rPr>
        <w:sectPr>
          <w:pgSz w:w="12240" w:h="15840"/>
          <w:pgMar w:header="0" w:footer="720" w:top="1540" w:bottom="920" w:left="1340" w:right="1340"/>
        </w:sectPr>
      </w:pPr>
    </w:p>
    <w:p>
      <w:pPr>
        <w:pStyle w:val="BodyText"/>
        <w:ind w:left="340"/>
        <w:rPr>
          <w:sz w:val="20"/>
        </w:rPr>
      </w:pPr>
      <w:r>
        <w:rPr>
          <w:sz w:val="20"/>
        </w:rPr>
        <w:pict>
          <v:shape style="width:444pt;height:38pt;mso-position-horizontal-relative:char;mso-position-vertical-relative:line" type="#_x0000_t202" id="docshape14"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1.4</w:t>
                  </w:r>
                </w:p>
              </w:txbxContent>
            </v:textbox>
            <v:fill type="solid"/>
          </v:shape>
        </w:pict>
      </w:r>
      <w:r>
        <w:rPr>
          <w:sz w:val="20"/>
        </w:rPr>
      </w:r>
    </w:p>
    <w:p>
      <w:pPr>
        <w:pStyle w:val="BodyText"/>
        <w:spacing w:before="11"/>
        <w:rPr>
          <w:i/>
          <w:sz w:val="13"/>
        </w:rPr>
      </w:pPr>
      <w:r>
        <w:rPr/>
        <w:drawing>
          <wp:anchor distT="0" distB="0" distL="0" distR="0" allowOverlap="1" layoutInCell="1" locked="0" behindDoc="0" simplePos="0" relativeHeight="17">
            <wp:simplePos x="0" y="0"/>
            <wp:positionH relativeFrom="page">
              <wp:posOffset>1250453</wp:posOffset>
            </wp:positionH>
            <wp:positionV relativeFrom="paragraph">
              <wp:posOffset>117202</wp:posOffset>
            </wp:positionV>
            <wp:extent cx="5283662" cy="2811018"/>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0" cstate="print"/>
                    <a:stretch>
                      <a:fillRect/>
                    </a:stretch>
                  </pic:blipFill>
                  <pic:spPr>
                    <a:xfrm>
                      <a:off x="0" y="0"/>
                      <a:ext cx="5283662" cy="2811018"/>
                    </a:xfrm>
                    <a:prstGeom prst="rect">
                      <a:avLst/>
                    </a:prstGeom>
                  </pic:spPr>
                </pic:pic>
              </a:graphicData>
            </a:graphic>
          </wp:anchor>
        </w:drawing>
      </w:r>
    </w:p>
    <w:p>
      <w:pPr>
        <w:pStyle w:val="BodyText"/>
        <w:spacing w:before="2"/>
        <w:rPr>
          <w:i/>
        </w:rPr>
      </w:pPr>
    </w:p>
    <w:p>
      <w:pPr>
        <w:spacing w:line="333" w:lineRule="auto" w:before="71"/>
        <w:ind w:left="460" w:right="809" w:firstLine="0"/>
        <w:jc w:val="left"/>
        <w:rPr>
          <w:i/>
          <w:sz w:val="18"/>
        </w:rPr>
      </w:pPr>
      <w:r>
        <w:rPr>
          <w:i/>
          <w:sz w:val="18"/>
        </w:rPr>
        <w:t>Notes: AidData relies on OECD-DAC measurement criteria to make ODA and OOF determinations (as</w:t>
      </w:r>
      <w:r>
        <w:rPr>
          <w:i/>
          <w:sz w:val="18"/>
        </w:rPr>
        <w:t> described</w:t>
      </w:r>
      <w:r>
        <w:rPr>
          <w:i/>
          <w:spacing w:val="-2"/>
          <w:sz w:val="18"/>
        </w:rPr>
        <w:t> </w:t>
      </w:r>
      <w:r>
        <w:rPr>
          <w:i/>
          <w:sz w:val="18"/>
        </w:rPr>
        <w:t>in</w:t>
      </w:r>
      <w:r>
        <w:rPr>
          <w:i/>
          <w:spacing w:val="-2"/>
          <w:sz w:val="18"/>
        </w:rPr>
        <w:t> </w:t>
      </w:r>
      <w:r>
        <w:rPr>
          <w:i/>
          <w:sz w:val="18"/>
        </w:rPr>
        <w:t>Section</w:t>
      </w:r>
      <w:r>
        <w:rPr>
          <w:i/>
          <w:spacing w:val="-2"/>
          <w:sz w:val="18"/>
        </w:rPr>
        <w:t> </w:t>
      </w:r>
      <w:r>
        <w:rPr>
          <w:i/>
          <w:sz w:val="18"/>
        </w:rPr>
        <w:t>A-2</w:t>
      </w:r>
      <w:r>
        <w:rPr>
          <w:i/>
          <w:spacing w:val="-2"/>
          <w:sz w:val="18"/>
        </w:rPr>
        <w:t> </w:t>
      </w:r>
      <w:r>
        <w:rPr>
          <w:i/>
          <w:sz w:val="18"/>
        </w:rPr>
        <w:t>of</w:t>
      </w:r>
      <w:r>
        <w:rPr>
          <w:i/>
          <w:spacing w:val="-2"/>
          <w:sz w:val="18"/>
        </w:rPr>
        <w:t> </w:t>
      </w:r>
      <w:r>
        <w:rPr>
          <w:i/>
          <w:sz w:val="18"/>
        </w:rPr>
        <w:t>the</w:t>
      </w:r>
      <w:r>
        <w:rPr>
          <w:i/>
          <w:spacing w:val="-2"/>
          <w:sz w:val="18"/>
        </w:rPr>
        <w:t> </w:t>
      </w:r>
      <w:r>
        <w:rPr>
          <w:i/>
          <w:sz w:val="18"/>
        </w:rPr>
        <w:t>Appendix).</w:t>
      </w:r>
      <w:r>
        <w:rPr>
          <w:i/>
          <w:spacing w:val="-2"/>
          <w:sz w:val="18"/>
        </w:rPr>
        <w:t> </w:t>
      </w:r>
      <w:r>
        <w:rPr>
          <w:i/>
          <w:sz w:val="18"/>
        </w:rPr>
        <w:t>The</w:t>
      </w:r>
      <w:r>
        <w:rPr>
          <w:i/>
          <w:spacing w:val="-2"/>
          <w:sz w:val="18"/>
        </w:rPr>
        <w:t> </w:t>
      </w:r>
      <w:r>
        <w:rPr>
          <w:i/>
          <w:sz w:val="18"/>
        </w:rPr>
        <w:t>Vague</w:t>
      </w:r>
      <w:r>
        <w:rPr>
          <w:i/>
          <w:spacing w:val="-2"/>
          <w:sz w:val="18"/>
        </w:rPr>
        <w:t> </w:t>
      </w:r>
      <w:r>
        <w:rPr>
          <w:i/>
          <w:sz w:val="18"/>
        </w:rPr>
        <w:t>(Ofﬁcial</w:t>
      </w:r>
      <w:r>
        <w:rPr>
          <w:i/>
          <w:spacing w:val="-2"/>
          <w:sz w:val="18"/>
        </w:rPr>
        <w:t> </w:t>
      </w:r>
      <w:r>
        <w:rPr>
          <w:i/>
          <w:sz w:val="18"/>
        </w:rPr>
        <w:t>Finance)</w:t>
      </w:r>
      <w:r>
        <w:rPr>
          <w:i/>
          <w:spacing w:val="-2"/>
          <w:sz w:val="18"/>
        </w:rPr>
        <w:t> </w:t>
      </w:r>
      <w:r>
        <w:rPr>
          <w:i/>
          <w:sz w:val="18"/>
        </w:rPr>
        <w:t>is</w:t>
      </w:r>
      <w:r>
        <w:rPr>
          <w:i/>
          <w:spacing w:val="-2"/>
          <w:sz w:val="18"/>
        </w:rPr>
        <w:t> </w:t>
      </w:r>
      <w:r>
        <w:rPr>
          <w:i/>
          <w:sz w:val="18"/>
        </w:rPr>
        <w:t>a</w:t>
      </w:r>
      <w:r>
        <w:rPr>
          <w:i/>
          <w:spacing w:val="-2"/>
          <w:sz w:val="18"/>
        </w:rPr>
        <w:t> </w:t>
      </w:r>
      <w:r>
        <w:rPr>
          <w:i/>
          <w:sz w:val="18"/>
        </w:rPr>
        <w:t>residual</w:t>
      </w:r>
      <w:r>
        <w:rPr>
          <w:i/>
          <w:spacing w:val="-2"/>
          <w:sz w:val="18"/>
        </w:rPr>
        <w:t> </w:t>
      </w:r>
      <w:r>
        <w:rPr>
          <w:i/>
          <w:sz w:val="18"/>
        </w:rPr>
        <w:t>category</w:t>
      </w:r>
      <w:r>
        <w:rPr>
          <w:i/>
          <w:spacing w:val="-2"/>
          <w:sz w:val="18"/>
        </w:rPr>
        <w:t> </w:t>
      </w:r>
      <w:r>
        <w:rPr>
          <w:i/>
          <w:sz w:val="18"/>
        </w:rPr>
        <w:t>for</w:t>
      </w:r>
      <w:r>
        <w:rPr>
          <w:i/>
          <w:spacing w:val="-2"/>
          <w:sz w:val="18"/>
        </w:rPr>
        <w:t> </w:t>
      </w:r>
      <w:r>
        <w:rPr>
          <w:i/>
          <w:sz w:val="18"/>
        </w:rPr>
        <w:t>ofﬁcial </w:t>
      </w:r>
      <w:r>
        <w:rPr>
          <w:i/>
          <w:w w:val="105"/>
          <w:sz w:val="18"/>
        </w:rPr>
        <w:t>ﬁnancial</w:t>
      </w:r>
      <w:r>
        <w:rPr>
          <w:i/>
          <w:spacing w:val="-9"/>
          <w:w w:val="105"/>
          <w:sz w:val="18"/>
        </w:rPr>
        <w:t> </w:t>
      </w:r>
      <w:r>
        <w:rPr>
          <w:i/>
          <w:w w:val="105"/>
          <w:sz w:val="18"/>
        </w:rPr>
        <w:t>commitments</w:t>
      </w:r>
      <w:r>
        <w:rPr>
          <w:i/>
          <w:spacing w:val="-9"/>
          <w:w w:val="105"/>
          <w:sz w:val="18"/>
        </w:rPr>
        <w:t> </w:t>
      </w:r>
      <w:r>
        <w:rPr>
          <w:i/>
          <w:w w:val="105"/>
          <w:sz w:val="18"/>
        </w:rPr>
        <w:t>from</w:t>
      </w:r>
      <w:r>
        <w:rPr>
          <w:i/>
          <w:spacing w:val="-9"/>
          <w:w w:val="105"/>
          <w:sz w:val="18"/>
        </w:rPr>
        <w:t> </w:t>
      </w:r>
      <w:r>
        <w:rPr>
          <w:i/>
          <w:w w:val="105"/>
          <w:sz w:val="18"/>
        </w:rPr>
        <w:t>China</w:t>
      </w:r>
      <w:r>
        <w:rPr>
          <w:i/>
          <w:spacing w:val="-9"/>
          <w:w w:val="105"/>
          <w:sz w:val="18"/>
        </w:rPr>
        <w:t> </w:t>
      </w:r>
      <w:r>
        <w:rPr>
          <w:i/>
          <w:w w:val="105"/>
          <w:sz w:val="18"/>
        </w:rPr>
        <w:t>that</w:t>
      </w:r>
      <w:r>
        <w:rPr>
          <w:i/>
          <w:spacing w:val="-9"/>
          <w:w w:val="105"/>
          <w:sz w:val="18"/>
        </w:rPr>
        <w:t> </w:t>
      </w:r>
      <w:r>
        <w:rPr>
          <w:i/>
          <w:w w:val="105"/>
          <w:sz w:val="18"/>
        </w:rPr>
        <w:t>could</w:t>
      </w:r>
      <w:r>
        <w:rPr>
          <w:i/>
          <w:spacing w:val="-9"/>
          <w:w w:val="105"/>
          <w:sz w:val="18"/>
        </w:rPr>
        <w:t> </w:t>
      </w:r>
      <w:r>
        <w:rPr>
          <w:i/>
          <w:w w:val="105"/>
          <w:sz w:val="18"/>
        </w:rPr>
        <w:t>not</w:t>
      </w:r>
      <w:r>
        <w:rPr>
          <w:i/>
          <w:spacing w:val="-9"/>
          <w:w w:val="105"/>
          <w:sz w:val="18"/>
        </w:rPr>
        <w:t> </w:t>
      </w:r>
      <w:r>
        <w:rPr>
          <w:i/>
          <w:w w:val="105"/>
          <w:sz w:val="18"/>
        </w:rPr>
        <w:t>be</w:t>
      </w:r>
      <w:r>
        <w:rPr>
          <w:i/>
          <w:spacing w:val="-9"/>
          <w:w w:val="105"/>
          <w:sz w:val="18"/>
        </w:rPr>
        <w:t> </w:t>
      </w:r>
      <w:r>
        <w:rPr>
          <w:i/>
          <w:w w:val="105"/>
          <w:sz w:val="18"/>
        </w:rPr>
        <w:t>reliably</w:t>
      </w:r>
      <w:r>
        <w:rPr>
          <w:i/>
          <w:spacing w:val="-9"/>
          <w:w w:val="105"/>
          <w:sz w:val="18"/>
        </w:rPr>
        <w:t> </w:t>
      </w:r>
      <w:r>
        <w:rPr>
          <w:i/>
          <w:w w:val="105"/>
          <w:sz w:val="18"/>
        </w:rPr>
        <w:t>categorized</w:t>
      </w:r>
      <w:r>
        <w:rPr>
          <w:i/>
          <w:spacing w:val="-9"/>
          <w:w w:val="105"/>
          <w:sz w:val="18"/>
        </w:rPr>
        <w:t> </w:t>
      </w:r>
      <w:r>
        <w:rPr>
          <w:i/>
          <w:w w:val="105"/>
          <w:sz w:val="18"/>
        </w:rPr>
        <w:t>as</w:t>
      </w:r>
      <w:r>
        <w:rPr>
          <w:i/>
          <w:spacing w:val="-9"/>
          <w:w w:val="105"/>
          <w:sz w:val="18"/>
        </w:rPr>
        <w:t> </w:t>
      </w:r>
      <w:r>
        <w:rPr>
          <w:i/>
          <w:w w:val="105"/>
          <w:sz w:val="18"/>
        </w:rPr>
        <w:t>ODA</w:t>
      </w:r>
      <w:r>
        <w:rPr>
          <w:i/>
          <w:spacing w:val="-9"/>
          <w:w w:val="105"/>
          <w:sz w:val="18"/>
        </w:rPr>
        <w:t> </w:t>
      </w:r>
      <w:r>
        <w:rPr>
          <w:i/>
          <w:w w:val="105"/>
          <w:sz w:val="18"/>
        </w:rPr>
        <w:t>or</w:t>
      </w:r>
      <w:r>
        <w:rPr>
          <w:i/>
          <w:spacing w:val="-9"/>
          <w:w w:val="105"/>
          <w:sz w:val="18"/>
        </w:rPr>
        <w:t> </w:t>
      </w:r>
      <w:r>
        <w:rPr>
          <w:i/>
          <w:w w:val="105"/>
          <w:sz w:val="18"/>
        </w:rPr>
        <w:t>OOF</w:t>
      </w:r>
      <w:r>
        <w:rPr>
          <w:i/>
          <w:spacing w:val="-9"/>
          <w:w w:val="105"/>
          <w:sz w:val="18"/>
        </w:rPr>
        <w:t> </w:t>
      </w:r>
      <w:r>
        <w:rPr>
          <w:i/>
          <w:w w:val="105"/>
          <w:sz w:val="18"/>
        </w:rPr>
        <w:t>because</w:t>
      </w:r>
      <w:r>
        <w:rPr>
          <w:i/>
          <w:spacing w:val="-9"/>
          <w:w w:val="105"/>
          <w:sz w:val="18"/>
        </w:rPr>
        <w:t> </w:t>
      </w:r>
      <w:r>
        <w:rPr>
          <w:i/>
          <w:w w:val="105"/>
          <w:sz w:val="18"/>
        </w:rPr>
        <w:t>of insufﬁciently</w:t>
      </w:r>
      <w:r>
        <w:rPr>
          <w:i/>
          <w:spacing w:val="-11"/>
          <w:w w:val="105"/>
          <w:sz w:val="18"/>
        </w:rPr>
        <w:t> </w:t>
      </w:r>
      <w:r>
        <w:rPr>
          <w:i/>
          <w:w w:val="105"/>
          <w:sz w:val="18"/>
        </w:rPr>
        <w:t>detailed</w:t>
      </w:r>
      <w:r>
        <w:rPr>
          <w:i/>
          <w:spacing w:val="-11"/>
          <w:w w:val="105"/>
          <w:sz w:val="18"/>
        </w:rPr>
        <w:t> </w:t>
      </w:r>
      <w:r>
        <w:rPr>
          <w:i/>
          <w:w w:val="105"/>
          <w:sz w:val="18"/>
        </w:rPr>
        <w:t>information.</w:t>
      </w:r>
      <w:r>
        <w:rPr>
          <w:i/>
          <w:spacing w:val="-11"/>
          <w:w w:val="105"/>
          <w:sz w:val="18"/>
        </w:rPr>
        <w:t> </w:t>
      </w:r>
      <w:r>
        <w:rPr>
          <w:i/>
          <w:w w:val="105"/>
          <w:sz w:val="18"/>
        </w:rPr>
        <w:t>G7</w:t>
      </w:r>
      <w:r>
        <w:rPr>
          <w:i/>
          <w:spacing w:val="-11"/>
          <w:w w:val="105"/>
          <w:sz w:val="18"/>
        </w:rPr>
        <w:t> </w:t>
      </w:r>
      <w:r>
        <w:rPr>
          <w:i/>
          <w:w w:val="105"/>
          <w:sz w:val="18"/>
        </w:rPr>
        <w:t>ODA</w:t>
      </w:r>
      <w:r>
        <w:rPr>
          <w:i/>
          <w:spacing w:val="-11"/>
          <w:w w:val="105"/>
          <w:sz w:val="18"/>
        </w:rPr>
        <w:t> </w:t>
      </w:r>
      <w:r>
        <w:rPr>
          <w:i/>
          <w:w w:val="105"/>
          <w:sz w:val="18"/>
        </w:rPr>
        <w:t>and</w:t>
      </w:r>
      <w:r>
        <w:rPr>
          <w:i/>
          <w:spacing w:val="-11"/>
          <w:w w:val="105"/>
          <w:sz w:val="18"/>
        </w:rPr>
        <w:t> </w:t>
      </w:r>
      <w:r>
        <w:rPr>
          <w:i/>
          <w:w w:val="105"/>
          <w:sz w:val="18"/>
        </w:rPr>
        <w:t>OOF</w:t>
      </w:r>
      <w:r>
        <w:rPr>
          <w:i/>
          <w:spacing w:val="-11"/>
          <w:w w:val="105"/>
          <w:sz w:val="18"/>
        </w:rPr>
        <w:t> </w:t>
      </w:r>
      <w:r>
        <w:rPr>
          <w:i/>
          <w:w w:val="105"/>
          <w:sz w:val="18"/>
        </w:rPr>
        <w:t>data</w:t>
      </w:r>
      <w:r>
        <w:rPr>
          <w:i/>
          <w:spacing w:val="-11"/>
          <w:w w:val="105"/>
          <w:sz w:val="18"/>
        </w:rPr>
        <w:t> </w:t>
      </w:r>
      <w:r>
        <w:rPr>
          <w:i/>
          <w:w w:val="105"/>
          <w:sz w:val="18"/>
        </w:rPr>
        <w:t>represent</w:t>
      </w:r>
      <w:r>
        <w:rPr>
          <w:i/>
          <w:spacing w:val="-11"/>
          <w:w w:val="105"/>
          <w:sz w:val="18"/>
        </w:rPr>
        <w:t> </w:t>
      </w:r>
      <w:r>
        <w:rPr>
          <w:i/>
          <w:w w:val="105"/>
          <w:sz w:val="18"/>
        </w:rPr>
        <w:t>gross</w:t>
      </w:r>
      <w:r>
        <w:rPr>
          <w:i/>
          <w:spacing w:val="-11"/>
          <w:w w:val="105"/>
          <w:sz w:val="18"/>
        </w:rPr>
        <w:t> </w:t>
      </w:r>
      <w:r>
        <w:rPr>
          <w:i/>
          <w:w w:val="105"/>
          <w:sz w:val="18"/>
        </w:rPr>
        <w:t>disbursements</w:t>
      </w:r>
      <w:r>
        <w:rPr>
          <w:i/>
          <w:spacing w:val="-11"/>
          <w:w w:val="105"/>
          <w:sz w:val="18"/>
        </w:rPr>
        <w:t> </w:t>
      </w:r>
      <w:r>
        <w:rPr>
          <w:i/>
          <w:w w:val="105"/>
          <w:sz w:val="18"/>
        </w:rPr>
        <w:t>from</w:t>
      </w:r>
      <w:r>
        <w:rPr>
          <w:i/>
          <w:spacing w:val="-11"/>
          <w:w w:val="105"/>
          <w:sz w:val="18"/>
        </w:rPr>
        <w:t> </w:t>
      </w:r>
      <w:r>
        <w:rPr>
          <w:i/>
          <w:w w:val="105"/>
          <w:sz w:val="18"/>
        </w:rPr>
        <w:t>the OECD-DAC.</w:t>
      </w:r>
      <w:r>
        <w:rPr>
          <w:i/>
          <w:spacing w:val="-8"/>
          <w:w w:val="105"/>
          <w:sz w:val="18"/>
        </w:rPr>
        <w:t> </w:t>
      </w:r>
      <w:r>
        <w:rPr>
          <w:i/>
          <w:w w:val="105"/>
          <w:sz w:val="18"/>
        </w:rPr>
        <w:t>This</w:t>
      </w:r>
      <w:r>
        <w:rPr>
          <w:i/>
          <w:spacing w:val="-8"/>
          <w:w w:val="105"/>
          <w:sz w:val="18"/>
        </w:rPr>
        <w:t> </w:t>
      </w:r>
      <w:r>
        <w:rPr>
          <w:i/>
          <w:w w:val="105"/>
          <w:sz w:val="18"/>
        </w:rPr>
        <w:t>ﬁgure</w:t>
      </w:r>
      <w:r>
        <w:rPr>
          <w:i/>
          <w:spacing w:val="-8"/>
          <w:w w:val="105"/>
          <w:sz w:val="18"/>
        </w:rPr>
        <w:t> </w:t>
      </w:r>
      <w:r>
        <w:rPr>
          <w:i/>
          <w:w w:val="105"/>
          <w:sz w:val="18"/>
        </w:rPr>
        <w:t>excludes</w:t>
      </w:r>
      <w:r>
        <w:rPr>
          <w:i/>
          <w:spacing w:val="-8"/>
          <w:w w:val="105"/>
          <w:sz w:val="18"/>
        </w:rPr>
        <w:t> </w:t>
      </w:r>
      <w:r>
        <w:rPr>
          <w:i/>
          <w:w w:val="105"/>
          <w:sz w:val="18"/>
        </w:rPr>
        <w:t>short-term</w:t>
      </w:r>
      <w:r>
        <w:rPr>
          <w:i/>
          <w:spacing w:val="-8"/>
          <w:w w:val="105"/>
          <w:sz w:val="18"/>
        </w:rPr>
        <w:t> </w:t>
      </w:r>
      <w:r>
        <w:rPr>
          <w:i/>
          <w:w w:val="105"/>
          <w:sz w:val="18"/>
        </w:rPr>
        <w:t>“rollover”</w:t>
      </w:r>
      <w:r>
        <w:rPr>
          <w:i/>
          <w:spacing w:val="-8"/>
          <w:w w:val="105"/>
          <w:sz w:val="18"/>
        </w:rPr>
        <w:t> </w:t>
      </w:r>
      <w:r>
        <w:rPr>
          <w:i/>
          <w:w w:val="105"/>
          <w:sz w:val="18"/>
        </w:rPr>
        <w:t>facilities</w:t>
      </w:r>
      <w:r>
        <w:rPr>
          <w:i/>
          <w:spacing w:val="-8"/>
          <w:w w:val="105"/>
          <w:sz w:val="18"/>
        </w:rPr>
        <w:t> </w:t>
      </w:r>
      <w:r>
        <w:rPr>
          <w:i/>
          <w:w w:val="105"/>
          <w:sz w:val="18"/>
        </w:rPr>
        <w:t>from</w:t>
      </w:r>
      <w:r>
        <w:rPr>
          <w:i/>
          <w:spacing w:val="-8"/>
          <w:w w:val="105"/>
          <w:sz w:val="18"/>
        </w:rPr>
        <w:t> </w:t>
      </w:r>
      <w:r>
        <w:rPr>
          <w:i/>
          <w:w w:val="105"/>
          <w:sz w:val="18"/>
        </w:rPr>
        <w:t>the</w:t>
      </w:r>
      <w:r>
        <w:rPr>
          <w:i/>
          <w:spacing w:val="-8"/>
          <w:w w:val="105"/>
          <w:sz w:val="18"/>
        </w:rPr>
        <w:t> </w:t>
      </w:r>
      <w:r>
        <w:rPr>
          <w:i/>
          <w:w w:val="105"/>
          <w:sz w:val="18"/>
        </w:rPr>
        <w:t>tally</w:t>
      </w:r>
      <w:r>
        <w:rPr>
          <w:i/>
          <w:spacing w:val="-8"/>
          <w:w w:val="105"/>
          <w:sz w:val="18"/>
        </w:rPr>
        <w:t> </w:t>
      </w:r>
      <w:r>
        <w:rPr>
          <w:i/>
          <w:w w:val="105"/>
          <w:sz w:val="18"/>
        </w:rPr>
        <w:t>of</w:t>
      </w:r>
      <w:r>
        <w:rPr>
          <w:i/>
          <w:spacing w:val="-8"/>
          <w:w w:val="105"/>
          <w:sz w:val="18"/>
        </w:rPr>
        <w:t> </w:t>
      </w:r>
      <w:r>
        <w:rPr>
          <w:i/>
          <w:w w:val="105"/>
          <w:sz w:val="18"/>
        </w:rPr>
        <w:t>ofﬁcial</w:t>
      </w:r>
      <w:r>
        <w:rPr>
          <w:i/>
          <w:spacing w:val="-8"/>
          <w:w w:val="105"/>
          <w:sz w:val="18"/>
        </w:rPr>
        <w:t> </w:t>
      </w:r>
      <w:r>
        <w:rPr>
          <w:i/>
          <w:w w:val="105"/>
          <w:sz w:val="18"/>
        </w:rPr>
        <w:t>ﬁnancial commitments</w:t>
      </w:r>
      <w:r>
        <w:rPr>
          <w:i/>
          <w:spacing w:val="-7"/>
          <w:w w:val="105"/>
          <w:sz w:val="18"/>
        </w:rPr>
        <w:t> </w:t>
      </w:r>
      <w:r>
        <w:rPr>
          <w:i/>
          <w:w w:val="105"/>
          <w:sz w:val="18"/>
        </w:rPr>
        <w:t>(see</w:t>
      </w:r>
      <w:r>
        <w:rPr>
          <w:i/>
          <w:spacing w:val="-7"/>
          <w:w w:val="105"/>
          <w:sz w:val="18"/>
        </w:rPr>
        <w:t> </w:t>
      </w:r>
      <w:r>
        <w:rPr>
          <w:i/>
          <w:w w:val="105"/>
          <w:sz w:val="18"/>
        </w:rPr>
        <w:t>Box</w:t>
      </w:r>
      <w:r>
        <w:rPr>
          <w:i/>
          <w:spacing w:val="-7"/>
          <w:w w:val="105"/>
          <w:sz w:val="18"/>
        </w:rPr>
        <w:t> </w:t>
      </w:r>
      <w:r>
        <w:rPr>
          <w:i/>
          <w:w w:val="105"/>
          <w:sz w:val="18"/>
        </w:rPr>
        <w:t>2c</w:t>
      </w:r>
      <w:r>
        <w:rPr>
          <w:i/>
          <w:spacing w:val="-7"/>
          <w:w w:val="105"/>
          <w:sz w:val="18"/>
        </w:rPr>
        <w:t> </w:t>
      </w:r>
      <w:r>
        <w:rPr>
          <w:i/>
          <w:w w:val="105"/>
          <w:sz w:val="18"/>
        </w:rPr>
        <w:t>and</w:t>
      </w:r>
      <w:r>
        <w:rPr>
          <w:i/>
          <w:spacing w:val="-7"/>
          <w:w w:val="105"/>
          <w:sz w:val="18"/>
        </w:rPr>
        <w:t> </w:t>
      </w:r>
      <w:r>
        <w:rPr>
          <w:i/>
          <w:w w:val="105"/>
          <w:sz w:val="18"/>
        </w:rPr>
        <w:t>Section</w:t>
      </w:r>
      <w:r>
        <w:rPr>
          <w:i/>
          <w:spacing w:val="-7"/>
          <w:w w:val="105"/>
          <w:sz w:val="18"/>
        </w:rPr>
        <w:t> </w:t>
      </w:r>
      <w:r>
        <w:rPr>
          <w:i/>
          <w:w w:val="105"/>
          <w:sz w:val="18"/>
        </w:rPr>
        <w:t>A-3</w:t>
      </w:r>
      <w:r>
        <w:rPr>
          <w:i/>
          <w:spacing w:val="-7"/>
          <w:w w:val="105"/>
          <w:sz w:val="18"/>
        </w:rPr>
        <w:t> </w:t>
      </w:r>
      <w:r>
        <w:rPr>
          <w:i/>
          <w:w w:val="105"/>
          <w:sz w:val="18"/>
        </w:rPr>
        <w:t>in</w:t>
      </w:r>
      <w:r>
        <w:rPr>
          <w:i/>
          <w:spacing w:val="-7"/>
          <w:w w:val="105"/>
          <w:sz w:val="18"/>
        </w:rPr>
        <w:t> </w:t>
      </w:r>
      <w:r>
        <w:rPr>
          <w:i/>
          <w:w w:val="105"/>
          <w:sz w:val="18"/>
        </w:rPr>
        <w:t>the</w:t>
      </w:r>
      <w:r>
        <w:rPr>
          <w:i/>
          <w:spacing w:val="-7"/>
          <w:w w:val="105"/>
          <w:sz w:val="18"/>
        </w:rPr>
        <w:t> </w:t>
      </w:r>
      <w:r>
        <w:rPr>
          <w:i/>
          <w:w w:val="105"/>
          <w:sz w:val="18"/>
        </w:rPr>
        <w:t>Appendix).</w:t>
      </w:r>
    </w:p>
    <w:p>
      <w:pPr>
        <w:pStyle w:val="BodyText"/>
        <w:rPr>
          <w:i/>
          <w:sz w:val="18"/>
        </w:rPr>
      </w:pPr>
    </w:p>
    <w:p>
      <w:pPr>
        <w:pStyle w:val="BodyText"/>
        <w:spacing w:line="333" w:lineRule="auto" w:before="111"/>
        <w:ind w:left="460" w:right="491"/>
      </w:pPr>
      <w:r>
        <w:rPr/>
        <w:t>At the same time, there is evidence that the U.S. is beginning to close the overseas development spending gap with China (see Figure 1.5). During the early BRI period (2014-2017), China outspent the U.S. on a nearly three-to-one basis. However, during the late BRI period (2018-2021), Beijing spent $2.33 for every overseas development dollar spent by Washington. The gap narrowed even more during the last year for which reliable data are available: Beijing </w:t>
      </w:r>
      <w:r>
        <w:rPr/>
        <w:t>only spent $1.30 for every overseas development dollar spent by Washington in </w:t>
      </w:r>
      <w:r>
        <w:rPr>
          <w:spacing w:val="-2"/>
        </w:rPr>
        <w:t>2021.</w:t>
      </w:r>
      <w:r>
        <w:rPr>
          <w:spacing w:val="-2"/>
          <w:vertAlign w:val="superscript"/>
        </w:rPr>
        <w:t>[22]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2"/>
        </w:rPr>
      </w:pPr>
      <w:r>
        <w:rPr/>
        <w:pict>
          <v:shape style="position:absolute;margin-left:90pt;margin-top:8.363043pt;width:144pt;height:.1pt;mso-position-horizontal-relative:page;mso-position-vertical-relative:paragraph;z-index:-15719424;mso-wrap-distance-left:0;mso-wrap-distance-right:0" id="docshape15" coordorigin="1800,167" coordsize="2880,0" path="m1800,167l4680,167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16"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1.5</w:t>
                  </w:r>
                </w:p>
              </w:txbxContent>
            </v:textbox>
            <v:fill type="solid"/>
          </v:shape>
        </w:pict>
      </w:r>
      <w:r>
        <w:rPr>
          <w:sz w:val="20"/>
        </w:rPr>
      </w:r>
    </w:p>
    <w:p>
      <w:pPr>
        <w:pStyle w:val="BodyText"/>
        <w:rPr>
          <w:sz w:val="14"/>
        </w:rPr>
      </w:pPr>
      <w:r>
        <w:rPr/>
        <w:drawing>
          <wp:anchor distT="0" distB="0" distL="0" distR="0" allowOverlap="1" layoutInCell="1" locked="0" behindDoc="0" simplePos="0" relativeHeight="20">
            <wp:simplePos x="0" y="0"/>
            <wp:positionH relativeFrom="page">
              <wp:posOffset>1253132</wp:posOffset>
            </wp:positionH>
            <wp:positionV relativeFrom="paragraph">
              <wp:posOffset>117703</wp:posOffset>
            </wp:positionV>
            <wp:extent cx="5178366" cy="3184398"/>
            <wp:effectExtent l="0" t="0" r="0" b="0"/>
            <wp:wrapTopAndBottom/>
            <wp:docPr id="11" name="image6.jpeg"/>
            <wp:cNvGraphicFramePr>
              <a:graphicFrameLocks noChangeAspect="1"/>
            </wp:cNvGraphicFramePr>
            <a:graphic>
              <a:graphicData uri="http://schemas.openxmlformats.org/drawingml/2006/picture">
                <pic:pic>
                  <pic:nvPicPr>
                    <pic:cNvPr id="12" name="image6.jpeg"/>
                    <pic:cNvPicPr/>
                  </pic:nvPicPr>
                  <pic:blipFill>
                    <a:blip r:embed="rId11" cstate="print"/>
                    <a:stretch>
                      <a:fillRect/>
                    </a:stretch>
                  </pic:blipFill>
                  <pic:spPr>
                    <a:xfrm>
                      <a:off x="0" y="0"/>
                      <a:ext cx="5178366" cy="3184398"/>
                    </a:xfrm>
                    <a:prstGeom prst="rect">
                      <a:avLst/>
                    </a:prstGeom>
                  </pic:spPr>
                </pic:pic>
              </a:graphicData>
            </a:graphic>
          </wp:anchor>
        </w:drawing>
      </w:r>
    </w:p>
    <w:p>
      <w:pPr>
        <w:pStyle w:val="BodyText"/>
        <w:rPr>
          <w:sz w:val="20"/>
        </w:rPr>
      </w:pPr>
    </w:p>
    <w:p>
      <w:pPr>
        <w:pStyle w:val="BodyText"/>
        <w:spacing w:before="6"/>
        <w:rPr>
          <w:sz w:val="16"/>
        </w:rPr>
      </w:pPr>
    </w:p>
    <w:p>
      <w:pPr>
        <w:spacing w:line="333" w:lineRule="auto" w:before="1"/>
        <w:ind w:left="460" w:right="577" w:firstLine="0"/>
        <w:jc w:val="both"/>
        <w:rPr>
          <w:i/>
          <w:sz w:val="18"/>
        </w:rPr>
      </w:pPr>
      <w:r>
        <w:rPr>
          <w:i/>
          <w:sz w:val="18"/>
        </w:rPr>
        <w:t>Notes:</w:t>
      </w:r>
      <w:r>
        <w:rPr>
          <w:i/>
          <w:spacing w:val="-1"/>
          <w:sz w:val="18"/>
        </w:rPr>
        <w:t> </w:t>
      </w:r>
      <w:r>
        <w:rPr>
          <w:i/>
          <w:sz w:val="18"/>
        </w:rPr>
        <w:t>This</w:t>
      </w:r>
      <w:r>
        <w:rPr>
          <w:i/>
          <w:spacing w:val="-1"/>
          <w:sz w:val="18"/>
        </w:rPr>
        <w:t> </w:t>
      </w:r>
      <w:r>
        <w:rPr>
          <w:i/>
          <w:sz w:val="18"/>
        </w:rPr>
        <w:t>ﬁgure</w:t>
      </w:r>
      <w:r>
        <w:rPr>
          <w:i/>
          <w:spacing w:val="-1"/>
          <w:sz w:val="18"/>
        </w:rPr>
        <w:t> </w:t>
      </w:r>
      <w:r>
        <w:rPr>
          <w:i/>
          <w:sz w:val="18"/>
        </w:rPr>
        <w:t>measures</w:t>
      </w:r>
      <w:r>
        <w:rPr>
          <w:i/>
          <w:spacing w:val="-1"/>
          <w:sz w:val="18"/>
        </w:rPr>
        <w:t> </w:t>
      </w:r>
      <w:r>
        <w:rPr>
          <w:i/>
          <w:sz w:val="18"/>
        </w:rPr>
        <w:t>ofﬁcial</w:t>
      </w:r>
      <w:r>
        <w:rPr>
          <w:i/>
          <w:spacing w:val="-1"/>
          <w:sz w:val="18"/>
        </w:rPr>
        <w:t> </w:t>
      </w:r>
      <w:r>
        <w:rPr>
          <w:i/>
          <w:sz w:val="18"/>
        </w:rPr>
        <w:t>ﬁnancial</w:t>
      </w:r>
      <w:r>
        <w:rPr>
          <w:i/>
          <w:spacing w:val="-1"/>
          <w:sz w:val="18"/>
        </w:rPr>
        <w:t> </w:t>
      </w:r>
      <w:r>
        <w:rPr>
          <w:i/>
          <w:sz w:val="18"/>
        </w:rPr>
        <w:t>ﬂows</w:t>
      </w:r>
      <w:r>
        <w:rPr>
          <w:i/>
          <w:spacing w:val="-1"/>
          <w:sz w:val="18"/>
        </w:rPr>
        <w:t> </w:t>
      </w:r>
      <w:r>
        <w:rPr>
          <w:i/>
          <w:sz w:val="18"/>
        </w:rPr>
        <w:t>(ODA</w:t>
      </w:r>
      <w:r>
        <w:rPr>
          <w:i/>
          <w:spacing w:val="-1"/>
          <w:sz w:val="18"/>
        </w:rPr>
        <w:t> </w:t>
      </w:r>
      <w:r>
        <w:rPr>
          <w:i/>
          <w:sz w:val="18"/>
        </w:rPr>
        <w:t>and</w:t>
      </w:r>
      <w:r>
        <w:rPr>
          <w:i/>
          <w:spacing w:val="-1"/>
          <w:sz w:val="18"/>
        </w:rPr>
        <w:t> </w:t>
      </w:r>
      <w:r>
        <w:rPr>
          <w:i/>
          <w:sz w:val="18"/>
        </w:rPr>
        <w:t>OOF</w:t>
      </w:r>
      <w:r>
        <w:rPr>
          <w:i/>
          <w:spacing w:val="-1"/>
          <w:sz w:val="18"/>
        </w:rPr>
        <w:t> </w:t>
      </w:r>
      <w:r>
        <w:rPr>
          <w:i/>
          <w:sz w:val="18"/>
        </w:rPr>
        <w:t>commitments)</w:t>
      </w:r>
      <w:r>
        <w:rPr>
          <w:i/>
          <w:spacing w:val="-1"/>
          <w:sz w:val="18"/>
        </w:rPr>
        <w:t> </w:t>
      </w:r>
      <w:r>
        <w:rPr>
          <w:i/>
          <w:sz w:val="18"/>
        </w:rPr>
        <w:t>from</w:t>
      </w:r>
      <w:r>
        <w:rPr>
          <w:i/>
          <w:spacing w:val="-1"/>
          <w:sz w:val="18"/>
        </w:rPr>
        <w:t> </w:t>
      </w:r>
      <w:r>
        <w:rPr>
          <w:i/>
          <w:sz w:val="18"/>
        </w:rPr>
        <w:t>China,</w:t>
      </w:r>
      <w:r>
        <w:rPr>
          <w:i/>
          <w:spacing w:val="-1"/>
          <w:sz w:val="18"/>
        </w:rPr>
        <w:t> </w:t>
      </w:r>
      <w:r>
        <w:rPr>
          <w:i/>
          <w:sz w:val="18"/>
        </w:rPr>
        <w:t>the</w:t>
      </w:r>
      <w:r>
        <w:rPr>
          <w:i/>
          <w:spacing w:val="-1"/>
          <w:sz w:val="18"/>
        </w:rPr>
        <w:t> </w:t>
      </w:r>
      <w:r>
        <w:rPr>
          <w:i/>
          <w:sz w:val="18"/>
        </w:rPr>
        <w:t>U.S.</w:t>
      </w:r>
      <w:r>
        <w:rPr>
          <w:i/>
          <w:spacing w:val="-1"/>
          <w:sz w:val="18"/>
        </w:rPr>
        <w:t> </w:t>
      </w:r>
      <w:r>
        <w:rPr>
          <w:i/>
          <w:sz w:val="18"/>
        </w:rPr>
        <w:t>and</w:t>
      </w:r>
      <w:r>
        <w:rPr>
          <w:i/>
          <w:sz w:val="18"/>
        </w:rPr>
        <w:t> G7 countries to LICs and MICs from 2014 to 2021. AidData relies on OECD-DAC measurement criteria to make ODA and OOF determinations (as described in Section A-2 of the Appendix). The U.S. and G7 </w:t>
      </w:r>
      <w:r>
        <w:rPr>
          <w:i/>
          <w:sz w:val="18"/>
        </w:rPr>
        <w:t>ODA </w:t>
      </w:r>
      <w:r>
        <w:rPr>
          <w:i/>
          <w:w w:val="105"/>
          <w:sz w:val="18"/>
        </w:rPr>
        <w:t>and</w:t>
      </w:r>
      <w:r>
        <w:rPr>
          <w:i/>
          <w:spacing w:val="-12"/>
          <w:w w:val="105"/>
          <w:sz w:val="18"/>
        </w:rPr>
        <w:t> </w:t>
      </w:r>
      <w:r>
        <w:rPr>
          <w:i/>
          <w:w w:val="105"/>
          <w:sz w:val="18"/>
        </w:rPr>
        <w:t>OOF</w:t>
      </w:r>
      <w:r>
        <w:rPr>
          <w:i/>
          <w:spacing w:val="-12"/>
          <w:w w:val="105"/>
          <w:sz w:val="18"/>
        </w:rPr>
        <w:t> </w:t>
      </w:r>
      <w:r>
        <w:rPr>
          <w:i/>
          <w:w w:val="105"/>
          <w:sz w:val="18"/>
        </w:rPr>
        <w:t>data</w:t>
      </w:r>
      <w:r>
        <w:rPr>
          <w:i/>
          <w:spacing w:val="-12"/>
          <w:w w:val="105"/>
          <w:sz w:val="18"/>
        </w:rPr>
        <w:t> </w:t>
      </w:r>
      <w:r>
        <w:rPr>
          <w:i/>
          <w:w w:val="105"/>
          <w:sz w:val="18"/>
        </w:rPr>
        <w:t>represent</w:t>
      </w:r>
      <w:r>
        <w:rPr>
          <w:i/>
          <w:spacing w:val="-12"/>
          <w:w w:val="105"/>
          <w:sz w:val="18"/>
        </w:rPr>
        <w:t> </w:t>
      </w:r>
      <w:r>
        <w:rPr>
          <w:i/>
          <w:w w:val="105"/>
          <w:sz w:val="18"/>
        </w:rPr>
        <w:t>gross</w:t>
      </w:r>
      <w:r>
        <w:rPr>
          <w:i/>
          <w:spacing w:val="-12"/>
          <w:w w:val="105"/>
          <w:sz w:val="18"/>
        </w:rPr>
        <w:t> </w:t>
      </w:r>
      <w:r>
        <w:rPr>
          <w:i/>
          <w:w w:val="105"/>
          <w:sz w:val="18"/>
        </w:rPr>
        <w:t>disbursements</w:t>
      </w:r>
      <w:r>
        <w:rPr>
          <w:i/>
          <w:spacing w:val="-12"/>
          <w:w w:val="105"/>
          <w:sz w:val="18"/>
        </w:rPr>
        <w:t> </w:t>
      </w:r>
      <w:r>
        <w:rPr>
          <w:i/>
          <w:w w:val="105"/>
          <w:sz w:val="18"/>
        </w:rPr>
        <w:t>from</w:t>
      </w:r>
      <w:r>
        <w:rPr>
          <w:i/>
          <w:spacing w:val="-12"/>
          <w:w w:val="105"/>
          <w:sz w:val="18"/>
        </w:rPr>
        <w:t> </w:t>
      </w:r>
      <w:r>
        <w:rPr>
          <w:i/>
          <w:w w:val="105"/>
          <w:sz w:val="18"/>
        </w:rPr>
        <w:t>the</w:t>
      </w:r>
      <w:r>
        <w:rPr>
          <w:i/>
          <w:spacing w:val="-12"/>
          <w:w w:val="105"/>
          <w:sz w:val="18"/>
        </w:rPr>
        <w:t> </w:t>
      </w:r>
      <w:r>
        <w:rPr>
          <w:i/>
          <w:w w:val="105"/>
          <w:sz w:val="18"/>
        </w:rPr>
        <w:t>OECD-DAC.</w:t>
      </w:r>
    </w:p>
    <w:p>
      <w:pPr>
        <w:pStyle w:val="BodyText"/>
        <w:rPr>
          <w:i/>
          <w:sz w:val="18"/>
        </w:rPr>
      </w:pPr>
    </w:p>
    <w:p>
      <w:pPr>
        <w:pStyle w:val="BodyText"/>
        <w:spacing w:line="333" w:lineRule="auto" w:before="111"/>
        <w:ind w:left="460" w:right="577"/>
      </w:pPr>
      <w:r>
        <w:rPr/>
        <w:t>Figure 1.6 demonstrates that the U.S. gained ground on China in 2021 due to a ﬁfteen-fold (1,423%) increase in OOF expenditure.</w:t>
      </w:r>
      <w:r>
        <w:rPr>
          <w:vertAlign w:val="superscript"/>
        </w:rPr>
        <w:t>[23]</w:t>
      </w:r>
      <w:r>
        <w:rPr>
          <w:vertAlign w:val="baseline"/>
        </w:rPr>
        <w:t> In 2020, OOF represented </w:t>
      </w:r>
      <w:r>
        <w:rPr>
          <w:w w:val="105"/>
          <w:vertAlign w:val="baseline"/>
        </w:rPr>
        <w:t>just</w:t>
      </w:r>
      <w:r>
        <w:rPr>
          <w:spacing w:val="-10"/>
          <w:w w:val="105"/>
          <w:vertAlign w:val="baseline"/>
        </w:rPr>
        <w:t> </w:t>
      </w:r>
      <w:r>
        <w:rPr>
          <w:w w:val="105"/>
          <w:vertAlign w:val="baseline"/>
        </w:rPr>
        <w:t>4%</w:t>
      </w:r>
      <w:r>
        <w:rPr>
          <w:spacing w:val="-10"/>
          <w:w w:val="105"/>
          <w:vertAlign w:val="baseline"/>
        </w:rPr>
        <w:t> </w:t>
      </w:r>
      <w:r>
        <w:rPr>
          <w:w w:val="105"/>
          <w:vertAlign w:val="baseline"/>
        </w:rPr>
        <w:t>of</w:t>
      </w:r>
      <w:r>
        <w:rPr>
          <w:spacing w:val="-10"/>
          <w:w w:val="105"/>
          <w:vertAlign w:val="baseline"/>
        </w:rPr>
        <w:t> </w:t>
      </w:r>
      <w:r>
        <w:rPr>
          <w:w w:val="105"/>
          <w:vertAlign w:val="baseline"/>
        </w:rPr>
        <w:t>the</w:t>
      </w:r>
      <w:r>
        <w:rPr>
          <w:spacing w:val="-10"/>
          <w:w w:val="105"/>
          <w:vertAlign w:val="baseline"/>
        </w:rPr>
        <w:t> </w:t>
      </w:r>
      <w:r>
        <w:rPr>
          <w:w w:val="105"/>
          <w:vertAlign w:val="baseline"/>
        </w:rPr>
        <w:t>U.S.</w:t>
      </w:r>
      <w:r>
        <w:rPr>
          <w:spacing w:val="-10"/>
          <w:w w:val="105"/>
          <w:vertAlign w:val="baseline"/>
        </w:rPr>
        <w:t> </w:t>
      </w:r>
      <w:r>
        <w:rPr>
          <w:w w:val="105"/>
          <w:vertAlign w:val="baseline"/>
        </w:rPr>
        <w:t>international</w:t>
      </w:r>
      <w:r>
        <w:rPr>
          <w:spacing w:val="-10"/>
          <w:w w:val="105"/>
          <w:vertAlign w:val="baseline"/>
        </w:rPr>
        <w:t> </w:t>
      </w:r>
      <w:r>
        <w:rPr>
          <w:w w:val="105"/>
          <w:vertAlign w:val="baseline"/>
        </w:rPr>
        <w:t>development</w:t>
      </w:r>
      <w:r>
        <w:rPr>
          <w:spacing w:val="-10"/>
          <w:w w:val="105"/>
          <w:vertAlign w:val="baseline"/>
        </w:rPr>
        <w:t> </w:t>
      </w:r>
      <w:r>
        <w:rPr>
          <w:w w:val="105"/>
          <w:vertAlign w:val="baseline"/>
        </w:rPr>
        <w:t>ﬁnance</w:t>
      </w:r>
      <w:r>
        <w:rPr>
          <w:spacing w:val="-10"/>
          <w:w w:val="105"/>
          <w:vertAlign w:val="baseline"/>
        </w:rPr>
        <w:t> </w:t>
      </w:r>
      <w:r>
        <w:rPr>
          <w:w w:val="105"/>
          <w:vertAlign w:val="baseline"/>
        </w:rPr>
        <w:t>portfolio;</w:t>
      </w:r>
      <w:r>
        <w:rPr>
          <w:spacing w:val="-10"/>
          <w:w w:val="105"/>
          <w:vertAlign w:val="baseline"/>
        </w:rPr>
        <w:t> </w:t>
      </w:r>
      <w:r>
        <w:rPr>
          <w:w w:val="105"/>
          <w:vertAlign w:val="baseline"/>
        </w:rPr>
        <w:t>the</w:t>
      </w:r>
      <w:r>
        <w:rPr>
          <w:spacing w:val="-10"/>
          <w:w w:val="105"/>
          <w:vertAlign w:val="baseline"/>
        </w:rPr>
        <w:t> </w:t>
      </w:r>
      <w:r>
        <w:rPr>
          <w:w w:val="105"/>
          <w:vertAlign w:val="baseline"/>
        </w:rPr>
        <w:t>remaining </w:t>
      </w:r>
      <w:r>
        <w:rPr>
          <w:spacing w:val="-2"/>
          <w:w w:val="105"/>
          <w:vertAlign w:val="baseline"/>
        </w:rPr>
        <w:t>96%</w:t>
      </w:r>
      <w:r>
        <w:rPr>
          <w:spacing w:val="-11"/>
          <w:w w:val="105"/>
          <w:vertAlign w:val="baseline"/>
        </w:rPr>
        <w:t> </w:t>
      </w:r>
      <w:r>
        <w:rPr>
          <w:spacing w:val="-2"/>
          <w:w w:val="105"/>
          <w:vertAlign w:val="baseline"/>
        </w:rPr>
        <w:t>consisted</w:t>
      </w:r>
      <w:r>
        <w:rPr>
          <w:spacing w:val="-11"/>
          <w:w w:val="105"/>
          <w:vertAlign w:val="baseline"/>
        </w:rPr>
        <w:t> </w:t>
      </w:r>
      <w:r>
        <w:rPr>
          <w:spacing w:val="-2"/>
          <w:w w:val="105"/>
          <w:vertAlign w:val="baseline"/>
        </w:rPr>
        <w:t>of</w:t>
      </w:r>
      <w:r>
        <w:rPr>
          <w:spacing w:val="-11"/>
          <w:w w:val="105"/>
          <w:vertAlign w:val="baseline"/>
        </w:rPr>
        <w:t> </w:t>
      </w:r>
      <w:r>
        <w:rPr>
          <w:spacing w:val="-2"/>
          <w:w w:val="105"/>
          <w:vertAlign w:val="baseline"/>
        </w:rPr>
        <w:t>ODA.</w:t>
      </w:r>
      <w:r>
        <w:rPr>
          <w:spacing w:val="-11"/>
          <w:w w:val="105"/>
          <w:vertAlign w:val="baseline"/>
        </w:rPr>
        <w:t> </w:t>
      </w:r>
      <w:r>
        <w:rPr>
          <w:spacing w:val="-2"/>
          <w:w w:val="105"/>
          <w:vertAlign w:val="baseline"/>
        </w:rPr>
        <w:t>However,</w:t>
      </w:r>
      <w:r>
        <w:rPr>
          <w:spacing w:val="-11"/>
          <w:w w:val="105"/>
          <w:vertAlign w:val="baseline"/>
        </w:rPr>
        <w:t> </w:t>
      </w:r>
      <w:r>
        <w:rPr>
          <w:spacing w:val="-2"/>
          <w:w w:val="105"/>
          <w:vertAlign w:val="baseline"/>
        </w:rPr>
        <w:t>one</w:t>
      </w:r>
      <w:r>
        <w:rPr>
          <w:spacing w:val="-11"/>
          <w:w w:val="105"/>
          <w:vertAlign w:val="baseline"/>
        </w:rPr>
        <w:t> </w:t>
      </w:r>
      <w:r>
        <w:rPr>
          <w:spacing w:val="-2"/>
          <w:w w:val="105"/>
          <w:vertAlign w:val="baseline"/>
        </w:rPr>
        <w:t>year</w:t>
      </w:r>
      <w:r>
        <w:rPr>
          <w:spacing w:val="-11"/>
          <w:w w:val="105"/>
          <w:vertAlign w:val="baseline"/>
        </w:rPr>
        <w:t> </w:t>
      </w:r>
      <w:r>
        <w:rPr>
          <w:spacing w:val="-2"/>
          <w:w w:val="105"/>
          <w:vertAlign w:val="baseline"/>
        </w:rPr>
        <w:t>later,</w:t>
      </w:r>
      <w:r>
        <w:rPr>
          <w:spacing w:val="-11"/>
          <w:w w:val="105"/>
          <w:vertAlign w:val="baseline"/>
        </w:rPr>
        <w:t> </w:t>
      </w:r>
      <w:r>
        <w:rPr>
          <w:spacing w:val="-2"/>
          <w:w w:val="105"/>
          <w:vertAlign w:val="baseline"/>
        </w:rPr>
        <w:t>the</w:t>
      </w:r>
      <w:r>
        <w:rPr>
          <w:spacing w:val="-11"/>
          <w:w w:val="105"/>
          <w:vertAlign w:val="baseline"/>
        </w:rPr>
        <w:t> </w:t>
      </w:r>
      <w:r>
        <w:rPr>
          <w:spacing w:val="-2"/>
          <w:w w:val="105"/>
          <w:vertAlign w:val="baseline"/>
        </w:rPr>
        <w:t>percentage</w:t>
      </w:r>
      <w:r>
        <w:rPr>
          <w:spacing w:val="-11"/>
          <w:w w:val="105"/>
          <w:vertAlign w:val="baseline"/>
        </w:rPr>
        <w:t> </w:t>
      </w:r>
      <w:r>
        <w:rPr>
          <w:spacing w:val="-2"/>
          <w:w w:val="105"/>
          <w:vertAlign w:val="baseline"/>
        </w:rPr>
        <w:t>of</w:t>
      </w:r>
      <w:r>
        <w:rPr>
          <w:spacing w:val="-11"/>
          <w:w w:val="105"/>
          <w:vertAlign w:val="baseline"/>
        </w:rPr>
        <w:t> </w:t>
      </w:r>
      <w:r>
        <w:rPr>
          <w:spacing w:val="-2"/>
          <w:w w:val="105"/>
          <w:vertAlign w:val="baseline"/>
        </w:rPr>
        <w:t>U.S. </w:t>
      </w:r>
      <w:r>
        <w:rPr>
          <w:vertAlign w:val="baseline"/>
        </w:rPr>
        <w:t>international development ﬁnance provided via OOF soared to 36%. This </w:t>
      </w:r>
      <w:r>
        <w:rPr>
          <w:vertAlign w:val="baseline"/>
        </w:rPr>
        <w:t>major </w:t>
      </w:r>
      <w:r>
        <w:rPr>
          <w:w w:val="105"/>
          <w:vertAlign w:val="baseline"/>
        </w:rPr>
        <w:t>compositional</w:t>
      </w:r>
      <w:r>
        <w:rPr>
          <w:spacing w:val="-16"/>
          <w:w w:val="105"/>
          <w:vertAlign w:val="baseline"/>
        </w:rPr>
        <w:t> </w:t>
      </w:r>
      <w:r>
        <w:rPr>
          <w:w w:val="105"/>
          <w:vertAlign w:val="baseline"/>
        </w:rPr>
        <w:t>change</w:t>
      </w:r>
      <w:r>
        <w:rPr>
          <w:spacing w:val="-16"/>
          <w:w w:val="105"/>
          <w:vertAlign w:val="baseline"/>
        </w:rPr>
        <w:t> </w:t>
      </w:r>
      <w:r>
        <w:rPr>
          <w:w w:val="105"/>
          <w:vertAlign w:val="baseline"/>
        </w:rPr>
        <w:t>in</w:t>
      </w:r>
      <w:r>
        <w:rPr>
          <w:spacing w:val="-16"/>
          <w:w w:val="105"/>
          <w:vertAlign w:val="baseline"/>
        </w:rPr>
        <w:t> </w:t>
      </w:r>
      <w:r>
        <w:rPr>
          <w:w w:val="105"/>
          <w:vertAlign w:val="baseline"/>
        </w:rPr>
        <w:t>U.S.</w:t>
      </w:r>
      <w:r>
        <w:rPr>
          <w:spacing w:val="-16"/>
          <w:w w:val="105"/>
          <w:vertAlign w:val="baseline"/>
        </w:rPr>
        <w:t> </w:t>
      </w:r>
      <w:r>
        <w:rPr>
          <w:w w:val="105"/>
          <w:vertAlign w:val="baseline"/>
        </w:rPr>
        <w:t>development</w:t>
      </w:r>
      <w:r>
        <w:rPr>
          <w:spacing w:val="-16"/>
          <w:w w:val="105"/>
          <w:vertAlign w:val="baseline"/>
        </w:rPr>
        <w:t> </w:t>
      </w:r>
      <w:r>
        <w:rPr>
          <w:w w:val="105"/>
          <w:vertAlign w:val="baseline"/>
        </w:rPr>
        <w:t>expenditure</w:t>
      </w:r>
      <w:r>
        <w:rPr>
          <w:spacing w:val="-16"/>
          <w:w w:val="105"/>
          <w:vertAlign w:val="baseline"/>
        </w:rPr>
        <w:t> </w:t>
      </w:r>
      <w:r>
        <w:rPr>
          <w:w w:val="105"/>
          <w:vertAlign w:val="baseline"/>
        </w:rPr>
        <w:t>suggests</w:t>
      </w:r>
      <w:r>
        <w:rPr>
          <w:spacing w:val="-16"/>
          <w:w w:val="105"/>
          <w:vertAlign w:val="baseline"/>
        </w:rPr>
        <w:t> </w:t>
      </w:r>
      <w:r>
        <w:rPr>
          <w:w w:val="105"/>
          <w:vertAlign w:val="baseline"/>
        </w:rPr>
        <w:t>that Washington</w:t>
      </w:r>
      <w:r>
        <w:rPr>
          <w:spacing w:val="-13"/>
          <w:w w:val="105"/>
          <w:vertAlign w:val="baseline"/>
        </w:rPr>
        <w:t> </w:t>
      </w:r>
      <w:r>
        <w:rPr>
          <w:w w:val="105"/>
          <w:vertAlign w:val="baseline"/>
        </w:rPr>
        <w:t>is</w:t>
      </w:r>
      <w:r>
        <w:rPr>
          <w:spacing w:val="-13"/>
          <w:w w:val="105"/>
          <w:vertAlign w:val="baseline"/>
        </w:rPr>
        <w:t> </w:t>
      </w:r>
      <w:r>
        <w:rPr>
          <w:w w:val="105"/>
          <w:vertAlign w:val="baseline"/>
        </w:rPr>
        <w:t>seeking</w:t>
      </w:r>
      <w:r>
        <w:rPr>
          <w:spacing w:val="-13"/>
          <w:w w:val="105"/>
          <w:vertAlign w:val="baseline"/>
        </w:rPr>
        <w:t> </w:t>
      </w:r>
      <w:r>
        <w:rPr>
          <w:w w:val="105"/>
          <w:vertAlign w:val="baseline"/>
        </w:rPr>
        <w:t>to</w:t>
      </w:r>
      <w:r>
        <w:rPr>
          <w:spacing w:val="-13"/>
          <w:w w:val="105"/>
          <w:vertAlign w:val="baseline"/>
        </w:rPr>
        <w:t> </w:t>
      </w:r>
      <w:r>
        <w:rPr>
          <w:w w:val="105"/>
          <w:vertAlign w:val="baseline"/>
        </w:rPr>
        <w:t>compete</w:t>
      </w:r>
      <w:r>
        <w:rPr>
          <w:spacing w:val="-13"/>
          <w:w w:val="105"/>
          <w:vertAlign w:val="baseline"/>
        </w:rPr>
        <w:t> </w:t>
      </w:r>
      <w:r>
        <w:rPr>
          <w:w w:val="105"/>
          <w:vertAlign w:val="baseline"/>
        </w:rPr>
        <w:t>with</w:t>
      </w:r>
      <w:r>
        <w:rPr>
          <w:spacing w:val="-13"/>
          <w:w w:val="105"/>
          <w:vertAlign w:val="baseline"/>
        </w:rPr>
        <w:t> </w:t>
      </w:r>
      <w:r>
        <w:rPr>
          <w:w w:val="105"/>
          <w:vertAlign w:val="baseline"/>
        </w:rPr>
        <w:t>Beijing</w:t>
      </w:r>
      <w:r>
        <w:rPr>
          <w:spacing w:val="-13"/>
          <w:w w:val="105"/>
          <w:vertAlign w:val="baseline"/>
        </w:rPr>
        <w:t> </w:t>
      </w:r>
      <w:r>
        <w:rPr>
          <w:w w:val="105"/>
          <w:vertAlign w:val="baseline"/>
        </w:rPr>
        <w:t>via</w:t>
      </w:r>
      <w:r>
        <w:rPr>
          <w:spacing w:val="-13"/>
          <w:w w:val="105"/>
          <w:vertAlign w:val="baseline"/>
        </w:rPr>
        <w:t> </w:t>
      </w:r>
      <w:r>
        <w:rPr>
          <w:w w:val="105"/>
          <w:vertAlign w:val="baseline"/>
        </w:rPr>
        <w:t>emulation</w:t>
      </w:r>
      <w:r>
        <w:rPr>
          <w:spacing w:val="-13"/>
          <w:w w:val="105"/>
          <w:vertAlign w:val="baseline"/>
        </w:rPr>
        <w:t> </w:t>
      </w:r>
      <w:r>
        <w:rPr>
          <w:w w:val="105"/>
          <w:vertAlign w:val="baseline"/>
        </w:rPr>
        <w:t>rather</w:t>
      </w:r>
      <w:r>
        <w:rPr>
          <w:spacing w:val="-13"/>
          <w:w w:val="105"/>
          <w:vertAlign w:val="baseline"/>
        </w:rPr>
        <w:t> </w:t>
      </w:r>
      <w:r>
        <w:rPr>
          <w:w w:val="105"/>
          <w:vertAlign w:val="baseline"/>
        </w:rPr>
        <w:t>than </w:t>
      </w:r>
      <w:r>
        <w:rPr>
          <w:spacing w:val="-2"/>
          <w:w w:val="105"/>
          <w:vertAlign w:val="baseline"/>
        </w:rPr>
        <w:t>differentiation.</w:t>
      </w:r>
      <w:r>
        <w:rPr>
          <w:spacing w:val="-2"/>
          <w:w w:val="105"/>
          <w:vertAlign w:val="superscript"/>
        </w:rPr>
        <w:t>[24]</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6"/>
        </w:rPr>
      </w:pPr>
      <w:r>
        <w:rPr/>
        <w:pict>
          <v:shape style="position:absolute;margin-left:90pt;margin-top:16.592812pt;width:144pt;height:.1pt;mso-position-horizontal-relative:page;mso-position-vertical-relative:paragraph;z-index:-15717888;mso-wrap-distance-left:0;mso-wrap-distance-right:0" id="docshape17" coordorigin="1800,332" coordsize="2880,0" path="m1800,332l4680,332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18"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1.6</w:t>
                  </w:r>
                </w:p>
              </w:txbxContent>
            </v:textbox>
            <v:fill type="solid"/>
          </v:shape>
        </w:pict>
      </w:r>
      <w:r>
        <w:rPr>
          <w:sz w:val="20"/>
        </w:rPr>
      </w:r>
    </w:p>
    <w:p>
      <w:pPr>
        <w:pStyle w:val="BodyText"/>
        <w:rPr>
          <w:sz w:val="14"/>
        </w:rPr>
      </w:pPr>
      <w:r>
        <w:rPr/>
        <w:drawing>
          <wp:anchor distT="0" distB="0" distL="0" distR="0" allowOverlap="1" layoutInCell="1" locked="0" behindDoc="0" simplePos="0" relativeHeight="23">
            <wp:simplePos x="0" y="0"/>
            <wp:positionH relativeFrom="page">
              <wp:posOffset>1255811</wp:posOffset>
            </wp:positionH>
            <wp:positionV relativeFrom="paragraph">
              <wp:posOffset>117622</wp:posOffset>
            </wp:positionV>
            <wp:extent cx="5232551" cy="3184398"/>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5232551" cy="3184398"/>
                    </a:xfrm>
                    <a:prstGeom prst="rect">
                      <a:avLst/>
                    </a:prstGeom>
                  </pic:spPr>
                </pic:pic>
              </a:graphicData>
            </a:graphic>
          </wp:anchor>
        </w:drawing>
      </w:r>
    </w:p>
    <w:p>
      <w:pPr>
        <w:pStyle w:val="BodyText"/>
        <w:rPr>
          <w:sz w:val="20"/>
        </w:rPr>
      </w:pPr>
    </w:p>
    <w:p>
      <w:pPr>
        <w:pStyle w:val="BodyText"/>
        <w:spacing w:before="2"/>
        <w:rPr>
          <w:sz w:val="19"/>
        </w:rPr>
      </w:pPr>
    </w:p>
    <w:p>
      <w:pPr>
        <w:spacing w:line="333" w:lineRule="auto" w:before="0"/>
        <w:ind w:left="460" w:right="485" w:firstLine="0"/>
        <w:jc w:val="left"/>
        <w:rPr>
          <w:i/>
          <w:sz w:val="18"/>
        </w:rPr>
      </w:pPr>
      <w:r>
        <w:rPr>
          <w:i/>
          <w:sz w:val="18"/>
        </w:rPr>
        <w:t>Notes: U.S. ODA and OOF ﬂows reﬂect gross disbursements (as OOF commitment data are not </w:t>
      </w:r>
      <w:r>
        <w:rPr>
          <w:i/>
          <w:sz w:val="18"/>
        </w:rPr>
        <w:t>published</w:t>
      </w:r>
      <w:r>
        <w:rPr>
          <w:i/>
          <w:sz w:val="18"/>
        </w:rPr>
        <w:t> by the OECD-DAC for individual DAC members).</w:t>
      </w:r>
    </w:p>
    <w:p>
      <w:pPr>
        <w:pStyle w:val="BodyText"/>
        <w:rPr>
          <w:i/>
          <w:sz w:val="18"/>
        </w:rPr>
      </w:pPr>
    </w:p>
    <w:p>
      <w:pPr>
        <w:pStyle w:val="BodyText"/>
        <w:spacing w:line="333" w:lineRule="auto" w:before="113"/>
        <w:ind w:left="460" w:right="669"/>
      </w:pPr>
      <w:r>
        <w:t>The $20.3 billion increase in OOF that took place in 2021 was the result of an expansion in the overseas activities of the U.S. International Development Finance Corporation (DFC).[25] In October 2018, the U.S. Congress passed the Better Utilization of Investment Leading to Development (BUILD) Act, which established the DFC as a “full service” development ﬁnance institution to help the U.S. “outcompete” China around the globe.[26] However, the DFC did not become fully operational until 2021. One of its earliest (attempted) transactions was a $2.8 billion loan in January 2021 to help the Government of Ecuador repay some of its outstanding debts to China ahead of schedule, in exchange for a commitment to exclude Chinese companies from its telecommunications networks.[27] The proposed borrowing terms of the DFC loan were non-concessional in nature: an 8-year maturity, a 1-year grace period, and an interest rate of LIBOR plus a 2.25% margin.[28] At the time, DFC CEO Adam Boehler said that the loan would “reﬁnance predatory Chinese debt and help Ecuador improve the value of its strategic assets.”[29]</w:t>
      </w:r>
    </w:p>
    <w:p>
      <w:pPr>
        <w:pStyle w:val="BodyText"/>
        <w:spacing w:before="10"/>
        <w:rPr>
          <w:sz w:val="17"/>
        </w:rPr>
      </w:pPr>
      <w:r>
        <w:rPr/>
        <w:pict>
          <v:shape style="position:absolute;margin-left:90pt;margin-top:11.498913pt;width:144pt;height:.1pt;mso-position-horizontal-relative:page;mso-position-vertical-relative:paragraph;z-index:-15716352;mso-wrap-distance-left:0;mso-wrap-distance-right:0" id="docshape19" coordorigin="1800,230" coordsize="2880,0" path="m1800,230l4680,230e" filled="false" stroked="true" strokeweight=".75pt" strokecolor="#000000">
            <v:path arrowok="t"/>
            <v:stroke dashstyle="solid"/>
            <w10:wrap type="topAndBottom"/>
          </v:shape>
        </w:pict>
      </w:r>
    </w:p>
    <w:p>
      <w:pPr>
        <w:spacing w:after="0"/>
        <w:jc w:val="left"/>
        <w:rPr>
          <w:sz w:val="18"/>
        </w:rPr>
        <w:sectPr>
          <w:pgSz w:w="12240" w:h="15840"/>
          <w:pgMar w:header="0" w:footer="720" w:top="1580" w:bottom="920" w:left="1340" w:right="1340"/>
        </w:sectPr>
      </w:pPr>
    </w:p>
    <w:p>
      <w:pPr>
        <w:pStyle w:val="BodyText"/>
        <w:spacing w:before="7"/>
        <w:rPr>
          <w:sz w:val="27"/>
        </w:rPr>
      </w:pPr>
    </w:p>
    <w:p>
      <w:pPr>
        <w:pStyle w:val="BodyText"/>
        <w:spacing w:line="333" w:lineRule="auto"/>
        <w:ind w:left="460" w:right="583"/>
      </w:pPr>
      <w:r>
        <w:rPr/>
        <w:t>But U.S. spending patterns do not provide the full picture because Washington</w:t>
      </w:r>
      <w:r>
        <w:rPr>
          <w:spacing w:val="80"/>
        </w:rPr>
        <w:t> </w:t>
      </w:r>
      <w:r>
        <w:rPr/>
        <w:t>is seeking to outcompete China by partnering with its allies in London, Paris, Berlin, Tokyo, Rome, and Ottawa. G7 efforts to compete with China are gathering steam. During the early BRI period (2014-2017), China and the G7 were effectively matching each other dollar-for-dollar: for every overseas development dollar that China spent, the G7 spent $1.09.</w:t>
      </w:r>
      <w:r>
        <w:rPr>
          <w:vertAlign w:val="superscript"/>
        </w:rPr>
        <w:t>[30]</w:t>
      </w:r>
      <w:r>
        <w:rPr>
          <w:vertAlign w:val="baseline"/>
        </w:rPr>
        <w:t> However, during </w:t>
      </w:r>
      <w:r>
        <w:rPr>
          <w:vertAlign w:val="baseline"/>
        </w:rPr>
        <w:t>the late BRI period (2018-2021), the G7 stepped up its efforts, spending $1.47 for every overseas development dollar spent by China (see Figure A2 in the Appendix).</w:t>
      </w:r>
      <w:r>
        <w:rPr>
          <w:vertAlign w:val="superscript"/>
        </w:rPr>
        <w:t>[31]</w:t>
      </w:r>
      <w:r>
        <w:rPr>
          <w:vertAlign w:val="baseline"/>
        </w:rPr>
        <w:t> By 2021, the G7 was outspending China on a nearly two-to-one basis (see Figure 1.5).</w:t>
      </w:r>
      <w:r>
        <w:rPr>
          <w:vertAlign w:val="superscript"/>
        </w:rPr>
        <w:t>[32]</w:t>
      </w:r>
    </w:p>
    <w:p>
      <w:pPr>
        <w:pStyle w:val="BodyText"/>
        <w:spacing w:before="4"/>
        <w:rPr>
          <w:sz w:val="27"/>
        </w:rPr>
      </w:pPr>
    </w:p>
    <w:p>
      <w:pPr>
        <w:pStyle w:val="BodyText"/>
        <w:spacing w:line="333" w:lineRule="auto"/>
        <w:ind w:left="460" w:right="564"/>
      </w:pPr>
      <w:r>
        <w:t>As the U.S. and its allies seek to compete with China by rolling out ﬂagship infrastructure programs (like the Partnership for Global Infrastructure and Investment and the India-Middle East-Europe Economic Corridor Initiative) and ramping up non-concessional lending (OOF), a strategic pivot is underway in Beijing. Figure 1.7 provides evidence of major changes in the sectoral composition of China’s overseas development ﬁnance portfolio between 2014 and 2021.[33] Beijing was for the most part focused on providing credit for large-scale infrastructure projects during the early BRI (or BRI 1.0) era. Yet, as we explain at greater length in Chapter 2, it ramped down infrastructure project lending and ramped up emergency rescue lending during the late BRI (or BRI 2.0) period. Beijing made this course correction in order to adapt to a new reality: the fact that many of its largest borrowers were having serious difﬁculty repaying their infrastructure project debts.[34]</w:t>
      </w:r>
    </w:p>
    <w:p>
      <w:pPr>
        <w:pStyle w:val="BodyText"/>
        <w:spacing w:before="2"/>
        <w:rPr>
          <w:sz w:val="16"/>
        </w:rPr>
      </w:pPr>
      <w:r>
        <w:rPr/>
        <w:pict>
          <v:shape style="position:absolute;margin-left:90pt;margin-top:10.542188pt;width:144pt;height:.1pt;mso-position-horizontal-relative:page;mso-position-vertical-relative:paragraph;z-index:-15715840;mso-wrap-distance-left:0;mso-wrap-distance-right:0" id="docshape20" coordorigin="1800,211" coordsize="2880,0" path="m1800,211l4680,21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pStyle w:val="BodyText"/>
        <w:rPr>
          <w:sz w:val="20"/>
        </w:rPr>
      </w:pPr>
    </w:p>
    <w:p>
      <w:pPr>
        <w:pStyle w:val="BodyText"/>
        <w:spacing w:before="10"/>
        <w:rPr>
          <w:sz w:val="18"/>
        </w:rPr>
      </w:pPr>
      <w:r>
        <w:rPr/>
        <w:pict>
          <v:shape style="position:absolute;margin-left:84pt;margin-top:12.066422pt;width:444pt;height:38pt;mso-position-horizontal-relative:page;mso-position-vertical-relative:paragraph;z-index:-15715328;mso-wrap-distance-left:0;mso-wrap-distance-right:0" type="#_x0000_t202" id="docshape21" filled="true" fillcolor="#5b666f" stroked="false">
            <v:textbox inset="0,0,0,0">
              <w:txbxContent>
                <w:p>
                  <w:pPr>
                    <w:spacing w:before="126"/>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1.7</w:t>
                  </w:r>
                </w:p>
              </w:txbxContent>
            </v:textbox>
            <v:fill type="solid"/>
            <w10:wrap type="topAndBottom"/>
          </v:shape>
        </w:pict>
      </w:r>
      <w:r>
        <w:rPr/>
        <w:drawing>
          <wp:anchor distT="0" distB="0" distL="0" distR="0" allowOverlap="1" layoutInCell="1" locked="0" behindDoc="0" simplePos="0" relativeHeight="27">
            <wp:simplePos x="0" y="0"/>
            <wp:positionH relativeFrom="page">
              <wp:posOffset>1250453</wp:posOffset>
            </wp:positionH>
            <wp:positionV relativeFrom="paragraph">
              <wp:posOffset>764618</wp:posOffset>
            </wp:positionV>
            <wp:extent cx="5195846" cy="1880235"/>
            <wp:effectExtent l="0" t="0" r="0" b="0"/>
            <wp:wrapTopAndBottom/>
            <wp:docPr id="15" name="image8.jpeg"/>
            <wp:cNvGraphicFramePr>
              <a:graphicFrameLocks noChangeAspect="1"/>
            </wp:cNvGraphicFramePr>
            <a:graphic>
              <a:graphicData uri="http://schemas.openxmlformats.org/drawingml/2006/picture">
                <pic:pic>
                  <pic:nvPicPr>
                    <pic:cNvPr id="16" name="image8.jpeg"/>
                    <pic:cNvPicPr/>
                  </pic:nvPicPr>
                  <pic:blipFill>
                    <a:blip r:embed="rId15" cstate="print"/>
                    <a:stretch>
                      <a:fillRect/>
                    </a:stretch>
                  </pic:blipFill>
                  <pic:spPr>
                    <a:xfrm>
                      <a:off x="0" y="0"/>
                      <a:ext cx="5195846" cy="1880235"/>
                    </a:xfrm>
                    <a:prstGeom prst="rect">
                      <a:avLst/>
                    </a:prstGeom>
                  </pic:spPr>
                </pic:pic>
              </a:graphicData>
            </a:graphic>
          </wp:anchor>
        </w:drawing>
      </w:r>
    </w:p>
    <w:p>
      <w:pPr>
        <w:pStyle w:val="BodyText"/>
        <w:spacing w:before="6"/>
        <w:rPr>
          <w:sz w:val="15"/>
        </w:rPr>
      </w:pPr>
    </w:p>
    <w:p>
      <w:pPr>
        <w:pStyle w:val="BodyText"/>
        <w:rPr>
          <w:sz w:val="20"/>
        </w:rPr>
      </w:pPr>
    </w:p>
    <w:p>
      <w:pPr>
        <w:pStyle w:val="BodyText"/>
        <w:spacing w:before="9"/>
        <w:rPr>
          <w:sz w:val="17"/>
        </w:rPr>
      </w:pPr>
    </w:p>
    <w:p>
      <w:pPr>
        <w:spacing w:line="333" w:lineRule="auto" w:before="1"/>
        <w:ind w:left="460" w:right="463" w:firstLine="0"/>
        <w:jc w:val="left"/>
        <w:rPr>
          <w:i/>
          <w:sz w:val="18"/>
        </w:rPr>
      </w:pPr>
      <w:r>
        <w:rPr>
          <w:i/>
          <w:sz w:val="18"/>
        </w:rPr>
        <w:t>Notes: This ﬁgure, which relies on 3-digit OECD sector codes from the 3.0 version of AidData’s GCDF</w:t>
      </w:r>
      <w:r>
        <w:rPr>
          <w:i/>
          <w:sz w:val="18"/>
        </w:rPr>
        <w:t> dataset,</w:t>
      </w:r>
      <w:r>
        <w:rPr>
          <w:i/>
          <w:spacing w:val="20"/>
          <w:sz w:val="18"/>
        </w:rPr>
        <w:t> </w:t>
      </w:r>
      <w:r>
        <w:rPr>
          <w:i/>
          <w:sz w:val="18"/>
        </w:rPr>
        <w:t>presents</w:t>
      </w:r>
      <w:r>
        <w:rPr>
          <w:i/>
          <w:spacing w:val="20"/>
          <w:sz w:val="18"/>
        </w:rPr>
        <w:t> </w:t>
      </w:r>
      <w:r>
        <w:rPr>
          <w:i/>
          <w:sz w:val="18"/>
        </w:rPr>
        <w:t>proportional</w:t>
      </w:r>
      <w:r>
        <w:rPr>
          <w:i/>
          <w:spacing w:val="20"/>
          <w:sz w:val="18"/>
        </w:rPr>
        <w:t> </w:t>
      </w:r>
      <w:r>
        <w:rPr>
          <w:i/>
          <w:sz w:val="18"/>
        </w:rPr>
        <w:t>changes</w:t>
      </w:r>
      <w:r>
        <w:rPr>
          <w:i/>
          <w:spacing w:val="20"/>
          <w:sz w:val="18"/>
        </w:rPr>
        <w:t> </w:t>
      </w:r>
      <w:r>
        <w:rPr>
          <w:i/>
          <w:sz w:val="18"/>
        </w:rPr>
        <w:t>in</w:t>
      </w:r>
      <w:r>
        <w:rPr>
          <w:i/>
          <w:spacing w:val="20"/>
          <w:sz w:val="18"/>
        </w:rPr>
        <w:t> </w:t>
      </w:r>
      <w:r>
        <w:rPr>
          <w:i/>
          <w:sz w:val="18"/>
        </w:rPr>
        <w:t>the</w:t>
      </w:r>
      <w:r>
        <w:rPr>
          <w:i/>
          <w:spacing w:val="20"/>
          <w:sz w:val="18"/>
        </w:rPr>
        <w:t> </w:t>
      </w:r>
      <w:r>
        <w:rPr>
          <w:i/>
          <w:sz w:val="18"/>
        </w:rPr>
        <w:t>sectoral</w:t>
      </w:r>
      <w:r>
        <w:rPr>
          <w:i/>
          <w:spacing w:val="20"/>
          <w:sz w:val="18"/>
        </w:rPr>
        <w:t> </w:t>
      </w:r>
      <w:r>
        <w:rPr>
          <w:i/>
          <w:sz w:val="18"/>
        </w:rPr>
        <w:t>composition</w:t>
      </w:r>
      <w:r>
        <w:rPr>
          <w:i/>
          <w:spacing w:val="20"/>
          <w:sz w:val="18"/>
        </w:rPr>
        <w:t> </w:t>
      </w:r>
      <w:r>
        <w:rPr>
          <w:i/>
          <w:sz w:val="18"/>
        </w:rPr>
        <w:t>of</w:t>
      </w:r>
      <w:r>
        <w:rPr>
          <w:i/>
          <w:spacing w:val="20"/>
          <w:sz w:val="18"/>
        </w:rPr>
        <w:t> </w:t>
      </w:r>
      <w:r>
        <w:rPr>
          <w:i/>
          <w:sz w:val="18"/>
        </w:rPr>
        <w:t>Chinese</w:t>
      </w:r>
      <w:r>
        <w:rPr>
          <w:i/>
          <w:spacing w:val="20"/>
          <w:sz w:val="18"/>
        </w:rPr>
        <w:t> </w:t>
      </w:r>
      <w:r>
        <w:rPr>
          <w:i/>
          <w:sz w:val="18"/>
        </w:rPr>
        <w:t>ODA</w:t>
      </w:r>
      <w:r>
        <w:rPr>
          <w:i/>
          <w:spacing w:val="20"/>
          <w:sz w:val="18"/>
        </w:rPr>
        <w:t> </w:t>
      </w:r>
      <w:r>
        <w:rPr>
          <w:i/>
          <w:sz w:val="18"/>
        </w:rPr>
        <w:t>and</w:t>
      </w:r>
      <w:r>
        <w:rPr>
          <w:i/>
          <w:spacing w:val="20"/>
          <w:sz w:val="18"/>
        </w:rPr>
        <w:t> </w:t>
      </w:r>
      <w:r>
        <w:rPr>
          <w:i/>
          <w:sz w:val="18"/>
        </w:rPr>
        <w:t>OOF commitments</w:t>
      </w:r>
      <w:r>
        <w:rPr>
          <w:i/>
          <w:spacing w:val="-3"/>
          <w:sz w:val="18"/>
        </w:rPr>
        <w:t> </w:t>
      </w:r>
      <w:r>
        <w:rPr>
          <w:i/>
          <w:sz w:val="18"/>
        </w:rPr>
        <w:t>(measured</w:t>
      </w:r>
      <w:r>
        <w:rPr>
          <w:i/>
          <w:spacing w:val="-3"/>
          <w:sz w:val="18"/>
        </w:rPr>
        <w:t> </w:t>
      </w:r>
      <w:r>
        <w:rPr>
          <w:i/>
          <w:sz w:val="18"/>
        </w:rPr>
        <w:t>in</w:t>
      </w:r>
      <w:r>
        <w:rPr>
          <w:i/>
          <w:spacing w:val="-3"/>
          <w:sz w:val="18"/>
        </w:rPr>
        <w:t> </w:t>
      </w:r>
      <w:r>
        <w:rPr>
          <w:i/>
          <w:sz w:val="18"/>
        </w:rPr>
        <w:t>constant</w:t>
      </w:r>
      <w:r>
        <w:rPr>
          <w:i/>
          <w:spacing w:val="-3"/>
          <w:sz w:val="18"/>
        </w:rPr>
        <w:t> </w:t>
      </w:r>
      <w:r>
        <w:rPr>
          <w:i/>
          <w:sz w:val="18"/>
        </w:rPr>
        <w:t>2021</w:t>
      </w:r>
      <w:r>
        <w:rPr>
          <w:i/>
          <w:spacing w:val="-3"/>
          <w:sz w:val="18"/>
        </w:rPr>
        <w:t> </w:t>
      </w:r>
      <w:r>
        <w:rPr>
          <w:i/>
          <w:sz w:val="18"/>
        </w:rPr>
        <w:t>USD)</w:t>
      </w:r>
      <w:r>
        <w:rPr>
          <w:i/>
          <w:spacing w:val="-3"/>
          <w:sz w:val="18"/>
        </w:rPr>
        <w:t> </w:t>
      </w:r>
      <w:r>
        <w:rPr>
          <w:i/>
          <w:sz w:val="18"/>
        </w:rPr>
        <w:t>to</w:t>
      </w:r>
      <w:r>
        <w:rPr>
          <w:i/>
          <w:spacing w:val="-3"/>
          <w:sz w:val="18"/>
        </w:rPr>
        <w:t> </w:t>
      </w:r>
      <w:r>
        <w:rPr>
          <w:i/>
          <w:sz w:val="18"/>
        </w:rPr>
        <w:t>LICs</w:t>
      </w:r>
      <w:r>
        <w:rPr>
          <w:i/>
          <w:spacing w:val="-3"/>
          <w:sz w:val="18"/>
        </w:rPr>
        <w:t> </w:t>
      </w:r>
      <w:r>
        <w:rPr>
          <w:i/>
          <w:sz w:val="18"/>
        </w:rPr>
        <w:t>and</w:t>
      </w:r>
      <w:r>
        <w:rPr>
          <w:i/>
          <w:spacing w:val="-3"/>
          <w:sz w:val="18"/>
        </w:rPr>
        <w:t> </w:t>
      </w:r>
      <w:r>
        <w:rPr>
          <w:i/>
          <w:sz w:val="18"/>
        </w:rPr>
        <w:t>MICs</w:t>
      </w:r>
      <w:r>
        <w:rPr>
          <w:i/>
          <w:spacing w:val="-3"/>
          <w:sz w:val="18"/>
        </w:rPr>
        <w:t> </w:t>
      </w:r>
      <w:r>
        <w:rPr>
          <w:i/>
          <w:sz w:val="18"/>
        </w:rPr>
        <w:t>between</w:t>
      </w:r>
      <w:r>
        <w:rPr>
          <w:i/>
          <w:spacing w:val="-3"/>
          <w:sz w:val="18"/>
        </w:rPr>
        <w:t> </w:t>
      </w:r>
      <w:r>
        <w:rPr>
          <w:i/>
          <w:sz w:val="18"/>
        </w:rPr>
        <w:t>2014</w:t>
      </w:r>
      <w:r>
        <w:rPr>
          <w:i/>
          <w:spacing w:val="-3"/>
          <w:sz w:val="18"/>
        </w:rPr>
        <w:t> </w:t>
      </w:r>
      <w:r>
        <w:rPr>
          <w:i/>
          <w:sz w:val="18"/>
        </w:rPr>
        <w:t>and</w:t>
      </w:r>
      <w:r>
        <w:rPr>
          <w:i/>
          <w:spacing w:val="-3"/>
          <w:sz w:val="18"/>
        </w:rPr>
        <w:t> </w:t>
      </w:r>
      <w:r>
        <w:rPr>
          <w:i/>
          <w:sz w:val="18"/>
        </w:rPr>
        <w:t>2021.</w:t>
      </w:r>
      <w:r>
        <w:rPr>
          <w:i/>
          <w:spacing w:val="-3"/>
          <w:sz w:val="18"/>
        </w:rPr>
        <w:t> </w:t>
      </w:r>
      <w:r>
        <w:rPr>
          <w:i/>
          <w:sz w:val="18"/>
        </w:rPr>
        <w:t>Figure</w:t>
      </w:r>
      <w:r>
        <w:rPr>
          <w:i/>
          <w:spacing w:val="-3"/>
          <w:sz w:val="18"/>
        </w:rPr>
        <w:t> </w:t>
      </w:r>
      <w:r>
        <w:rPr>
          <w:i/>
          <w:sz w:val="18"/>
        </w:rPr>
        <w:t>A3</w:t>
      </w:r>
      <w:r>
        <w:rPr>
          <w:i/>
          <w:spacing w:val="-3"/>
          <w:sz w:val="18"/>
        </w:rPr>
        <w:t> </w:t>
      </w:r>
      <w:r>
        <w:rPr>
          <w:i/>
          <w:sz w:val="18"/>
        </w:rPr>
        <w:t>in</w:t>
      </w:r>
      <w:r>
        <w:rPr>
          <w:i/>
          <w:spacing w:val="-3"/>
          <w:sz w:val="18"/>
        </w:rPr>
        <w:t> </w:t>
      </w:r>
      <w:r>
        <w:rPr>
          <w:i/>
          <w:sz w:val="18"/>
        </w:rPr>
        <w:t>the Appendix provides supplementary evidence on sectoral changes over the same time period.</w:t>
      </w:r>
    </w:p>
    <w:p>
      <w:pPr>
        <w:pStyle w:val="BodyText"/>
        <w:rPr>
          <w:i/>
          <w:sz w:val="18"/>
        </w:rPr>
      </w:pPr>
    </w:p>
    <w:p>
      <w:pPr>
        <w:pStyle w:val="BodyText"/>
        <w:spacing w:line="333" w:lineRule="auto" w:before="111"/>
        <w:ind w:left="460" w:right="515"/>
      </w:pPr>
      <w:r>
        <w:t>There are glass-half-full and glass-half-empty ways of interpreting G7 efforts to compete with China. The glass-half-full view is that Beijing is ceding its leadership in the global infrastructure space and the G7 is seeking to ﬁll the vacuum, which may help address the large, unmet infrastructure ﬁnancing needs of developing countries. The glass-half-empty view is that the G7 is misreading the demand signal from the Global South and seeking to compete with a version of the BRI (BRI 1.0) that no longer exists. After recently going on a borrowing spree for big-ticket infrastructure projects, low-income and middle-income countries may have less appetite for expensive infrastructure and more appetite for balance of payments support that will keep them aﬂoat during a time when global economic conditions are highly unfavorable (as interest rates rise, the dollar strengthens, local currencies weaken, and economic growth slows).</w:t>
      </w:r>
    </w:p>
    <w:p>
      <w:pPr>
        <w:pStyle w:val="BodyText"/>
        <w:spacing w:before="8"/>
        <w:rPr>
          <w:sz w:val="9"/>
        </w:rPr>
      </w:pPr>
      <w:r>
        <w:rPr/>
        <w:pict>
          <v:shape style="position:absolute;margin-left:90pt;margin-top:6.822757pt;width:144pt;height:.1pt;mso-position-horizontal-relative:page;mso-position-vertical-relative:paragraph;z-index:-15714304;mso-wrap-distance-left:0;mso-wrap-distance-right:0" id="docshape22" coordorigin="1800,136" coordsize="2880,0" path="m1800,136l4680,136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pStyle w:val="BodyText"/>
        <w:spacing w:before="9"/>
        <w:rPr>
          <w:sz w:val="27"/>
        </w:rPr>
      </w:pPr>
    </w:p>
    <w:p>
      <w:pPr>
        <w:pStyle w:val="Heading3"/>
      </w:pPr>
      <w:r>
        <w:rPr/>
        <w:t>Section</w:t>
      </w:r>
      <w:r>
        <w:rPr>
          <w:spacing w:val="-20"/>
        </w:rPr>
        <w:t> </w:t>
      </w:r>
      <w:r>
        <w:rPr/>
        <w:t>3:</w:t>
      </w:r>
      <w:r>
        <w:rPr>
          <w:spacing w:val="-18"/>
        </w:rPr>
        <w:t> </w:t>
      </w:r>
      <w:r>
        <w:rPr/>
        <w:t>Repayment</w:t>
      </w:r>
      <w:r>
        <w:rPr>
          <w:spacing w:val="-19"/>
        </w:rPr>
        <w:t> </w:t>
      </w:r>
      <w:r>
        <w:rPr/>
        <w:t>risk</w:t>
      </w:r>
      <w:r>
        <w:rPr>
          <w:spacing w:val="-19"/>
        </w:rPr>
        <w:t> </w:t>
      </w:r>
      <w:r>
        <w:rPr/>
        <w:t>from</w:t>
      </w:r>
      <w:r>
        <w:rPr>
          <w:spacing w:val="-19"/>
        </w:rPr>
        <w:t> </w:t>
      </w:r>
      <w:r>
        <w:rPr/>
        <w:t>Beijing’s</w:t>
      </w:r>
      <w:r>
        <w:rPr>
          <w:spacing w:val="-19"/>
        </w:rPr>
        <w:t> </w:t>
      </w:r>
      <w:r>
        <w:rPr>
          <w:spacing w:val="-2"/>
        </w:rPr>
        <w:t>perspective</w:t>
      </w:r>
    </w:p>
    <w:p>
      <w:pPr>
        <w:pStyle w:val="BodyText"/>
        <w:spacing w:line="333" w:lineRule="auto" w:before="271"/>
        <w:ind w:left="460" w:right="485"/>
      </w:pPr>
      <w:r>
        <w:t>Beijing’s pivot away from infrastructure project lending and toward emergency rescue lending is as much about supply-side pressures as it is about demand-side pressures. After the Belt and Road Initiative was launched, Chinese state-owned creditors went on a lending spree, issuing thousands of loans for big-ticket infrastructure projects spread across 129 countries in the developing world. However, they did so without strong risk management guardrails in place. They lent to borrowers with bad credit ratings or no credit ratings (like Laos, Tajikistan, Zambia, South Sudan, Suriname, Zimbabwe, Pakistan, and Argentina); banked on borrowers being able to repay loans with the cash proceeds from natural resource exports (like Angola, Equatorial Guinea, Ecuador, Venezuela, Congo-Brazzaville, and Turkmenistan); and issued dollar- and euro-denominated loans to countries (like Russia, Belarus, Myanmar, Sudan, Iran, and Cuba) that would later be unable to transact in those currencies due to international sanctions.</w:t>
      </w:r>
    </w:p>
    <w:p>
      <w:pPr>
        <w:pStyle w:val="BodyText"/>
        <w:spacing w:before="1"/>
        <w:rPr>
          <w:sz w:val="27"/>
        </w:rPr>
      </w:pPr>
    </w:p>
    <w:p>
      <w:pPr>
        <w:pStyle w:val="BodyText"/>
        <w:spacing w:line="333" w:lineRule="auto" w:before="1"/>
        <w:ind w:left="460" w:right="669"/>
      </w:pPr>
      <w:r>
        <w:rPr/>
        <w:t>Now, Chinese state-owned creditors are saddled with many underperforming loans and want to ensure that their overseas borrowers are sufﬁciently liquid </w:t>
      </w:r>
      <w:r>
        <w:rPr/>
        <w:t>to </w:t>
      </w:r>
      <w:r>
        <w:rPr>
          <w:w w:val="105"/>
        </w:rPr>
        <w:t>continue</w:t>
      </w:r>
      <w:r>
        <w:rPr>
          <w:spacing w:val="-18"/>
          <w:w w:val="105"/>
        </w:rPr>
        <w:t> </w:t>
      </w:r>
      <w:r>
        <w:rPr>
          <w:w w:val="105"/>
        </w:rPr>
        <w:t>servicing</w:t>
      </w:r>
      <w:r>
        <w:rPr>
          <w:spacing w:val="-17"/>
          <w:w w:val="105"/>
        </w:rPr>
        <w:t> </w:t>
      </w:r>
      <w:r>
        <w:rPr>
          <w:w w:val="105"/>
        </w:rPr>
        <w:t>their</w:t>
      </w:r>
      <w:r>
        <w:rPr>
          <w:spacing w:val="-18"/>
          <w:w w:val="105"/>
        </w:rPr>
        <w:t> </w:t>
      </w:r>
      <w:r>
        <w:rPr>
          <w:w w:val="105"/>
        </w:rPr>
        <w:t>existing</w:t>
      </w:r>
      <w:r>
        <w:rPr>
          <w:spacing w:val="-18"/>
          <w:w w:val="105"/>
        </w:rPr>
        <w:t> </w:t>
      </w:r>
      <w:r>
        <w:rPr>
          <w:w w:val="105"/>
        </w:rPr>
        <w:t>infrastructure</w:t>
      </w:r>
      <w:r>
        <w:rPr>
          <w:spacing w:val="-17"/>
          <w:w w:val="105"/>
        </w:rPr>
        <w:t> </w:t>
      </w:r>
      <w:r>
        <w:rPr>
          <w:w w:val="105"/>
        </w:rPr>
        <w:t>project</w:t>
      </w:r>
      <w:r>
        <w:rPr>
          <w:spacing w:val="-18"/>
          <w:w w:val="105"/>
        </w:rPr>
        <w:t> </w:t>
      </w:r>
      <w:r>
        <w:rPr>
          <w:w w:val="105"/>
        </w:rPr>
        <w:t>debts.</w:t>
      </w:r>
      <w:r>
        <w:rPr>
          <w:w w:val="105"/>
          <w:vertAlign w:val="superscript"/>
        </w:rPr>
        <w:t>[35]</w:t>
      </w:r>
      <w:r>
        <w:rPr>
          <w:spacing w:val="-17"/>
          <w:w w:val="105"/>
          <w:vertAlign w:val="baseline"/>
        </w:rPr>
        <w:t> </w:t>
      </w:r>
      <w:r>
        <w:rPr>
          <w:w w:val="105"/>
          <w:vertAlign w:val="baseline"/>
        </w:rPr>
        <w:t>They</w:t>
      </w:r>
      <w:r>
        <w:rPr>
          <w:spacing w:val="-18"/>
          <w:w w:val="105"/>
          <w:vertAlign w:val="baseline"/>
        </w:rPr>
        <w:t> </w:t>
      </w:r>
      <w:r>
        <w:rPr>
          <w:w w:val="105"/>
          <w:vertAlign w:val="baseline"/>
        </w:rPr>
        <w:t>are </w:t>
      </w:r>
      <w:r>
        <w:rPr>
          <w:vertAlign w:val="baseline"/>
        </w:rPr>
        <w:t>responding to this challenge in two ways, which we document in greater detail </w:t>
      </w:r>
      <w:r>
        <w:rPr>
          <w:w w:val="105"/>
          <w:vertAlign w:val="baseline"/>
        </w:rPr>
        <w:t>in</w:t>
      </w:r>
      <w:r>
        <w:rPr>
          <w:spacing w:val="-10"/>
          <w:w w:val="105"/>
          <w:vertAlign w:val="baseline"/>
        </w:rPr>
        <w:t> </w:t>
      </w:r>
      <w:r>
        <w:rPr>
          <w:w w:val="105"/>
          <w:vertAlign w:val="baseline"/>
        </w:rPr>
        <w:t>Chapter</w:t>
      </w:r>
      <w:r>
        <w:rPr>
          <w:spacing w:val="-10"/>
          <w:w w:val="105"/>
          <w:vertAlign w:val="baseline"/>
        </w:rPr>
        <w:t> </w:t>
      </w:r>
      <w:r>
        <w:rPr>
          <w:w w:val="105"/>
          <w:vertAlign w:val="baseline"/>
        </w:rPr>
        <w:t>2:</w:t>
      </w:r>
      <w:r>
        <w:rPr>
          <w:spacing w:val="-10"/>
          <w:w w:val="105"/>
          <w:vertAlign w:val="baseline"/>
        </w:rPr>
        <w:t> </w:t>
      </w:r>
      <w:r>
        <w:rPr>
          <w:w w:val="105"/>
          <w:vertAlign w:val="baseline"/>
        </w:rPr>
        <w:t>debt</w:t>
      </w:r>
      <w:r>
        <w:rPr>
          <w:spacing w:val="-10"/>
          <w:w w:val="105"/>
          <w:vertAlign w:val="baseline"/>
        </w:rPr>
        <w:t> </w:t>
      </w:r>
      <w:r>
        <w:rPr>
          <w:w w:val="105"/>
          <w:vertAlign w:val="baseline"/>
        </w:rPr>
        <w:t>reschedulings</w:t>
      </w:r>
      <w:r>
        <w:rPr>
          <w:spacing w:val="-10"/>
          <w:w w:val="105"/>
          <w:vertAlign w:val="baseline"/>
        </w:rPr>
        <w:t> </w:t>
      </w:r>
      <w:r>
        <w:rPr>
          <w:w w:val="105"/>
          <w:vertAlign w:val="baseline"/>
        </w:rPr>
        <w:t>that</w:t>
      </w:r>
      <w:r>
        <w:rPr>
          <w:spacing w:val="-10"/>
          <w:w w:val="105"/>
          <w:vertAlign w:val="baseline"/>
        </w:rPr>
        <w:t> </w:t>
      </w:r>
      <w:r>
        <w:rPr>
          <w:w w:val="105"/>
          <w:vertAlign w:val="baseline"/>
        </w:rPr>
        <w:t>provide</w:t>
      </w:r>
      <w:r>
        <w:rPr>
          <w:spacing w:val="-10"/>
          <w:w w:val="105"/>
          <w:vertAlign w:val="baseline"/>
        </w:rPr>
        <w:t> </w:t>
      </w:r>
      <w:r>
        <w:rPr>
          <w:w w:val="105"/>
          <w:vertAlign w:val="baseline"/>
        </w:rPr>
        <w:t>short-term</w:t>
      </w:r>
      <w:r>
        <w:rPr>
          <w:spacing w:val="-10"/>
          <w:w w:val="105"/>
          <w:vertAlign w:val="baseline"/>
        </w:rPr>
        <w:t> </w:t>
      </w:r>
      <w:r>
        <w:rPr>
          <w:w w:val="105"/>
          <w:vertAlign w:val="baseline"/>
        </w:rPr>
        <w:t>cash</w:t>
      </w:r>
      <w:r>
        <w:rPr>
          <w:spacing w:val="-10"/>
          <w:w w:val="105"/>
          <w:vertAlign w:val="baseline"/>
        </w:rPr>
        <w:t> </w:t>
      </w:r>
      <w:r>
        <w:rPr>
          <w:w w:val="105"/>
          <w:vertAlign w:val="baseline"/>
        </w:rPr>
        <w:t>ﬂow</w:t>
      </w:r>
      <w:r>
        <w:rPr>
          <w:spacing w:val="-10"/>
          <w:w w:val="105"/>
          <w:vertAlign w:val="baseline"/>
        </w:rPr>
        <w:t> </w:t>
      </w:r>
      <w:r>
        <w:rPr>
          <w:w w:val="105"/>
          <w:vertAlign w:val="baseline"/>
        </w:rPr>
        <w:t>relief</w:t>
      </w:r>
      <w:r>
        <w:rPr>
          <w:spacing w:val="-10"/>
          <w:w w:val="105"/>
          <w:vertAlign w:val="baseline"/>
        </w:rPr>
        <w:t> </w:t>
      </w:r>
      <w:r>
        <w:rPr>
          <w:w w:val="105"/>
          <w:vertAlign w:val="baseline"/>
        </w:rPr>
        <w:t>to borrowers</w:t>
      </w:r>
      <w:r>
        <w:rPr>
          <w:spacing w:val="-18"/>
          <w:w w:val="105"/>
          <w:vertAlign w:val="baseline"/>
        </w:rPr>
        <w:t> </w:t>
      </w:r>
      <w:r>
        <w:rPr>
          <w:w w:val="105"/>
          <w:vertAlign w:val="baseline"/>
        </w:rPr>
        <w:t>and</w:t>
      </w:r>
      <w:r>
        <w:rPr>
          <w:spacing w:val="-17"/>
          <w:w w:val="105"/>
          <w:vertAlign w:val="baseline"/>
        </w:rPr>
        <w:t> </w:t>
      </w:r>
      <w:r>
        <w:rPr>
          <w:w w:val="105"/>
          <w:vertAlign w:val="baseline"/>
        </w:rPr>
        <w:t>emergency</w:t>
      </w:r>
      <w:r>
        <w:rPr>
          <w:spacing w:val="-18"/>
          <w:w w:val="105"/>
          <w:vertAlign w:val="baseline"/>
        </w:rPr>
        <w:t> </w:t>
      </w:r>
      <w:r>
        <w:rPr>
          <w:w w:val="105"/>
          <w:vertAlign w:val="baseline"/>
        </w:rPr>
        <w:t>rescue</w:t>
      </w:r>
      <w:r>
        <w:rPr>
          <w:spacing w:val="-18"/>
          <w:w w:val="105"/>
          <w:vertAlign w:val="baseline"/>
        </w:rPr>
        <w:t> </w:t>
      </w:r>
      <w:r>
        <w:rPr>
          <w:w w:val="105"/>
          <w:vertAlign w:val="baseline"/>
        </w:rPr>
        <w:t>loans</w:t>
      </w:r>
      <w:r>
        <w:rPr>
          <w:spacing w:val="-17"/>
          <w:w w:val="105"/>
          <w:vertAlign w:val="baseline"/>
        </w:rPr>
        <w:t> </w:t>
      </w:r>
      <w:r>
        <w:rPr>
          <w:w w:val="105"/>
          <w:vertAlign w:val="baseline"/>
        </w:rPr>
        <w:t>that</w:t>
      </w:r>
      <w:r>
        <w:rPr>
          <w:spacing w:val="-18"/>
          <w:w w:val="105"/>
          <w:vertAlign w:val="baseline"/>
        </w:rPr>
        <w:t> </w:t>
      </w:r>
      <w:r>
        <w:rPr>
          <w:w w:val="105"/>
          <w:vertAlign w:val="baseline"/>
        </w:rPr>
        <w:t>help</w:t>
      </w:r>
      <w:r>
        <w:rPr>
          <w:spacing w:val="-17"/>
          <w:w w:val="105"/>
          <w:vertAlign w:val="baseline"/>
        </w:rPr>
        <w:t> </w:t>
      </w:r>
      <w:r>
        <w:rPr>
          <w:w w:val="105"/>
          <w:vertAlign w:val="baseline"/>
        </w:rPr>
        <w:t>borrowers</w:t>
      </w:r>
      <w:r>
        <w:rPr>
          <w:spacing w:val="-18"/>
          <w:w w:val="105"/>
          <w:vertAlign w:val="baseline"/>
        </w:rPr>
        <w:t> </w:t>
      </w:r>
      <w:r>
        <w:rPr>
          <w:w w:val="105"/>
          <w:vertAlign w:val="baseline"/>
        </w:rPr>
        <w:t>shore</w:t>
      </w:r>
      <w:r>
        <w:rPr>
          <w:spacing w:val="-17"/>
          <w:w w:val="105"/>
          <w:vertAlign w:val="baseline"/>
        </w:rPr>
        <w:t> </w:t>
      </w:r>
      <w:r>
        <w:rPr>
          <w:w w:val="105"/>
          <w:vertAlign w:val="baseline"/>
        </w:rPr>
        <w:t>up</w:t>
      </w:r>
      <w:r>
        <w:rPr>
          <w:spacing w:val="-18"/>
          <w:w w:val="105"/>
          <w:vertAlign w:val="baseline"/>
        </w:rPr>
        <w:t> </w:t>
      </w:r>
      <w:r>
        <w:rPr>
          <w:w w:val="105"/>
          <w:vertAlign w:val="baseline"/>
        </w:rPr>
        <w:t>their </w:t>
      </w:r>
      <w:r>
        <w:rPr>
          <w:vertAlign w:val="baseline"/>
        </w:rPr>
        <w:t>foreign exchange reserves and repay existing (infrastructure project) debts.</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22"/>
        </w:rPr>
      </w:pPr>
      <w:r>
        <w:rPr/>
        <w:pict>
          <v:shape style="position:absolute;margin-left:90pt;margin-top:14.058496pt;width:144pt;height:.1pt;mso-position-horizontal-relative:page;mso-position-vertical-relative:paragraph;z-index:-15713792;mso-wrap-distance-left:0;mso-wrap-distance-right:0" id="docshape23" coordorigin="1800,281" coordsize="2880,0" path="m1800,281l4680,28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pStyle w:val="BodyText"/>
        <w:ind w:left="340"/>
        <w:rPr>
          <w:sz w:val="20"/>
        </w:rPr>
      </w:pPr>
      <w:r>
        <w:rPr>
          <w:sz w:val="20"/>
        </w:rPr>
        <w:pict>
          <v:shape style="width:444pt;height:38pt;mso-position-horizontal-relative:char;mso-position-vertical-relative:line" type="#_x0000_t202" id="docshape24"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1.8</w:t>
                  </w:r>
                </w:p>
              </w:txbxContent>
            </v:textbox>
            <v:fill type="solid"/>
          </v:shape>
        </w:pict>
      </w:r>
      <w:r>
        <w:rPr>
          <w:sz w:val="20"/>
        </w:rPr>
      </w:r>
    </w:p>
    <w:p>
      <w:pPr>
        <w:pStyle w:val="BodyText"/>
        <w:rPr>
          <w:sz w:val="14"/>
        </w:rPr>
      </w:pPr>
      <w:r>
        <w:rPr/>
        <w:drawing>
          <wp:anchor distT="0" distB="0" distL="0" distR="0" allowOverlap="1" layoutInCell="1" locked="0" behindDoc="0" simplePos="0" relativeHeight="31">
            <wp:simplePos x="0" y="0"/>
            <wp:positionH relativeFrom="page">
              <wp:posOffset>1253132</wp:posOffset>
            </wp:positionH>
            <wp:positionV relativeFrom="paragraph">
              <wp:posOffset>117484</wp:posOffset>
            </wp:positionV>
            <wp:extent cx="5161566" cy="3184398"/>
            <wp:effectExtent l="0" t="0" r="0" b="0"/>
            <wp:wrapTopAndBottom/>
            <wp:docPr id="17" name="image9.jpeg"/>
            <wp:cNvGraphicFramePr>
              <a:graphicFrameLocks noChangeAspect="1"/>
            </wp:cNvGraphicFramePr>
            <a:graphic>
              <a:graphicData uri="http://schemas.openxmlformats.org/drawingml/2006/picture">
                <pic:pic>
                  <pic:nvPicPr>
                    <pic:cNvPr id="18" name="image9.jpeg"/>
                    <pic:cNvPicPr/>
                  </pic:nvPicPr>
                  <pic:blipFill>
                    <a:blip r:embed="rId16" cstate="print"/>
                    <a:stretch>
                      <a:fillRect/>
                    </a:stretch>
                  </pic:blipFill>
                  <pic:spPr>
                    <a:xfrm>
                      <a:off x="0" y="0"/>
                      <a:ext cx="5161566" cy="3184398"/>
                    </a:xfrm>
                    <a:prstGeom prst="rect">
                      <a:avLst/>
                    </a:prstGeom>
                  </pic:spPr>
                </pic:pic>
              </a:graphicData>
            </a:graphic>
          </wp:anchor>
        </w:drawing>
      </w:r>
    </w:p>
    <w:p>
      <w:pPr>
        <w:pStyle w:val="BodyText"/>
        <w:rPr>
          <w:sz w:val="20"/>
        </w:rPr>
      </w:pPr>
    </w:p>
    <w:p>
      <w:pPr>
        <w:pStyle w:val="BodyText"/>
        <w:spacing w:before="10"/>
        <w:rPr>
          <w:sz w:val="17"/>
        </w:rPr>
      </w:pPr>
    </w:p>
    <w:p>
      <w:pPr>
        <w:spacing w:line="333" w:lineRule="auto" w:before="0"/>
        <w:ind w:left="460" w:right="502" w:firstLine="0"/>
        <w:jc w:val="left"/>
        <w:rPr>
          <w:i/>
          <w:sz w:val="18"/>
        </w:rPr>
      </w:pPr>
      <w:r>
        <w:rPr>
          <w:i/>
          <w:sz w:val="18"/>
        </w:rPr>
        <w:t>Notes: MOFCOM interest-free loan commitments (which are typically issued without a credible </w:t>
      </w:r>
      <w:r>
        <w:rPr>
          <w:i/>
          <w:sz w:val="18"/>
        </w:rPr>
        <w:t>expectation</w:t>
      </w:r>
      <w:r>
        <w:rPr>
          <w:i/>
          <w:sz w:val="18"/>
        </w:rPr>
        <w:t> of</w:t>
      </w:r>
      <w:r>
        <w:rPr>
          <w:i/>
          <w:spacing w:val="-2"/>
          <w:sz w:val="18"/>
        </w:rPr>
        <w:t> </w:t>
      </w:r>
      <w:r>
        <w:rPr>
          <w:i/>
          <w:sz w:val="18"/>
        </w:rPr>
        <w:t>repayment)</w:t>
      </w:r>
      <w:r>
        <w:rPr>
          <w:i/>
          <w:spacing w:val="-2"/>
          <w:sz w:val="18"/>
        </w:rPr>
        <w:t> </w:t>
      </w:r>
      <w:r>
        <w:rPr>
          <w:i/>
          <w:sz w:val="18"/>
        </w:rPr>
        <w:t>and</w:t>
      </w:r>
      <w:r>
        <w:rPr>
          <w:i/>
          <w:spacing w:val="-2"/>
          <w:sz w:val="18"/>
        </w:rPr>
        <w:t> </w:t>
      </w:r>
      <w:r>
        <w:rPr>
          <w:i/>
          <w:sz w:val="18"/>
        </w:rPr>
        <w:t>emergency</w:t>
      </w:r>
      <w:r>
        <w:rPr>
          <w:i/>
          <w:spacing w:val="-2"/>
          <w:sz w:val="18"/>
        </w:rPr>
        <w:t> </w:t>
      </w:r>
      <w:r>
        <w:rPr>
          <w:i/>
          <w:sz w:val="18"/>
        </w:rPr>
        <w:t>rescue</w:t>
      </w:r>
      <w:r>
        <w:rPr>
          <w:i/>
          <w:spacing w:val="-2"/>
          <w:sz w:val="18"/>
        </w:rPr>
        <w:t> </w:t>
      </w:r>
      <w:r>
        <w:rPr>
          <w:i/>
          <w:sz w:val="18"/>
        </w:rPr>
        <w:t>loan</w:t>
      </w:r>
      <w:r>
        <w:rPr>
          <w:i/>
          <w:spacing w:val="-2"/>
          <w:sz w:val="18"/>
        </w:rPr>
        <w:t> </w:t>
      </w:r>
      <w:r>
        <w:rPr>
          <w:i/>
          <w:sz w:val="18"/>
        </w:rPr>
        <w:t>commitments</w:t>
      </w:r>
      <w:r>
        <w:rPr>
          <w:i/>
          <w:spacing w:val="-2"/>
          <w:sz w:val="18"/>
        </w:rPr>
        <w:t> </w:t>
      </w:r>
      <w:r>
        <w:rPr>
          <w:i/>
          <w:sz w:val="18"/>
        </w:rPr>
        <w:t>(responses</w:t>
      </w:r>
      <w:r>
        <w:rPr>
          <w:i/>
          <w:spacing w:val="-2"/>
          <w:sz w:val="18"/>
        </w:rPr>
        <w:t> </w:t>
      </w:r>
      <w:r>
        <w:rPr>
          <w:i/>
          <w:sz w:val="18"/>
        </w:rPr>
        <w:t>to</w:t>
      </w:r>
      <w:r>
        <w:rPr>
          <w:i/>
          <w:spacing w:val="-2"/>
          <w:sz w:val="18"/>
        </w:rPr>
        <w:t> </w:t>
      </w:r>
      <w:r>
        <w:rPr>
          <w:i/>
          <w:sz w:val="18"/>
        </w:rPr>
        <w:t>ﬁnancial</w:t>
      </w:r>
      <w:r>
        <w:rPr>
          <w:i/>
          <w:spacing w:val="-2"/>
          <w:sz w:val="18"/>
        </w:rPr>
        <w:t> </w:t>
      </w:r>
      <w:r>
        <w:rPr>
          <w:i/>
          <w:sz w:val="18"/>
        </w:rPr>
        <w:t>distress)</w:t>
      </w:r>
      <w:r>
        <w:rPr>
          <w:i/>
          <w:spacing w:val="-2"/>
          <w:sz w:val="18"/>
        </w:rPr>
        <w:t> </w:t>
      </w:r>
      <w:r>
        <w:rPr>
          <w:i/>
          <w:sz w:val="18"/>
        </w:rPr>
        <w:t>are</w:t>
      </w:r>
      <w:r>
        <w:rPr>
          <w:i/>
          <w:spacing w:val="-2"/>
          <w:sz w:val="18"/>
        </w:rPr>
        <w:t> </w:t>
      </w:r>
      <w:r>
        <w:rPr>
          <w:i/>
          <w:sz w:val="18"/>
        </w:rPr>
        <w:t>excluded</w:t>
      </w:r>
      <w:r>
        <w:rPr>
          <w:i/>
          <w:spacing w:val="-2"/>
          <w:sz w:val="18"/>
        </w:rPr>
        <w:t> </w:t>
      </w:r>
      <w:r>
        <w:rPr>
          <w:i/>
          <w:sz w:val="18"/>
        </w:rPr>
        <w:t>from the calculation. To determine if a country was experiencing ﬁnancial distress in a given year, we use the binary measure described in Box 1a.</w:t>
      </w:r>
    </w:p>
    <w:p>
      <w:pPr>
        <w:spacing w:after="0" w:line="333"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25"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1.9</w:t>
                  </w:r>
                </w:p>
              </w:txbxContent>
            </v:textbox>
            <v:fill type="solid"/>
          </v:shape>
        </w:pict>
      </w:r>
      <w:r>
        <w:rPr>
          <w:sz w:val="20"/>
        </w:rPr>
      </w:r>
    </w:p>
    <w:p>
      <w:pPr>
        <w:pStyle w:val="BodyText"/>
        <w:rPr>
          <w:i/>
          <w:sz w:val="14"/>
        </w:rPr>
      </w:pPr>
      <w:r>
        <w:rPr/>
        <w:drawing>
          <wp:anchor distT="0" distB="0" distL="0" distR="0" allowOverlap="1" layoutInCell="1" locked="0" behindDoc="0" simplePos="0" relativeHeight="33">
            <wp:simplePos x="0" y="0"/>
            <wp:positionH relativeFrom="page">
              <wp:posOffset>1253132</wp:posOffset>
            </wp:positionH>
            <wp:positionV relativeFrom="paragraph">
              <wp:posOffset>117493</wp:posOffset>
            </wp:positionV>
            <wp:extent cx="5182469" cy="3184398"/>
            <wp:effectExtent l="0" t="0" r="0" b="0"/>
            <wp:wrapTopAndBottom/>
            <wp:docPr id="19" name="image10.jpeg"/>
            <wp:cNvGraphicFramePr>
              <a:graphicFrameLocks noChangeAspect="1"/>
            </wp:cNvGraphicFramePr>
            <a:graphic>
              <a:graphicData uri="http://schemas.openxmlformats.org/drawingml/2006/picture">
                <pic:pic>
                  <pic:nvPicPr>
                    <pic:cNvPr id="20" name="image10.jpeg"/>
                    <pic:cNvPicPr/>
                  </pic:nvPicPr>
                  <pic:blipFill>
                    <a:blip r:embed="rId17" cstate="print"/>
                    <a:stretch>
                      <a:fillRect/>
                    </a:stretch>
                  </pic:blipFill>
                  <pic:spPr>
                    <a:xfrm>
                      <a:off x="0" y="0"/>
                      <a:ext cx="5182469" cy="3184398"/>
                    </a:xfrm>
                    <a:prstGeom prst="rect">
                      <a:avLst/>
                    </a:prstGeom>
                  </pic:spPr>
                </pic:pic>
              </a:graphicData>
            </a:graphic>
          </wp:anchor>
        </w:drawing>
      </w:r>
    </w:p>
    <w:p>
      <w:pPr>
        <w:pStyle w:val="BodyText"/>
        <w:rPr>
          <w:i/>
          <w:sz w:val="20"/>
        </w:rPr>
      </w:pPr>
    </w:p>
    <w:p>
      <w:pPr>
        <w:pStyle w:val="BodyText"/>
        <w:spacing w:before="6"/>
        <w:rPr>
          <w:i/>
          <w:sz w:val="20"/>
        </w:rPr>
      </w:pPr>
    </w:p>
    <w:p>
      <w:pPr>
        <w:spacing w:line="333" w:lineRule="auto" w:before="0"/>
        <w:ind w:left="460" w:right="485" w:firstLine="0"/>
        <w:jc w:val="left"/>
        <w:rPr>
          <w:i/>
          <w:sz w:val="18"/>
        </w:rPr>
      </w:pPr>
      <w:r>
        <w:rPr>
          <w:i/>
          <w:sz w:val="18"/>
        </w:rPr>
        <w:t>Notes:</w:t>
      </w:r>
      <w:r>
        <w:rPr>
          <w:i/>
          <w:spacing w:val="-4"/>
          <w:sz w:val="18"/>
        </w:rPr>
        <w:t> </w:t>
      </w:r>
      <w:r>
        <w:rPr>
          <w:i/>
          <w:sz w:val="18"/>
        </w:rPr>
        <w:t>Sovereign</w:t>
      </w:r>
      <w:r>
        <w:rPr>
          <w:i/>
          <w:spacing w:val="-4"/>
          <w:sz w:val="18"/>
        </w:rPr>
        <w:t> </w:t>
      </w:r>
      <w:r>
        <w:rPr>
          <w:i/>
          <w:sz w:val="18"/>
        </w:rPr>
        <w:t>arrears</w:t>
      </w:r>
      <w:r>
        <w:rPr>
          <w:i/>
          <w:spacing w:val="-4"/>
          <w:sz w:val="18"/>
        </w:rPr>
        <w:t> </w:t>
      </w:r>
      <w:r>
        <w:rPr>
          <w:i/>
          <w:sz w:val="18"/>
        </w:rPr>
        <w:t>capture</w:t>
      </w:r>
      <w:r>
        <w:rPr>
          <w:i/>
          <w:spacing w:val="-4"/>
          <w:sz w:val="18"/>
        </w:rPr>
        <w:t> </w:t>
      </w:r>
      <w:r>
        <w:rPr>
          <w:i/>
          <w:sz w:val="18"/>
        </w:rPr>
        <w:t>principal</w:t>
      </w:r>
      <w:r>
        <w:rPr>
          <w:i/>
          <w:spacing w:val="-4"/>
          <w:sz w:val="18"/>
        </w:rPr>
        <w:t> </w:t>
      </w:r>
      <w:r>
        <w:rPr>
          <w:i/>
          <w:sz w:val="18"/>
        </w:rPr>
        <w:t>and</w:t>
      </w:r>
      <w:r>
        <w:rPr>
          <w:i/>
          <w:spacing w:val="-4"/>
          <w:sz w:val="18"/>
        </w:rPr>
        <w:t> </w:t>
      </w:r>
      <w:r>
        <w:rPr>
          <w:i/>
          <w:sz w:val="18"/>
        </w:rPr>
        <w:t>interest</w:t>
      </w:r>
      <w:r>
        <w:rPr>
          <w:i/>
          <w:spacing w:val="-4"/>
          <w:sz w:val="18"/>
        </w:rPr>
        <w:t> </w:t>
      </w:r>
      <w:r>
        <w:rPr>
          <w:i/>
          <w:sz w:val="18"/>
        </w:rPr>
        <w:t>arrears</w:t>
      </w:r>
      <w:r>
        <w:rPr>
          <w:i/>
          <w:spacing w:val="-4"/>
          <w:sz w:val="18"/>
        </w:rPr>
        <w:t> </w:t>
      </w:r>
      <w:r>
        <w:rPr>
          <w:i/>
          <w:sz w:val="18"/>
        </w:rPr>
        <w:t>(i.e.,</w:t>
      </w:r>
      <w:r>
        <w:rPr>
          <w:i/>
          <w:spacing w:val="-4"/>
          <w:sz w:val="18"/>
        </w:rPr>
        <w:t> </w:t>
      </w:r>
      <w:r>
        <w:rPr>
          <w:i/>
          <w:sz w:val="18"/>
        </w:rPr>
        <w:t>overdue</w:t>
      </w:r>
      <w:r>
        <w:rPr>
          <w:i/>
          <w:spacing w:val="-4"/>
          <w:sz w:val="18"/>
        </w:rPr>
        <w:t> </w:t>
      </w:r>
      <w:r>
        <w:rPr>
          <w:i/>
          <w:sz w:val="18"/>
        </w:rPr>
        <w:t>repayments)</w:t>
      </w:r>
      <w:r>
        <w:rPr>
          <w:i/>
          <w:spacing w:val="-4"/>
          <w:sz w:val="18"/>
        </w:rPr>
        <w:t> </w:t>
      </w:r>
      <w:r>
        <w:rPr>
          <w:i/>
          <w:sz w:val="18"/>
        </w:rPr>
        <w:t>on</w:t>
      </w:r>
      <w:r>
        <w:rPr>
          <w:i/>
          <w:spacing w:val="-4"/>
          <w:sz w:val="18"/>
        </w:rPr>
        <w:t> </w:t>
      </w:r>
      <w:r>
        <w:rPr>
          <w:i/>
          <w:sz w:val="18"/>
        </w:rPr>
        <w:t>PPG</w:t>
      </w:r>
      <w:r>
        <w:rPr>
          <w:i/>
          <w:spacing w:val="-4"/>
          <w:sz w:val="18"/>
        </w:rPr>
        <w:t> </w:t>
      </w:r>
      <w:r>
        <w:rPr>
          <w:i/>
          <w:sz w:val="18"/>
        </w:rPr>
        <w:t>debt</w:t>
      </w:r>
      <w:r>
        <w:rPr>
          <w:i/>
          <w:spacing w:val="-4"/>
          <w:sz w:val="18"/>
        </w:rPr>
        <w:t> </w:t>
      </w:r>
      <w:r>
        <w:rPr>
          <w:i/>
          <w:sz w:val="18"/>
        </w:rPr>
        <w:t>to</w:t>
      </w:r>
      <w:r>
        <w:rPr>
          <w:i/>
          <w:sz w:val="18"/>
        </w:rPr>
        <w:t> China</w:t>
      </w:r>
      <w:r>
        <w:rPr>
          <w:i/>
          <w:spacing w:val="-1"/>
          <w:sz w:val="18"/>
        </w:rPr>
        <w:t> </w:t>
      </w:r>
      <w:r>
        <w:rPr>
          <w:i/>
          <w:sz w:val="18"/>
        </w:rPr>
        <w:t>Eximbank,</w:t>
      </w:r>
      <w:r>
        <w:rPr>
          <w:i/>
          <w:spacing w:val="-1"/>
          <w:sz w:val="18"/>
        </w:rPr>
        <w:t> </w:t>
      </w:r>
      <w:r>
        <w:rPr>
          <w:i/>
          <w:sz w:val="18"/>
        </w:rPr>
        <w:t>China</w:t>
      </w:r>
      <w:r>
        <w:rPr>
          <w:i/>
          <w:spacing w:val="-1"/>
          <w:sz w:val="18"/>
        </w:rPr>
        <w:t> </w:t>
      </w:r>
      <w:r>
        <w:rPr>
          <w:i/>
          <w:sz w:val="18"/>
        </w:rPr>
        <w:t>Development</w:t>
      </w:r>
      <w:r>
        <w:rPr>
          <w:i/>
          <w:spacing w:val="-1"/>
          <w:sz w:val="18"/>
        </w:rPr>
        <w:t> </w:t>
      </w:r>
      <w:r>
        <w:rPr>
          <w:i/>
          <w:sz w:val="18"/>
        </w:rPr>
        <w:t>Bank,</w:t>
      </w:r>
      <w:r>
        <w:rPr>
          <w:i/>
          <w:spacing w:val="-1"/>
          <w:sz w:val="18"/>
        </w:rPr>
        <w:t> </w:t>
      </w:r>
      <w:r>
        <w:rPr>
          <w:i/>
          <w:sz w:val="18"/>
        </w:rPr>
        <w:t>and</w:t>
      </w:r>
      <w:r>
        <w:rPr>
          <w:i/>
          <w:spacing w:val="-1"/>
          <w:sz w:val="18"/>
        </w:rPr>
        <w:t> </w:t>
      </w:r>
      <w:r>
        <w:rPr>
          <w:i/>
          <w:sz w:val="18"/>
        </w:rPr>
        <w:t>China’s</w:t>
      </w:r>
      <w:r>
        <w:rPr>
          <w:i/>
          <w:spacing w:val="-1"/>
          <w:sz w:val="18"/>
        </w:rPr>
        <w:t> </w:t>
      </w:r>
      <w:r>
        <w:rPr>
          <w:i/>
          <w:sz w:val="18"/>
        </w:rPr>
        <w:t>Ministry</w:t>
      </w:r>
      <w:r>
        <w:rPr>
          <w:i/>
          <w:spacing w:val="-1"/>
          <w:sz w:val="18"/>
        </w:rPr>
        <w:t> </w:t>
      </w:r>
      <w:r>
        <w:rPr>
          <w:i/>
          <w:sz w:val="18"/>
        </w:rPr>
        <w:t>of</w:t>
      </w:r>
      <w:r>
        <w:rPr>
          <w:i/>
          <w:spacing w:val="-1"/>
          <w:sz w:val="18"/>
        </w:rPr>
        <w:t> </w:t>
      </w:r>
      <w:r>
        <w:rPr>
          <w:i/>
          <w:sz w:val="18"/>
        </w:rPr>
        <w:t>Commerce</w:t>
      </w:r>
      <w:r>
        <w:rPr>
          <w:i/>
          <w:spacing w:val="-1"/>
          <w:sz w:val="18"/>
        </w:rPr>
        <w:t> </w:t>
      </w:r>
      <w:r>
        <w:rPr>
          <w:i/>
          <w:sz w:val="18"/>
        </w:rPr>
        <w:t>contracted</w:t>
      </w:r>
      <w:r>
        <w:rPr>
          <w:i/>
          <w:spacing w:val="-1"/>
          <w:sz w:val="18"/>
        </w:rPr>
        <w:t> </w:t>
      </w:r>
      <w:r>
        <w:rPr>
          <w:i/>
          <w:sz w:val="18"/>
        </w:rPr>
        <w:t>by</w:t>
      </w:r>
      <w:r>
        <w:rPr>
          <w:i/>
          <w:spacing w:val="-1"/>
          <w:sz w:val="18"/>
        </w:rPr>
        <w:t> </w:t>
      </w:r>
      <w:r>
        <w:rPr>
          <w:i/>
          <w:sz w:val="18"/>
        </w:rPr>
        <w:t>a</w:t>
      </w:r>
      <w:r>
        <w:rPr>
          <w:i/>
          <w:spacing w:val="-1"/>
          <w:sz w:val="18"/>
        </w:rPr>
        <w:t> </w:t>
      </w:r>
      <w:r>
        <w:rPr>
          <w:i/>
          <w:sz w:val="18"/>
        </w:rPr>
        <w:t>subset</w:t>
      </w:r>
      <w:r>
        <w:rPr>
          <w:i/>
          <w:spacing w:val="-1"/>
          <w:sz w:val="18"/>
        </w:rPr>
        <w:t> </w:t>
      </w:r>
      <w:r>
        <w:rPr>
          <w:i/>
          <w:sz w:val="18"/>
        </w:rPr>
        <w:t>of LICs and MICs that participate in the World Bank’s Debtor Reporting System (DRS). Each country-year </w:t>
      </w:r>
      <w:r>
        <w:rPr>
          <w:i/>
          <w:spacing w:val="-2"/>
          <w:w w:val="105"/>
          <w:sz w:val="18"/>
        </w:rPr>
        <w:t>observation</w:t>
      </w:r>
      <w:r>
        <w:rPr>
          <w:i/>
          <w:spacing w:val="-6"/>
          <w:w w:val="105"/>
          <w:sz w:val="18"/>
        </w:rPr>
        <w:t> </w:t>
      </w:r>
      <w:r>
        <w:rPr>
          <w:i/>
          <w:spacing w:val="-2"/>
          <w:w w:val="105"/>
          <w:sz w:val="18"/>
        </w:rPr>
        <w:t>is</w:t>
      </w:r>
      <w:r>
        <w:rPr>
          <w:i/>
          <w:spacing w:val="-6"/>
          <w:w w:val="105"/>
          <w:sz w:val="18"/>
        </w:rPr>
        <w:t> </w:t>
      </w:r>
      <w:r>
        <w:rPr>
          <w:i/>
          <w:spacing w:val="-2"/>
          <w:w w:val="105"/>
          <w:sz w:val="18"/>
        </w:rPr>
        <w:t>given</w:t>
      </w:r>
      <w:r>
        <w:rPr>
          <w:i/>
          <w:spacing w:val="-6"/>
          <w:w w:val="105"/>
          <w:sz w:val="18"/>
        </w:rPr>
        <w:t> </w:t>
      </w:r>
      <w:r>
        <w:rPr>
          <w:i/>
          <w:spacing w:val="-2"/>
          <w:w w:val="105"/>
          <w:sz w:val="18"/>
        </w:rPr>
        <w:t>equal</w:t>
      </w:r>
      <w:r>
        <w:rPr>
          <w:i/>
          <w:spacing w:val="-6"/>
          <w:w w:val="105"/>
          <w:sz w:val="18"/>
        </w:rPr>
        <w:t> </w:t>
      </w:r>
      <w:r>
        <w:rPr>
          <w:i/>
          <w:spacing w:val="-2"/>
          <w:w w:val="105"/>
          <w:sz w:val="18"/>
        </w:rPr>
        <w:t>weight</w:t>
      </w:r>
      <w:r>
        <w:rPr>
          <w:i/>
          <w:spacing w:val="-6"/>
          <w:w w:val="105"/>
          <w:sz w:val="18"/>
        </w:rPr>
        <w:t> </w:t>
      </w:r>
      <w:r>
        <w:rPr>
          <w:i/>
          <w:spacing w:val="-2"/>
          <w:w w:val="105"/>
          <w:sz w:val="18"/>
        </w:rPr>
        <w:t>in</w:t>
      </w:r>
      <w:r>
        <w:rPr>
          <w:i/>
          <w:spacing w:val="-6"/>
          <w:w w:val="105"/>
          <w:sz w:val="18"/>
        </w:rPr>
        <w:t> </w:t>
      </w:r>
      <w:r>
        <w:rPr>
          <w:i/>
          <w:spacing w:val="-2"/>
          <w:w w:val="105"/>
          <w:sz w:val="18"/>
        </w:rPr>
        <w:t>a</w:t>
      </w:r>
      <w:r>
        <w:rPr>
          <w:i/>
          <w:spacing w:val="-6"/>
          <w:w w:val="105"/>
          <w:sz w:val="18"/>
        </w:rPr>
        <w:t> </w:t>
      </w:r>
      <w:r>
        <w:rPr>
          <w:i/>
          <w:spacing w:val="-2"/>
          <w:w w:val="105"/>
          <w:sz w:val="18"/>
        </w:rPr>
        <w:t>given</w:t>
      </w:r>
      <w:r>
        <w:rPr>
          <w:i/>
          <w:spacing w:val="-6"/>
          <w:w w:val="105"/>
          <w:sz w:val="18"/>
        </w:rPr>
        <w:t> </w:t>
      </w:r>
      <w:r>
        <w:rPr>
          <w:i/>
          <w:spacing w:val="-2"/>
          <w:w w:val="105"/>
          <w:sz w:val="18"/>
        </w:rPr>
        <w:t>year</w:t>
      </w:r>
      <w:r>
        <w:rPr>
          <w:i/>
          <w:spacing w:val="-6"/>
          <w:w w:val="105"/>
          <w:sz w:val="18"/>
        </w:rPr>
        <w:t> </w:t>
      </w:r>
      <w:r>
        <w:rPr>
          <w:i/>
          <w:spacing w:val="-2"/>
          <w:w w:val="105"/>
          <w:sz w:val="18"/>
        </w:rPr>
        <w:t>to</w:t>
      </w:r>
      <w:r>
        <w:rPr>
          <w:i/>
          <w:spacing w:val="-6"/>
          <w:w w:val="105"/>
          <w:sz w:val="18"/>
        </w:rPr>
        <w:t> </w:t>
      </w:r>
      <w:r>
        <w:rPr>
          <w:i/>
          <w:spacing w:val="-2"/>
          <w:w w:val="105"/>
          <w:sz w:val="18"/>
        </w:rPr>
        <w:t>generate</w:t>
      </w:r>
      <w:r>
        <w:rPr>
          <w:i/>
          <w:spacing w:val="-6"/>
          <w:w w:val="105"/>
          <w:sz w:val="18"/>
        </w:rPr>
        <w:t> </w:t>
      </w:r>
      <w:r>
        <w:rPr>
          <w:i/>
          <w:spacing w:val="-2"/>
          <w:w w:val="105"/>
          <w:sz w:val="18"/>
        </w:rPr>
        <w:t>global</w:t>
      </w:r>
      <w:r>
        <w:rPr>
          <w:i/>
          <w:spacing w:val="-6"/>
          <w:w w:val="105"/>
          <w:sz w:val="18"/>
        </w:rPr>
        <w:t> </w:t>
      </w:r>
      <w:r>
        <w:rPr>
          <w:i/>
          <w:spacing w:val="-2"/>
          <w:w w:val="105"/>
          <w:sz w:val="18"/>
        </w:rPr>
        <w:t>averages.</w:t>
      </w:r>
      <w:r>
        <w:rPr>
          <w:i/>
          <w:spacing w:val="-6"/>
          <w:w w:val="105"/>
          <w:sz w:val="18"/>
        </w:rPr>
        <w:t> </w:t>
      </w:r>
      <w:r>
        <w:rPr>
          <w:i/>
          <w:spacing w:val="-2"/>
          <w:w w:val="105"/>
          <w:sz w:val="18"/>
        </w:rPr>
        <w:t>Years</w:t>
      </w:r>
      <w:r>
        <w:rPr>
          <w:i/>
          <w:spacing w:val="-6"/>
          <w:w w:val="105"/>
          <w:sz w:val="18"/>
        </w:rPr>
        <w:t> </w:t>
      </w:r>
      <w:r>
        <w:rPr>
          <w:i/>
          <w:spacing w:val="-2"/>
          <w:w w:val="105"/>
          <w:sz w:val="18"/>
        </w:rPr>
        <w:t>in</w:t>
      </w:r>
      <w:r>
        <w:rPr>
          <w:i/>
          <w:spacing w:val="-6"/>
          <w:w w:val="105"/>
          <w:sz w:val="18"/>
        </w:rPr>
        <w:t> </w:t>
      </w:r>
      <w:r>
        <w:rPr>
          <w:i/>
          <w:spacing w:val="-2"/>
          <w:w w:val="105"/>
          <w:sz w:val="18"/>
        </w:rPr>
        <w:t>which</w:t>
      </w:r>
      <w:r>
        <w:rPr>
          <w:i/>
          <w:spacing w:val="-6"/>
          <w:w w:val="105"/>
          <w:sz w:val="18"/>
        </w:rPr>
        <w:t> </w:t>
      </w:r>
      <w:r>
        <w:rPr>
          <w:i/>
          <w:spacing w:val="-2"/>
          <w:w w:val="105"/>
          <w:sz w:val="18"/>
        </w:rPr>
        <w:t>a</w:t>
      </w:r>
      <w:r>
        <w:rPr>
          <w:i/>
          <w:spacing w:val="-6"/>
          <w:w w:val="105"/>
          <w:sz w:val="18"/>
        </w:rPr>
        <w:t> </w:t>
      </w:r>
      <w:r>
        <w:rPr>
          <w:i/>
          <w:spacing w:val="-2"/>
          <w:w w:val="105"/>
          <w:sz w:val="18"/>
        </w:rPr>
        <w:t>country maintained</w:t>
      </w:r>
      <w:r>
        <w:rPr>
          <w:i/>
          <w:spacing w:val="-4"/>
          <w:w w:val="105"/>
          <w:sz w:val="18"/>
        </w:rPr>
        <w:t> </w:t>
      </w:r>
      <w:r>
        <w:rPr>
          <w:i/>
          <w:spacing w:val="-2"/>
          <w:w w:val="105"/>
          <w:sz w:val="18"/>
        </w:rPr>
        <w:t>diplomatic</w:t>
      </w:r>
      <w:r>
        <w:rPr>
          <w:i/>
          <w:spacing w:val="-4"/>
          <w:w w:val="105"/>
          <w:sz w:val="18"/>
        </w:rPr>
        <w:t> </w:t>
      </w:r>
      <w:r>
        <w:rPr>
          <w:i/>
          <w:spacing w:val="-2"/>
          <w:w w:val="105"/>
          <w:sz w:val="18"/>
        </w:rPr>
        <w:t>relations</w:t>
      </w:r>
      <w:r>
        <w:rPr>
          <w:i/>
          <w:spacing w:val="-4"/>
          <w:w w:val="105"/>
          <w:sz w:val="18"/>
        </w:rPr>
        <w:t> </w:t>
      </w:r>
      <w:r>
        <w:rPr>
          <w:i/>
          <w:spacing w:val="-2"/>
          <w:w w:val="105"/>
          <w:sz w:val="18"/>
        </w:rPr>
        <w:t>with</w:t>
      </w:r>
      <w:r>
        <w:rPr>
          <w:i/>
          <w:spacing w:val="-4"/>
          <w:w w:val="105"/>
          <w:sz w:val="18"/>
        </w:rPr>
        <w:t> </w:t>
      </w:r>
      <w:r>
        <w:rPr>
          <w:i/>
          <w:spacing w:val="-2"/>
          <w:w w:val="105"/>
          <w:sz w:val="18"/>
        </w:rPr>
        <w:t>Taiwan</w:t>
      </w:r>
      <w:r>
        <w:rPr>
          <w:i/>
          <w:spacing w:val="-4"/>
          <w:w w:val="105"/>
          <w:sz w:val="18"/>
        </w:rPr>
        <w:t> </w:t>
      </w:r>
      <w:r>
        <w:rPr>
          <w:i/>
          <w:spacing w:val="-2"/>
          <w:w w:val="105"/>
          <w:sz w:val="18"/>
        </w:rPr>
        <w:t>are</w:t>
      </w:r>
      <w:r>
        <w:rPr>
          <w:i/>
          <w:spacing w:val="-4"/>
          <w:w w:val="105"/>
          <w:sz w:val="18"/>
        </w:rPr>
        <w:t> </w:t>
      </w:r>
      <w:r>
        <w:rPr>
          <w:i/>
          <w:spacing w:val="-2"/>
          <w:w w:val="105"/>
          <w:sz w:val="18"/>
        </w:rPr>
        <w:t>excluded.</w:t>
      </w:r>
      <w:r>
        <w:rPr>
          <w:i/>
          <w:spacing w:val="-4"/>
          <w:w w:val="105"/>
          <w:sz w:val="18"/>
        </w:rPr>
        <w:t> </w:t>
      </w:r>
      <w:r>
        <w:rPr>
          <w:i/>
          <w:spacing w:val="-2"/>
          <w:w w:val="105"/>
          <w:sz w:val="18"/>
        </w:rPr>
        <w:t>The</w:t>
      </w:r>
      <w:r>
        <w:rPr>
          <w:i/>
          <w:spacing w:val="-4"/>
          <w:w w:val="105"/>
          <w:sz w:val="18"/>
        </w:rPr>
        <w:t> </w:t>
      </w:r>
      <w:r>
        <w:rPr>
          <w:i/>
          <w:spacing w:val="-2"/>
          <w:w w:val="105"/>
          <w:sz w:val="18"/>
        </w:rPr>
        <w:t>data</w:t>
      </w:r>
      <w:r>
        <w:rPr>
          <w:i/>
          <w:spacing w:val="-4"/>
          <w:w w:val="105"/>
          <w:sz w:val="18"/>
        </w:rPr>
        <w:t> </w:t>
      </w:r>
      <w:r>
        <w:rPr>
          <w:i/>
          <w:spacing w:val="-2"/>
          <w:w w:val="105"/>
          <w:sz w:val="18"/>
        </w:rPr>
        <w:t>are</w:t>
      </w:r>
      <w:r>
        <w:rPr>
          <w:i/>
          <w:spacing w:val="-4"/>
          <w:w w:val="105"/>
          <w:sz w:val="18"/>
        </w:rPr>
        <w:t> </w:t>
      </w:r>
      <w:r>
        <w:rPr>
          <w:i/>
          <w:spacing w:val="-2"/>
          <w:w w:val="105"/>
          <w:sz w:val="18"/>
        </w:rPr>
        <w:t>drawn</w:t>
      </w:r>
      <w:r>
        <w:rPr>
          <w:i/>
          <w:spacing w:val="-4"/>
          <w:w w:val="105"/>
          <w:sz w:val="18"/>
        </w:rPr>
        <w:t> </w:t>
      </w:r>
      <w:r>
        <w:rPr>
          <w:i/>
          <w:spacing w:val="-2"/>
          <w:w w:val="105"/>
          <w:sz w:val="18"/>
        </w:rPr>
        <w:t>from</w:t>
      </w:r>
      <w:r>
        <w:rPr>
          <w:i/>
          <w:spacing w:val="-4"/>
          <w:w w:val="105"/>
          <w:sz w:val="18"/>
        </w:rPr>
        <w:t> </w:t>
      </w:r>
      <w:r>
        <w:rPr>
          <w:i/>
          <w:spacing w:val="-2"/>
          <w:w w:val="105"/>
          <w:sz w:val="18"/>
        </w:rPr>
        <w:t>the</w:t>
      </w:r>
      <w:r>
        <w:rPr>
          <w:i/>
          <w:spacing w:val="-4"/>
          <w:w w:val="105"/>
          <w:sz w:val="18"/>
        </w:rPr>
        <w:t> </w:t>
      </w:r>
      <w:r>
        <w:rPr>
          <w:i/>
          <w:spacing w:val="-2"/>
          <w:w w:val="105"/>
          <w:sz w:val="18"/>
        </w:rPr>
        <w:t>World</w:t>
      </w:r>
      <w:r>
        <w:rPr>
          <w:i/>
          <w:spacing w:val="-4"/>
          <w:w w:val="105"/>
          <w:sz w:val="18"/>
        </w:rPr>
        <w:t> </w:t>
      </w:r>
      <w:r>
        <w:rPr>
          <w:i/>
          <w:spacing w:val="-2"/>
          <w:w w:val="105"/>
          <w:sz w:val="18"/>
        </w:rPr>
        <w:t>Bank’s </w:t>
      </w:r>
      <w:r>
        <w:rPr>
          <w:i/>
          <w:w w:val="105"/>
          <w:sz w:val="18"/>
        </w:rPr>
        <w:t>International Debt Statistics.</w:t>
      </w:r>
    </w:p>
    <w:p>
      <w:pPr>
        <w:pStyle w:val="BodyText"/>
        <w:rPr>
          <w:i/>
          <w:sz w:val="18"/>
        </w:rPr>
      </w:pPr>
    </w:p>
    <w:p>
      <w:pPr>
        <w:pStyle w:val="BodyText"/>
        <w:spacing w:line="333" w:lineRule="auto" w:before="111"/>
        <w:ind w:left="460" w:right="449"/>
      </w:pPr>
      <w:r>
        <w:t>Figures 1.8, 1.9, and A4 in the Appendix highlight the scope and severity of the challenge. Until 2008, Beijing never had to deal with more than 10 ﬁnancially-distressed countries with unpaid debts to Chinese state-owned creditors; however, by 2021, at least 57 countries with outstanding debt to China were in ﬁnancial distress (see Figure A4).[36] In 2000, 34% of China's overseas lending portfolio supported borrowers in ﬁnancial distress.[37] By 2021, that ﬁgure skyrocketed to 79% (see Figure 1.8).[38]</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rPr>
          <w:sz w:val="14"/>
        </w:rPr>
      </w:pPr>
      <w:r>
        <w:rPr/>
        <w:pict>
          <v:shape style="position:absolute;margin-left:90pt;margin-top:9.632055pt;width:144pt;height:.1pt;mso-position-horizontal-relative:page;mso-position-vertical-relative:paragraph;z-index:-15711232;mso-wrap-distance-left:0;mso-wrap-distance-right:0" id="docshape26" coordorigin="1800,193" coordsize="2880,0" path="m1800,193l4680,19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80" w:bottom="920" w:left="1340" w:right="1340"/>
        </w:sectPr>
      </w:pPr>
    </w:p>
    <w:p>
      <w:pPr>
        <w:pStyle w:val="BodyText"/>
        <w:spacing w:before="2"/>
        <w:rPr>
          <w:sz w:val="38"/>
        </w:rPr>
      </w:pPr>
    </w:p>
    <w:p>
      <w:pPr>
        <w:pStyle w:val="Heading4"/>
        <w:spacing w:line="333" w:lineRule="auto"/>
        <w:ind w:left="460" w:right="845"/>
      </w:pPr>
      <w:r>
        <w:rPr/>
        <w:pict>
          <v:shape style="position:absolute;margin-left:84.000008pt;margin-top:-6.671235pt;width:444pt;height:411pt;mso-position-horizontal-relative:page;mso-position-vertical-relative:paragraph;z-index:-16244224" id="docshape27" coordorigin="1680,-133" coordsize="8880,8220" path="m10560,387l1680,387,1680,767,1680,787,1680,1047,1680,1087,1680,1347,1680,1367,1680,1627,1680,1667,1680,1907,1680,1947,1680,2447,1680,2467,1680,2967,1680,3007,1680,3267,1680,3287,1680,3787,1680,3827,1680,4067,1680,4107,1680,4367,1680,4387,1680,4887,1680,4927,1680,5187,1680,5207,1680,5467,1680,5507,1680,5747,1680,5787,1680,6047,1680,6067,1680,6327,1680,6367,1680,6627,1680,6647,1680,6907,1680,6947,1680,7187,1680,7227,1680,7487,1680,7507,1680,7767,1680,7807,1680,8087,10560,8087,10560,7807,10560,7767,10560,7507,10560,7487,10560,7227,10560,7187,10560,6947,10560,6907,10560,6647,10560,6627,10560,6367,10560,6327,10560,6067,10560,6047,10560,5787,10560,5747,10560,5507,10560,5467,10560,5207,10560,5187,10560,4927,10560,4887,10560,4387,10560,4367,10560,4107,10560,4067,10560,3827,10560,3787,10560,3287,10560,3267,10560,3007,10560,2967,10560,2467,10560,2447,10560,1947,10560,1907,10560,1667,10560,1627,10560,1367,10560,1347,10560,1087,10560,1047,10560,787,10560,767,10560,387xm10560,-133l1680,-133,1680,387,10560,387,10560,-133xe" filled="true" fillcolor="#f0f2f4" stroked="false">
            <v:path arrowok="t"/>
            <v:fill type="solid"/>
            <w10:wrap type="none"/>
          </v:shape>
        </w:pict>
      </w:r>
      <w:r>
        <w:rPr>
          <w:spacing w:val="-8"/>
        </w:rPr>
        <w:t>Box 1a: How AidData identiﬁes when China’s borrowers are </w:t>
      </w:r>
      <w:r>
        <w:rPr>
          <w:spacing w:val="-8"/>
        </w:rPr>
        <w:t>experiencing </w:t>
      </w:r>
      <w:r>
        <w:rPr>
          <w:spacing w:val="-2"/>
        </w:rPr>
        <w:t>ﬁnancial</w:t>
      </w:r>
      <w:r>
        <w:rPr>
          <w:spacing w:val="-15"/>
        </w:rPr>
        <w:t> </w:t>
      </w:r>
      <w:r>
        <w:rPr>
          <w:spacing w:val="-2"/>
        </w:rPr>
        <w:t>distress</w:t>
      </w:r>
    </w:p>
    <w:p>
      <w:pPr>
        <w:spacing w:line="300" w:lineRule="auto" w:before="0"/>
        <w:ind w:left="460" w:right="669" w:firstLine="0"/>
        <w:jc w:val="left"/>
        <w:rPr>
          <w:sz w:val="20"/>
        </w:rPr>
      </w:pPr>
      <w:r>
        <w:rPr>
          <w:sz w:val="20"/>
        </w:rPr>
        <w:t>Figure A4, Figure 1.8 and other graphs and tables in this report require a measure of when countries have borrowed from China under normal circumstances and when countries have borrowed from China during periods of ﬁnancial distress. In order to determine whether and when a borrower country experienced a ﬁnancial distress episode, we identify if it met any one of the following conditions in a given year:</w:t>
      </w:r>
    </w:p>
    <w:p>
      <w:pPr>
        <w:pStyle w:val="BodyText"/>
        <w:spacing w:before="11"/>
        <w:rPr>
          <w:sz w:val="20"/>
        </w:rPr>
      </w:pPr>
    </w:p>
    <w:p>
      <w:pPr>
        <w:pStyle w:val="ListParagraph"/>
        <w:numPr>
          <w:ilvl w:val="0"/>
          <w:numId w:val="1"/>
        </w:numPr>
        <w:tabs>
          <w:tab w:pos="1179" w:val="left" w:leader="none"/>
          <w:tab w:pos="1180" w:val="left" w:leader="none"/>
        </w:tabs>
        <w:spacing w:line="240" w:lineRule="auto" w:before="0" w:after="0"/>
        <w:ind w:left="1180" w:right="0" w:hanging="720"/>
        <w:jc w:val="left"/>
        <w:rPr>
          <w:sz w:val="20"/>
        </w:rPr>
      </w:pPr>
      <w:r>
        <w:rPr>
          <w:sz w:val="20"/>
        </w:rPr>
        <w:t>It</w:t>
      </w:r>
      <w:r>
        <w:rPr>
          <w:spacing w:val="-1"/>
          <w:sz w:val="20"/>
        </w:rPr>
        <w:t> </w:t>
      </w:r>
      <w:r>
        <w:rPr>
          <w:sz w:val="20"/>
        </w:rPr>
        <w:t>registered</w:t>
      </w:r>
      <w:r>
        <w:rPr>
          <w:spacing w:val="-1"/>
          <w:sz w:val="20"/>
        </w:rPr>
        <w:t> </w:t>
      </w:r>
      <w:r>
        <w:rPr>
          <w:sz w:val="20"/>
        </w:rPr>
        <w:t>a</w:t>
      </w:r>
      <w:r>
        <w:rPr>
          <w:spacing w:val="-1"/>
          <w:sz w:val="20"/>
        </w:rPr>
        <w:t> </w:t>
      </w:r>
      <w:r>
        <w:rPr>
          <w:sz w:val="20"/>
        </w:rPr>
        <w:t>score</w:t>
      </w:r>
      <w:r>
        <w:rPr>
          <w:spacing w:val="-1"/>
          <w:sz w:val="20"/>
        </w:rPr>
        <w:t> </w:t>
      </w:r>
      <w:r>
        <w:rPr>
          <w:sz w:val="20"/>
        </w:rPr>
        <w:t>of</w:t>
      </w:r>
      <w:r>
        <w:rPr>
          <w:spacing w:val="-1"/>
          <w:sz w:val="20"/>
        </w:rPr>
        <w:t> </w:t>
      </w:r>
      <w:r>
        <w:rPr>
          <w:sz w:val="20"/>
        </w:rPr>
        <w:t>5</w:t>
      </w:r>
      <w:r>
        <w:rPr>
          <w:spacing w:val="-1"/>
          <w:sz w:val="20"/>
        </w:rPr>
        <w:t> </w:t>
      </w:r>
      <w:r>
        <w:rPr>
          <w:sz w:val="20"/>
        </w:rPr>
        <w:t>or less</w:t>
      </w:r>
      <w:r>
        <w:rPr>
          <w:spacing w:val="-1"/>
          <w:sz w:val="20"/>
        </w:rPr>
        <w:t> </w:t>
      </w:r>
      <w:r>
        <w:rPr>
          <w:sz w:val="20"/>
        </w:rPr>
        <w:t>on</w:t>
      </w:r>
      <w:r>
        <w:rPr>
          <w:spacing w:val="-1"/>
          <w:sz w:val="20"/>
        </w:rPr>
        <w:t> </w:t>
      </w:r>
      <w:r>
        <w:rPr>
          <w:sz w:val="20"/>
        </w:rPr>
        <w:t>the</w:t>
      </w:r>
      <w:r>
        <w:rPr>
          <w:spacing w:val="-1"/>
          <w:sz w:val="20"/>
        </w:rPr>
        <w:t> </w:t>
      </w:r>
      <w:r>
        <w:rPr>
          <w:sz w:val="20"/>
        </w:rPr>
        <w:t>sovrate</w:t>
      </w:r>
      <w:r>
        <w:rPr>
          <w:spacing w:val="-1"/>
          <w:sz w:val="20"/>
        </w:rPr>
        <w:t> </w:t>
      </w:r>
      <w:r>
        <w:rPr>
          <w:sz w:val="20"/>
        </w:rPr>
        <w:t>index</w:t>
      </w:r>
      <w:r>
        <w:rPr>
          <w:spacing w:val="-1"/>
          <w:sz w:val="20"/>
        </w:rPr>
        <w:t> </w:t>
      </w:r>
      <w:r>
        <w:rPr>
          <w:sz w:val="20"/>
        </w:rPr>
        <w:t>produced</w:t>
      </w:r>
      <w:r>
        <w:rPr>
          <w:spacing w:val="-1"/>
          <w:sz w:val="20"/>
        </w:rPr>
        <w:t> </w:t>
      </w:r>
      <w:r>
        <w:rPr>
          <w:sz w:val="20"/>
        </w:rPr>
        <w:t>by the</w:t>
      </w:r>
      <w:r>
        <w:rPr>
          <w:spacing w:val="-1"/>
          <w:sz w:val="20"/>
        </w:rPr>
        <w:t> </w:t>
      </w:r>
      <w:r>
        <w:rPr>
          <w:sz w:val="20"/>
        </w:rPr>
        <w:t>World</w:t>
      </w:r>
      <w:r>
        <w:rPr>
          <w:spacing w:val="-1"/>
          <w:sz w:val="20"/>
        </w:rPr>
        <w:t> </w:t>
      </w:r>
      <w:r>
        <w:rPr>
          <w:spacing w:val="-2"/>
          <w:sz w:val="20"/>
        </w:rPr>
        <w:t>Bank;</w:t>
      </w:r>
    </w:p>
    <w:p>
      <w:pPr>
        <w:pStyle w:val="BodyText"/>
        <w:spacing w:before="10"/>
        <w:rPr>
          <w:sz w:val="25"/>
        </w:rPr>
      </w:pPr>
    </w:p>
    <w:p>
      <w:pPr>
        <w:pStyle w:val="ListParagraph"/>
        <w:numPr>
          <w:ilvl w:val="0"/>
          <w:numId w:val="1"/>
        </w:numPr>
        <w:tabs>
          <w:tab w:pos="1179" w:val="left" w:leader="none"/>
          <w:tab w:pos="1180" w:val="left" w:leader="none"/>
        </w:tabs>
        <w:spacing w:line="300" w:lineRule="auto" w:before="0" w:after="0"/>
        <w:ind w:left="1180" w:right="513" w:hanging="720"/>
        <w:jc w:val="left"/>
        <w:rPr>
          <w:sz w:val="20"/>
        </w:rPr>
      </w:pPr>
      <w:r>
        <w:rPr>
          <w:spacing w:val="-2"/>
          <w:w w:val="105"/>
          <w:sz w:val="20"/>
        </w:rPr>
        <w:t>Its</w:t>
      </w:r>
      <w:r>
        <w:rPr>
          <w:spacing w:val="-11"/>
          <w:w w:val="105"/>
          <w:sz w:val="20"/>
        </w:rPr>
        <w:t> </w:t>
      </w:r>
      <w:r>
        <w:rPr>
          <w:spacing w:val="-2"/>
          <w:w w:val="105"/>
          <w:sz w:val="20"/>
        </w:rPr>
        <w:t>overdue</w:t>
      </w:r>
      <w:r>
        <w:rPr>
          <w:spacing w:val="-11"/>
          <w:w w:val="105"/>
          <w:sz w:val="20"/>
        </w:rPr>
        <w:t> </w:t>
      </w:r>
      <w:r>
        <w:rPr>
          <w:spacing w:val="-2"/>
          <w:w w:val="105"/>
          <w:sz w:val="20"/>
        </w:rPr>
        <w:t>repayments</w:t>
      </w:r>
      <w:r>
        <w:rPr>
          <w:spacing w:val="-11"/>
          <w:w w:val="105"/>
          <w:sz w:val="20"/>
        </w:rPr>
        <w:t> </w:t>
      </w:r>
      <w:r>
        <w:rPr>
          <w:spacing w:val="-2"/>
          <w:w w:val="105"/>
          <w:sz w:val="20"/>
        </w:rPr>
        <w:t>on</w:t>
      </w:r>
      <w:r>
        <w:rPr>
          <w:spacing w:val="-11"/>
          <w:w w:val="105"/>
          <w:sz w:val="20"/>
        </w:rPr>
        <w:t> </w:t>
      </w:r>
      <w:r>
        <w:rPr>
          <w:spacing w:val="-2"/>
          <w:w w:val="105"/>
          <w:sz w:val="20"/>
        </w:rPr>
        <w:t>public</w:t>
      </w:r>
      <w:r>
        <w:rPr>
          <w:spacing w:val="-11"/>
          <w:w w:val="105"/>
          <w:sz w:val="20"/>
        </w:rPr>
        <w:t> </w:t>
      </w:r>
      <w:r>
        <w:rPr>
          <w:spacing w:val="-2"/>
          <w:w w:val="105"/>
          <w:sz w:val="20"/>
        </w:rPr>
        <w:t>debt</w:t>
      </w:r>
      <w:r>
        <w:rPr>
          <w:spacing w:val="-11"/>
          <w:w w:val="105"/>
          <w:sz w:val="20"/>
        </w:rPr>
        <w:t> </w:t>
      </w:r>
      <w:r>
        <w:rPr>
          <w:spacing w:val="-2"/>
          <w:w w:val="105"/>
          <w:sz w:val="20"/>
        </w:rPr>
        <w:t>to</w:t>
      </w:r>
      <w:r>
        <w:rPr>
          <w:spacing w:val="-11"/>
          <w:w w:val="105"/>
          <w:sz w:val="20"/>
        </w:rPr>
        <w:t> </w:t>
      </w:r>
      <w:r>
        <w:rPr>
          <w:spacing w:val="-2"/>
          <w:w w:val="105"/>
          <w:sz w:val="20"/>
        </w:rPr>
        <w:t>China</w:t>
      </w:r>
      <w:r>
        <w:rPr>
          <w:spacing w:val="-11"/>
          <w:w w:val="105"/>
          <w:sz w:val="20"/>
        </w:rPr>
        <w:t> </w:t>
      </w:r>
      <w:r>
        <w:rPr>
          <w:spacing w:val="-2"/>
          <w:w w:val="105"/>
          <w:sz w:val="20"/>
        </w:rPr>
        <w:t>were</w:t>
      </w:r>
      <w:r>
        <w:rPr>
          <w:spacing w:val="-11"/>
          <w:w w:val="105"/>
          <w:sz w:val="20"/>
        </w:rPr>
        <w:t> </w:t>
      </w:r>
      <w:r>
        <w:rPr>
          <w:spacing w:val="-2"/>
          <w:w w:val="105"/>
          <w:sz w:val="20"/>
        </w:rPr>
        <w:t>equal</w:t>
      </w:r>
      <w:r>
        <w:rPr>
          <w:spacing w:val="-10"/>
          <w:w w:val="105"/>
          <w:sz w:val="20"/>
        </w:rPr>
        <w:t> </w:t>
      </w:r>
      <w:r>
        <w:rPr>
          <w:spacing w:val="-2"/>
          <w:w w:val="105"/>
          <w:sz w:val="20"/>
        </w:rPr>
        <w:t>to</w:t>
      </w:r>
      <w:r>
        <w:rPr>
          <w:spacing w:val="-11"/>
          <w:w w:val="105"/>
          <w:sz w:val="20"/>
        </w:rPr>
        <w:t> </w:t>
      </w:r>
      <w:r>
        <w:rPr>
          <w:spacing w:val="-2"/>
          <w:w w:val="105"/>
          <w:sz w:val="20"/>
        </w:rPr>
        <w:t>or</w:t>
      </w:r>
      <w:r>
        <w:rPr>
          <w:spacing w:val="-11"/>
          <w:w w:val="105"/>
          <w:sz w:val="20"/>
        </w:rPr>
        <w:t> </w:t>
      </w:r>
      <w:r>
        <w:rPr>
          <w:spacing w:val="-2"/>
          <w:w w:val="105"/>
          <w:sz w:val="20"/>
        </w:rPr>
        <w:t>greater</w:t>
      </w:r>
      <w:r>
        <w:rPr>
          <w:spacing w:val="-11"/>
          <w:w w:val="105"/>
          <w:sz w:val="20"/>
        </w:rPr>
        <w:t> </w:t>
      </w:r>
      <w:r>
        <w:rPr>
          <w:spacing w:val="-2"/>
          <w:w w:val="105"/>
          <w:sz w:val="20"/>
        </w:rPr>
        <w:t>than</w:t>
      </w:r>
      <w:r>
        <w:rPr>
          <w:spacing w:val="-11"/>
          <w:w w:val="105"/>
          <w:sz w:val="20"/>
        </w:rPr>
        <w:t> </w:t>
      </w:r>
      <w:r>
        <w:rPr>
          <w:spacing w:val="-2"/>
          <w:w w:val="105"/>
          <w:sz w:val="20"/>
        </w:rPr>
        <w:t>10%</w:t>
      </w:r>
      <w:r>
        <w:rPr>
          <w:spacing w:val="-11"/>
          <w:w w:val="105"/>
          <w:sz w:val="20"/>
        </w:rPr>
        <w:t> </w:t>
      </w:r>
      <w:r>
        <w:rPr>
          <w:spacing w:val="-2"/>
          <w:w w:val="105"/>
          <w:sz w:val="20"/>
        </w:rPr>
        <w:t>of</w:t>
      </w:r>
      <w:r>
        <w:rPr>
          <w:spacing w:val="-11"/>
          <w:w w:val="105"/>
          <w:sz w:val="20"/>
        </w:rPr>
        <w:t> </w:t>
      </w:r>
      <w:r>
        <w:rPr>
          <w:spacing w:val="-2"/>
          <w:w w:val="105"/>
          <w:sz w:val="20"/>
        </w:rPr>
        <w:t>its </w:t>
      </w:r>
      <w:r>
        <w:rPr>
          <w:w w:val="105"/>
          <w:sz w:val="20"/>
        </w:rPr>
        <w:t>of</w:t>
      </w:r>
      <w:r>
        <w:rPr>
          <w:spacing w:val="-11"/>
          <w:w w:val="105"/>
          <w:sz w:val="20"/>
        </w:rPr>
        <w:t> </w:t>
      </w:r>
      <w:r>
        <w:rPr>
          <w:w w:val="105"/>
          <w:sz w:val="20"/>
        </w:rPr>
        <w:t>total</w:t>
      </w:r>
      <w:r>
        <w:rPr>
          <w:spacing w:val="-10"/>
          <w:w w:val="105"/>
          <w:sz w:val="20"/>
        </w:rPr>
        <w:t> </w:t>
      </w:r>
      <w:r>
        <w:rPr>
          <w:w w:val="105"/>
          <w:sz w:val="20"/>
        </w:rPr>
        <w:t>outstanding</w:t>
      </w:r>
      <w:r>
        <w:rPr>
          <w:spacing w:val="-11"/>
          <w:w w:val="105"/>
          <w:sz w:val="20"/>
        </w:rPr>
        <w:t> </w:t>
      </w:r>
      <w:r>
        <w:rPr>
          <w:w w:val="105"/>
          <w:sz w:val="20"/>
        </w:rPr>
        <w:t>public</w:t>
      </w:r>
      <w:r>
        <w:rPr>
          <w:spacing w:val="-11"/>
          <w:w w:val="105"/>
          <w:sz w:val="20"/>
        </w:rPr>
        <w:t> </w:t>
      </w:r>
      <w:r>
        <w:rPr>
          <w:w w:val="105"/>
          <w:sz w:val="20"/>
        </w:rPr>
        <w:t>debt</w:t>
      </w:r>
      <w:r>
        <w:rPr>
          <w:spacing w:val="-11"/>
          <w:w w:val="105"/>
          <w:sz w:val="20"/>
        </w:rPr>
        <w:t> </w:t>
      </w:r>
      <w:r>
        <w:rPr>
          <w:w w:val="105"/>
          <w:sz w:val="20"/>
        </w:rPr>
        <w:t>to</w:t>
      </w:r>
      <w:r>
        <w:rPr>
          <w:spacing w:val="-11"/>
          <w:w w:val="105"/>
          <w:sz w:val="20"/>
        </w:rPr>
        <w:t> </w:t>
      </w:r>
      <w:r>
        <w:rPr>
          <w:w w:val="105"/>
          <w:sz w:val="20"/>
        </w:rPr>
        <w:t>China</w:t>
      </w:r>
      <w:r>
        <w:rPr>
          <w:spacing w:val="-11"/>
          <w:w w:val="105"/>
          <w:sz w:val="20"/>
        </w:rPr>
        <w:t> </w:t>
      </w:r>
      <w:r>
        <w:rPr>
          <w:w w:val="105"/>
          <w:sz w:val="20"/>
        </w:rPr>
        <w:t>(as</w:t>
      </w:r>
      <w:r>
        <w:rPr>
          <w:spacing w:val="-11"/>
          <w:w w:val="105"/>
          <w:sz w:val="20"/>
        </w:rPr>
        <w:t> </w:t>
      </w:r>
      <w:r>
        <w:rPr>
          <w:w w:val="105"/>
          <w:sz w:val="20"/>
        </w:rPr>
        <w:t>measured</w:t>
      </w:r>
      <w:r>
        <w:rPr>
          <w:spacing w:val="-11"/>
          <w:w w:val="105"/>
          <w:sz w:val="20"/>
        </w:rPr>
        <w:t> </w:t>
      </w:r>
      <w:r>
        <w:rPr>
          <w:w w:val="105"/>
          <w:sz w:val="20"/>
        </w:rPr>
        <w:t>by</w:t>
      </w:r>
      <w:r>
        <w:rPr>
          <w:spacing w:val="-11"/>
          <w:w w:val="105"/>
          <w:sz w:val="20"/>
        </w:rPr>
        <w:t> </w:t>
      </w:r>
      <w:r>
        <w:rPr>
          <w:w w:val="105"/>
          <w:sz w:val="20"/>
        </w:rPr>
        <w:t>the</w:t>
      </w:r>
      <w:r>
        <w:rPr>
          <w:spacing w:val="-11"/>
          <w:w w:val="105"/>
          <w:sz w:val="20"/>
        </w:rPr>
        <w:t> </w:t>
      </w:r>
      <w:r>
        <w:rPr>
          <w:w w:val="105"/>
          <w:sz w:val="20"/>
        </w:rPr>
        <w:t>World</w:t>
      </w:r>
      <w:r>
        <w:rPr>
          <w:spacing w:val="-11"/>
          <w:w w:val="105"/>
          <w:sz w:val="20"/>
        </w:rPr>
        <w:t> </w:t>
      </w:r>
      <w:r>
        <w:rPr>
          <w:w w:val="105"/>
          <w:sz w:val="20"/>
        </w:rPr>
        <w:t>Bank);</w:t>
      </w:r>
      <w:r>
        <w:rPr>
          <w:spacing w:val="-11"/>
          <w:w w:val="105"/>
          <w:sz w:val="20"/>
        </w:rPr>
        <w:t> </w:t>
      </w:r>
      <w:r>
        <w:rPr>
          <w:w w:val="105"/>
          <w:sz w:val="20"/>
        </w:rPr>
        <w:t>or</w:t>
      </w:r>
    </w:p>
    <w:p>
      <w:pPr>
        <w:pStyle w:val="BodyText"/>
        <w:rPr>
          <w:sz w:val="21"/>
        </w:rPr>
      </w:pPr>
    </w:p>
    <w:p>
      <w:pPr>
        <w:pStyle w:val="ListParagraph"/>
        <w:numPr>
          <w:ilvl w:val="0"/>
          <w:numId w:val="1"/>
        </w:numPr>
        <w:tabs>
          <w:tab w:pos="1179" w:val="left" w:leader="none"/>
          <w:tab w:pos="1180" w:val="left" w:leader="none"/>
        </w:tabs>
        <w:spacing w:line="300" w:lineRule="auto" w:before="0" w:after="0"/>
        <w:ind w:left="1180" w:right="731" w:hanging="720"/>
        <w:jc w:val="left"/>
        <w:rPr>
          <w:sz w:val="20"/>
        </w:rPr>
      </w:pPr>
      <w:r>
        <w:rPr>
          <w:sz w:val="20"/>
        </w:rPr>
        <w:t>One or more of its ofﬁcial sector loans from China—that are within their originally scheduled</w:t>
      </w:r>
      <w:r>
        <w:rPr>
          <w:spacing w:val="-7"/>
          <w:sz w:val="20"/>
        </w:rPr>
        <w:t> </w:t>
      </w:r>
      <w:r>
        <w:rPr>
          <w:sz w:val="20"/>
        </w:rPr>
        <w:t>repayment</w:t>
      </w:r>
      <w:r>
        <w:rPr>
          <w:spacing w:val="-7"/>
          <w:sz w:val="20"/>
        </w:rPr>
        <w:t> </w:t>
      </w:r>
      <w:r>
        <w:rPr>
          <w:sz w:val="20"/>
        </w:rPr>
        <w:t>periods—showed</w:t>
      </w:r>
      <w:r>
        <w:rPr>
          <w:spacing w:val="-7"/>
          <w:sz w:val="20"/>
        </w:rPr>
        <w:t> </w:t>
      </w:r>
      <w:r>
        <w:rPr>
          <w:sz w:val="20"/>
        </w:rPr>
        <w:t>signs</w:t>
      </w:r>
      <w:r>
        <w:rPr>
          <w:spacing w:val="-7"/>
          <w:sz w:val="20"/>
        </w:rPr>
        <w:t> </w:t>
      </w:r>
      <w:r>
        <w:rPr>
          <w:sz w:val="20"/>
        </w:rPr>
        <w:t>of</w:t>
      </w:r>
      <w:r>
        <w:rPr>
          <w:spacing w:val="-7"/>
          <w:sz w:val="20"/>
        </w:rPr>
        <w:t> </w:t>
      </w:r>
      <w:r>
        <w:rPr>
          <w:sz w:val="20"/>
        </w:rPr>
        <w:t>ﬁnancial</w:t>
      </w:r>
      <w:r>
        <w:rPr>
          <w:spacing w:val="-6"/>
          <w:sz w:val="20"/>
        </w:rPr>
        <w:t> </w:t>
      </w:r>
      <w:r>
        <w:rPr>
          <w:sz w:val="20"/>
        </w:rPr>
        <w:t>distress</w:t>
      </w:r>
      <w:r>
        <w:rPr>
          <w:spacing w:val="-7"/>
          <w:sz w:val="20"/>
        </w:rPr>
        <w:t> </w:t>
      </w:r>
      <w:r>
        <w:rPr>
          <w:sz w:val="20"/>
        </w:rPr>
        <w:t>(as</w:t>
      </w:r>
      <w:r>
        <w:rPr>
          <w:spacing w:val="-7"/>
          <w:sz w:val="20"/>
        </w:rPr>
        <w:t> </w:t>
      </w:r>
      <w:r>
        <w:rPr>
          <w:sz w:val="20"/>
        </w:rPr>
        <w:t>measured</w:t>
      </w:r>
      <w:r>
        <w:rPr>
          <w:spacing w:val="-7"/>
          <w:sz w:val="20"/>
        </w:rPr>
        <w:t> </w:t>
      </w:r>
      <w:r>
        <w:rPr>
          <w:sz w:val="20"/>
        </w:rPr>
        <w:t>by</w:t>
      </w:r>
      <w:r>
        <w:rPr>
          <w:spacing w:val="-7"/>
          <w:sz w:val="20"/>
        </w:rPr>
        <w:t> </w:t>
      </w:r>
      <w:r>
        <w:rPr>
          <w:sz w:val="20"/>
        </w:rPr>
        <w:t>the 3.0 version of AidData’s GCDF dataset).</w:t>
      </w:r>
    </w:p>
    <w:p>
      <w:pPr>
        <w:pStyle w:val="BodyText"/>
        <w:rPr>
          <w:sz w:val="21"/>
        </w:rPr>
      </w:pPr>
    </w:p>
    <w:p>
      <w:pPr>
        <w:spacing w:line="300" w:lineRule="auto" w:before="0"/>
        <w:ind w:left="460" w:right="596" w:firstLine="0"/>
        <w:jc w:val="left"/>
        <w:rPr>
          <w:sz w:val="20"/>
        </w:rPr>
      </w:pPr>
      <w:r>
        <w:rPr>
          <w:sz w:val="20"/>
        </w:rPr>
        <w:t>The World Bank’s sovrate index is a measure of repayment risk—based on average sovereign credit ratings from Moody’s, Standard &amp; Poor’s, and Fitch—that varies from 0 to 21, with higher scores</w:t>
      </w:r>
      <w:r>
        <w:rPr>
          <w:spacing w:val="-5"/>
          <w:sz w:val="20"/>
        </w:rPr>
        <w:t> </w:t>
      </w:r>
      <w:r>
        <w:rPr>
          <w:sz w:val="20"/>
        </w:rPr>
        <w:t>indicating</w:t>
      </w:r>
      <w:r>
        <w:rPr>
          <w:spacing w:val="-5"/>
          <w:sz w:val="20"/>
        </w:rPr>
        <w:t> </w:t>
      </w:r>
      <w:r>
        <w:rPr>
          <w:sz w:val="20"/>
        </w:rPr>
        <w:t>lower</w:t>
      </w:r>
      <w:r>
        <w:rPr>
          <w:spacing w:val="-5"/>
          <w:sz w:val="20"/>
        </w:rPr>
        <w:t> </w:t>
      </w:r>
      <w:r>
        <w:rPr>
          <w:sz w:val="20"/>
        </w:rPr>
        <w:t>levels</w:t>
      </w:r>
      <w:r>
        <w:rPr>
          <w:spacing w:val="-5"/>
          <w:sz w:val="20"/>
        </w:rPr>
        <w:t> </w:t>
      </w:r>
      <w:r>
        <w:rPr>
          <w:sz w:val="20"/>
        </w:rPr>
        <w:t>of</w:t>
      </w:r>
      <w:r>
        <w:rPr>
          <w:spacing w:val="-5"/>
          <w:sz w:val="20"/>
        </w:rPr>
        <w:t> </w:t>
      </w:r>
      <w:r>
        <w:rPr>
          <w:sz w:val="20"/>
        </w:rPr>
        <w:t>sovereign</w:t>
      </w:r>
      <w:r>
        <w:rPr>
          <w:spacing w:val="-5"/>
          <w:sz w:val="20"/>
        </w:rPr>
        <w:t> </w:t>
      </w:r>
      <w:r>
        <w:rPr>
          <w:sz w:val="20"/>
        </w:rPr>
        <w:t>credit</w:t>
      </w:r>
      <w:r>
        <w:rPr>
          <w:spacing w:val="-5"/>
          <w:sz w:val="20"/>
        </w:rPr>
        <w:t> </w:t>
      </w:r>
      <w:r>
        <w:rPr>
          <w:sz w:val="20"/>
        </w:rPr>
        <w:t>risk</w:t>
      </w:r>
      <w:r>
        <w:rPr>
          <w:spacing w:val="-5"/>
          <w:sz w:val="20"/>
        </w:rPr>
        <w:t> </w:t>
      </w:r>
      <w:r>
        <w:rPr>
          <w:sz w:val="20"/>
        </w:rPr>
        <w:t>(Kose</w:t>
      </w:r>
      <w:r>
        <w:rPr>
          <w:spacing w:val="-5"/>
          <w:sz w:val="20"/>
        </w:rPr>
        <w:t> </w:t>
      </w:r>
      <w:r>
        <w:rPr>
          <w:sz w:val="20"/>
        </w:rPr>
        <w:t>et</w:t>
      </w:r>
      <w:r>
        <w:rPr>
          <w:spacing w:val="-5"/>
          <w:sz w:val="20"/>
        </w:rPr>
        <w:t> </w:t>
      </w:r>
      <w:r>
        <w:rPr>
          <w:sz w:val="20"/>
        </w:rPr>
        <w:t>al.</w:t>
      </w:r>
      <w:r>
        <w:rPr>
          <w:spacing w:val="-5"/>
          <w:sz w:val="20"/>
        </w:rPr>
        <w:t> </w:t>
      </w:r>
      <w:r>
        <w:rPr>
          <w:sz w:val="20"/>
        </w:rPr>
        <w:t>2022).</w:t>
      </w:r>
      <w:r>
        <w:rPr>
          <w:spacing w:val="-5"/>
          <w:sz w:val="20"/>
        </w:rPr>
        <w:t> </w:t>
      </w:r>
      <w:r>
        <w:rPr>
          <w:sz w:val="20"/>
        </w:rPr>
        <w:t>Countries</w:t>
      </w:r>
      <w:r>
        <w:rPr>
          <w:spacing w:val="-5"/>
          <w:sz w:val="20"/>
        </w:rPr>
        <w:t> </w:t>
      </w:r>
      <w:r>
        <w:rPr>
          <w:sz w:val="20"/>
        </w:rPr>
        <w:t>with</w:t>
      </w:r>
      <w:r>
        <w:rPr>
          <w:spacing w:val="-5"/>
          <w:sz w:val="20"/>
        </w:rPr>
        <w:t> </w:t>
      </w:r>
      <w:r>
        <w:rPr>
          <w:sz w:val="20"/>
        </w:rPr>
        <w:t>scores</w:t>
      </w:r>
      <w:r>
        <w:rPr>
          <w:spacing w:val="-5"/>
          <w:sz w:val="20"/>
        </w:rPr>
        <w:t> </w:t>
      </w:r>
      <w:r>
        <w:rPr>
          <w:sz w:val="20"/>
        </w:rPr>
        <w:t>of 0-5 are in “C and D territory” on the measures produced by the </w:t>
      </w:r>
      <w:r>
        <w:rPr>
          <w:i/>
          <w:sz w:val="20"/>
        </w:rPr>
        <w:t>Big Three </w:t>
      </w:r>
      <w:r>
        <w:rPr>
          <w:sz w:val="20"/>
        </w:rPr>
        <w:t>credit rating agencies—i.e., they are in default or at a high risk of default (Teixeira et al. 2018; Séri et al.</w:t>
      </w:r>
    </w:p>
    <w:p>
      <w:pPr>
        <w:spacing w:line="300" w:lineRule="auto" w:before="4"/>
        <w:ind w:left="460" w:right="473" w:firstLine="0"/>
        <w:jc w:val="left"/>
        <w:rPr>
          <w:sz w:val="20"/>
        </w:rPr>
      </w:pPr>
      <w:r>
        <w:rPr>
          <w:spacing w:val="-2"/>
          <w:w w:val="105"/>
          <w:sz w:val="20"/>
        </w:rPr>
        <w:t>2021).</w:t>
      </w:r>
      <w:r>
        <w:rPr>
          <w:spacing w:val="-2"/>
          <w:w w:val="105"/>
          <w:sz w:val="20"/>
          <w:vertAlign w:val="superscript"/>
        </w:rPr>
        <w:t>[39]</w:t>
      </w:r>
      <w:r>
        <w:rPr>
          <w:spacing w:val="-12"/>
          <w:w w:val="105"/>
          <w:sz w:val="20"/>
          <w:vertAlign w:val="baseline"/>
        </w:rPr>
        <w:t> </w:t>
      </w:r>
      <w:r>
        <w:rPr>
          <w:spacing w:val="-2"/>
          <w:w w:val="105"/>
          <w:sz w:val="20"/>
          <w:vertAlign w:val="baseline"/>
        </w:rPr>
        <w:t>The</w:t>
      </w:r>
      <w:r>
        <w:rPr>
          <w:spacing w:val="-13"/>
          <w:w w:val="105"/>
          <w:sz w:val="20"/>
          <w:vertAlign w:val="baseline"/>
        </w:rPr>
        <w:t> </w:t>
      </w:r>
      <w:r>
        <w:rPr>
          <w:spacing w:val="-2"/>
          <w:w w:val="105"/>
          <w:sz w:val="20"/>
          <w:vertAlign w:val="baseline"/>
        </w:rPr>
        <w:t>data</w:t>
      </w:r>
      <w:r>
        <w:rPr>
          <w:spacing w:val="-12"/>
          <w:w w:val="105"/>
          <w:sz w:val="20"/>
          <w:vertAlign w:val="baseline"/>
        </w:rPr>
        <w:t> </w:t>
      </w:r>
      <w:r>
        <w:rPr>
          <w:spacing w:val="-2"/>
          <w:w w:val="105"/>
          <w:sz w:val="20"/>
          <w:vertAlign w:val="baseline"/>
        </w:rPr>
        <w:t>on</w:t>
      </w:r>
      <w:r>
        <w:rPr>
          <w:spacing w:val="-13"/>
          <w:w w:val="105"/>
          <w:sz w:val="20"/>
          <w:vertAlign w:val="baseline"/>
        </w:rPr>
        <w:t> </w:t>
      </w:r>
      <w:r>
        <w:rPr>
          <w:spacing w:val="-2"/>
          <w:w w:val="105"/>
          <w:sz w:val="20"/>
          <w:vertAlign w:val="baseline"/>
        </w:rPr>
        <w:t>overdue</w:t>
      </w:r>
      <w:r>
        <w:rPr>
          <w:spacing w:val="-12"/>
          <w:w w:val="105"/>
          <w:sz w:val="20"/>
          <w:vertAlign w:val="baseline"/>
        </w:rPr>
        <w:t> </w:t>
      </w:r>
      <w:r>
        <w:rPr>
          <w:spacing w:val="-2"/>
          <w:w w:val="105"/>
          <w:sz w:val="20"/>
          <w:vertAlign w:val="baseline"/>
        </w:rPr>
        <w:t>loan</w:t>
      </w:r>
      <w:r>
        <w:rPr>
          <w:spacing w:val="-13"/>
          <w:w w:val="105"/>
          <w:sz w:val="20"/>
          <w:vertAlign w:val="baseline"/>
        </w:rPr>
        <w:t> </w:t>
      </w:r>
      <w:r>
        <w:rPr>
          <w:spacing w:val="-2"/>
          <w:w w:val="105"/>
          <w:sz w:val="20"/>
          <w:vertAlign w:val="baseline"/>
        </w:rPr>
        <w:t>repayments</w:t>
      </w:r>
      <w:r>
        <w:rPr>
          <w:spacing w:val="-12"/>
          <w:w w:val="105"/>
          <w:sz w:val="20"/>
          <w:vertAlign w:val="baseline"/>
        </w:rPr>
        <w:t> </w:t>
      </w:r>
      <w:r>
        <w:rPr>
          <w:spacing w:val="-2"/>
          <w:w w:val="105"/>
          <w:sz w:val="20"/>
          <w:vertAlign w:val="baseline"/>
        </w:rPr>
        <w:t>to</w:t>
      </w:r>
      <w:r>
        <w:rPr>
          <w:spacing w:val="-13"/>
          <w:w w:val="105"/>
          <w:sz w:val="20"/>
          <w:vertAlign w:val="baseline"/>
        </w:rPr>
        <w:t> </w:t>
      </w:r>
      <w:r>
        <w:rPr>
          <w:spacing w:val="-2"/>
          <w:w w:val="105"/>
          <w:sz w:val="20"/>
          <w:vertAlign w:val="baseline"/>
        </w:rPr>
        <w:t>China</w:t>
      </w:r>
      <w:r>
        <w:rPr>
          <w:spacing w:val="-12"/>
          <w:w w:val="105"/>
          <w:sz w:val="20"/>
          <w:vertAlign w:val="baseline"/>
        </w:rPr>
        <w:t> </w:t>
      </w:r>
      <w:r>
        <w:rPr>
          <w:spacing w:val="-2"/>
          <w:w w:val="105"/>
          <w:sz w:val="20"/>
          <w:vertAlign w:val="baseline"/>
        </w:rPr>
        <w:t>are</w:t>
      </w:r>
      <w:r>
        <w:rPr>
          <w:spacing w:val="-13"/>
          <w:w w:val="105"/>
          <w:sz w:val="20"/>
          <w:vertAlign w:val="baseline"/>
        </w:rPr>
        <w:t> </w:t>
      </w:r>
      <w:r>
        <w:rPr>
          <w:spacing w:val="-2"/>
          <w:w w:val="105"/>
          <w:sz w:val="20"/>
          <w:vertAlign w:val="baseline"/>
        </w:rPr>
        <w:t>drawn</w:t>
      </w:r>
      <w:r>
        <w:rPr>
          <w:spacing w:val="-12"/>
          <w:w w:val="105"/>
          <w:sz w:val="20"/>
          <w:vertAlign w:val="baseline"/>
        </w:rPr>
        <w:t> </w:t>
      </w:r>
      <w:r>
        <w:rPr>
          <w:spacing w:val="-2"/>
          <w:w w:val="105"/>
          <w:sz w:val="20"/>
          <w:vertAlign w:val="baseline"/>
        </w:rPr>
        <w:t>from</w:t>
      </w:r>
      <w:r>
        <w:rPr>
          <w:spacing w:val="-13"/>
          <w:w w:val="105"/>
          <w:sz w:val="20"/>
          <w:vertAlign w:val="baseline"/>
        </w:rPr>
        <w:t> </w:t>
      </w:r>
      <w:r>
        <w:rPr>
          <w:spacing w:val="-2"/>
          <w:w w:val="105"/>
          <w:sz w:val="20"/>
          <w:vertAlign w:val="baseline"/>
        </w:rPr>
        <w:t>the</w:t>
      </w:r>
      <w:r>
        <w:rPr>
          <w:spacing w:val="-12"/>
          <w:w w:val="105"/>
          <w:sz w:val="20"/>
          <w:vertAlign w:val="baseline"/>
        </w:rPr>
        <w:t> </w:t>
      </w:r>
      <w:r>
        <w:rPr>
          <w:spacing w:val="-2"/>
          <w:w w:val="105"/>
          <w:sz w:val="20"/>
          <w:vertAlign w:val="baseline"/>
        </w:rPr>
        <w:t>World</w:t>
      </w:r>
      <w:r>
        <w:rPr>
          <w:spacing w:val="-13"/>
          <w:w w:val="105"/>
          <w:sz w:val="20"/>
          <w:vertAlign w:val="baseline"/>
        </w:rPr>
        <w:t> </w:t>
      </w:r>
      <w:r>
        <w:rPr>
          <w:spacing w:val="-2"/>
          <w:w w:val="105"/>
          <w:sz w:val="20"/>
          <w:vertAlign w:val="baseline"/>
        </w:rPr>
        <w:t>Bank’s </w:t>
      </w:r>
      <w:r>
        <w:rPr>
          <w:sz w:val="20"/>
          <w:vertAlign w:val="baseline"/>
        </w:rPr>
        <w:t>International Debt Statistics (IDS), which is based on voluntary reporting by 119 low-income and </w:t>
      </w:r>
      <w:r>
        <w:rPr>
          <w:spacing w:val="-2"/>
          <w:w w:val="105"/>
          <w:sz w:val="20"/>
          <w:vertAlign w:val="baseline"/>
        </w:rPr>
        <w:t>middle-income</w:t>
      </w:r>
      <w:r>
        <w:rPr>
          <w:spacing w:val="-11"/>
          <w:w w:val="105"/>
          <w:sz w:val="20"/>
          <w:vertAlign w:val="baseline"/>
        </w:rPr>
        <w:t> </w:t>
      </w:r>
      <w:r>
        <w:rPr>
          <w:spacing w:val="-2"/>
          <w:w w:val="105"/>
          <w:sz w:val="20"/>
          <w:vertAlign w:val="baseline"/>
        </w:rPr>
        <w:t>countries.</w:t>
      </w:r>
      <w:r>
        <w:rPr>
          <w:spacing w:val="-11"/>
          <w:w w:val="105"/>
          <w:sz w:val="20"/>
          <w:vertAlign w:val="baseline"/>
        </w:rPr>
        <w:t> </w:t>
      </w:r>
      <w:r>
        <w:rPr>
          <w:spacing w:val="-2"/>
          <w:w w:val="105"/>
          <w:sz w:val="20"/>
          <w:vertAlign w:val="baseline"/>
        </w:rPr>
        <w:t>We</w:t>
      </w:r>
      <w:r>
        <w:rPr>
          <w:spacing w:val="-11"/>
          <w:w w:val="105"/>
          <w:sz w:val="20"/>
          <w:vertAlign w:val="baseline"/>
        </w:rPr>
        <w:t> </w:t>
      </w:r>
      <w:r>
        <w:rPr>
          <w:spacing w:val="-2"/>
          <w:w w:val="105"/>
          <w:sz w:val="20"/>
          <w:vertAlign w:val="baseline"/>
        </w:rPr>
        <w:t>use</w:t>
      </w:r>
      <w:r>
        <w:rPr>
          <w:spacing w:val="-11"/>
          <w:w w:val="105"/>
          <w:sz w:val="20"/>
          <w:vertAlign w:val="baseline"/>
        </w:rPr>
        <w:t> </w:t>
      </w:r>
      <w:r>
        <w:rPr>
          <w:spacing w:val="-2"/>
          <w:w w:val="105"/>
          <w:sz w:val="20"/>
          <w:vertAlign w:val="baseline"/>
        </w:rPr>
        <w:t>these</w:t>
      </w:r>
      <w:r>
        <w:rPr>
          <w:spacing w:val="-11"/>
          <w:w w:val="105"/>
          <w:sz w:val="20"/>
          <w:vertAlign w:val="baseline"/>
        </w:rPr>
        <w:t> </w:t>
      </w:r>
      <w:r>
        <w:rPr>
          <w:spacing w:val="-2"/>
          <w:w w:val="105"/>
          <w:sz w:val="20"/>
          <w:vertAlign w:val="baseline"/>
        </w:rPr>
        <w:t>data</w:t>
      </w:r>
      <w:r>
        <w:rPr>
          <w:spacing w:val="-11"/>
          <w:w w:val="105"/>
          <w:sz w:val="20"/>
          <w:vertAlign w:val="baseline"/>
        </w:rPr>
        <w:t> </w:t>
      </w:r>
      <w:r>
        <w:rPr>
          <w:spacing w:val="-2"/>
          <w:w w:val="105"/>
          <w:sz w:val="20"/>
          <w:vertAlign w:val="baseline"/>
        </w:rPr>
        <w:t>to</w:t>
      </w:r>
      <w:r>
        <w:rPr>
          <w:spacing w:val="-11"/>
          <w:w w:val="105"/>
          <w:sz w:val="20"/>
          <w:vertAlign w:val="baseline"/>
        </w:rPr>
        <w:t> </w:t>
      </w:r>
      <w:r>
        <w:rPr>
          <w:spacing w:val="-2"/>
          <w:w w:val="105"/>
          <w:sz w:val="20"/>
          <w:vertAlign w:val="baseline"/>
        </w:rPr>
        <w:t>measure</w:t>
      </w:r>
      <w:r>
        <w:rPr>
          <w:spacing w:val="-11"/>
          <w:w w:val="105"/>
          <w:sz w:val="20"/>
          <w:vertAlign w:val="baseline"/>
        </w:rPr>
        <w:t> </w:t>
      </w:r>
      <w:r>
        <w:rPr>
          <w:spacing w:val="-2"/>
          <w:w w:val="105"/>
          <w:sz w:val="20"/>
          <w:vertAlign w:val="baseline"/>
        </w:rPr>
        <w:t>whether</w:t>
      </w:r>
      <w:r>
        <w:rPr>
          <w:spacing w:val="-11"/>
          <w:w w:val="105"/>
          <w:sz w:val="20"/>
          <w:vertAlign w:val="baseline"/>
        </w:rPr>
        <w:t> </w:t>
      </w:r>
      <w:r>
        <w:rPr>
          <w:spacing w:val="-2"/>
          <w:w w:val="105"/>
          <w:sz w:val="20"/>
          <w:vertAlign w:val="baseline"/>
        </w:rPr>
        <w:t>a</w:t>
      </w:r>
      <w:r>
        <w:rPr>
          <w:spacing w:val="-11"/>
          <w:w w:val="105"/>
          <w:sz w:val="20"/>
          <w:vertAlign w:val="baseline"/>
        </w:rPr>
        <w:t> </w:t>
      </w:r>
      <w:r>
        <w:rPr>
          <w:spacing w:val="-2"/>
          <w:w w:val="105"/>
          <w:sz w:val="20"/>
          <w:vertAlign w:val="baseline"/>
        </w:rPr>
        <w:t>country’s</w:t>
      </w:r>
      <w:r>
        <w:rPr>
          <w:spacing w:val="-11"/>
          <w:w w:val="105"/>
          <w:sz w:val="20"/>
          <w:vertAlign w:val="baseline"/>
        </w:rPr>
        <w:t> </w:t>
      </w:r>
      <w:r>
        <w:rPr>
          <w:spacing w:val="-2"/>
          <w:w w:val="105"/>
          <w:sz w:val="20"/>
          <w:vertAlign w:val="baseline"/>
        </w:rPr>
        <w:t>principal</w:t>
      </w:r>
      <w:r>
        <w:rPr>
          <w:spacing w:val="-10"/>
          <w:w w:val="105"/>
          <w:sz w:val="20"/>
          <w:vertAlign w:val="baseline"/>
        </w:rPr>
        <w:t> </w:t>
      </w:r>
      <w:r>
        <w:rPr>
          <w:spacing w:val="-2"/>
          <w:w w:val="105"/>
          <w:sz w:val="20"/>
          <w:vertAlign w:val="baseline"/>
        </w:rPr>
        <w:t>and </w:t>
      </w:r>
      <w:r>
        <w:rPr>
          <w:sz w:val="20"/>
          <w:vertAlign w:val="baseline"/>
        </w:rPr>
        <w:t>interest arrears on public and publicly guaranteed (PPG) debt to ofﬁcial sector creditors in China </w:t>
      </w:r>
      <w:r>
        <w:rPr>
          <w:w w:val="105"/>
          <w:sz w:val="20"/>
          <w:vertAlign w:val="baseline"/>
        </w:rPr>
        <w:t>are</w:t>
      </w:r>
      <w:r>
        <w:rPr>
          <w:spacing w:val="-12"/>
          <w:w w:val="105"/>
          <w:sz w:val="20"/>
          <w:vertAlign w:val="baseline"/>
        </w:rPr>
        <w:t> </w:t>
      </w:r>
      <w:r>
        <w:rPr>
          <w:w w:val="105"/>
          <w:sz w:val="20"/>
          <w:vertAlign w:val="baseline"/>
        </w:rPr>
        <w:t>equal</w:t>
      </w:r>
      <w:r>
        <w:rPr>
          <w:spacing w:val="-11"/>
          <w:w w:val="105"/>
          <w:sz w:val="20"/>
          <w:vertAlign w:val="baseline"/>
        </w:rPr>
        <w:t> </w:t>
      </w:r>
      <w:r>
        <w:rPr>
          <w:w w:val="105"/>
          <w:sz w:val="20"/>
          <w:vertAlign w:val="baseline"/>
        </w:rPr>
        <w:t>to</w:t>
      </w:r>
      <w:r>
        <w:rPr>
          <w:spacing w:val="-12"/>
          <w:w w:val="105"/>
          <w:sz w:val="20"/>
          <w:vertAlign w:val="baseline"/>
        </w:rPr>
        <w:t> </w:t>
      </w:r>
      <w:r>
        <w:rPr>
          <w:w w:val="105"/>
          <w:sz w:val="20"/>
          <w:vertAlign w:val="baseline"/>
        </w:rPr>
        <w:t>or</w:t>
      </w:r>
      <w:r>
        <w:rPr>
          <w:spacing w:val="-12"/>
          <w:w w:val="105"/>
          <w:sz w:val="20"/>
          <w:vertAlign w:val="baseline"/>
        </w:rPr>
        <w:t> </w:t>
      </w:r>
      <w:r>
        <w:rPr>
          <w:w w:val="105"/>
          <w:sz w:val="20"/>
          <w:vertAlign w:val="baseline"/>
        </w:rPr>
        <w:t>greater</w:t>
      </w:r>
      <w:r>
        <w:rPr>
          <w:spacing w:val="-12"/>
          <w:w w:val="105"/>
          <w:sz w:val="20"/>
          <w:vertAlign w:val="baseline"/>
        </w:rPr>
        <w:t> </w:t>
      </w:r>
      <w:r>
        <w:rPr>
          <w:w w:val="105"/>
          <w:sz w:val="20"/>
          <w:vertAlign w:val="baseline"/>
        </w:rPr>
        <w:t>than</w:t>
      </w:r>
      <w:r>
        <w:rPr>
          <w:spacing w:val="-12"/>
          <w:w w:val="105"/>
          <w:sz w:val="20"/>
          <w:vertAlign w:val="baseline"/>
        </w:rPr>
        <w:t> </w:t>
      </w:r>
      <w:r>
        <w:rPr>
          <w:w w:val="105"/>
          <w:sz w:val="20"/>
          <w:vertAlign w:val="baseline"/>
        </w:rPr>
        <w:t>10%</w:t>
      </w:r>
      <w:r>
        <w:rPr>
          <w:spacing w:val="-12"/>
          <w:w w:val="105"/>
          <w:sz w:val="20"/>
          <w:vertAlign w:val="baseline"/>
        </w:rPr>
        <w:t> </w:t>
      </w:r>
      <w:r>
        <w:rPr>
          <w:w w:val="105"/>
          <w:sz w:val="20"/>
          <w:vertAlign w:val="baseline"/>
        </w:rPr>
        <w:t>of</w:t>
      </w:r>
      <w:r>
        <w:rPr>
          <w:spacing w:val="-12"/>
          <w:w w:val="105"/>
          <w:sz w:val="20"/>
          <w:vertAlign w:val="baseline"/>
        </w:rPr>
        <w:t> </w:t>
      </w:r>
      <w:r>
        <w:rPr>
          <w:w w:val="105"/>
          <w:sz w:val="20"/>
          <w:vertAlign w:val="baseline"/>
        </w:rPr>
        <w:t>its</w:t>
      </w:r>
      <w:r>
        <w:rPr>
          <w:spacing w:val="-12"/>
          <w:w w:val="105"/>
          <w:sz w:val="20"/>
          <w:vertAlign w:val="baseline"/>
        </w:rPr>
        <w:t> </w:t>
      </w:r>
      <w:r>
        <w:rPr>
          <w:w w:val="105"/>
          <w:sz w:val="20"/>
          <w:vertAlign w:val="baseline"/>
        </w:rPr>
        <w:t>total</w:t>
      </w:r>
      <w:r>
        <w:rPr>
          <w:spacing w:val="-11"/>
          <w:w w:val="105"/>
          <w:sz w:val="20"/>
          <w:vertAlign w:val="baseline"/>
        </w:rPr>
        <w:t> </w:t>
      </w:r>
      <w:r>
        <w:rPr>
          <w:w w:val="105"/>
          <w:sz w:val="20"/>
          <w:vertAlign w:val="baseline"/>
        </w:rPr>
        <w:t>outstanding</w:t>
      </w:r>
      <w:r>
        <w:rPr>
          <w:spacing w:val="-12"/>
          <w:w w:val="105"/>
          <w:sz w:val="20"/>
          <w:vertAlign w:val="baseline"/>
        </w:rPr>
        <w:t> </w:t>
      </w:r>
      <w:r>
        <w:rPr>
          <w:w w:val="105"/>
          <w:sz w:val="20"/>
          <w:vertAlign w:val="baseline"/>
        </w:rPr>
        <w:t>PPG</w:t>
      </w:r>
      <w:r>
        <w:rPr>
          <w:spacing w:val="-12"/>
          <w:w w:val="105"/>
          <w:sz w:val="20"/>
          <w:vertAlign w:val="baseline"/>
        </w:rPr>
        <w:t> </w:t>
      </w:r>
      <w:r>
        <w:rPr>
          <w:w w:val="105"/>
          <w:sz w:val="20"/>
          <w:vertAlign w:val="baseline"/>
        </w:rPr>
        <w:t>debt</w:t>
      </w:r>
      <w:r>
        <w:rPr>
          <w:spacing w:val="-12"/>
          <w:w w:val="105"/>
          <w:sz w:val="20"/>
          <w:vertAlign w:val="baseline"/>
        </w:rPr>
        <w:t> </w:t>
      </w:r>
      <w:r>
        <w:rPr>
          <w:w w:val="105"/>
          <w:sz w:val="20"/>
          <w:vertAlign w:val="baseline"/>
        </w:rPr>
        <w:t>to</w:t>
      </w:r>
      <w:r>
        <w:rPr>
          <w:spacing w:val="-12"/>
          <w:w w:val="105"/>
          <w:sz w:val="20"/>
          <w:vertAlign w:val="baseline"/>
        </w:rPr>
        <w:t> </w:t>
      </w:r>
      <w:r>
        <w:rPr>
          <w:w w:val="105"/>
          <w:sz w:val="20"/>
          <w:vertAlign w:val="baseline"/>
        </w:rPr>
        <w:t>ofﬁcial</w:t>
      </w:r>
      <w:r>
        <w:rPr>
          <w:spacing w:val="-11"/>
          <w:w w:val="105"/>
          <w:sz w:val="20"/>
          <w:vertAlign w:val="baseline"/>
        </w:rPr>
        <w:t> </w:t>
      </w:r>
      <w:r>
        <w:rPr>
          <w:w w:val="105"/>
          <w:sz w:val="20"/>
          <w:vertAlign w:val="baseline"/>
        </w:rPr>
        <w:t>sector</w:t>
      </w:r>
      <w:r>
        <w:rPr>
          <w:spacing w:val="-12"/>
          <w:w w:val="105"/>
          <w:sz w:val="20"/>
          <w:vertAlign w:val="baseline"/>
        </w:rPr>
        <w:t> </w:t>
      </w:r>
      <w:r>
        <w:rPr>
          <w:w w:val="105"/>
          <w:sz w:val="20"/>
          <w:vertAlign w:val="baseline"/>
        </w:rPr>
        <w:t>creditors</w:t>
      </w:r>
      <w:r>
        <w:rPr>
          <w:spacing w:val="-12"/>
          <w:w w:val="105"/>
          <w:sz w:val="20"/>
          <w:vertAlign w:val="baseline"/>
        </w:rPr>
        <w:t> </w:t>
      </w:r>
      <w:r>
        <w:rPr>
          <w:w w:val="105"/>
          <w:sz w:val="20"/>
          <w:vertAlign w:val="baseline"/>
        </w:rPr>
        <w:t>in </w:t>
      </w:r>
      <w:r>
        <w:rPr>
          <w:sz w:val="20"/>
          <w:vertAlign w:val="baseline"/>
        </w:rPr>
        <w:t>China.</w:t>
      </w:r>
      <w:r>
        <w:rPr>
          <w:sz w:val="20"/>
          <w:vertAlign w:val="superscript"/>
        </w:rPr>
        <w:t>[40]</w:t>
      </w:r>
      <w:r>
        <w:rPr>
          <w:spacing w:val="-11"/>
          <w:sz w:val="20"/>
          <w:vertAlign w:val="baseline"/>
        </w:rPr>
        <w:t> </w:t>
      </w:r>
      <w:r>
        <w:rPr>
          <w:sz w:val="20"/>
          <w:vertAlign w:val="baseline"/>
        </w:rPr>
        <w:t>We</w:t>
      </w:r>
      <w:r>
        <w:rPr>
          <w:spacing w:val="-12"/>
          <w:sz w:val="20"/>
          <w:vertAlign w:val="baseline"/>
        </w:rPr>
        <w:t> </w:t>
      </w:r>
      <w:r>
        <w:rPr>
          <w:sz w:val="20"/>
          <w:vertAlign w:val="baseline"/>
        </w:rPr>
        <w:t>also</w:t>
      </w:r>
      <w:r>
        <w:rPr>
          <w:spacing w:val="-11"/>
          <w:sz w:val="20"/>
          <w:vertAlign w:val="baseline"/>
        </w:rPr>
        <w:t> </w:t>
      </w:r>
      <w:r>
        <w:rPr>
          <w:sz w:val="20"/>
          <w:vertAlign w:val="baseline"/>
        </w:rPr>
        <w:t>use</w:t>
      </w:r>
      <w:r>
        <w:rPr>
          <w:spacing w:val="-12"/>
          <w:sz w:val="20"/>
          <w:vertAlign w:val="baseline"/>
        </w:rPr>
        <w:t> </w:t>
      </w:r>
      <w:r>
        <w:rPr>
          <w:sz w:val="20"/>
          <w:vertAlign w:val="baseline"/>
        </w:rPr>
        <w:t>a</w:t>
      </w:r>
      <w:r>
        <w:rPr>
          <w:spacing w:val="-12"/>
          <w:sz w:val="20"/>
          <w:vertAlign w:val="baseline"/>
        </w:rPr>
        <w:t> </w:t>
      </w:r>
      <w:r>
        <w:rPr>
          <w:sz w:val="20"/>
          <w:vertAlign w:val="baseline"/>
        </w:rPr>
        <w:t>variable</w:t>
      </w:r>
      <w:r>
        <w:rPr>
          <w:spacing w:val="-11"/>
          <w:sz w:val="20"/>
          <w:vertAlign w:val="baseline"/>
        </w:rPr>
        <w:t> </w:t>
      </w:r>
      <w:r>
        <w:rPr>
          <w:sz w:val="20"/>
          <w:vertAlign w:val="baseline"/>
        </w:rPr>
        <w:t>from</w:t>
      </w:r>
      <w:r>
        <w:rPr>
          <w:spacing w:val="-12"/>
          <w:sz w:val="20"/>
          <w:vertAlign w:val="baseline"/>
        </w:rPr>
        <w:t> </w:t>
      </w:r>
      <w:r>
        <w:rPr>
          <w:sz w:val="20"/>
          <w:vertAlign w:val="baseline"/>
        </w:rPr>
        <w:t>the</w:t>
      </w:r>
      <w:r>
        <w:rPr>
          <w:spacing w:val="-11"/>
          <w:sz w:val="20"/>
          <w:vertAlign w:val="baseline"/>
        </w:rPr>
        <w:t> </w:t>
      </w:r>
      <w:r>
        <w:rPr>
          <w:sz w:val="20"/>
          <w:vertAlign w:val="baseline"/>
        </w:rPr>
        <w:t>3.0</w:t>
      </w:r>
      <w:r>
        <w:rPr>
          <w:spacing w:val="-12"/>
          <w:sz w:val="20"/>
          <w:vertAlign w:val="baseline"/>
        </w:rPr>
        <w:t> </w:t>
      </w:r>
      <w:r>
        <w:rPr>
          <w:sz w:val="20"/>
          <w:vertAlign w:val="baseline"/>
        </w:rPr>
        <w:t>version</w:t>
      </w:r>
      <w:r>
        <w:rPr>
          <w:spacing w:val="-12"/>
          <w:sz w:val="20"/>
          <w:vertAlign w:val="baseline"/>
        </w:rPr>
        <w:t> </w:t>
      </w:r>
      <w:r>
        <w:rPr>
          <w:sz w:val="20"/>
          <w:vertAlign w:val="baseline"/>
        </w:rPr>
        <w:t>of</w:t>
      </w:r>
      <w:r>
        <w:rPr>
          <w:spacing w:val="-11"/>
          <w:sz w:val="20"/>
          <w:vertAlign w:val="baseline"/>
        </w:rPr>
        <w:t> </w:t>
      </w:r>
      <w:r>
        <w:rPr>
          <w:sz w:val="20"/>
          <w:vertAlign w:val="baseline"/>
        </w:rPr>
        <w:t>AidData’s</w:t>
      </w:r>
      <w:r>
        <w:rPr>
          <w:spacing w:val="-12"/>
          <w:sz w:val="20"/>
          <w:vertAlign w:val="baseline"/>
        </w:rPr>
        <w:t> </w:t>
      </w:r>
      <w:r>
        <w:rPr>
          <w:sz w:val="20"/>
          <w:vertAlign w:val="baseline"/>
        </w:rPr>
        <w:t>GCDF</w:t>
      </w:r>
      <w:r>
        <w:rPr>
          <w:spacing w:val="-11"/>
          <w:sz w:val="20"/>
          <w:vertAlign w:val="baseline"/>
        </w:rPr>
        <w:t> </w:t>
      </w:r>
      <w:r>
        <w:rPr>
          <w:sz w:val="20"/>
          <w:vertAlign w:val="baseline"/>
        </w:rPr>
        <w:t>dataset</w:t>
      </w:r>
      <w:r>
        <w:rPr>
          <w:spacing w:val="-12"/>
          <w:sz w:val="20"/>
          <w:vertAlign w:val="baseline"/>
        </w:rPr>
        <w:t> </w:t>
      </w:r>
      <w:r>
        <w:rPr>
          <w:sz w:val="20"/>
          <w:vertAlign w:val="baseline"/>
        </w:rPr>
        <w:t>that</w:t>
      </w:r>
      <w:r>
        <w:rPr>
          <w:spacing w:val="-12"/>
          <w:sz w:val="20"/>
          <w:vertAlign w:val="baseline"/>
        </w:rPr>
        <w:t> </w:t>
      </w:r>
      <w:r>
        <w:rPr>
          <w:sz w:val="20"/>
          <w:vertAlign w:val="baseline"/>
        </w:rPr>
        <w:t>measures</w:t>
      </w:r>
      <w:r>
        <w:rPr>
          <w:spacing w:val="-11"/>
          <w:sz w:val="20"/>
          <w:vertAlign w:val="baseline"/>
        </w:rPr>
        <w:t> </w:t>
      </w:r>
      <w:r>
        <w:rPr>
          <w:spacing w:val="-5"/>
          <w:sz w:val="20"/>
          <w:vertAlign w:val="baseline"/>
        </w:rPr>
        <w:t>on</w:t>
      </w:r>
    </w:p>
    <w:p>
      <w:pPr>
        <w:pStyle w:val="BodyText"/>
        <w:rPr>
          <w:sz w:val="22"/>
        </w:rPr>
      </w:pPr>
      <w:r>
        <w:rPr/>
        <w:pict>
          <v:shape style="position:absolute;margin-left:90pt;margin-top:13.888575pt;width:144pt;height:.1pt;mso-position-horizontal-relative:page;mso-position-vertical-relative:paragraph;z-index:-15710720;mso-wrap-distance-left:0;mso-wrap-distance-right:0" id="docshape28" coordorigin="1800,278" coordsize="2880,0" path="m1800,278l4680,278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60" w:bottom="920" w:left="1340" w:right="1340"/>
        </w:sectPr>
      </w:pPr>
    </w:p>
    <w:p>
      <w:pPr>
        <w:pStyle w:val="BodyText"/>
        <w:ind w:left="340"/>
        <w:rPr>
          <w:sz w:val="20"/>
        </w:rPr>
      </w:pPr>
      <w:r>
        <w:rPr>
          <w:sz w:val="20"/>
        </w:rPr>
        <w:pict>
          <v:shape style="width:444pt;height:120pt;mso-position-horizontal-relative:char;mso-position-vertical-relative:line" type="#_x0000_t202" id="docshape29" filled="true" fillcolor="#f0f2f4" stroked="false">
            <w10:anchorlock/>
            <v:textbox inset="0,0,0,0">
              <w:txbxContent>
                <w:p>
                  <w:pPr>
                    <w:spacing w:line="300" w:lineRule="auto" w:before="7"/>
                    <w:ind w:left="120" w:right="0" w:firstLine="0"/>
                    <w:jc w:val="left"/>
                    <w:rPr>
                      <w:color w:val="000000"/>
                      <w:sz w:val="20"/>
                    </w:rPr>
                  </w:pPr>
                  <w:r>
                    <w:rPr>
                      <w:color w:val="000000"/>
                      <w:sz w:val="20"/>
                    </w:rPr>
                    <w:t>a </w:t>
                  </w:r>
                  <w:r>
                    <w:rPr>
                      <w:i/>
                      <w:color w:val="000000"/>
                      <w:sz w:val="20"/>
                    </w:rPr>
                    <w:t>loan-by-loan basis </w:t>
                  </w:r>
                  <w:r>
                    <w:rPr>
                      <w:color w:val="000000"/>
                      <w:sz w:val="20"/>
                    </w:rPr>
                    <w:t>whether the borrower had difﬁculty making repayments or showed signs of ﬁnancial distress during the repayment period.</w:t>
                  </w:r>
                  <w:r>
                    <w:rPr>
                      <w:color w:val="000000"/>
                      <w:sz w:val="20"/>
                      <w:vertAlign w:val="superscript"/>
                    </w:rPr>
                    <w:t>41</w:t>
                  </w:r>
                </w:p>
                <w:p>
                  <w:pPr>
                    <w:pStyle w:val="BodyText"/>
                    <w:rPr>
                      <w:color w:val="000000"/>
                      <w:sz w:val="21"/>
                    </w:rPr>
                  </w:pPr>
                </w:p>
                <w:p>
                  <w:pPr>
                    <w:spacing w:line="300" w:lineRule="auto" w:before="0"/>
                    <w:ind w:left="120" w:right="275" w:firstLine="0"/>
                    <w:jc w:val="left"/>
                    <w:rPr>
                      <w:color w:val="000000"/>
                      <w:sz w:val="20"/>
                    </w:rPr>
                  </w:pPr>
                  <w:r>
                    <w:rPr>
                      <w:color w:val="000000"/>
                      <w:sz w:val="20"/>
                    </w:rPr>
                    <w:t>Our measure of whether a given borrower country experienced a ﬁnancial distress episode is reset to 0 (“turns off”) in a given year if the country's sovrate score exceeds 5.0, its overdue repayments on public debt to China are no longer equal to or greater than 10% of its of total outstanding public debt to China, and none of its loans from ofﬁcial sector creditors in China (that are within their originally scheduled repayment periods) show signs of ﬁnancial </w:t>
                  </w:r>
                  <w:r>
                    <w:rPr>
                      <w:color w:val="000000"/>
                      <w:spacing w:val="-2"/>
                      <w:sz w:val="20"/>
                    </w:rPr>
                    <w:t>distress.</w:t>
                  </w:r>
                </w:p>
              </w:txbxContent>
            </v:textbox>
            <v:fill type="solid"/>
          </v:shape>
        </w:pict>
      </w:r>
      <w:r>
        <w:rPr>
          <w:sz w:val="20"/>
        </w:rPr>
      </w:r>
    </w:p>
    <w:p>
      <w:pPr>
        <w:pStyle w:val="BodyText"/>
        <w:spacing w:before="3"/>
        <w:rPr>
          <w:sz w:val="13"/>
        </w:rPr>
      </w:pPr>
    </w:p>
    <w:p>
      <w:pPr>
        <w:pStyle w:val="BodyText"/>
        <w:spacing w:line="333" w:lineRule="auto" w:before="57"/>
        <w:ind w:left="460" w:right="485"/>
      </w:pPr>
      <w:r>
        <w:t>Another useful gauge of the health of China’s overseas lending portfolio is the extent to which its borrowers are falling behind on their repayments to Chinese creditors (in comparison to other external creditors). Figure 1.9 tracks the percentage of all overdue payments (principal and interest arrears) from low-income and middle-income governments to all ofﬁcial creditors that are owed to creditors in China. It shows that a rapidly growing proportion of overdue loan repayments are owed to Chinese state-owned creditors. This ﬁgure more than doubled—from 7% in 2000 to 19% in 2021.[42]</w:t>
      </w:r>
    </w:p>
    <w:p>
      <w:pPr>
        <w:pStyle w:val="BodyText"/>
        <w:spacing w:before="6"/>
        <w:rPr>
          <w:sz w:val="27"/>
        </w:rPr>
      </w:pPr>
    </w:p>
    <w:p>
      <w:pPr>
        <w:pStyle w:val="Heading3"/>
        <w:spacing w:line="312" w:lineRule="auto"/>
        <w:ind w:right="845"/>
      </w:pPr>
      <w:r>
        <w:rPr/>
        <w:t>Section</w:t>
      </w:r>
      <w:r>
        <w:rPr>
          <w:spacing w:val="-10"/>
        </w:rPr>
        <w:t> </w:t>
      </w:r>
      <w:r>
        <w:rPr/>
        <w:t>4:</w:t>
      </w:r>
      <w:r>
        <w:rPr>
          <w:spacing w:val="-9"/>
        </w:rPr>
        <w:t> </w:t>
      </w:r>
      <w:r>
        <w:rPr/>
        <w:t>Project</w:t>
      </w:r>
      <w:r>
        <w:rPr>
          <w:spacing w:val="-9"/>
        </w:rPr>
        <w:t> </w:t>
      </w:r>
      <w:r>
        <w:rPr/>
        <w:t>performance</w:t>
      </w:r>
      <w:r>
        <w:rPr>
          <w:spacing w:val="-10"/>
        </w:rPr>
        <w:t> </w:t>
      </w:r>
      <w:r>
        <w:rPr/>
        <w:t>risk</w:t>
      </w:r>
      <w:r>
        <w:rPr>
          <w:spacing w:val="-9"/>
        </w:rPr>
        <w:t> </w:t>
      </w:r>
      <w:r>
        <w:rPr/>
        <w:t>from</w:t>
      </w:r>
      <w:r>
        <w:rPr>
          <w:spacing w:val="-10"/>
        </w:rPr>
        <w:t> </w:t>
      </w:r>
      <w:r>
        <w:rPr/>
        <w:t>Beijing’s </w:t>
      </w:r>
      <w:r>
        <w:rPr>
          <w:spacing w:val="-2"/>
        </w:rPr>
        <w:t>perspective</w:t>
      </w:r>
    </w:p>
    <w:p>
      <w:pPr>
        <w:pStyle w:val="BodyText"/>
        <w:spacing w:line="333" w:lineRule="auto" w:before="162"/>
        <w:ind w:left="460" w:right="485"/>
      </w:pPr>
      <w:r>
        <w:rPr/>
        <w:t>Beijing has channeled an extraordinary amount of aid and credit to the developing world for large-scale infrastructure projects. According to the 3.0 version of AidData’s GCDF dataset, which includes a new measure of whether projects involve the construction, rehabilitation, expansion, or maintenance of physical infrastructure, ofﬁcial sector donors and lenders in China issued 4,800 grants and loans (worth $825 billion) for infrastructure projects in 140 </w:t>
      </w:r>
      <w:r>
        <w:rPr/>
        <w:t>developing countries between 2000 and 2021.</w:t>
      </w:r>
      <w:r>
        <w:rPr>
          <w:vertAlign w:val="superscript"/>
        </w:rPr>
        <w:t>[43]</w:t>
      </w:r>
      <w:r>
        <w:rPr>
          <w:vertAlign w:val="baseline"/>
        </w:rPr>
        <w:t> Infrastructure projects are notoriously difﬁcult to implement (for reasons that we discuss at greater length in Chapter</w:t>
      </w:r>
    </w:p>
    <w:p>
      <w:pPr>
        <w:pStyle w:val="BodyText"/>
        <w:spacing w:before="4"/>
        <w:rPr>
          <w:sz w:val="13"/>
        </w:rPr>
      </w:pPr>
      <w:r>
        <w:rPr/>
        <w:pict>
          <v:shape style="position:absolute;margin-left:90pt;margin-top:8.907078pt;width:144pt;height:.1pt;mso-position-horizontal-relative:page;mso-position-vertical-relative:paragraph;z-index:-15709184;mso-wrap-distance-left:0;mso-wrap-distance-right:0" id="docshape30" coordorigin="1800,178" coordsize="2880,0" path="m1800,178l4680,178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20" w:bottom="920" w:left="1340" w:right="1340"/>
        </w:sectPr>
      </w:pPr>
    </w:p>
    <w:p>
      <w:pPr>
        <w:pStyle w:val="BodyText"/>
        <w:spacing w:line="333" w:lineRule="auto" w:before="27"/>
        <w:ind w:left="460" w:right="485"/>
      </w:pPr>
      <w:r>
        <w:rPr/>
        <w:t>3). Therefore, an important part of Beijing’s portfolio management challenge </w:t>
      </w:r>
      <w:r>
        <w:rPr/>
        <w:t>is</w:t>
      </w:r>
      <w:r>
        <w:rPr/>
        <w:t> dealing with project performance risk.</w:t>
      </w:r>
    </w:p>
    <w:p>
      <w:pPr>
        <w:pStyle w:val="BodyText"/>
        <w:spacing w:before="8"/>
        <w:rPr>
          <w:sz w:val="27"/>
        </w:rPr>
      </w:pPr>
    </w:p>
    <w:p>
      <w:pPr>
        <w:pStyle w:val="BodyText"/>
        <w:spacing w:line="333" w:lineRule="auto"/>
        <w:ind w:left="460" w:right="548"/>
      </w:pPr>
      <w:r>
        <w:rPr/>
        <w:t>The 3.0 version of AidData’s GCDF dataset is different from other publicly available datasets of Chinese development ﬁnance in that it captures project suspensions</w:t>
      </w:r>
      <w:r>
        <w:rPr>
          <w:spacing w:val="-10"/>
        </w:rPr>
        <w:t> </w:t>
      </w:r>
      <w:r>
        <w:rPr/>
        <w:t>and</w:t>
      </w:r>
      <w:r>
        <w:rPr>
          <w:spacing w:val="-10"/>
        </w:rPr>
        <w:t> </w:t>
      </w:r>
      <w:r>
        <w:rPr/>
        <w:t>cancellations</w:t>
      </w:r>
      <w:r>
        <w:rPr>
          <w:spacing w:val="-11"/>
        </w:rPr>
        <w:t> </w:t>
      </w:r>
      <w:r>
        <w:rPr/>
        <w:t>(see</w:t>
      </w:r>
      <w:r>
        <w:rPr>
          <w:spacing w:val="-10"/>
        </w:rPr>
        <w:t> </w:t>
      </w:r>
      <w:r>
        <w:rPr/>
        <w:t>Figure</w:t>
      </w:r>
      <w:r>
        <w:rPr>
          <w:spacing w:val="-10"/>
        </w:rPr>
        <w:t> </w:t>
      </w:r>
      <w:r>
        <w:rPr/>
        <w:t>A6).</w:t>
      </w:r>
      <w:r>
        <w:rPr>
          <w:spacing w:val="-11"/>
        </w:rPr>
        <w:t> </w:t>
      </w:r>
      <w:r>
        <w:rPr/>
        <w:t>We</w:t>
      </w:r>
      <w:r>
        <w:rPr>
          <w:spacing w:val="-10"/>
        </w:rPr>
        <w:t> </w:t>
      </w:r>
      <w:r>
        <w:rPr/>
        <w:t>have</w:t>
      </w:r>
      <w:r>
        <w:rPr>
          <w:spacing w:val="-10"/>
        </w:rPr>
        <w:t> </w:t>
      </w:r>
      <w:r>
        <w:rPr/>
        <w:t>previously</w:t>
      </w:r>
      <w:r>
        <w:rPr>
          <w:spacing w:val="-11"/>
        </w:rPr>
        <w:t> </w:t>
      </w:r>
      <w:r>
        <w:rPr/>
        <w:t>encountered criticism for publishing data on infrastructure—and non-infrastructure—projects backed by ofﬁcial commitments that are subsequently suspended or </w:t>
      </w:r>
      <w:r>
        <w:rPr/>
        <w:t>canceled.</w:t>
      </w:r>
      <w:r>
        <w:rPr>
          <w:vertAlign w:val="superscript"/>
        </w:rPr>
        <w:t>[44]</w:t>
      </w:r>
      <w:r>
        <w:rPr>
          <w:vertAlign w:val="baseline"/>
        </w:rPr>
        <w:t> However, we maintain that it is important to systematically track these projects and subject them to analysis. Shielding suspended and canceled projects from public scrutiny leaves analysts and decision-makers with an incomplete picture of Beijing’s overseas development program. It also limits opportunities to learn from failure.</w:t>
      </w:r>
    </w:p>
    <w:p>
      <w:pPr>
        <w:pStyle w:val="BodyText"/>
        <w:rPr>
          <w:sz w:val="20"/>
        </w:rPr>
      </w:pPr>
    </w:p>
    <w:p>
      <w:pPr>
        <w:pStyle w:val="BodyText"/>
        <w:spacing w:before="10"/>
        <w:rPr>
          <w:sz w:val="18"/>
        </w:rPr>
      </w:pPr>
      <w:r>
        <w:rPr/>
        <w:pict>
          <v:shape style="position:absolute;margin-left:84pt;margin-top:12.062573pt;width:444pt;height:38pt;mso-position-horizontal-relative:page;mso-position-vertical-relative:paragraph;z-index:-15708672;mso-wrap-distance-left:0;mso-wrap-distance-right:0" type="#_x0000_t202" id="docshape31" filled="true" fillcolor="#5b666f" stroked="false">
            <v:textbox inset="0,0,0,0">
              <w:txbxContent>
                <w:p>
                  <w:pPr>
                    <w:spacing w:before="125"/>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1.10</w:t>
                  </w:r>
                </w:p>
              </w:txbxContent>
            </v:textbox>
            <v:fill type="solid"/>
            <w10:wrap type="topAndBottom"/>
          </v:shape>
        </w:pict>
      </w:r>
      <w:r>
        <w:rPr/>
        <w:drawing>
          <wp:anchor distT="0" distB="0" distL="0" distR="0" allowOverlap="1" layoutInCell="1" locked="0" behindDoc="0" simplePos="0" relativeHeight="40">
            <wp:simplePos x="0" y="0"/>
            <wp:positionH relativeFrom="page">
              <wp:posOffset>1255811</wp:posOffset>
            </wp:positionH>
            <wp:positionV relativeFrom="paragraph">
              <wp:posOffset>763758</wp:posOffset>
            </wp:positionV>
            <wp:extent cx="5113227" cy="3184398"/>
            <wp:effectExtent l="0" t="0" r="0" b="0"/>
            <wp:wrapTopAndBottom/>
            <wp:docPr id="21" name="image11.jpeg"/>
            <wp:cNvGraphicFramePr>
              <a:graphicFrameLocks noChangeAspect="1"/>
            </wp:cNvGraphicFramePr>
            <a:graphic>
              <a:graphicData uri="http://schemas.openxmlformats.org/drawingml/2006/picture">
                <pic:pic>
                  <pic:nvPicPr>
                    <pic:cNvPr id="22" name="image11.jpeg"/>
                    <pic:cNvPicPr/>
                  </pic:nvPicPr>
                  <pic:blipFill>
                    <a:blip r:embed="rId18" cstate="print"/>
                    <a:stretch>
                      <a:fillRect/>
                    </a:stretch>
                  </pic:blipFill>
                  <pic:spPr>
                    <a:xfrm>
                      <a:off x="0" y="0"/>
                      <a:ext cx="5113227" cy="3184398"/>
                    </a:xfrm>
                    <a:prstGeom prst="rect">
                      <a:avLst/>
                    </a:prstGeom>
                  </pic:spPr>
                </pic:pic>
              </a:graphicData>
            </a:graphic>
          </wp:anchor>
        </w:drawing>
      </w:r>
    </w:p>
    <w:p>
      <w:pPr>
        <w:pStyle w:val="BodyText"/>
        <w:spacing w:before="5"/>
        <w:rPr>
          <w:sz w:val="15"/>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6"/>
        </w:rPr>
      </w:pPr>
      <w:r>
        <w:rPr/>
        <w:pict>
          <v:shape style="position:absolute;margin-left:90pt;margin-top:10.465599pt;width:144pt;height:.1pt;mso-position-horizontal-relative:page;mso-position-vertical-relative:paragraph;z-index:-15707648;mso-wrap-distance-left:0;mso-wrap-distance-right:0" id="docshape32" coordorigin="1800,209" coordsize="2880,0" path="m1800,209l4680,209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1340" w:right="1340"/>
        </w:sectPr>
      </w:pPr>
    </w:p>
    <w:p>
      <w:pPr>
        <w:spacing w:line="333" w:lineRule="auto" w:before="47"/>
        <w:ind w:left="460" w:right="485" w:firstLine="0"/>
        <w:jc w:val="left"/>
        <w:rPr>
          <w:i/>
          <w:sz w:val="18"/>
        </w:rPr>
      </w:pPr>
      <w:r>
        <w:rPr>
          <w:i/>
          <w:sz w:val="18"/>
        </w:rPr>
        <w:t>Notes: Based on Chinese ODA- and OOF-ﬁnanced projects (including those canceled or suspended </w:t>
      </w:r>
      <w:r>
        <w:rPr>
          <w:i/>
          <w:sz w:val="18"/>
        </w:rPr>
        <w:t>since</w:t>
      </w:r>
      <w:r>
        <w:rPr>
          <w:i/>
          <w:sz w:val="18"/>
        </w:rPr>
        <w:t> 2000) marked as “infrastructure” in the 3.0 version of AidData’s GCDF dataset. No projects that were committed in the year 2000 were subsequently canceled or suspended.</w:t>
      </w:r>
    </w:p>
    <w:p>
      <w:pPr>
        <w:pStyle w:val="BodyText"/>
        <w:rPr>
          <w:i/>
          <w:sz w:val="18"/>
        </w:rPr>
      </w:pPr>
    </w:p>
    <w:p>
      <w:pPr>
        <w:pStyle w:val="BodyText"/>
        <w:spacing w:line="333" w:lineRule="auto" w:before="112"/>
        <w:ind w:left="460" w:right="485"/>
      </w:pPr>
      <w:r>
        <w:t>Figure 1.10 demonstrates that suspensions and cancellations of infrastructure projects have rapidly accumulated over time. By 2021, 94 infrastructure projects in 49 countries secured Chinese grant and loan commitments worth $56 billion that were subsequently suspended or canceled. These projects are likely viewed by Beijing as evidence of BRI buyer’s remorse, as 80% of the suspensions and cancellations that took place between 2014 and 2021 were in BRI participant countries.[45] However, this method of measurement is a conservative, lower-bound estimate of the total number of infrastructure projects that China unsuccessfully sought to bankroll and build, as it excludes those that were shelved before securing ﬁnancial commitments (Lu et al. 2023b).[46]</w:t>
      </w:r>
    </w:p>
    <w:p>
      <w:pPr>
        <w:pStyle w:val="BodyText"/>
        <w:rPr>
          <w:sz w:val="20"/>
        </w:rPr>
      </w:pPr>
    </w:p>
    <w:p>
      <w:pPr>
        <w:pStyle w:val="BodyText"/>
        <w:spacing w:before="2"/>
        <w:rPr>
          <w:sz w:val="19"/>
        </w:rPr>
      </w:pPr>
      <w:r>
        <w:rPr/>
        <w:pict>
          <v:shape style="position:absolute;margin-left:84pt;margin-top:12.241761pt;width:444pt;height:38pt;mso-position-horizontal-relative:page;mso-position-vertical-relative:paragraph;z-index:-15707136;mso-wrap-distance-left:0;mso-wrap-distance-right:0" type="#_x0000_t202" id="docshape33" filled="true" fillcolor="#5b666f" stroked="false">
            <v:textbox inset="0,0,0,0">
              <w:txbxContent>
                <w:p>
                  <w:pPr>
                    <w:spacing w:before="122"/>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1.11</w:t>
                  </w:r>
                </w:p>
              </w:txbxContent>
            </v:textbox>
            <v:fill type="solid"/>
            <w10:wrap type="topAndBottom"/>
          </v:shape>
        </w:pict>
      </w:r>
      <w:r>
        <w:rPr/>
        <w:drawing>
          <wp:anchor distT="0" distB="0" distL="0" distR="0" allowOverlap="1" layoutInCell="1" locked="0" behindDoc="0" simplePos="0" relativeHeight="43">
            <wp:simplePos x="0" y="0"/>
            <wp:positionH relativeFrom="page">
              <wp:posOffset>1255811</wp:posOffset>
            </wp:positionH>
            <wp:positionV relativeFrom="paragraph">
              <wp:posOffset>764211</wp:posOffset>
            </wp:positionV>
            <wp:extent cx="5262360" cy="1128140"/>
            <wp:effectExtent l="0" t="0" r="0" b="0"/>
            <wp:wrapTopAndBottom/>
            <wp:docPr id="23" name="image12.jpeg"/>
            <wp:cNvGraphicFramePr>
              <a:graphicFrameLocks noChangeAspect="1"/>
            </wp:cNvGraphicFramePr>
            <a:graphic>
              <a:graphicData uri="http://schemas.openxmlformats.org/drawingml/2006/picture">
                <pic:pic>
                  <pic:nvPicPr>
                    <pic:cNvPr id="24" name="image12.jpeg"/>
                    <pic:cNvPicPr/>
                  </pic:nvPicPr>
                  <pic:blipFill>
                    <a:blip r:embed="rId19" cstate="print"/>
                    <a:stretch>
                      <a:fillRect/>
                    </a:stretch>
                  </pic:blipFill>
                  <pic:spPr>
                    <a:xfrm>
                      <a:off x="0" y="0"/>
                      <a:ext cx="5262360" cy="1128140"/>
                    </a:xfrm>
                    <a:prstGeom prst="rect">
                      <a:avLst/>
                    </a:prstGeom>
                  </pic:spPr>
                </pic:pic>
              </a:graphicData>
            </a:graphic>
          </wp:anchor>
        </w:drawing>
      </w:r>
    </w:p>
    <w:p>
      <w:pPr>
        <w:pStyle w:val="BodyText"/>
        <w:spacing w:before="2"/>
        <w:rPr>
          <w:sz w:val="15"/>
        </w:rPr>
      </w:pPr>
    </w:p>
    <w:p>
      <w:pPr>
        <w:pStyle w:val="BodyText"/>
        <w:rPr>
          <w:sz w:val="25"/>
        </w:rPr>
      </w:pPr>
    </w:p>
    <w:p>
      <w:pPr>
        <w:spacing w:line="333" w:lineRule="auto" w:before="71"/>
        <w:ind w:left="460" w:right="485" w:firstLine="0"/>
        <w:jc w:val="left"/>
        <w:rPr>
          <w:i/>
          <w:sz w:val="18"/>
        </w:rPr>
      </w:pPr>
      <w:r>
        <w:rPr>
          <w:i/>
          <w:w w:val="105"/>
          <w:sz w:val="18"/>
        </w:rPr>
        <w:t>Notes:</w:t>
      </w:r>
      <w:r>
        <w:rPr>
          <w:i/>
          <w:spacing w:val="-10"/>
          <w:w w:val="105"/>
          <w:sz w:val="18"/>
        </w:rPr>
        <w:t> </w:t>
      </w:r>
      <w:r>
        <w:rPr>
          <w:i/>
          <w:w w:val="105"/>
          <w:sz w:val="18"/>
        </w:rPr>
        <w:t>“Behind</w:t>
      </w:r>
      <w:r>
        <w:rPr>
          <w:i/>
          <w:spacing w:val="-10"/>
          <w:w w:val="105"/>
          <w:sz w:val="18"/>
        </w:rPr>
        <w:t> </w:t>
      </w:r>
      <w:r>
        <w:rPr>
          <w:i/>
          <w:w w:val="105"/>
          <w:sz w:val="18"/>
        </w:rPr>
        <w:t>schedule”</w:t>
      </w:r>
      <w:r>
        <w:rPr>
          <w:i/>
          <w:spacing w:val="-10"/>
          <w:w w:val="105"/>
          <w:sz w:val="18"/>
        </w:rPr>
        <w:t> </w:t>
      </w:r>
      <w:r>
        <w:rPr>
          <w:i/>
          <w:w w:val="105"/>
          <w:sz w:val="18"/>
        </w:rPr>
        <w:t>is</w:t>
      </w:r>
      <w:r>
        <w:rPr>
          <w:i/>
          <w:spacing w:val="-10"/>
          <w:w w:val="105"/>
          <w:sz w:val="18"/>
        </w:rPr>
        <w:t> </w:t>
      </w:r>
      <w:r>
        <w:rPr>
          <w:i/>
          <w:w w:val="105"/>
          <w:sz w:val="18"/>
        </w:rPr>
        <w:t>deﬁned</w:t>
      </w:r>
      <w:r>
        <w:rPr>
          <w:i/>
          <w:spacing w:val="-10"/>
          <w:w w:val="105"/>
          <w:sz w:val="18"/>
        </w:rPr>
        <w:t> </w:t>
      </w:r>
      <w:r>
        <w:rPr>
          <w:i/>
          <w:w w:val="105"/>
          <w:sz w:val="18"/>
        </w:rPr>
        <w:t>as</w:t>
      </w:r>
      <w:r>
        <w:rPr>
          <w:i/>
          <w:spacing w:val="-10"/>
          <w:w w:val="105"/>
          <w:sz w:val="18"/>
        </w:rPr>
        <w:t> </w:t>
      </w:r>
      <w:r>
        <w:rPr>
          <w:i/>
          <w:w w:val="105"/>
          <w:sz w:val="18"/>
        </w:rPr>
        <w:t>Chinese</w:t>
      </w:r>
      <w:r>
        <w:rPr>
          <w:i/>
          <w:spacing w:val="-10"/>
          <w:w w:val="105"/>
          <w:sz w:val="18"/>
        </w:rPr>
        <w:t> </w:t>
      </w:r>
      <w:r>
        <w:rPr>
          <w:i/>
          <w:w w:val="105"/>
          <w:sz w:val="18"/>
        </w:rPr>
        <w:t>ODA-</w:t>
      </w:r>
      <w:r>
        <w:rPr>
          <w:i/>
          <w:spacing w:val="-10"/>
          <w:w w:val="105"/>
          <w:sz w:val="18"/>
        </w:rPr>
        <w:t> </w:t>
      </w:r>
      <w:r>
        <w:rPr>
          <w:i/>
          <w:w w:val="105"/>
          <w:sz w:val="18"/>
        </w:rPr>
        <w:t>and</w:t>
      </w:r>
      <w:r>
        <w:rPr>
          <w:i/>
          <w:spacing w:val="-10"/>
          <w:w w:val="105"/>
          <w:sz w:val="18"/>
        </w:rPr>
        <w:t> </w:t>
      </w:r>
      <w:r>
        <w:rPr>
          <w:i/>
          <w:w w:val="105"/>
          <w:sz w:val="18"/>
        </w:rPr>
        <w:t>OOF-ﬁnanced</w:t>
      </w:r>
      <w:r>
        <w:rPr>
          <w:i/>
          <w:spacing w:val="-10"/>
          <w:w w:val="105"/>
          <w:sz w:val="18"/>
        </w:rPr>
        <w:t> </w:t>
      </w:r>
      <w:r>
        <w:rPr>
          <w:i/>
          <w:w w:val="105"/>
          <w:sz w:val="18"/>
        </w:rPr>
        <w:t>projects</w:t>
      </w:r>
      <w:r>
        <w:rPr>
          <w:i/>
          <w:spacing w:val="-10"/>
          <w:w w:val="105"/>
          <w:sz w:val="18"/>
        </w:rPr>
        <w:t> </w:t>
      </w:r>
      <w:r>
        <w:rPr>
          <w:i/>
          <w:w w:val="105"/>
          <w:sz w:val="18"/>
        </w:rPr>
        <w:t>where</w:t>
      </w:r>
      <w:r>
        <w:rPr>
          <w:i/>
          <w:spacing w:val="-10"/>
          <w:w w:val="105"/>
          <w:sz w:val="18"/>
        </w:rPr>
        <w:t> </w:t>
      </w:r>
      <w:r>
        <w:rPr>
          <w:i/>
          <w:w w:val="105"/>
          <w:sz w:val="18"/>
        </w:rPr>
        <w:t>the</w:t>
      </w:r>
      <w:r>
        <w:rPr>
          <w:i/>
          <w:spacing w:val="-10"/>
          <w:w w:val="105"/>
          <w:sz w:val="18"/>
        </w:rPr>
        <w:t> </w:t>
      </w:r>
      <w:r>
        <w:rPr>
          <w:i/>
          <w:w w:val="105"/>
          <w:sz w:val="18"/>
        </w:rPr>
        <w:t>actual</w:t>
      </w:r>
      <w:r>
        <w:rPr>
          <w:i/>
          <w:w w:val="105"/>
          <w:sz w:val="18"/>
        </w:rPr>
        <w:t> implementation</w:t>
      </w:r>
      <w:r>
        <w:rPr>
          <w:i/>
          <w:spacing w:val="-14"/>
          <w:w w:val="105"/>
          <w:sz w:val="18"/>
        </w:rPr>
        <w:t> </w:t>
      </w:r>
      <w:r>
        <w:rPr>
          <w:i/>
          <w:w w:val="105"/>
          <w:sz w:val="18"/>
        </w:rPr>
        <w:t>start</w:t>
      </w:r>
      <w:r>
        <w:rPr>
          <w:i/>
          <w:spacing w:val="-13"/>
          <w:w w:val="105"/>
          <w:sz w:val="18"/>
        </w:rPr>
        <w:t> </w:t>
      </w:r>
      <w:r>
        <w:rPr>
          <w:i/>
          <w:w w:val="105"/>
          <w:sz w:val="18"/>
        </w:rPr>
        <w:t>date</w:t>
      </w:r>
      <w:r>
        <w:rPr>
          <w:i/>
          <w:spacing w:val="-13"/>
          <w:w w:val="105"/>
          <w:sz w:val="18"/>
        </w:rPr>
        <w:t> </w:t>
      </w:r>
      <w:r>
        <w:rPr>
          <w:i/>
          <w:w w:val="105"/>
          <w:sz w:val="18"/>
        </w:rPr>
        <w:t>took</w:t>
      </w:r>
      <w:r>
        <w:rPr>
          <w:i/>
          <w:spacing w:val="-13"/>
          <w:w w:val="105"/>
          <w:sz w:val="18"/>
        </w:rPr>
        <w:t> </w:t>
      </w:r>
      <w:r>
        <w:rPr>
          <w:i/>
          <w:w w:val="105"/>
          <w:sz w:val="18"/>
        </w:rPr>
        <w:t>place</w:t>
      </w:r>
      <w:r>
        <w:rPr>
          <w:i/>
          <w:spacing w:val="-13"/>
          <w:w w:val="105"/>
          <w:sz w:val="18"/>
        </w:rPr>
        <w:t> </w:t>
      </w:r>
      <w:r>
        <w:rPr>
          <w:i/>
          <w:w w:val="105"/>
          <w:sz w:val="18"/>
        </w:rPr>
        <w:t>3</w:t>
      </w:r>
      <w:r>
        <w:rPr>
          <w:i/>
          <w:spacing w:val="-13"/>
          <w:w w:val="105"/>
          <w:sz w:val="18"/>
        </w:rPr>
        <w:t> </w:t>
      </w:r>
      <w:r>
        <w:rPr>
          <w:i/>
          <w:w w:val="105"/>
          <w:sz w:val="18"/>
        </w:rPr>
        <w:t>months</w:t>
      </w:r>
      <w:r>
        <w:rPr>
          <w:i/>
          <w:spacing w:val="-13"/>
          <w:w w:val="105"/>
          <w:sz w:val="18"/>
        </w:rPr>
        <w:t> </w:t>
      </w:r>
      <w:r>
        <w:rPr>
          <w:i/>
          <w:w w:val="105"/>
          <w:sz w:val="18"/>
        </w:rPr>
        <w:t>or</w:t>
      </w:r>
      <w:r>
        <w:rPr>
          <w:i/>
          <w:spacing w:val="-14"/>
          <w:w w:val="105"/>
          <w:sz w:val="18"/>
        </w:rPr>
        <w:t> </w:t>
      </w:r>
      <w:r>
        <w:rPr>
          <w:i/>
          <w:w w:val="105"/>
          <w:sz w:val="18"/>
        </w:rPr>
        <w:t>more</w:t>
      </w:r>
      <w:r>
        <w:rPr>
          <w:i/>
          <w:spacing w:val="-13"/>
          <w:w w:val="105"/>
          <w:sz w:val="18"/>
        </w:rPr>
        <w:t> </w:t>
      </w:r>
      <w:r>
        <w:rPr>
          <w:i/>
          <w:w w:val="105"/>
          <w:sz w:val="18"/>
        </w:rPr>
        <w:t>after</w:t>
      </w:r>
      <w:r>
        <w:rPr>
          <w:i/>
          <w:spacing w:val="-13"/>
          <w:w w:val="105"/>
          <w:sz w:val="18"/>
        </w:rPr>
        <w:t> </w:t>
      </w:r>
      <w:r>
        <w:rPr>
          <w:i/>
          <w:w w:val="105"/>
          <w:sz w:val="18"/>
        </w:rPr>
        <w:t>its</w:t>
      </w:r>
      <w:r>
        <w:rPr>
          <w:i/>
          <w:spacing w:val="-13"/>
          <w:w w:val="105"/>
          <w:sz w:val="18"/>
        </w:rPr>
        <w:t> </w:t>
      </w:r>
      <w:r>
        <w:rPr>
          <w:i/>
          <w:w w:val="105"/>
          <w:sz w:val="18"/>
        </w:rPr>
        <w:t>originally</w:t>
      </w:r>
      <w:r>
        <w:rPr>
          <w:i/>
          <w:spacing w:val="-13"/>
          <w:w w:val="105"/>
          <w:sz w:val="18"/>
        </w:rPr>
        <w:t> </w:t>
      </w:r>
      <w:r>
        <w:rPr>
          <w:i/>
          <w:w w:val="105"/>
          <w:sz w:val="18"/>
        </w:rPr>
        <w:t>scheduled</w:t>
      </w:r>
      <w:r>
        <w:rPr>
          <w:i/>
          <w:spacing w:val="-13"/>
          <w:w w:val="105"/>
          <w:sz w:val="18"/>
        </w:rPr>
        <w:t> </w:t>
      </w:r>
      <w:r>
        <w:rPr>
          <w:i/>
          <w:w w:val="105"/>
          <w:sz w:val="18"/>
        </w:rPr>
        <w:t>implementation</w:t>
      </w:r>
      <w:r>
        <w:rPr>
          <w:i/>
          <w:spacing w:val="-13"/>
          <w:w w:val="105"/>
          <w:sz w:val="18"/>
        </w:rPr>
        <w:t> </w:t>
      </w:r>
      <w:r>
        <w:rPr>
          <w:i/>
          <w:w w:val="105"/>
          <w:sz w:val="18"/>
        </w:rPr>
        <w:t>start </w:t>
      </w:r>
      <w:r>
        <w:rPr>
          <w:i/>
          <w:sz w:val="18"/>
        </w:rPr>
        <w:t>date, as well as projects where the actual completion date took place 3 months (or more) after its </w:t>
      </w:r>
      <w:r>
        <w:rPr>
          <w:i/>
          <w:sz w:val="18"/>
        </w:rPr>
        <w:t>originally </w:t>
      </w:r>
      <w:r>
        <w:rPr>
          <w:i/>
          <w:w w:val="105"/>
          <w:sz w:val="18"/>
        </w:rPr>
        <w:t>scheduled completion date.</w:t>
      </w:r>
    </w:p>
    <w:p>
      <w:pPr>
        <w:pStyle w:val="BodyText"/>
        <w:rPr>
          <w:i/>
          <w:sz w:val="18"/>
        </w:rPr>
      </w:pPr>
    </w:p>
    <w:p>
      <w:pPr>
        <w:pStyle w:val="BodyText"/>
        <w:spacing w:line="333" w:lineRule="auto" w:before="112"/>
        <w:ind w:left="460" w:right="845"/>
      </w:pPr>
      <w:r>
        <w:t>Another source of implementation risk and potential cause for concern is the increase in the proportion of Beijing’s infrastructure project portfolio running behind schedule between the early BRI period and the late BRI period (see Figure 1.11).[47] However, this measure of whether a project is running behind schedule captures two different types of delays: commencement delays and completion delays.[48] More speciﬁcally, it measures whether a project’s (a) actual implementation start date took place 3 months after its scheduled implementation start date or longer, and/or (b) its actual completion date took place 3 months after its scheduled completion date or longer. When this summary metric is unbundled into its constituent parts, a more complex and nuanced picture of China’s overseas infrastructure project portfolio emerges.</w:t>
      </w:r>
    </w:p>
    <w:p>
      <w:pPr>
        <w:pStyle w:val="BodyText"/>
        <w:rPr>
          <w:sz w:val="20"/>
        </w:rPr>
      </w:pPr>
    </w:p>
    <w:p>
      <w:pPr>
        <w:pStyle w:val="BodyText"/>
        <w:spacing w:before="4"/>
        <w:rPr>
          <w:sz w:val="11"/>
        </w:rPr>
      </w:pPr>
      <w:r>
        <w:rPr/>
        <w:pict>
          <v:shape style="position:absolute;margin-left:90pt;margin-top:7.741749pt;width:144pt;height:.1pt;mso-position-horizontal-relative:page;mso-position-vertical-relative:paragraph;z-index:-15706112;mso-wrap-distance-left:0;mso-wrap-distance-right:0" id="docshape34" coordorigin="1800,155" coordsize="2880,0" path="m1800,155l4680,155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380" w:bottom="920" w:left="1340" w:right="1340"/>
        </w:sectPr>
      </w:pPr>
    </w:p>
    <w:p>
      <w:pPr>
        <w:pStyle w:val="BodyText"/>
        <w:spacing w:line="333" w:lineRule="auto"/>
        <w:ind w:left="460" w:right="485"/>
      </w:pPr>
      <w:r>
        <w:rPr/>
        <w:t>Figure 1.12 demonstrates that, while commencement delays have increased, completion delays have not. The average commencement delay increased by </w:t>
      </w:r>
      <w:r>
        <w:rPr/>
        <w:t>32 days between the early BRI period and the late BRI period, while the average completion delay shrank by 59 days over the same two time periods.</w:t>
      </w:r>
      <w:r>
        <w:rPr>
          <w:vertAlign w:val="superscript"/>
        </w:rPr>
        <w:t>[49]</w:t>
      </w:r>
    </w:p>
    <w:p>
      <w:pPr>
        <w:pStyle w:val="BodyText"/>
        <w:rPr>
          <w:sz w:val="20"/>
        </w:rPr>
      </w:pPr>
    </w:p>
    <w:p>
      <w:pPr>
        <w:pStyle w:val="BodyText"/>
        <w:spacing w:before="5"/>
        <w:rPr>
          <w:sz w:val="18"/>
        </w:rPr>
      </w:pPr>
      <w:r>
        <w:rPr/>
        <w:pict>
          <v:shape style="position:absolute;margin-left:84pt;margin-top:11.806233pt;width:444pt;height:38pt;mso-position-horizontal-relative:page;mso-position-vertical-relative:paragraph;z-index:-15705600;mso-wrap-distance-left:0;mso-wrap-distance-right:0" type="#_x0000_t202" id="docshape35" filled="true" fillcolor="#5b666f" stroked="false">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1.12</w:t>
                  </w:r>
                </w:p>
              </w:txbxContent>
            </v:textbox>
            <v:fill type="solid"/>
            <w10:wrap type="topAndBottom"/>
          </v:shape>
        </w:pict>
      </w:r>
      <w:r>
        <w:rPr/>
        <w:drawing>
          <wp:anchor distT="0" distB="0" distL="0" distR="0" allowOverlap="1" layoutInCell="1" locked="0" behindDoc="0" simplePos="0" relativeHeight="46">
            <wp:simplePos x="0" y="0"/>
            <wp:positionH relativeFrom="page">
              <wp:posOffset>1253132</wp:posOffset>
            </wp:positionH>
            <wp:positionV relativeFrom="paragraph">
              <wp:posOffset>765384</wp:posOffset>
            </wp:positionV>
            <wp:extent cx="5181367" cy="1400175"/>
            <wp:effectExtent l="0" t="0" r="0" b="0"/>
            <wp:wrapTopAndBottom/>
            <wp:docPr id="25" name="image13.jpeg"/>
            <wp:cNvGraphicFramePr>
              <a:graphicFrameLocks noChangeAspect="1"/>
            </wp:cNvGraphicFramePr>
            <a:graphic>
              <a:graphicData uri="http://schemas.openxmlformats.org/drawingml/2006/picture">
                <pic:pic>
                  <pic:nvPicPr>
                    <pic:cNvPr id="26" name="image13.jpeg"/>
                    <pic:cNvPicPr/>
                  </pic:nvPicPr>
                  <pic:blipFill>
                    <a:blip r:embed="rId20" cstate="print"/>
                    <a:stretch>
                      <a:fillRect/>
                    </a:stretch>
                  </pic:blipFill>
                  <pic:spPr>
                    <a:xfrm>
                      <a:off x="0" y="0"/>
                      <a:ext cx="5181367" cy="1400175"/>
                    </a:xfrm>
                    <a:prstGeom prst="rect">
                      <a:avLst/>
                    </a:prstGeom>
                  </pic:spPr>
                </pic:pic>
              </a:graphicData>
            </a:graphic>
          </wp:anchor>
        </w:drawing>
      </w:r>
    </w:p>
    <w:p>
      <w:pPr>
        <w:pStyle w:val="BodyText"/>
        <w:spacing w:before="1"/>
        <w:rPr>
          <w:sz w:val="16"/>
        </w:rPr>
      </w:pPr>
    </w:p>
    <w:p>
      <w:pPr>
        <w:pStyle w:val="BodyText"/>
        <w:rPr>
          <w:sz w:val="20"/>
        </w:rPr>
      </w:pPr>
    </w:p>
    <w:p>
      <w:pPr>
        <w:pStyle w:val="BodyText"/>
        <w:spacing w:before="7"/>
        <w:rPr>
          <w:sz w:val="16"/>
        </w:rPr>
      </w:pPr>
    </w:p>
    <w:p>
      <w:pPr>
        <w:spacing w:line="333" w:lineRule="auto" w:before="0"/>
        <w:ind w:left="460" w:right="845" w:firstLine="0"/>
        <w:jc w:val="left"/>
        <w:rPr>
          <w:i/>
          <w:sz w:val="20"/>
        </w:rPr>
      </w:pPr>
      <w:r>
        <w:rPr>
          <w:i/>
          <w:sz w:val="20"/>
        </w:rPr>
        <w:t>Notes: This ﬁgure is based on active and completed infrastructure projects ﬁnanced with</w:t>
      </w:r>
      <w:r>
        <w:rPr>
          <w:i/>
          <w:sz w:val="20"/>
        </w:rPr>
        <w:t> Chinese ODA and OOF. Delays are calculated by taking the difference (in calendar days) between the originally scheduled project implementation start date/completion date and the actual project implementation start date/completion date (respectively).</w:t>
      </w:r>
    </w:p>
    <w:p>
      <w:pPr>
        <w:pStyle w:val="BodyText"/>
        <w:spacing w:before="8"/>
        <w:rPr>
          <w:i/>
          <w:sz w:val="27"/>
        </w:rPr>
      </w:pPr>
    </w:p>
    <w:p>
      <w:pPr>
        <w:pStyle w:val="BodyText"/>
        <w:spacing w:line="333" w:lineRule="auto"/>
        <w:ind w:left="460" w:right="485"/>
      </w:pPr>
      <w:r>
        <w:t>The fact that a shrinking proportion of infrastructure projects launch on their originally scheduled commencement dates could be related to several different factors. One possibility is that Chinese contractors and/or their host country counterparts are increasingly expected to comply with environmental, social, or governance (ESG) standards prior to the start of project implementation—or they are underestimating the difﬁculty of meeting these standards before infrastructure projects can get underway.[50] A separate but related possibility is that Chinese lenders are asking their borrowers to meet more ESG conditions (so-called “conditions precedent”) prior to the date of the ﬁrst loan disbursement, which typically precedes the start of project implementation. We address these issues at greater length in Chapter 3. Another possibility, which we address in Chapter 4, is that host country politicians are increasingly reluctant to “claim credit” for infrastructure projects ﬁnanced by China via high-proﬁle groundbreaking ceremonies.</w:t>
      </w:r>
    </w:p>
    <w:p>
      <w:pPr>
        <w:pStyle w:val="BodyText"/>
        <w:spacing w:before="3"/>
        <w:rPr>
          <w:sz w:val="19"/>
        </w:rPr>
      </w:pPr>
      <w:r>
        <w:rPr/>
        <w:pict>
          <v:shape style="position:absolute;margin-left:90pt;margin-top:12.299788pt;width:144pt;height:.1pt;mso-position-horizontal-relative:page;mso-position-vertical-relative:paragraph;z-index:-15704576;mso-wrap-distance-left:0;mso-wrap-distance-right:0" id="docshape36" coordorigin="1800,246" coordsize="2880,0" path="m1800,246l4680,246e" filled="false" stroked="true" strokeweight=".75pt" strokecolor="#000000">
            <v:path arrowok="t"/>
            <v:stroke dashstyle="solid"/>
            <w10:wrap type="topAndBottom"/>
          </v:shape>
        </w:pict>
      </w:r>
    </w:p>
    <w:p>
      <w:pPr>
        <w:spacing w:after="0" w:line="249" w:lineRule="auto"/>
        <w:jc w:val="left"/>
        <w:rPr>
          <w:sz w:val="20"/>
        </w:rPr>
        <w:sectPr>
          <w:pgSz w:w="12240" w:h="15840"/>
          <w:pgMar w:header="0" w:footer="720" w:top="1400" w:bottom="920" w:left="1340" w:right="1340"/>
        </w:sectPr>
      </w:pPr>
    </w:p>
    <w:p>
      <w:pPr>
        <w:pStyle w:val="BodyText"/>
        <w:spacing w:before="3"/>
        <w:rPr>
          <w:sz w:val="27"/>
        </w:rPr>
      </w:pPr>
    </w:p>
    <w:p>
      <w:pPr>
        <w:pStyle w:val="BodyText"/>
        <w:spacing w:line="333" w:lineRule="auto"/>
        <w:ind w:left="460" w:right="485"/>
      </w:pPr>
      <w:r>
        <w:rPr/>
        <w:pict>
          <v:shape style="position:absolute;margin-left:90pt;margin-top:328.836578pt;width:144pt;height:.1pt;mso-position-horizontal-relative:page;mso-position-vertical-relative:paragraph;z-index:-15704064;mso-wrap-distance-left:0;mso-wrap-distance-right:0" id="docshape37" coordorigin="1800,6577" coordsize="2880,0" path="m1800,6577l4680,6577e" filled="false" stroked="true" strokeweight=".75pt" strokecolor="#000000">
            <v:path arrowok="t"/>
            <v:stroke dashstyle="solid"/>
            <w10:wrap type="topAndBottom"/>
          </v:shape>
        </w:pict>
      </w:r>
      <w:r>
        <w:rPr>
          <w:w w:val="105"/>
        </w:rPr>
        <w:t>At</w:t>
      </w:r>
      <w:r>
        <w:rPr>
          <w:spacing w:val="-7"/>
          <w:w w:val="105"/>
        </w:rPr>
        <w:t> </w:t>
      </w:r>
      <w:r>
        <w:rPr>
          <w:w w:val="105"/>
        </w:rPr>
        <w:t>the</w:t>
      </w:r>
      <w:r>
        <w:rPr>
          <w:spacing w:val="-7"/>
          <w:w w:val="105"/>
        </w:rPr>
        <w:t> </w:t>
      </w:r>
      <w:r>
        <w:rPr>
          <w:w w:val="105"/>
        </w:rPr>
        <w:t>same</w:t>
      </w:r>
      <w:r>
        <w:rPr>
          <w:spacing w:val="-7"/>
          <w:w w:val="105"/>
        </w:rPr>
        <w:t> </w:t>
      </w:r>
      <w:r>
        <w:rPr>
          <w:w w:val="105"/>
        </w:rPr>
        <w:t>time,</w:t>
      </w:r>
      <w:r>
        <w:rPr>
          <w:spacing w:val="-7"/>
          <w:w w:val="105"/>
        </w:rPr>
        <w:t> </w:t>
      </w:r>
      <w:r>
        <w:rPr>
          <w:w w:val="105"/>
        </w:rPr>
        <w:t>not</w:t>
      </w:r>
      <w:r>
        <w:rPr>
          <w:spacing w:val="-7"/>
          <w:w w:val="105"/>
        </w:rPr>
        <w:t> </w:t>
      </w:r>
      <w:r>
        <w:rPr>
          <w:w w:val="105"/>
        </w:rPr>
        <w:t>all</w:t>
      </w:r>
      <w:r>
        <w:rPr>
          <w:spacing w:val="-7"/>
          <w:w w:val="105"/>
        </w:rPr>
        <w:t> </w:t>
      </w:r>
      <w:r>
        <w:rPr>
          <w:w w:val="105"/>
        </w:rPr>
        <w:t>of</w:t>
      </w:r>
      <w:r>
        <w:rPr>
          <w:spacing w:val="-7"/>
          <w:w w:val="105"/>
        </w:rPr>
        <w:t> </w:t>
      </w:r>
      <w:r>
        <w:rPr>
          <w:w w:val="105"/>
        </w:rPr>
        <w:t>the</w:t>
      </w:r>
      <w:r>
        <w:rPr>
          <w:spacing w:val="-7"/>
          <w:w w:val="105"/>
        </w:rPr>
        <w:t> </w:t>
      </w:r>
      <w:r>
        <w:rPr>
          <w:w w:val="105"/>
        </w:rPr>
        <w:t>lights</w:t>
      </w:r>
      <w:r>
        <w:rPr>
          <w:spacing w:val="-7"/>
          <w:w w:val="105"/>
        </w:rPr>
        <w:t> </w:t>
      </w:r>
      <w:r>
        <w:rPr>
          <w:w w:val="105"/>
        </w:rPr>
        <w:t>on</w:t>
      </w:r>
      <w:r>
        <w:rPr>
          <w:spacing w:val="-7"/>
          <w:w w:val="105"/>
        </w:rPr>
        <w:t> </w:t>
      </w:r>
      <w:r>
        <w:rPr>
          <w:w w:val="105"/>
        </w:rPr>
        <w:t>Beijing’s</w:t>
      </w:r>
      <w:r>
        <w:rPr>
          <w:spacing w:val="-7"/>
          <w:w w:val="105"/>
        </w:rPr>
        <w:t> </w:t>
      </w:r>
      <w:r>
        <w:rPr>
          <w:w w:val="105"/>
        </w:rPr>
        <w:t>project</w:t>
      </w:r>
      <w:r>
        <w:rPr>
          <w:spacing w:val="-7"/>
          <w:w w:val="105"/>
        </w:rPr>
        <w:t> </w:t>
      </w:r>
      <w:r>
        <w:rPr>
          <w:w w:val="105"/>
        </w:rPr>
        <w:t>performance dashboard</w:t>
      </w:r>
      <w:r>
        <w:rPr>
          <w:spacing w:val="-18"/>
          <w:w w:val="105"/>
        </w:rPr>
        <w:t> </w:t>
      </w:r>
      <w:r>
        <w:rPr>
          <w:w w:val="105"/>
        </w:rPr>
        <w:t>are</w:t>
      </w:r>
      <w:r>
        <w:rPr>
          <w:spacing w:val="-17"/>
          <w:w w:val="105"/>
        </w:rPr>
        <w:t> </w:t>
      </w:r>
      <w:r>
        <w:rPr>
          <w:w w:val="105"/>
        </w:rPr>
        <w:t>“ﬂashing</w:t>
      </w:r>
      <w:r>
        <w:rPr>
          <w:spacing w:val="-18"/>
          <w:w w:val="105"/>
        </w:rPr>
        <w:t> </w:t>
      </w:r>
      <w:r>
        <w:rPr>
          <w:w w:val="105"/>
        </w:rPr>
        <w:t>red.”</w:t>
      </w:r>
      <w:r>
        <w:rPr>
          <w:spacing w:val="-17"/>
          <w:w w:val="105"/>
        </w:rPr>
        <w:t> </w:t>
      </w:r>
      <w:r>
        <w:rPr>
          <w:w w:val="105"/>
        </w:rPr>
        <w:t>Chinese</w:t>
      </w:r>
      <w:r>
        <w:rPr>
          <w:spacing w:val="-18"/>
          <w:w w:val="105"/>
        </w:rPr>
        <w:t> </w:t>
      </w:r>
      <w:r>
        <w:rPr>
          <w:w w:val="105"/>
        </w:rPr>
        <w:t>lenders</w:t>
      </w:r>
      <w:r>
        <w:rPr>
          <w:spacing w:val="-17"/>
          <w:w w:val="105"/>
        </w:rPr>
        <w:t> </w:t>
      </w:r>
      <w:r>
        <w:rPr>
          <w:w w:val="105"/>
        </w:rPr>
        <w:t>and</w:t>
      </w:r>
      <w:r>
        <w:rPr>
          <w:spacing w:val="-18"/>
          <w:w w:val="105"/>
        </w:rPr>
        <w:t> </w:t>
      </w:r>
      <w:r>
        <w:rPr>
          <w:w w:val="105"/>
        </w:rPr>
        <w:t>contractors</w:t>
      </w:r>
      <w:r>
        <w:rPr>
          <w:spacing w:val="-17"/>
          <w:w w:val="105"/>
        </w:rPr>
        <w:t> </w:t>
      </w:r>
      <w:r>
        <w:rPr>
          <w:w w:val="105"/>
        </w:rPr>
        <w:t>have</w:t>
      </w:r>
      <w:r>
        <w:rPr>
          <w:spacing w:val="-18"/>
          <w:w w:val="105"/>
        </w:rPr>
        <w:t> </w:t>
      </w:r>
      <w:r>
        <w:rPr>
          <w:w w:val="105"/>
        </w:rPr>
        <w:t>evidently learned</w:t>
      </w:r>
      <w:r>
        <w:rPr>
          <w:spacing w:val="-15"/>
          <w:w w:val="105"/>
        </w:rPr>
        <w:t> </w:t>
      </w:r>
      <w:r>
        <w:rPr>
          <w:w w:val="105"/>
        </w:rPr>
        <w:t>how</w:t>
      </w:r>
      <w:r>
        <w:rPr>
          <w:spacing w:val="-15"/>
          <w:w w:val="105"/>
        </w:rPr>
        <w:t> </w:t>
      </w:r>
      <w:r>
        <w:rPr>
          <w:w w:val="105"/>
        </w:rPr>
        <w:t>to</w:t>
      </w:r>
      <w:r>
        <w:rPr>
          <w:spacing w:val="-15"/>
          <w:w w:val="105"/>
        </w:rPr>
        <w:t> </w:t>
      </w:r>
      <w:r>
        <w:rPr>
          <w:w w:val="105"/>
        </w:rPr>
        <w:t>reduce</w:t>
      </w:r>
      <w:r>
        <w:rPr>
          <w:spacing w:val="-15"/>
          <w:w w:val="105"/>
        </w:rPr>
        <w:t> </w:t>
      </w:r>
      <w:r>
        <w:rPr>
          <w:w w:val="105"/>
        </w:rPr>
        <w:t>the</w:t>
      </w:r>
      <w:r>
        <w:rPr>
          <w:spacing w:val="-15"/>
          <w:w w:val="105"/>
        </w:rPr>
        <w:t> </w:t>
      </w:r>
      <w:r>
        <w:rPr>
          <w:w w:val="105"/>
        </w:rPr>
        <w:t>likelihood</w:t>
      </w:r>
      <w:r>
        <w:rPr>
          <w:spacing w:val="-15"/>
          <w:w w:val="105"/>
        </w:rPr>
        <w:t> </w:t>
      </w:r>
      <w:r>
        <w:rPr>
          <w:w w:val="105"/>
        </w:rPr>
        <w:t>that</w:t>
      </w:r>
      <w:r>
        <w:rPr>
          <w:spacing w:val="-15"/>
          <w:w w:val="105"/>
        </w:rPr>
        <w:t> </w:t>
      </w:r>
      <w:r>
        <w:rPr>
          <w:w w:val="105"/>
        </w:rPr>
        <w:t>overseas</w:t>
      </w:r>
      <w:r>
        <w:rPr>
          <w:spacing w:val="-15"/>
          <w:w w:val="105"/>
        </w:rPr>
        <w:t> </w:t>
      </w:r>
      <w:r>
        <w:rPr>
          <w:w w:val="105"/>
        </w:rPr>
        <w:t>infrastructure</w:t>
      </w:r>
      <w:r>
        <w:rPr>
          <w:spacing w:val="-15"/>
          <w:w w:val="105"/>
        </w:rPr>
        <w:t> </w:t>
      </w:r>
      <w:r>
        <w:rPr>
          <w:w w:val="105"/>
        </w:rPr>
        <w:t>projects</w:t>
      </w:r>
      <w:r>
        <w:rPr>
          <w:spacing w:val="-15"/>
          <w:w w:val="105"/>
        </w:rPr>
        <w:t> </w:t>
      </w:r>
      <w:r>
        <w:rPr>
          <w:w w:val="105"/>
        </w:rPr>
        <w:t>will not</w:t>
      </w:r>
      <w:r>
        <w:rPr>
          <w:spacing w:val="-18"/>
          <w:w w:val="105"/>
        </w:rPr>
        <w:t> </w:t>
      </w:r>
      <w:r>
        <w:rPr>
          <w:w w:val="105"/>
        </w:rPr>
        <w:t>be</w:t>
      </w:r>
      <w:r>
        <w:rPr>
          <w:spacing w:val="-17"/>
          <w:w w:val="105"/>
        </w:rPr>
        <w:t> </w:t>
      </w:r>
      <w:r>
        <w:rPr>
          <w:w w:val="105"/>
        </w:rPr>
        <w:t>ﬁnished</w:t>
      </w:r>
      <w:r>
        <w:rPr>
          <w:spacing w:val="-18"/>
          <w:w w:val="105"/>
        </w:rPr>
        <w:t> </w:t>
      </w:r>
      <w:r>
        <w:rPr>
          <w:w w:val="105"/>
        </w:rPr>
        <w:t>on</w:t>
      </w:r>
      <w:r>
        <w:rPr>
          <w:spacing w:val="-18"/>
          <w:w w:val="105"/>
        </w:rPr>
        <w:t> </w:t>
      </w:r>
      <w:r>
        <w:rPr>
          <w:w w:val="105"/>
        </w:rPr>
        <w:t>time—and</w:t>
      </w:r>
      <w:r>
        <w:rPr>
          <w:spacing w:val="-17"/>
          <w:w w:val="105"/>
        </w:rPr>
        <w:t> </w:t>
      </w:r>
      <w:r>
        <w:rPr>
          <w:w w:val="105"/>
        </w:rPr>
        <w:t>the</w:t>
      </w:r>
      <w:r>
        <w:rPr>
          <w:spacing w:val="-18"/>
          <w:w w:val="105"/>
        </w:rPr>
        <w:t> </w:t>
      </w:r>
      <w:r>
        <w:rPr>
          <w:w w:val="105"/>
        </w:rPr>
        <w:t>length</w:t>
      </w:r>
      <w:r>
        <w:rPr>
          <w:spacing w:val="-17"/>
          <w:w w:val="105"/>
        </w:rPr>
        <w:t> </w:t>
      </w:r>
      <w:r>
        <w:rPr>
          <w:w w:val="105"/>
        </w:rPr>
        <w:t>of</w:t>
      </w:r>
      <w:r>
        <w:rPr>
          <w:spacing w:val="-18"/>
          <w:w w:val="105"/>
        </w:rPr>
        <w:t> </w:t>
      </w:r>
      <w:r>
        <w:rPr>
          <w:w w:val="105"/>
        </w:rPr>
        <w:t>any</w:t>
      </w:r>
      <w:r>
        <w:rPr>
          <w:spacing w:val="-17"/>
          <w:w w:val="105"/>
        </w:rPr>
        <w:t> </w:t>
      </w:r>
      <w:r>
        <w:rPr>
          <w:w w:val="105"/>
        </w:rPr>
        <w:t>delays</w:t>
      </w:r>
      <w:r>
        <w:rPr>
          <w:spacing w:val="-18"/>
          <w:w w:val="105"/>
        </w:rPr>
        <w:t> </w:t>
      </w:r>
      <w:r>
        <w:rPr>
          <w:w w:val="105"/>
        </w:rPr>
        <w:t>that</w:t>
      </w:r>
      <w:r>
        <w:rPr>
          <w:spacing w:val="-17"/>
          <w:w w:val="105"/>
        </w:rPr>
        <w:t> </w:t>
      </w:r>
      <w:r>
        <w:rPr>
          <w:w w:val="105"/>
        </w:rPr>
        <w:t>do</w:t>
      </w:r>
      <w:r>
        <w:rPr>
          <w:spacing w:val="-18"/>
          <w:w w:val="105"/>
        </w:rPr>
        <w:t> </w:t>
      </w:r>
      <w:r>
        <w:rPr>
          <w:w w:val="105"/>
        </w:rPr>
        <w:t>take</w:t>
      </w:r>
      <w:r>
        <w:rPr>
          <w:spacing w:val="-17"/>
          <w:w w:val="105"/>
        </w:rPr>
        <w:t> </w:t>
      </w:r>
      <w:r>
        <w:rPr>
          <w:w w:val="105"/>
        </w:rPr>
        <w:t>place</w:t>
      </w:r>
      <w:r>
        <w:rPr>
          <w:spacing w:val="-18"/>
          <w:w w:val="105"/>
        </w:rPr>
        <w:t> </w:t>
      </w:r>
      <w:r>
        <w:rPr>
          <w:w w:val="105"/>
        </w:rPr>
        <w:t>during project</w:t>
      </w:r>
      <w:r>
        <w:rPr>
          <w:spacing w:val="-6"/>
          <w:w w:val="105"/>
        </w:rPr>
        <w:t> </w:t>
      </w:r>
      <w:r>
        <w:rPr>
          <w:w w:val="105"/>
        </w:rPr>
        <w:t>implementation.</w:t>
      </w:r>
      <w:r>
        <w:rPr>
          <w:spacing w:val="-6"/>
          <w:w w:val="105"/>
        </w:rPr>
        <w:t> </w:t>
      </w:r>
      <w:r>
        <w:rPr>
          <w:w w:val="105"/>
        </w:rPr>
        <w:t>These</w:t>
      </w:r>
      <w:r>
        <w:rPr>
          <w:spacing w:val="-6"/>
          <w:w w:val="105"/>
        </w:rPr>
        <w:t> </w:t>
      </w:r>
      <w:r>
        <w:rPr>
          <w:w w:val="105"/>
        </w:rPr>
        <w:t>improvements</w:t>
      </w:r>
      <w:r>
        <w:rPr>
          <w:spacing w:val="-6"/>
          <w:w w:val="105"/>
        </w:rPr>
        <w:t> </w:t>
      </w:r>
      <w:r>
        <w:rPr>
          <w:w w:val="105"/>
        </w:rPr>
        <w:t>could</w:t>
      </w:r>
      <w:r>
        <w:rPr>
          <w:spacing w:val="-6"/>
          <w:w w:val="105"/>
        </w:rPr>
        <w:t> </w:t>
      </w:r>
      <w:r>
        <w:rPr>
          <w:w w:val="105"/>
        </w:rPr>
        <w:t>be</w:t>
      </w:r>
      <w:r>
        <w:rPr>
          <w:spacing w:val="-6"/>
          <w:w w:val="105"/>
        </w:rPr>
        <w:t> </w:t>
      </w:r>
      <w:r>
        <w:rPr>
          <w:w w:val="105"/>
        </w:rPr>
        <w:t>the</w:t>
      </w:r>
      <w:r>
        <w:rPr>
          <w:spacing w:val="-6"/>
          <w:w w:val="105"/>
        </w:rPr>
        <w:t> </w:t>
      </w:r>
      <w:r>
        <w:rPr>
          <w:w w:val="105"/>
        </w:rPr>
        <w:t>result</w:t>
      </w:r>
      <w:r>
        <w:rPr>
          <w:spacing w:val="-6"/>
          <w:w w:val="105"/>
        </w:rPr>
        <w:t> </w:t>
      </w:r>
      <w:r>
        <w:rPr>
          <w:w w:val="105"/>
        </w:rPr>
        <w:t>of</w:t>
      </w:r>
      <w:r>
        <w:rPr>
          <w:spacing w:val="-6"/>
          <w:w w:val="105"/>
        </w:rPr>
        <w:t> </w:t>
      </w:r>
      <w:r>
        <w:rPr>
          <w:w w:val="105"/>
        </w:rPr>
        <w:t>better </w:t>
      </w:r>
      <w:r>
        <w:rPr/>
        <w:t>planning (more realistic forecasting of how long it takes to complete projects) </w:t>
      </w:r>
      <w:r>
        <w:rPr/>
        <w:t>or </w:t>
      </w:r>
      <w:r>
        <w:rPr>
          <w:w w:val="105"/>
        </w:rPr>
        <w:t>fewer/smaller</w:t>
      </w:r>
      <w:r>
        <w:rPr>
          <w:spacing w:val="-16"/>
          <w:w w:val="105"/>
        </w:rPr>
        <w:t> </w:t>
      </w:r>
      <w:r>
        <w:rPr>
          <w:w w:val="105"/>
        </w:rPr>
        <w:t>scope</w:t>
      </w:r>
      <w:r>
        <w:rPr>
          <w:spacing w:val="-16"/>
          <w:w w:val="105"/>
        </w:rPr>
        <w:t> </w:t>
      </w:r>
      <w:r>
        <w:rPr>
          <w:w w:val="105"/>
        </w:rPr>
        <w:t>of</w:t>
      </w:r>
      <w:r>
        <w:rPr>
          <w:spacing w:val="-16"/>
          <w:w w:val="105"/>
        </w:rPr>
        <w:t> </w:t>
      </w:r>
      <w:r>
        <w:rPr>
          <w:w w:val="105"/>
        </w:rPr>
        <w:t>work</w:t>
      </w:r>
      <w:r>
        <w:rPr>
          <w:spacing w:val="-16"/>
          <w:w w:val="105"/>
        </w:rPr>
        <w:t> </w:t>
      </w:r>
      <w:r>
        <w:rPr>
          <w:w w:val="105"/>
        </w:rPr>
        <w:t>deviations</w:t>
      </w:r>
      <w:r>
        <w:rPr>
          <w:spacing w:val="-16"/>
          <w:w w:val="105"/>
        </w:rPr>
        <w:t> </w:t>
      </w:r>
      <w:r>
        <w:rPr>
          <w:w w:val="105"/>
        </w:rPr>
        <w:t>by</w:t>
      </w:r>
      <w:r>
        <w:rPr>
          <w:spacing w:val="-16"/>
          <w:w w:val="105"/>
        </w:rPr>
        <w:t> </w:t>
      </w:r>
      <w:r>
        <w:rPr>
          <w:w w:val="105"/>
        </w:rPr>
        <w:t>the</w:t>
      </w:r>
      <w:r>
        <w:rPr>
          <w:spacing w:val="-16"/>
          <w:w w:val="105"/>
        </w:rPr>
        <w:t> </w:t>
      </w:r>
      <w:r>
        <w:rPr>
          <w:w w:val="105"/>
        </w:rPr>
        <w:t>contractors</w:t>
      </w:r>
      <w:r>
        <w:rPr>
          <w:spacing w:val="-16"/>
          <w:w w:val="105"/>
        </w:rPr>
        <w:t> </w:t>
      </w:r>
      <w:r>
        <w:rPr>
          <w:w w:val="105"/>
        </w:rPr>
        <w:t>responsible</w:t>
      </w:r>
      <w:r>
        <w:rPr>
          <w:spacing w:val="-16"/>
          <w:w w:val="105"/>
        </w:rPr>
        <w:t> </w:t>
      </w:r>
      <w:r>
        <w:rPr>
          <w:w w:val="105"/>
        </w:rPr>
        <w:t>for project</w:t>
      </w:r>
      <w:r>
        <w:rPr>
          <w:spacing w:val="-10"/>
          <w:w w:val="105"/>
        </w:rPr>
        <w:t> </w:t>
      </w:r>
      <w:r>
        <w:rPr>
          <w:w w:val="105"/>
        </w:rPr>
        <w:t>implementation.</w:t>
      </w:r>
      <w:r>
        <w:rPr>
          <w:spacing w:val="-10"/>
          <w:w w:val="105"/>
        </w:rPr>
        <w:t> </w:t>
      </w:r>
      <w:r>
        <w:rPr>
          <w:w w:val="105"/>
        </w:rPr>
        <w:t>They</w:t>
      </w:r>
      <w:r>
        <w:rPr>
          <w:spacing w:val="-10"/>
          <w:w w:val="105"/>
        </w:rPr>
        <w:t> </w:t>
      </w:r>
      <w:r>
        <w:rPr>
          <w:w w:val="105"/>
        </w:rPr>
        <w:t>also</w:t>
      </w:r>
      <w:r>
        <w:rPr>
          <w:spacing w:val="-10"/>
          <w:w w:val="105"/>
        </w:rPr>
        <w:t> </w:t>
      </w:r>
      <w:r>
        <w:rPr>
          <w:w w:val="105"/>
        </w:rPr>
        <w:t>call</w:t>
      </w:r>
      <w:r>
        <w:rPr>
          <w:spacing w:val="-10"/>
          <w:w w:val="105"/>
        </w:rPr>
        <w:t> </w:t>
      </w:r>
      <w:r>
        <w:rPr>
          <w:w w:val="105"/>
        </w:rPr>
        <w:t>attention</w:t>
      </w:r>
      <w:r>
        <w:rPr>
          <w:spacing w:val="-10"/>
          <w:w w:val="105"/>
        </w:rPr>
        <w:t> </w:t>
      </w:r>
      <w:r>
        <w:rPr>
          <w:w w:val="105"/>
        </w:rPr>
        <w:t>to</w:t>
      </w:r>
      <w:r>
        <w:rPr>
          <w:spacing w:val="-10"/>
          <w:w w:val="105"/>
        </w:rPr>
        <w:t> </w:t>
      </w:r>
      <w:r>
        <w:rPr>
          <w:w w:val="105"/>
        </w:rPr>
        <w:t>an</w:t>
      </w:r>
      <w:r>
        <w:rPr>
          <w:spacing w:val="-10"/>
          <w:w w:val="105"/>
        </w:rPr>
        <w:t> </w:t>
      </w:r>
      <w:r>
        <w:rPr>
          <w:w w:val="105"/>
        </w:rPr>
        <w:t>important</w:t>
      </w:r>
      <w:r>
        <w:rPr>
          <w:spacing w:val="-10"/>
          <w:w w:val="105"/>
        </w:rPr>
        <w:t> </w:t>
      </w:r>
      <w:r>
        <w:rPr>
          <w:w w:val="105"/>
        </w:rPr>
        <w:t>measure</w:t>
      </w:r>
      <w:r>
        <w:rPr>
          <w:spacing w:val="-10"/>
          <w:w w:val="105"/>
        </w:rPr>
        <w:t> </w:t>
      </w:r>
      <w:r>
        <w:rPr>
          <w:w w:val="105"/>
        </w:rPr>
        <w:t>that Beijing</w:t>
      </w:r>
      <w:r>
        <w:rPr>
          <w:spacing w:val="-13"/>
          <w:w w:val="105"/>
        </w:rPr>
        <w:t> </w:t>
      </w:r>
      <w:r>
        <w:rPr>
          <w:w w:val="105"/>
        </w:rPr>
        <w:t>can</w:t>
      </w:r>
      <w:r>
        <w:rPr>
          <w:spacing w:val="-13"/>
          <w:w w:val="105"/>
        </w:rPr>
        <w:t> </w:t>
      </w:r>
      <w:r>
        <w:rPr>
          <w:w w:val="105"/>
        </w:rPr>
        <w:t>take</w:t>
      </w:r>
      <w:r>
        <w:rPr>
          <w:spacing w:val="-13"/>
          <w:w w:val="105"/>
        </w:rPr>
        <w:t> </w:t>
      </w:r>
      <w:r>
        <w:rPr>
          <w:w w:val="105"/>
        </w:rPr>
        <w:t>to</w:t>
      </w:r>
      <w:r>
        <w:rPr>
          <w:spacing w:val="-13"/>
          <w:w w:val="105"/>
        </w:rPr>
        <w:t> </w:t>
      </w:r>
      <w:r>
        <w:rPr>
          <w:w w:val="105"/>
        </w:rPr>
        <w:t>slow</w:t>
      </w:r>
      <w:r>
        <w:rPr>
          <w:spacing w:val="-13"/>
          <w:w w:val="105"/>
        </w:rPr>
        <w:t> </w:t>
      </w:r>
      <w:r>
        <w:rPr>
          <w:w w:val="105"/>
        </w:rPr>
        <w:t>or</w:t>
      </w:r>
      <w:r>
        <w:rPr>
          <w:spacing w:val="-13"/>
          <w:w w:val="105"/>
        </w:rPr>
        <w:t> </w:t>
      </w:r>
      <w:r>
        <w:rPr>
          <w:w w:val="105"/>
        </w:rPr>
        <w:t>reverse</w:t>
      </w:r>
      <w:r>
        <w:rPr>
          <w:spacing w:val="-13"/>
          <w:w w:val="105"/>
        </w:rPr>
        <w:t> </w:t>
      </w:r>
      <w:r>
        <w:rPr>
          <w:w w:val="105"/>
        </w:rPr>
        <w:t>the</w:t>
      </w:r>
      <w:r>
        <w:rPr>
          <w:spacing w:val="-13"/>
          <w:w w:val="105"/>
        </w:rPr>
        <w:t> </w:t>
      </w:r>
      <w:r>
        <w:rPr>
          <w:w w:val="105"/>
        </w:rPr>
        <w:t>rising</w:t>
      </w:r>
      <w:r>
        <w:rPr>
          <w:spacing w:val="-13"/>
          <w:w w:val="105"/>
        </w:rPr>
        <w:t> </w:t>
      </w:r>
      <w:r>
        <w:rPr>
          <w:w w:val="105"/>
        </w:rPr>
        <w:t>tide</w:t>
      </w:r>
      <w:r>
        <w:rPr>
          <w:spacing w:val="-13"/>
          <w:w w:val="105"/>
        </w:rPr>
        <w:t> </w:t>
      </w:r>
      <w:r>
        <w:rPr>
          <w:w w:val="105"/>
        </w:rPr>
        <w:t>of</w:t>
      </w:r>
      <w:r>
        <w:rPr>
          <w:spacing w:val="-13"/>
          <w:w w:val="105"/>
        </w:rPr>
        <w:t> </w:t>
      </w:r>
      <w:r>
        <w:rPr>
          <w:w w:val="105"/>
        </w:rPr>
        <w:t>BRI</w:t>
      </w:r>
      <w:r>
        <w:rPr>
          <w:spacing w:val="-13"/>
          <w:w w:val="105"/>
        </w:rPr>
        <w:t> </w:t>
      </w:r>
      <w:r>
        <w:rPr>
          <w:w w:val="105"/>
        </w:rPr>
        <w:t>“buyer’s</w:t>
      </w:r>
      <w:r>
        <w:rPr>
          <w:spacing w:val="-13"/>
          <w:w w:val="105"/>
        </w:rPr>
        <w:t> </w:t>
      </w:r>
      <w:r>
        <w:rPr>
          <w:w w:val="105"/>
        </w:rPr>
        <w:t>remorse”: timely</w:t>
      </w:r>
      <w:r>
        <w:rPr>
          <w:spacing w:val="-7"/>
          <w:w w:val="105"/>
        </w:rPr>
        <w:t> </w:t>
      </w:r>
      <w:r>
        <w:rPr>
          <w:w w:val="105"/>
        </w:rPr>
        <w:t>completion</w:t>
      </w:r>
      <w:r>
        <w:rPr>
          <w:spacing w:val="-7"/>
          <w:w w:val="105"/>
        </w:rPr>
        <w:t> </w:t>
      </w:r>
      <w:r>
        <w:rPr>
          <w:w w:val="105"/>
        </w:rPr>
        <w:t>of</w:t>
      </w:r>
      <w:r>
        <w:rPr>
          <w:spacing w:val="-7"/>
          <w:w w:val="105"/>
        </w:rPr>
        <w:t> </w:t>
      </w:r>
      <w:r>
        <w:rPr>
          <w:w w:val="105"/>
        </w:rPr>
        <w:t>projects</w:t>
      </w:r>
      <w:r>
        <w:rPr>
          <w:spacing w:val="-7"/>
          <w:w w:val="105"/>
        </w:rPr>
        <w:t> </w:t>
      </w:r>
      <w:r>
        <w:rPr>
          <w:w w:val="105"/>
        </w:rPr>
        <w:t>that</w:t>
      </w:r>
      <w:r>
        <w:rPr>
          <w:spacing w:val="-7"/>
          <w:w w:val="105"/>
        </w:rPr>
        <w:t> </w:t>
      </w:r>
      <w:r>
        <w:rPr>
          <w:w w:val="105"/>
        </w:rPr>
        <w:t>improve</w:t>
      </w:r>
      <w:r>
        <w:rPr>
          <w:spacing w:val="-7"/>
          <w:w w:val="105"/>
        </w:rPr>
        <w:t> </w:t>
      </w:r>
      <w:r>
        <w:rPr>
          <w:w w:val="105"/>
        </w:rPr>
        <w:t>the</w:t>
      </w:r>
      <w:r>
        <w:rPr>
          <w:spacing w:val="-7"/>
          <w:w w:val="105"/>
        </w:rPr>
        <w:t> </w:t>
      </w:r>
      <w:r>
        <w:rPr>
          <w:w w:val="105"/>
        </w:rPr>
        <w:t>provision</w:t>
      </w:r>
      <w:r>
        <w:rPr>
          <w:spacing w:val="-7"/>
          <w:w w:val="105"/>
        </w:rPr>
        <w:t> </w:t>
      </w:r>
      <w:r>
        <w:rPr>
          <w:w w:val="105"/>
        </w:rPr>
        <w:t>of</w:t>
      </w:r>
      <w:r>
        <w:rPr>
          <w:spacing w:val="-7"/>
          <w:w w:val="105"/>
        </w:rPr>
        <w:t> </w:t>
      </w:r>
      <w:r>
        <w:rPr>
          <w:w w:val="105"/>
        </w:rPr>
        <w:t>public</w:t>
      </w:r>
      <w:r>
        <w:rPr>
          <w:spacing w:val="-7"/>
          <w:w w:val="105"/>
        </w:rPr>
        <w:t> </w:t>
      </w:r>
      <w:r>
        <w:rPr>
          <w:w w:val="105"/>
        </w:rPr>
        <w:t>services</w:t>
      </w:r>
      <w:r>
        <w:rPr>
          <w:spacing w:val="-7"/>
          <w:w w:val="105"/>
        </w:rPr>
        <w:t> </w:t>
      </w:r>
      <w:r>
        <w:rPr>
          <w:w w:val="105"/>
        </w:rPr>
        <w:t>in host</w:t>
      </w:r>
      <w:r>
        <w:rPr>
          <w:spacing w:val="-15"/>
          <w:w w:val="105"/>
        </w:rPr>
        <w:t> </w:t>
      </w:r>
      <w:r>
        <w:rPr>
          <w:w w:val="105"/>
        </w:rPr>
        <w:t>countries.</w:t>
      </w:r>
      <w:r>
        <w:rPr>
          <w:spacing w:val="-15"/>
          <w:w w:val="105"/>
        </w:rPr>
        <w:t> </w:t>
      </w:r>
      <w:r>
        <w:rPr>
          <w:w w:val="105"/>
        </w:rPr>
        <w:t>In</w:t>
      </w:r>
      <w:r>
        <w:rPr>
          <w:spacing w:val="-15"/>
          <w:w w:val="105"/>
        </w:rPr>
        <w:t> </w:t>
      </w:r>
      <w:r>
        <w:rPr>
          <w:w w:val="105"/>
        </w:rPr>
        <w:t>new</w:t>
      </w:r>
      <w:r>
        <w:rPr>
          <w:spacing w:val="-15"/>
          <w:w w:val="105"/>
        </w:rPr>
        <w:t> </w:t>
      </w:r>
      <w:r>
        <w:rPr>
          <w:w w:val="105"/>
        </w:rPr>
        <w:t>work</w:t>
      </w:r>
      <w:r>
        <w:rPr>
          <w:spacing w:val="-15"/>
          <w:w w:val="105"/>
        </w:rPr>
        <w:t> </w:t>
      </w:r>
      <w:r>
        <w:rPr>
          <w:w w:val="105"/>
        </w:rPr>
        <w:t>with</w:t>
      </w:r>
      <w:r>
        <w:rPr>
          <w:spacing w:val="-15"/>
          <w:w w:val="105"/>
        </w:rPr>
        <w:t> </w:t>
      </w:r>
      <w:r>
        <w:rPr>
          <w:w w:val="105"/>
        </w:rPr>
        <w:t>collaborators</w:t>
      </w:r>
      <w:r>
        <w:rPr>
          <w:spacing w:val="-15"/>
          <w:w w:val="105"/>
        </w:rPr>
        <w:t> </w:t>
      </w:r>
      <w:r>
        <w:rPr>
          <w:w w:val="105"/>
        </w:rPr>
        <w:t>from</w:t>
      </w:r>
      <w:r>
        <w:rPr>
          <w:spacing w:val="-15"/>
          <w:w w:val="105"/>
        </w:rPr>
        <w:t> </w:t>
      </w:r>
      <w:r>
        <w:rPr>
          <w:w w:val="105"/>
        </w:rPr>
        <w:t>Heidelberg</w:t>
      </w:r>
      <w:r>
        <w:rPr>
          <w:spacing w:val="-15"/>
          <w:w w:val="105"/>
        </w:rPr>
        <w:t> </w:t>
      </w:r>
      <w:r>
        <w:rPr>
          <w:w w:val="105"/>
        </w:rPr>
        <w:t>University,</w:t>
      </w:r>
      <w:r>
        <w:rPr>
          <w:spacing w:val="-15"/>
          <w:w w:val="105"/>
        </w:rPr>
        <w:t> </w:t>
      </w:r>
      <w:r>
        <w:rPr>
          <w:w w:val="105"/>
        </w:rPr>
        <w:t>the University</w:t>
      </w:r>
      <w:r>
        <w:rPr>
          <w:spacing w:val="-14"/>
          <w:w w:val="105"/>
        </w:rPr>
        <w:t> </w:t>
      </w:r>
      <w:r>
        <w:rPr>
          <w:w w:val="105"/>
        </w:rPr>
        <w:t>of</w:t>
      </w:r>
      <w:r>
        <w:rPr>
          <w:spacing w:val="-14"/>
          <w:w w:val="105"/>
        </w:rPr>
        <w:t> </w:t>
      </w:r>
      <w:r>
        <w:rPr>
          <w:w w:val="105"/>
        </w:rPr>
        <w:t>Göttingen,</w:t>
      </w:r>
      <w:r>
        <w:rPr>
          <w:spacing w:val="-14"/>
          <w:w w:val="105"/>
        </w:rPr>
        <w:t> </w:t>
      </w:r>
      <w:r>
        <w:rPr>
          <w:w w:val="105"/>
        </w:rPr>
        <w:t>and</w:t>
      </w:r>
      <w:r>
        <w:rPr>
          <w:spacing w:val="-14"/>
          <w:w w:val="105"/>
        </w:rPr>
        <w:t> </w:t>
      </w:r>
      <w:r>
        <w:rPr>
          <w:w w:val="105"/>
        </w:rPr>
        <w:t>the</w:t>
      </w:r>
      <w:r>
        <w:rPr>
          <w:spacing w:val="-14"/>
          <w:w w:val="105"/>
        </w:rPr>
        <w:t> </w:t>
      </w:r>
      <w:r>
        <w:rPr>
          <w:w w:val="105"/>
        </w:rPr>
        <w:t>University</w:t>
      </w:r>
      <w:r>
        <w:rPr>
          <w:spacing w:val="-14"/>
          <w:w w:val="105"/>
        </w:rPr>
        <w:t> </w:t>
      </w:r>
      <w:r>
        <w:rPr>
          <w:w w:val="105"/>
        </w:rPr>
        <w:t>of</w:t>
      </w:r>
      <w:r>
        <w:rPr>
          <w:spacing w:val="-14"/>
          <w:w w:val="105"/>
        </w:rPr>
        <w:t> </w:t>
      </w:r>
      <w:r>
        <w:rPr>
          <w:w w:val="105"/>
        </w:rPr>
        <w:t>Hong</w:t>
      </w:r>
      <w:r>
        <w:rPr>
          <w:spacing w:val="-14"/>
          <w:w w:val="105"/>
        </w:rPr>
        <w:t> </w:t>
      </w:r>
      <w:r>
        <w:rPr>
          <w:w w:val="105"/>
        </w:rPr>
        <w:t>Kong,</w:t>
      </w:r>
      <w:r>
        <w:rPr>
          <w:spacing w:val="-14"/>
          <w:w w:val="105"/>
        </w:rPr>
        <w:t> </w:t>
      </w:r>
      <w:r>
        <w:rPr>
          <w:w w:val="105"/>
        </w:rPr>
        <w:t>we</w:t>
      </w:r>
      <w:r>
        <w:rPr>
          <w:spacing w:val="-14"/>
          <w:w w:val="105"/>
        </w:rPr>
        <w:t> </w:t>
      </w:r>
      <w:r>
        <w:rPr>
          <w:w w:val="105"/>
        </w:rPr>
        <w:t>provide</w:t>
      </w:r>
      <w:r>
        <w:rPr>
          <w:spacing w:val="-14"/>
          <w:w w:val="105"/>
        </w:rPr>
        <w:t> </w:t>
      </w:r>
      <w:r>
        <w:rPr>
          <w:w w:val="105"/>
        </w:rPr>
        <w:t>causal evidence</w:t>
      </w:r>
      <w:r>
        <w:rPr>
          <w:spacing w:val="-16"/>
          <w:w w:val="105"/>
        </w:rPr>
        <w:t> </w:t>
      </w:r>
      <w:r>
        <w:rPr>
          <w:w w:val="105"/>
        </w:rPr>
        <w:t>that</w:t>
      </w:r>
      <w:r>
        <w:rPr>
          <w:spacing w:val="-16"/>
          <w:w w:val="105"/>
        </w:rPr>
        <w:t> </w:t>
      </w:r>
      <w:r>
        <w:rPr>
          <w:w w:val="105"/>
        </w:rPr>
        <w:t>the</w:t>
      </w:r>
      <w:r>
        <w:rPr>
          <w:spacing w:val="-16"/>
          <w:w w:val="105"/>
        </w:rPr>
        <w:t> </w:t>
      </w:r>
      <w:r>
        <w:rPr>
          <w:i/>
          <w:w w:val="105"/>
        </w:rPr>
        <w:t>completion</w:t>
      </w:r>
      <w:r>
        <w:rPr>
          <w:i/>
          <w:spacing w:val="-16"/>
          <w:w w:val="105"/>
        </w:rPr>
        <w:t> </w:t>
      </w:r>
      <w:r>
        <w:rPr>
          <w:w w:val="105"/>
        </w:rPr>
        <w:t>of</w:t>
      </w:r>
      <w:r>
        <w:rPr>
          <w:spacing w:val="-16"/>
          <w:w w:val="105"/>
        </w:rPr>
        <w:t> </w:t>
      </w:r>
      <w:r>
        <w:rPr>
          <w:w w:val="105"/>
        </w:rPr>
        <w:t>Chinese</w:t>
      </w:r>
      <w:r>
        <w:rPr>
          <w:spacing w:val="-16"/>
          <w:w w:val="105"/>
        </w:rPr>
        <w:t> </w:t>
      </w:r>
      <w:r>
        <w:rPr>
          <w:w w:val="105"/>
        </w:rPr>
        <w:t>development</w:t>
      </w:r>
      <w:r>
        <w:rPr>
          <w:spacing w:val="-16"/>
          <w:w w:val="105"/>
        </w:rPr>
        <w:t> </w:t>
      </w:r>
      <w:r>
        <w:rPr>
          <w:w w:val="105"/>
        </w:rPr>
        <w:t>projects</w:t>
      </w:r>
      <w:r>
        <w:rPr>
          <w:spacing w:val="-16"/>
          <w:w w:val="105"/>
        </w:rPr>
        <w:t> </w:t>
      </w:r>
      <w:r>
        <w:rPr>
          <w:w w:val="105"/>
        </w:rPr>
        <w:t>increases popular</w:t>
      </w:r>
      <w:r>
        <w:rPr>
          <w:spacing w:val="-12"/>
          <w:w w:val="105"/>
        </w:rPr>
        <w:t> </w:t>
      </w:r>
      <w:r>
        <w:rPr>
          <w:w w:val="105"/>
        </w:rPr>
        <w:t>support</w:t>
      </w:r>
      <w:r>
        <w:rPr>
          <w:spacing w:val="-12"/>
          <w:w w:val="105"/>
        </w:rPr>
        <w:t> </w:t>
      </w:r>
      <w:r>
        <w:rPr>
          <w:w w:val="105"/>
        </w:rPr>
        <w:t>for</w:t>
      </w:r>
      <w:r>
        <w:rPr>
          <w:spacing w:val="-12"/>
          <w:w w:val="105"/>
        </w:rPr>
        <w:t> </w:t>
      </w:r>
      <w:r>
        <w:rPr>
          <w:w w:val="105"/>
        </w:rPr>
        <w:t>the</w:t>
      </w:r>
      <w:r>
        <w:rPr>
          <w:spacing w:val="-12"/>
          <w:w w:val="105"/>
        </w:rPr>
        <w:t> </w:t>
      </w:r>
      <w:r>
        <w:rPr>
          <w:w w:val="105"/>
        </w:rPr>
        <w:t>Chinese</w:t>
      </w:r>
      <w:r>
        <w:rPr>
          <w:spacing w:val="-12"/>
          <w:w w:val="105"/>
        </w:rPr>
        <w:t> </w:t>
      </w:r>
      <w:r>
        <w:rPr>
          <w:w w:val="105"/>
        </w:rPr>
        <w:t>government</w:t>
      </w:r>
      <w:r>
        <w:rPr>
          <w:spacing w:val="-12"/>
          <w:w w:val="105"/>
        </w:rPr>
        <w:t> </w:t>
      </w:r>
      <w:r>
        <w:rPr>
          <w:w w:val="105"/>
        </w:rPr>
        <w:t>in</w:t>
      </w:r>
      <w:r>
        <w:rPr>
          <w:spacing w:val="-12"/>
          <w:w w:val="105"/>
        </w:rPr>
        <w:t> </w:t>
      </w:r>
      <w:r>
        <w:rPr>
          <w:w w:val="105"/>
        </w:rPr>
        <w:t>host</w:t>
      </w:r>
      <w:r>
        <w:rPr>
          <w:spacing w:val="-12"/>
          <w:w w:val="105"/>
        </w:rPr>
        <w:t> </w:t>
      </w:r>
      <w:r>
        <w:rPr>
          <w:w w:val="105"/>
        </w:rPr>
        <w:t>countries</w:t>
      </w:r>
      <w:r>
        <w:rPr>
          <w:spacing w:val="-12"/>
          <w:w w:val="105"/>
        </w:rPr>
        <w:t> </w:t>
      </w:r>
      <w:r>
        <w:rPr>
          <w:w w:val="105"/>
        </w:rPr>
        <w:t>(Wellner</w:t>
      </w:r>
      <w:r>
        <w:rPr>
          <w:spacing w:val="-12"/>
          <w:w w:val="105"/>
        </w:rPr>
        <w:t> </w:t>
      </w:r>
      <w:r>
        <w:rPr>
          <w:w w:val="105"/>
        </w:rPr>
        <w:t>et</w:t>
      </w:r>
      <w:r>
        <w:rPr>
          <w:spacing w:val="-12"/>
          <w:w w:val="105"/>
        </w:rPr>
        <w:t> </w:t>
      </w:r>
      <w:r>
        <w:rPr>
          <w:w w:val="105"/>
        </w:rPr>
        <w:t>al. </w:t>
      </w:r>
      <w:r>
        <w:rPr/>
        <w:t>forthcoming).</w:t>
      </w:r>
      <w:r>
        <w:rPr>
          <w:vertAlign w:val="superscript"/>
        </w:rPr>
        <w:t>[51]</w:t>
      </w:r>
      <w:r>
        <w:rPr>
          <w:vertAlign w:val="baseline"/>
        </w:rPr>
        <w:t> We also show in the same study that host country residents are </w:t>
      </w:r>
      <w:r>
        <w:rPr>
          <w:w w:val="105"/>
          <w:vertAlign w:val="baseline"/>
        </w:rPr>
        <w:t>more</w:t>
      </w:r>
      <w:r>
        <w:rPr>
          <w:spacing w:val="-10"/>
          <w:w w:val="105"/>
          <w:vertAlign w:val="baseline"/>
        </w:rPr>
        <w:t> </w:t>
      </w:r>
      <w:r>
        <w:rPr>
          <w:w w:val="105"/>
          <w:vertAlign w:val="baseline"/>
        </w:rPr>
        <w:t>likely</w:t>
      </w:r>
      <w:r>
        <w:rPr>
          <w:spacing w:val="-10"/>
          <w:w w:val="105"/>
          <w:vertAlign w:val="baseline"/>
        </w:rPr>
        <w:t> </w:t>
      </w:r>
      <w:r>
        <w:rPr>
          <w:w w:val="105"/>
          <w:vertAlign w:val="baseline"/>
        </w:rPr>
        <w:t>to</w:t>
      </w:r>
      <w:r>
        <w:rPr>
          <w:spacing w:val="-10"/>
          <w:w w:val="105"/>
          <w:vertAlign w:val="baseline"/>
        </w:rPr>
        <w:t> </w:t>
      </w:r>
      <w:r>
        <w:rPr>
          <w:w w:val="105"/>
          <w:vertAlign w:val="baseline"/>
        </w:rPr>
        <w:t>report</w:t>
      </w:r>
      <w:r>
        <w:rPr>
          <w:spacing w:val="-10"/>
          <w:w w:val="105"/>
          <w:vertAlign w:val="baseline"/>
        </w:rPr>
        <w:t> </w:t>
      </w:r>
      <w:r>
        <w:rPr>
          <w:w w:val="105"/>
          <w:vertAlign w:val="baseline"/>
        </w:rPr>
        <w:t>satisfaction</w:t>
      </w:r>
      <w:r>
        <w:rPr>
          <w:spacing w:val="-10"/>
          <w:w w:val="105"/>
          <w:vertAlign w:val="baseline"/>
        </w:rPr>
        <w:t> </w:t>
      </w:r>
      <w:r>
        <w:rPr>
          <w:w w:val="105"/>
          <w:vertAlign w:val="baseline"/>
        </w:rPr>
        <w:t>with</w:t>
      </w:r>
      <w:r>
        <w:rPr>
          <w:spacing w:val="-10"/>
          <w:w w:val="105"/>
          <w:vertAlign w:val="baseline"/>
        </w:rPr>
        <w:t> </w:t>
      </w:r>
      <w:r>
        <w:rPr>
          <w:w w:val="105"/>
          <w:vertAlign w:val="baseline"/>
        </w:rPr>
        <w:t>the</w:t>
      </w:r>
      <w:r>
        <w:rPr>
          <w:spacing w:val="-10"/>
          <w:w w:val="105"/>
          <w:vertAlign w:val="baseline"/>
        </w:rPr>
        <w:t> </w:t>
      </w:r>
      <w:r>
        <w:rPr>
          <w:w w:val="105"/>
          <w:vertAlign w:val="baseline"/>
        </w:rPr>
        <w:t>delivery</w:t>
      </w:r>
      <w:r>
        <w:rPr>
          <w:spacing w:val="-10"/>
          <w:w w:val="105"/>
          <w:vertAlign w:val="baseline"/>
        </w:rPr>
        <w:t> </w:t>
      </w:r>
      <w:r>
        <w:rPr>
          <w:w w:val="105"/>
          <w:vertAlign w:val="baseline"/>
        </w:rPr>
        <w:t>of</w:t>
      </w:r>
      <w:r>
        <w:rPr>
          <w:spacing w:val="-10"/>
          <w:w w:val="105"/>
          <w:vertAlign w:val="baseline"/>
        </w:rPr>
        <w:t> </w:t>
      </w:r>
      <w:r>
        <w:rPr>
          <w:w w:val="105"/>
          <w:vertAlign w:val="baseline"/>
        </w:rPr>
        <w:t>public</w:t>
      </w:r>
      <w:r>
        <w:rPr>
          <w:spacing w:val="-10"/>
          <w:w w:val="105"/>
          <w:vertAlign w:val="baseline"/>
        </w:rPr>
        <w:t> </w:t>
      </w:r>
      <w:r>
        <w:rPr>
          <w:w w:val="105"/>
          <w:vertAlign w:val="baseline"/>
        </w:rPr>
        <w:t>services</w:t>
      </w:r>
      <w:r>
        <w:rPr>
          <w:spacing w:val="-10"/>
          <w:w w:val="105"/>
          <w:vertAlign w:val="baseline"/>
        </w:rPr>
        <w:t> </w:t>
      </w:r>
      <w:r>
        <w:rPr>
          <w:w w:val="105"/>
          <w:vertAlign w:val="baseline"/>
        </w:rPr>
        <w:t>upon</w:t>
      </w:r>
      <w:r>
        <w:rPr>
          <w:spacing w:val="-10"/>
          <w:w w:val="105"/>
          <w:vertAlign w:val="baseline"/>
        </w:rPr>
        <w:t> </w:t>
      </w:r>
      <w:r>
        <w:rPr>
          <w:w w:val="105"/>
          <w:vertAlign w:val="baseline"/>
        </w:rPr>
        <w:t>the completion of Chinese development projects.</w:t>
      </w:r>
    </w:p>
    <w:p>
      <w:pPr>
        <w:spacing w:after="0" w:line="252" w:lineRule="auto"/>
        <w:jc w:val="left"/>
        <w:rPr>
          <w:sz w:val="18"/>
        </w:rPr>
        <w:sectPr>
          <w:pgSz w:w="12240" w:h="15840"/>
          <w:pgMar w:header="0" w:footer="720" w:top="1400" w:bottom="920" w:left="1340" w:right="1340"/>
        </w:sectPr>
      </w:pPr>
    </w:p>
    <w:p>
      <w:pPr>
        <w:pStyle w:val="BodyText"/>
        <w:spacing w:line="333" w:lineRule="auto" w:before="27"/>
        <w:ind w:left="460" w:right="485"/>
      </w:pPr>
      <w:r>
        <w:rPr>
          <w:w w:val="105"/>
        </w:rPr>
        <w:t>However,</w:t>
      </w:r>
      <w:r>
        <w:rPr>
          <w:spacing w:val="-14"/>
          <w:w w:val="105"/>
        </w:rPr>
        <w:t> </w:t>
      </w:r>
      <w:r>
        <w:rPr>
          <w:w w:val="105"/>
        </w:rPr>
        <w:t>Beijing</w:t>
      </w:r>
      <w:r>
        <w:rPr>
          <w:spacing w:val="-14"/>
          <w:w w:val="105"/>
        </w:rPr>
        <w:t> </w:t>
      </w:r>
      <w:r>
        <w:rPr>
          <w:w w:val="105"/>
        </w:rPr>
        <w:t>cannot</w:t>
      </w:r>
      <w:r>
        <w:rPr>
          <w:spacing w:val="-14"/>
          <w:w w:val="105"/>
        </w:rPr>
        <w:t> </w:t>
      </w:r>
      <w:r>
        <w:rPr>
          <w:w w:val="105"/>
        </w:rPr>
        <w:t>afford</w:t>
      </w:r>
      <w:r>
        <w:rPr>
          <w:spacing w:val="-14"/>
          <w:w w:val="105"/>
        </w:rPr>
        <w:t> </w:t>
      </w:r>
      <w:r>
        <w:rPr>
          <w:w w:val="105"/>
        </w:rPr>
        <w:t>to</w:t>
      </w:r>
      <w:r>
        <w:rPr>
          <w:spacing w:val="-14"/>
          <w:w w:val="105"/>
        </w:rPr>
        <w:t> </w:t>
      </w:r>
      <w:r>
        <w:rPr>
          <w:w w:val="105"/>
        </w:rPr>
        <w:t>rest</w:t>
      </w:r>
      <w:r>
        <w:rPr>
          <w:spacing w:val="-14"/>
          <w:w w:val="105"/>
        </w:rPr>
        <w:t> </w:t>
      </w:r>
      <w:r>
        <w:rPr>
          <w:w w:val="105"/>
        </w:rPr>
        <w:t>on</w:t>
      </w:r>
      <w:r>
        <w:rPr>
          <w:spacing w:val="-14"/>
          <w:w w:val="105"/>
        </w:rPr>
        <w:t> </w:t>
      </w:r>
      <w:r>
        <w:rPr>
          <w:w w:val="105"/>
        </w:rPr>
        <w:t>its</w:t>
      </w:r>
      <w:r>
        <w:rPr>
          <w:spacing w:val="-14"/>
          <w:w w:val="105"/>
        </w:rPr>
        <w:t> </w:t>
      </w:r>
      <w:r>
        <w:rPr>
          <w:w w:val="105"/>
        </w:rPr>
        <w:t>laurels.</w:t>
      </w:r>
      <w:r>
        <w:rPr>
          <w:spacing w:val="-14"/>
          <w:w w:val="105"/>
        </w:rPr>
        <w:t> </w:t>
      </w:r>
      <w:r>
        <w:rPr>
          <w:w w:val="105"/>
        </w:rPr>
        <w:t>Another</w:t>
      </w:r>
      <w:r>
        <w:rPr>
          <w:spacing w:val="-14"/>
          <w:w w:val="105"/>
        </w:rPr>
        <w:t> </w:t>
      </w:r>
      <w:r>
        <w:rPr>
          <w:w w:val="105"/>
        </w:rPr>
        <w:t>key</w:t>
      </w:r>
      <w:r>
        <w:rPr>
          <w:spacing w:val="-14"/>
          <w:w w:val="105"/>
        </w:rPr>
        <w:t> </w:t>
      </w:r>
      <w:r>
        <w:rPr>
          <w:w w:val="105"/>
        </w:rPr>
        <w:t>ﬁnding</w:t>
      </w:r>
      <w:r>
        <w:rPr>
          <w:spacing w:val="-14"/>
          <w:w w:val="105"/>
        </w:rPr>
        <w:t> </w:t>
      </w:r>
      <w:r>
        <w:rPr>
          <w:w w:val="105"/>
        </w:rPr>
        <w:t>from the</w:t>
      </w:r>
      <w:r>
        <w:rPr>
          <w:spacing w:val="-13"/>
          <w:w w:val="105"/>
        </w:rPr>
        <w:t> </w:t>
      </w:r>
      <w:r>
        <w:rPr>
          <w:w w:val="105"/>
        </w:rPr>
        <w:t>same</w:t>
      </w:r>
      <w:r>
        <w:rPr>
          <w:spacing w:val="-13"/>
          <w:w w:val="105"/>
        </w:rPr>
        <w:t> </w:t>
      </w:r>
      <w:r>
        <w:rPr>
          <w:w w:val="105"/>
        </w:rPr>
        <w:t>study</w:t>
      </w:r>
      <w:r>
        <w:rPr>
          <w:spacing w:val="-13"/>
          <w:w w:val="105"/>
        </w:rPr>
        <w:t> </w:t>
      </w:r>
      <w:r>
        <w:rPr>
          <w:w w:val="105"/>
        </w:rPr>
        <w:t>is</w:t>
      </w:r>
      <w:r>
        <w:rPr>
          <w:spacing w:val="-13"/>
          <w:w w:val="105"/>
        </w:rPr>
        <w:t> </w:t>
      </w:r>
      <w:r>
        <w:rPr>
          <w:w w:val="105"/>
        </w:rPr>
        <w:t>that</w:t>
      </w:r>
      <w:r>
        <w:rPr>
          <w:spacing w:val="-13"/>
          <w:w w:val="105"/>
        </w:rPr>
        <w:t> </w:t>
      </w:r>
      <w:r>
        <w:rPr>
          <w:w w:val="105"/>
        </w:rPr>
        <w:t>these</w:t>
      </w:r>
      <w:r>
        <w:rPr>
          <w:spacing w:val="-13"/>
          <w:w w:val="105"/>
        </w:rPr>
        <w:t> </w:t>
      </w:r>
      <w:r>
        <w:rPr>
          <w:w w:val="105"/>
        </w:rPr>
        <w:t>effects</w:t>
      </w:r>
      <w:r>
        <w:rPr>
          <w:spacing w:val="-13"/>
          <w:w w:val="105"/>
        </w:rPr>
        <w:t> </w:t>
      </w:r>
      <w:r>
        <w:rPr>
          <w:w w:val="105"/>
        </w:rPr>
        <w:t>erode</w:t>
      </w:r>
      <w:r>
        <w:rPr>
          <w:spacing w:val="-13"/>
          <w:w w:val="105"/>
        </w:rPr>
        <w:t> </w:t>
      </w:r>
      <w:r>
        <w:rPr>
          <w:w w:val="105"/>
        </w:rPr>
        <w:t>over</w:t>
      </w:r>
      <w:r>
        <w:rPr>
          <w:spacing w:val="-13"/>
          <w:w w:val="105"/>
        </w:rPr>
        <w:t> </w:t>
      </w:r>
      <w:r>
        <w:rPr>
          <w:w w:val="105"/>
        </w:rPr>
        <w:t>time:</w:t>
      </w:r>
      <w:r>
        <w:rPr>
          <w:spacing w:val="-13"/>
          <w:w w:val="105"/>
        </w:rPr>
        <w:t> </w:t>
      </w:r>
      <w:r>
        <w:rPr>
          <w:w w:val="105"/>
        </w:rPr>
        <w:t>on</w:t>
      </w:r>
      <w:r>
        <w:rPr>
          <w:spacing w:val="-13"/>
          <w:w w:val="105"/>
        </w:rPr>
        <w:t> </w:t>
      </w:r>
      <w:r>
        <w:rPr>
          <w:w w:val="105"/>
        </w:rPr>
        <w:t>average,</w:t>
      </w:r>
      <w:r>
        <w:rPr>
          <w:spacing w:val="-13"/>
          <w:w w:val="105"/>
        </w:rPr>
        <w:t> </w:t>
      </w:r>
      <w:r>
        <w:rPr>
          <w:w w:val="105"/>
        </w:rPr>
        <w:t>we</w:t>
      </w:r>
      <w:r>
        <w:rPr>
          <w:spacing w:val="-13"/>
          <w:w w:val="105"/>
        </w:rPr>
        <w:t> </w:t>
      </w:r>
      <w:r>
        <w:rPr>
          <w:w w:val="105"/>
        </w:rPr>
        <w:t>ﬁnd</w:t>
      </w:r>
      <w:r>
        <w:rPr>
          <w:spacing w:val="-13"/>
          <w:w w:val="105"/>
        </w:rPr>
        <w:t> </w:t>
      </w:r>
      <w:r>
        <w:rPr>
          <w:w w:val="105"/>
        </w:rPr>
        <w:t>that </w:t>
      </w:r>
      <w:r>
        <w:rPr/>
        <w:t>the completion of one additional Chinese development project increases </w:t>
      </w:r>
      <w:r>
        <w:rPr/>
        <w:t>public </w:t>
      </w:r>
      <w:r>
        <w:rPr>
          <w:w w:val="105"/>
        </w:rPr>
        <w:t>support</w:t>
      </w:r>
      <w:r>
        <w:rPr>
          <w:spacing w:val="-9"/>
          <w:w w:val="105"/>
        </w:rPr>
        <w:t> </w:t>
      </w:r>
      <w:r>
        <w:rPr>
          <w:w w:val="105"/>
        </w:rPr>
        <w:t>for</w:t>
      </w:r>
      <w:r>
        <w:rPr>
          <w:spacing w:val="-9"/>
          <w:w w:val="105"/>
        </w:rPr>
        <w:t> </w:t>
      </w:r>
      <w:r>
        <w:rPr>
          <w:w w:val="105"/>
        </w:rPr>
        <w:t>the</w:t>
      </w:r>
      <w:r>
        <w:rPr>
          <w:spacing w:val="-9"/>
          <w:w w:val="105"/>
        </w:rPr>
        <w:t> </w:t>
      </w:r>
      <w:r>
        <w:rPr>
          <w:w w:val="105"/>
        </w:rPr>
        <w:t>Chinese</w:t>
      </w:r>
      <w:r>
        <w:rPr>
          <w:spacing w:val="-9"/>
          <w:w w:val="105"/>
        </w:rPr>
        <w:t> </w:t>
      </w:r>
      <w:r>
        <w:rPr>
          <w:w w:val="105"/>
        </w:rPr>
        <w:t>government</w:t>
      </w:r>
      <w:r>
        <w:rPr>
          <w:spacing w:val="-9"/>
          <w:w w:val="105"/>
        </w:rPr>
        <w:t> </w:t>
      </w:r>
      <w:r>
        <w:rPr>
          <w:w w:val="105"/>
        </w:rPr>
        <w:t>by</w:t>
      </w:r>
      <w:r>
        <w:rPr>
          <w:spacing w:val="-9"/>
          <w:w w:val="105"/>
        </w:rPr>
        <w:t> </w:t>
      </w:r>
      <w:r>
        <w:rPr>
          <w:w w:val="105"/>
        </w:rPr>
        <w:t>approximately</w:t>
      </w:r>
      <w:r>
        <w:rPr>
          <w:spacing w:val="-9"/>
          <w:w w:val="105"/>
        </w:rPr>
        <w:t> </w:t>
      </w:r>
      <w:r>
        <w:rPr>
          <w:w w:val="105"/>
        </w:rPr>
        <w:t>3</w:t>
      </w:r>
      <w:r>
        <w:rPr>
          <w:spacing w:val="-9"/>
          <w:w w:val="105"/>
        </w:rPr>
        <w:t> </w:t>
      </w:r>
      <w:r>
        <w:rPr>
          <w:w w:val="105"/>
        </w:rPr>
        <w:t>percentage</w:t>
      </w:r>
      <w:r>
        <w:rPr>
          <w:spacing w:val="-9"/>
          <w:w w:val="105"/>
        </w:rPr>
        <w:t> </w:t>
      </w:r>
      <w:r>
        <w:rPr>
          <w:w w:val="105"/>
        </w:rPr>
        <w:t>points</w:t>
      </w:r>
      <w:r>
        <w:rPr>
          <w:spacing w:val="-9"/>
          <w:w w:val="105"/>
        </w:rPr>
        <w:t> </w:t>
      </w:r>
      <w:r>
        <w:rPr>
          <w:w w:val="105"/>
        </w:rPr>
        <w:t>in the</w:t>
      </w:r>
      <w:r>
        <w:rPr>
          <w:spacing w:val="-8"/>
          <w:w w:val="105"/>
        </w:rPr>
        <w:t> </w:t>
      </w:r>
      <w:r>
        <w:rPr>
          <w:w w:val="105"/>
        </w:rPr>
        <w:t>short</w:t>
      </w:r>
      <w:r>
        <w:rPr>
          <w:spacing w:val="-8"/>
          <w:w w:val="105"/>
        </w:rPr>
        <w:t> </w:t>
      </w:r>
      <w:r>
        <w:rPr>
          <w:w w:val="105"/>
        </w:rPr>
        <w:t>run</w:t>
      </w:r>
      <w:r>
        <w:rPr>
          <w:spacing w:val="-8"/>
          <w:w w:val="105"/>
        </w:rPr>
        <w:t> </w:t>
      </w:r>
      <w:r>
        <w:rPr>
          <w:w w:val="105"/>
        </w:rPr>
        <w:t>but</w:t>
      </w:r>
      <w:r>
        <w:rPr>
          <w:spacing w:val="-8"/>
          <w:w w:val="105"/>
        </w:rPr>
        <w:t> </w:t>
      </w:r>
      <w:r>
        <w:rPr>
          <w:w w:val="105"/>
        </w:rPr>
        <w:t>only</w:t>
      </w:r>
      <w:r>
        <w:rPr>
          <w:spacing w:val="-8"/>
          <w:w w:val="105"/>
        </w:rPr>
        <w:t> </w:t>
      </w:r>
      <w:r>
        <w:rPr>
          <w:w w:val="105"/>
        </w:rPr>
        <w:t>0.2</w:t>
      </w:r>
      <w:r>
        <w:rPr>
          <w:spacing w:val="-8"/>
          <w:w w:val="105"/>
        </w:rPr>
        <w:t> </w:t>
      </w:r>
      <w:r>
        <w:rPr>
          <w:w w:val="105"/>
        </w:rPr>
        <w:t>percentage</w:t>
      </w:r>
      <w:r>
        <w:rPr>
          <w:spacing w:val="-8"/>
          <w:w w:val="105"/>
        </w:rPr>
        <w:t> </w:t>
      </w:r>
      <w:r>
        <w:rPr>
          <w:w w:val="105"/>
        </w:rPr>
        <w:t>points</w:t>
      </w:r>
      <w:r>
        <w:rPr>
          <w:spacing w:val="-8"/>
          <w:w w:val="105"/>
        </w:rPr>
        <w:t> </w:t>
      </w:r>
      <w:r>
        <w:rPr>
          <w:w w:val="105"/>
        </w:rPr>
        <w:t>in</w:t>
      </w:r>
      <w:r>
        <w:rPr>
          <w:spacing w:val="-8"/>
          <w:w w:val="105"/>
        </w:rPr>
        <w:t> </w:t>
      </w:r>
      <w:r>
        <w:rPr>
          <w:w w:val="105"/>
        </w:rPr>
        <w:t>the</w:t>
      </w:r>
      <w:r>
        <w:rPr>
          <w:spacing w:val="-8"/>
          <w:w w:val="105"/>
        </w:rPr>
        <w:t> </w:t>
      </w:r>
      <w:r>
        <w:rPr>
          <w:w w:val="105"/>
        </w:rPr>
        <w:t>longer</w:t>
      </w:r>
      <w:r>
        <w:rPr>
          <w:spacing w:val="-8"/>
          <w:w w:val="105"/>
        </w:rPr>
        <w:t> </w:t>
      </w:r>
      <w:r>
        <w:rPr>
          <w:w w:val="105"/>
        </w:rPr>
        <w:t>run</w:t>
      </w:r>
      <w:r>
        <w:rPr>
          <w:spacing w:val="-8"/>
          <w:w w:val="105"/>
        </w:rPr>
        <w:t> </w:t>
      </w:r>
      <w:r>
        <w:rPr>
          <w:w w:val="105"/>
        </w:rPr>
        <w:t>(Wellner</w:t>
      </w:r>
      <w:r>
        <w:rPr>
          <w:spacing w:val="-8"/>
          <w:w w:val="105"/>
        </w:rPr>
        <w:t> </w:t>
      </w:r>
      <w:r>
        <w:rPr>
          <w:w w:val="105"/>
        </w:rPr>
        <w:t>et</w:t>
      </w:r>
      <w:r>
        <w:rPr>
          <w:spacing w:val="-8"/>
          <w:w w:val="105"/>
        </w:rPr>
        <w:t> </w:t>
      </w:r>
      <w:r>
        <w:rPr>
          <w:w w:val="105"/>
        </w:rPr>
        <w:t>al. </w:t>
      </w:r>
      <w:r>
        <w:rPr>
          <w:spacing w:val="-2"/>
          <w:w w:val="105"/>
        </w:rPr>
        <w:t>forthcoming).</w:t>
      </w:r>
    </w:p>
    <w:p>
      <w:pPr>
        <w:pStyle w:val="BodyText"/>
        <w:spacing w:before="6"/>
        <w:rPr>
          <w:sz w:val="27"/>
        </w:rPr>
      </w:pPr>
    </w:p>
    <w:p>
      <w:pPr>
        <w:pStyle w:val="BodyText"/>
        <w:spacing w:line="333" w:lineRule="auto"/>
        <w:ind w:left="460" w:right="502"/>
      </w:pPr>
      <w:r>
        <w:t>Beijing also faces a daunting set of ESG risks in its overseas development program. In Chapter 3, we develop and analyze a new composite measure of ESG risk that captures whether a given Chinese grant- or loan-ﬁnanced infrastructure project (1) took place in an area that is environmentally sensitive, socially sensitive, or vulnerable to political capture and manipulation; (2) relied on contractors sanctioned by other international ﬁnanciers for fraudulent and corrupt behavior; or (3) encountered a signiﬁcant environmental, social, or governance problem before, during, or after implementation. Figure 1.13, which draws upon this measure, indicates that the cumulative number of Chinese grant- and loan-ﬁnanced infrastructure projects in LICs and MICs with signiﬁcant ESG risk exposure increased from 17 projects in 16 countries in 2000 to 1,693 projects in 125 countries in 2021. As of 2000, Beijing had issued grants and loans worth $420 million for infrastructure projects in LICs and MICs that faced one or more signiﬁcant ESG risks. This ﬁgure increased on a cumulative basis to $470 billion in 2021. The ESG risk prevalence rate, which we deﬁne as the annual percentage of China’s grant- and loan-ﬁnanced infrastructure project portfolio (measured in constant 2021 USD) with signiﬁcant environmental, social, or governance risk exposure, also increased from 12% in 2000 to 33% in 2021 (see Figure 3.2).[52]</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20"/>
        </w:rPr>
      </w:pPr>
      <w:r>
        <w:rPr/>
        <w:pict>
          <v:shape style="position:absolute;margin-left:90pt;margin-top:13.104151pt;width:144pt;height:.1pt;mso-position-horizontal-relative:page;mso-position-vertical-relative:paragraph;z-index:-15703552;mso-wrap-distance-left:0;mso-wrap-distance-right:0" id="docshape38" coordorigin="1800,262" coordsize="2880,0" path="m1800,262l4680,262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pStyle w:val="BodyText"/>
        <w:ind w:left="340"/>
        <w:rPr>
          <w:sz w:val="20"/>
        </w:rPr>
      </w:pPr>
      <w:r>
        <w:rPr>
          <w:sz w:val="20"/>
        </w:rPr>
        <w:pict>
          <v:shape style="width:444pt;height:38pt;mso-position-horizontal-relative:char;mso-position-vertical-relative:line" type="#_x0000_t202" id="docshape39"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1.13</w:t>
                  </w:r>
                </w:p>
              </w:txbxContent>
            </v:textbox>
            <v:fill type="solid"/>
          </v:shape>
        </w:pict>
      </w:r>
      <w:r>
        <w:rPr>
          <w:sz w:val="20"/>
        </w:rPr>
      </w:r>
    </w:p>
    <w:p>
      <w:pPr>
        <w:pStyle w:val="BodyText"/>
        <w:rPr>
          <w:sz w:val="14"/>
        </w:rPr>
      </w:pPr>
      <w:r>
        <w:rPr/>
        <w:drawing>
          <wp:anchor distT="0" distB="0" distL="0" distR="0" allowOverlap="1" layoutInCell="1" locked="0" behindDoc="0" simplePos="0" relativeHeight="51">
            <wp:simplePos x="0" y="0"/>
            <wp:positionH relativeFrom="page">
              <wp:posOffset>1255811</wp:posOffset>
            </wp:positionH>
            <wp:positionV relativeFrom="paragraph">
              <wp:posOffset>117493</wp:posOffset>
            </wp:positionV>
            <wp:extent cx="5163827" cy="3184398"/>
            <wp:effectExtent l="0" t="0" r="0" b="0"/>
            <wp:wrapTopAndBottom/>
            <wp:docPr id="27" name="image14.jpeg"/>
            <wp:cNvGraphicFramePr>
              <a:graphicFrameLocks noChangeAspect="1"/>
            </wp:cNvGraphicFramePr>
            <a:graphic>
              <a:graphicData uri="http://schemas.openxmlformats.org/drawingml/2006/picture">
                <pic:pic>
                  <pic:nvPicPr>
                    <pic:cNvPr id="28" name="image14.jpeg"/>
                    <pic:cNvPicPr/>
                  </pic:nvPicPr>
                  <pic:blipFill>
                    <a:blip r:embed="rId21" cstate="print"/>
                    <a:stretch>
                      <a:fillRect/>
                    </a:stretch>
                  </pic:blipFill>
                  <pic:spPr>
                    <a:xfrm>
                      <a:off x="0" y="0"/>
                      <a:ext cx="5163827" cy="3184398"/>
                    </a:xfrm>
                    <a:prstGeom prst="rect">
                      <a:avLst/>
                    </a:prstGeom>
                  </pic:spPr>
                </pic:pic>
              </a:graphicData>
            </a:graphic>
          </wp:anchor>
        </w:drawing>
      </w:r>
    </w:p>
    <w:p>
      <w:pPr>
        <w:pStyle w:val="BodyText"/>
        <w:rPr>
          <w:sz w:val="20"/>
        </w:rPr>
      </w:pPr>
    </w:p>
    <w:p>
      <w:pPr>
        <w:pStyle w:val="BodyText"/>
        <w:spacing w:before="6"/>
        <w:rPr>
          <w:sz w:val="20"/>
        </w:rPr>
      </w:pPr>
    </w:p>
    <w:p>
      <w:pPr>
        <w:spacing w:line="333" w:lineRule="auto" w:before="0"/>
        <w:ind w:left="460" w:right="0" w:firstLine="0"/>
        <w:jc w:val="left"/>
        <w:rPr>
          <w:i/>
          <w:sz w:val="18"/>
        </w:rPr>
      </w:pPr>
      <w:r>
        <w:rPr>
          <w:i/>
          <w:sz w:val="18"/>
        </w:rPr>
        <w:t>Notes:</w:t>
      </w:r>
      <w:r>
        <w:rPr>
          <w:i/>
          <w:spacing w:val="-4"/>
          <w:sz w:val="18"/>
        </w:rPr>
        <w:t> </w:t>
      </w:r>
      <w:r>
        <w:rPr>
          <w:i/>
          <w:sz w:val="18"/>
        </w:rPr>
        <w:t>The</w:t>
      </w:r>
      <w:r>
        <w:rPr>
          <w:i/>
          <w:spacing w:val="-4"/>
          <w:sz w:val="18"/>
        </w:rPr>
        <w:t> </w:t>
      </w:r>
      <w:r>
        <w:rPr>
          <w:i/>
          <w:sz w:val="18"/>
        </w:rPr>
        <w:t>presence</w:t>
      </w:r>
      <w:r>
        <w:rPr>
          <w:i/>
          <w:spacing w:val="-4"/>
          <w:sz w:val="18"/>
        </w:rPr>
        <w:t> </w:t>
      </w:r>
      <w:r>
        <w:rPr>
          <w:i/>
          <w:sz w:val="18"/>
        </w:rPr>
        <w:t>of</w:t>
      </w:r>
      <w:r>
        <w:rPr>
          <w:i/>
          <w:spacing w:val="-4"/>
          <w:sz w:val="18"/>
        </w:rPr>
        <w:t> </w:t>
      </w:r>
      <w:r>
        <w:rPr>
          <w:i/>
          <w:sz w:val="18"/>
        </w:rPr>
        <w:t>signiﬁcant</w:t>
      </w:r>
      <w:r>
        <w:rPr>
          <w:i/>
          <w:spacing w:val="-4"/>
          <w:sz w:val="18"/>
        </w:rPr>
        <w:t> </w:t>
      </w:r>
      <w:r>
        <w:rPr>
          <w:i/>
          <w:sz w:val="18"/>
        </w:rPr>
        <w:t>ESG</w:t>
      </w:r>
      <w:r>
        <w:rPr>
          <w:i/>
          <w:spacing w:val="-4"/>
          <w:sz w:val="18"/>
        </w:rPr>
        <w:t> </w:t>
      </w:r>
      <w:r>
        <w:rPr>
          <w:i/>
          <w:sz w:val="18"/>
        </w:rPr>
        <w:t>risk</w:t>
      </w:r>
      <w:r>
        <w:rPr>
          <w:i/>
          <w:spacing w:val="-4"/>
          <w:sz w:val="18"/>
        </w:rPr>
        <w:t> </w:t>
      </w:r>
      <w:r>
        <w:rPr>
          <w:i/>
          <w:sz w:val="18"/>
        </w:rPr>
        <w:t>exposure</w:t>
      </w:r>
      <w:r>
        <w:rPr>
          <w:i/>
          <w:spacing w:val="-4"/>
          <w:sz w:val="18"/>
        </w:rPr>
        <w:t> </w:t>
      </w:r>
      <w:r>
        <w:rPr>
          <w:i/>
          <w:sz w:val="18"/>
        </w:rPr>
        <w:t>is</w:t>
      </w:r>
      <w:r>
        <w:rPr>
          <w:i/>
          <w:spacing w:val="-4"/>
          <w:sz w:val="18"/>
        </w:rPr>
        <w:t> </w:t>
      </w:r>
      <w:r>
        <w:rPr>
          <w:i/>
          <w:sz w:val="18"/>
        </w:rPr>
        <w:t>based</w:t>
      </w:r>
      <w:r>
        <w:rPr>
          <w:i/>
          <w:spacing w:val="-4"/>
          <w:sz w:val="18"/>
        </w:rPr>
        <w:t> </w:t>
      </w:r>
      <w:r>
        <w:rPr>
          <w:i/>
          <w:sz w:val="18"/>
        </w:rPr>
        <w:t>on</w:t>
      </w:r>
      <w:r>
        <w:rPr>
          <w:i/>
          <w:spacing w:val="-4"/>
          <w:sz w:val="18"/>
        </w:rPr>
        <w:t> </w:t>
      </w:r>
      <w:r>
        <w:rPr>
          <w:i/>
          <w:sz w:val="18"/>
        </w:rPr>
        <w:t>a</w:t>
      </w:r>
      <w:r>
        <w:rPr>
          <w:i/>
          <w:spacing w:val="-4"/>
          <w:sz w:val="18"/>
        </w:rPr>
        <w:t> </w:t>
      </w:r>
      <w:r>
        <w:rPr>
          <w:i/>
          <w:sz w:val="18"/>
        </w:rPr>
        <w:t>project-level</w:t>
      </w:r>
      <w:r>
        <w:rPr>
          <w:i/>
          <w:spacing w:val="-4"/>
          <w:sz w:val="18"/>
        </w:rPr>
        <w:t> </w:t>
      </w:r>
      <w:r>
        <w:rPr>
          <w:i/>
          <w:sz w:val="18"/>
        </w:rPr>
        <w:t>composite</w:t>
      </w:r>
      <w:r>
        <w:rPr>
          <w:i/>
          <w:spacing w:val="-4"/>
          <w:sz w:val="18"/>
        </w:rPr>
        <w:t> </w:t>
      </w:r>
      <w:r>
        <w:rPr>
          <w:i/>
          <w:sz w:val="18"/>
        </w:rPr>
        <w:t>measure</w:t>
      </w:r>
      <w:r>
        <w:rPr>
          <w:i/>
          <w:spacing w:val="-4"/>
          <w:sz w:val="18"/>
        </w:rPr>
        <w:t> </w:t>
      </w:r>
      <w:r>
        <w:rPr>
          <w:i/>
          <w:sz w:val="18"/>
        </w:rPr>
        <w:t>that</w:t>
      </w:r>
      <w:r>
        <w:rPr>
          <w:i/>
          <w:spacing w:val="-4"/>
          <w:sz w:val="18"/>
        </w:rPr>
        <w:t> </w:t>
      </w:r>
      <w:r>
        <w:rPr>
          <w:i/>
          <w:sz w:val="18"/>
        </w:rPr>
        <w:t>is</w:t>
      </w:r>
      <w:r>
        <w:rPr>
          <w:i/>
          <w:sz w:val="18"/>
        </w:rPr>
        <w:t> described in Section 2 of Chapter 3.</w:t>
      </w:r>
    </w:p>
    <w:p>
      <w:pPr>
        <w:pStyle w:val="BodyText"/>
        <w:rPr>
          <w:i/>
          <w:sz w:val="18"/>
        </w:rPr>
      </w:pPr>
    </w:p>
    <w:p>
      <w:pPr>
        <w:pStyle w:val="Heading3"/>
        <w:spacing w:before="114"/>
      </w:pPr>
      <w:r>
        <w:rPr/>
        <w:t>Section</w:t>
      </w:r>
      <w:r>
        <w:rPr>
          <w:spacing w:val="-16"/>
        </w:rPr>
        <w:t> </w:t>
      </w:r>
      <w:r>
        <w:rPr/>
        <w:t>5:</w:t>
      </w:r>
      <w:r>
        <w:rPr>
          <w:spacing w:val="-14"/>
        </w:rPr>
        <w:t> </w:t>
      </w:r>
      <w:r>
        <w:rPr/>
        <w:t>Reputational</w:t>
      </w:r>
      <w:r>
        <w:rPr>
          <w:spacing w:val="-14"/>
        </w:rPr>
        <w:t> </w:t>
      </w:r>
      <w:r>
        <w:rPr/>
        <w:t>risk</w:t>
      </w:r>
      <w:r>
        <w:rPr>
          <w:spacing w:val="-15"/>
        </w:rPr>
        <w:t> </w:t>
      </w:r>
      <w:r>
        <w:rPr/>
        <w:t>from</w:t>
      </w:r>
      <w:r>
        <w:rPr>
          <w:spacing w:val="-15"/>
        </w:rPr>
        <w:t> </w:t>
      </w:r>
      <w:r>
        <w:rPr/>
        <w:t>Beijing’s</w:t>
      </w:r>
      <w:r>
        <w:rPr>
          <w:spacing w:val="-14"/>
        </w:rPr>
        <w:t> </w:t>
      </w:r>
      <w:r>
        <w:rPr>
          <w:spacing w:val="-2"/>
        </w:rPr>
        <w:t>perspective</w:t>
      </w:r>
    </w:p>
    <w:p>
      <w:pPr>
        <w:pStyle w:val="BodyText"/>
        <w:spacing w:line="333" w:lineRule="auto" w:before="270"/>
        <w:ind w:left="460" w:right="582"/>
      </w:pPr>
      <w:r>
        <w:t>Managing the risk proﬁle of China's overseas development program also requires a focus on grassroots, media, and elite support in host countries.[53] In 2014, Xi Jinping made the case for reputational risk management in China’s international activities, arguing that “[w]e should increase China’s soft power, give a good Chinese narrative, and better communicate China’s message to the world” (People’s Daily 2014). Reinforcing this point, a senior ofﬁcial from China’s Ministry of Commerce noted that “the work of foreign aid relates to China’s image. We cannot tolerate any negligence or projects of poor quality” (MOFCOM 2014). More recently, at a September 2023 conference on the 10th anniversary of the BRI, China's Ambassador to the European Union acknowledged that "[w]hen it comes to the BRI, whether it's good or bad, we need to listen more to the receiving countries. We know there is a lot of criticism in the Western media and also from Western governments sometimes but we care more about the reactions from the receiving states, especially in the Global South” (Euractiv 2023).</w:t>
      </w:r>
    </w:p>
    <w:p>
      <w:pPr>
        <w:pStyle w:val="BodyText"/>
        <w:spacing w:before="1"/>
        <w:rPr>
          <w:sz w:val="17"/>
        </w:rPr>
      </w:pPr>
      <w:r>
        <w:rPr/>
        <w:pict>
          <v:shape style="position:absolute;margin-left:90pt;margin-top:11.035668pt;width:144pt;height:.1pt;mso-position-horizontal-relative:page;mso-position-vertical-relative:paragraph;z-index:-15702016;mso-wrap-distance-left:0;mso-wrap-distance-right:0" id="docshape40" coordorigin="1800,221" coordsize="2880,0" path="m1800,221l4680,221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80" w:bottom="920" w:left="1340" w:right="1340"/>
        </w:sectPr>
      </w:pPr>
    </w:p>
    <w:p>
      <w:pPr>
        <w:pStyle w:val="BodyText"/>
        <w:spacing w:before="7"/>
        <w:rPr>
          <w:sz w:val="27"/>
        </w:rPr>
      </w:pPr>
    </w:p>
    <w:p>
      <w:pPr>
        <w:pStyle w:val="BodyText"/>
        <w:spacing w:line="333" w:lineRule="auto"/>
        <w:ind w:left="460"/>
      </w:pPr>
      <w:r>
        <w:t>Figure 1.14 presents data from the Gallup World Poll (GWP) on average levels of public support for the Chinese government and the U.S. government across the developing world during the early BRI (2014-2017) period and the late BRI (2018-2021) period. The GWP data show similar levels of public support for Beijing and Washington during the early BRI period. Both countries saw their approval ratings in the Global South ﬂuctuate between 50% and 60% between 2014 and 2017. However, as the initial momentum behind China’s ﬂagship global infrastructure initiative waned and countries re-evaluated the risks and rewards of their continued participation during the late BRI period, global public opinion vis-à-vis China soured. Beijing suffered a 16 percentage point loss between 2019 and 2021; its public approval rating in low-income and middle-income countries plunged from 56% in 2019 to 40% in 2021.[54] Washington, by contrast, saw its approval rating in the Global South rise by 7 percentage points in 2021, thereby opening up a 14 percentage point advantage over its rival.</w:t>
      </w:r>
    </w:p>
    <w:p>
      <w:pPr>
        <w:pStyle w:val="BodyText"/>
        <w:spacing w:before="6"/>
      </w:pPr>
      <w:r>
        <w:t xml:space="preserve"> performance of the leadership of the United States?”) into two binary indicators that assume values of 1 if a respondent approves of the leadership of China or the leadership of the U.S., respectively.[55] We then calculate the percentage of respondents who approved of the leadership of China or the leadership of the U.S., respectively, at the country-year level.</w:t>
      </w:r>
    </w:p>
    <w:p>
      <w:pPr>
        <w:pStyle w:val="BodyText"/>
        <w:spacing w:before="6"/>
        <w:rPr>
          <w:sz w:val="17"/>
        </w:rPr>
      </w:pPr>
    </w:p>
    <w:p>
      <w:pPr>
        <w:spacing w:after="0" w:line="249" w:lineRule="auto"/>
        <w:jc w:val="left"/>
        <w:rPr>
          <w:sz w:val="18"/>
        </w:rPr>
        <w:sectPr>
          <w:pgSz w:w="12240" w:h="15840"/>
          <w:pgMar w:header="0" w:footer="720" w:top="1400" w:bottom="920" w:left="1340" w:right="1340"/>
        </w:sectPr>
      </w:pPr>
    </w:p>
    <w:p>
      <w:pPr>
        <w:pStyle w:val="BodyText"/>
        <w:spacing w:before="1"/>
        <w:rPr>
          <w:sz w:val="21"/>
        </w:rPr>
      </w:pPr>
    </w:p>
    <w:p>
      <w:pPr>
        <w:spacing w:line="300" w:lineRule="auto" w:before="0"/>
        <w:ind w:left="460" w:right="485" w:firstLine="0"/>
        <w:jc w:val="left"/>
        <w:rPr>
          <w:sz w:val="20"/>
        </w:rPr>
      </w:pPr>
      <w:r>
        <w:rPr>
          <w:sz w:val="20"/>
        </w:rPr>
        <w:t>We measure media sentiment toward China and the U.S. by calculating two sets of average </w:t>
      </w:r>
      <w:r>
        <w:rPr>
          <w:spacing w:val="-2"/>
          <w:w w:val="105"/>
          <w:sz w:val="20"/>
        </w:rPr>
        <w:t>scores—one</w:t>
      </w:r>
      <w:r>
        <w:rPr>
          <w:spacing w:val="-11"/>
          <w:w w:val="105"/>
          <w:sz w:val="20"/>
        </w:rPr>
        <w:t> </w:t>
      </w:r>
      <w:r>
        <w:rPr>
          <w:spacing w:val="-2"/>
          <w:w w:val="105"/>
          <w:sz w:val="20"/>
        </w:rPr>
        <w:t>for</w:t>
      </w:r>
      <w:r>
        <w:rPr>
          <w:spacing w:val="-11"/>
          <w:w w:val="105"/>
          <w:sz w:val="20"/>
        </w:rPr>
        <w:t> </w:t>
      </w:r>
      <w:r>
        <w:rPr>
          <w:spacing w:val="-2"/>
          <w:w w:val="105"/>
          <w:sz w:val="20"/>
        </w:rPr>
        <w:t>China</w:t>
      </w:r>
      <w:r>
        <w:rPr>
          <w:spacing w:val="-11"/>
          <w:w w:val="105"/>
          <w:sz w:val="20"/>
        </w:rPr>
        <w:t> </w:t>
      </w:r>
      <w:r>
        <w:rPr>
          <w:spacing w:val="-2"/>
          <w:w w:val="105"/>
          <w:sz w:val="20"/>
        </w:rPr>
        <w:t>and</w:t>
      </w:r>
      <w:r>
        <w:rPr>
          <w:spacing w:val="-11"/>
          <w:w w:val="105"/>
          <w:sz w:val="20"/>
        </w:rPr>
        <w:t> </w:t>
      </w:r>
      <w:r>
        <w:rPr>
          <w:spacing w:val="-2"/>
          <w:w w:val="105"/>
          <w:sz w:val="20"/>
        </w:rPr>
        <w:t>one</w:t>
      </w:r>
      <w:r>
        <w:rPr>
          <w:spacing w:val="-11"/>
          <w:w w:val="105"/>
          <w:sz w:val="20"/>
        </w:rPr>
        <w:t> </w:t>
      </w:r>
      <w:r>
        <w:rPr>
          <w:spacing w:val="-2"/>
          <w:w w:val="105"/>
          <w:sz w:val="20"/>
        </w:rPr>
        <w:t>for</w:t>
      </w:r>
      <w:r>
        <w:rPr>
          <w:spacing w:val="-11"/>
          <w:w w:val="105"/>
          <w:sz w:val="20"/>
        </w:rPr>
        <w:t> </w:t>
      </w:r>
      <w:r>
        <w:rPr>
          <w:spacing w:val="-2"/>
          <w:w w:val="105"/>
          <w:sz w:val="20"/>
        </w:rPr>
        <w:t>the</w:t>
      </w:r>
      <w:r>
        <w:rPr>
          <w:spacing w:val="-11"/>
          <w:w w:val="105"/>
          <w:sz w:val="20"/>
        </w:rPr>
        <w:t> </w:t>
      </w:r>
      <w:r>
        <w:rPr>
          <w:spacing w:val="-2"/>
          <w:w w:val="105"/>
          <w:sz w:val="20"/>
        </w:rPr>
        <w:t>U.S.—at</w:t>
      </w:r>
      <w:r>
        <w:rPr>
          <w:spacing w:val="-11"/>
          <w:w w:val="105"/>
          <w:sz w:val="20"/>
        </w:rPr>
        <w:t> </w:t>
      </w:r>
      <w:r>
        <w:rPr>
          <w:spacing w:val="-2"/>
          <w:w w:val="105"/>
          <w:sz w:val="20"/>
        </w:rPr>
        <w:t>the</w:t>
      </w:r>
      <w:r>
        <w:rPr>
          <w:spacing w:val="-11"/>
          <w:w w:val="105"/>
          <w:sz w:val="20"/>
        </w:rPr>
        <w:t> </w:t>
      </w:r>
      <w:r>
        <w:rPr>
          <w:spacing w:val="-2"/>
          <w:w w:val="105"/>
          <w:sz w:val="20"/>
        </w:rPr>
        <w:t>country-year</w:t>
      </w:r>
      <w:r>
        <w:rPr>
          <w:spacing w:val="-11"/>
          <w:w w:val="105"/>
          <w:sz w:val="20"/>
        </w:rPr>
        <w:t> </w:t>
      </w:r>
      <w:r>
        <w:rPr>
          <w:spacing w:val="-2"/>
          <w:w w:val="105"/>
          <w:sz w:val="20"/>
        </w:rPr>
        <w:t>from</w:t>
      </w:r>
      <w:r>
        <w:rPr>
          <w:spacing w:val="-11"/>
          <w:w w:val="105"/>
          <w:sz w:val="20"/>
        </w:rPr>
        <w:t> </w:t>
      </w:r>
      <w:r>
        <w:rPr>
          <w:spacing w:val="-2"/>
          <w:w w:val="105"/>
          <w:sz w:val="20"/>
        </w:rPr>
        <w:t>the</w:t>
      </w:r>
      <w:r>
        <w:rPr>
          <w:spacing w:val="-11"/>
          <w:w w:val="105"/>
          <w:sz w:val="20"/>
        </w:rPr>
        <w:t> </w:t>
      </w:r>
      <w:r>
        <w:rPr>
          <w:spacing w:val="-2"/>
          <w:w w:val="105"/>
          <w:sz w:val="20"/>
        </w:rPr>
        <w:t>Global</w:t>
      </w:r>
      <w:r>
        <w:rPr>
          <w:spacing w:val="-10"/>
          <w:w w:val="105"/>
          <w:sz w:val="20"/>
        </w:rPr>
        <w:t> </w:t>
      </w:r>
      <w:r>
        <w:rPr>
          <w:spacing w:val="-2"/>
          <w:w w:val="105"/>
          <w:sz w:val="20"/>
        </w:rPr>
        <w:t>Database</w:t>
      </w:r>
      <w:r>
        <w:rPr>
          <w:spacing w:val="-11"/>
          <w:w w:val="105"/>
          <w:sz w:val="20"/>
        </w:rPr>
        <w:t> </w:t>
      </w:r>
      <w:r>
        <w:rPr>
          <w:spacing w:val="-2"/>
          <w:w w:val="105"/>
          <w:sz w:val="20"/>
        </w:rPr>
        <w:t>of </w:t>
      </w:r>
      <w:r>
        <w:rPr>
          <w:sz w:val="20"/>
        </w:rPr>
        <w:t>Events,</w:t>
      </w:r>
      <w:r>
        <w:rPr>
          <w:spacing w:val="-5"/>
          <w:sz w:val="20"/>
        </w:rPr>
        <w:t> </w:t>
      </w:r>
      <w:r>
        <w:rPr>
          <w:sz w:val="20"/>
        </w:rPr>
        <w:t>Language,</w:t>
      </w:r>
      <w:r>
        <w:rPr>
          <w:spacing w:val="-5"/>
          <w:sz w:val="20"/>
        </w:rPr>
        <w:t> </w:t>
      </w:r>
      <w:r>
        <w:rPr>
          <w:sz w:val="20"/>
        </w:rPr>
        <w:t>and</w:t>
      </w:r>
      <w:r>
        <w:rPr>
          <w:spacing w:val="-5"/>
          <w:sz w:val="20"/>
        </w:rPr>
        <w:t> </w:t>
      </w:r>
      <w:r>
        <w:rPr>
          <w:sz w:val="20"/>
        </w:rPr>
        <w:t>Tone</w:t>
      </w:r>
      <w:r>
        <w:rPr>
          <w:spacing w:val="-5"/>
          <w:sz w:val="20"/>
        </w:rPr>
        <w:t> </w:t>
      </w:r>
      <w:r>
        <w:rPr>
          <w:sz w:val="20"/>
        </w:rPr>
        <w:t>(GDELT)</w:t>
      </w:r>
      <w:r>
        <w:rPr>
          <w:spacing w:val="-4"/>
          <w:sz w:val="20"/>
        </w:rPr>
        <w:t> </w:t>
      </w:r>
      <w:r>
        <w:rPr>
          <w:sz w:val="20"/>
        </w:rPr>
        <w:t>1.0</w:t>
      </w:r>
      <w:r>
        <w:rPr>
          <w:spacing w:val="-5"/>
          <w:sz w:val="20"/>
        </w:rPr>
        <w:t> </w:t>
      </w:r>
      <w:r>
        <w:rPr>
          <w:sz w:val="20"/>
        </w:rPr>
        <w:t>Event</w:t>
      </w:r>
      <w:r>
        <w:rPr>
          <w:spacing w:val="-5"/>
          <w:sz w:val="20"/>
        </w:rPr>
        <w:t> </w:t>
      </w:r>
      <w:r>
        <w:rPr>
          <w:sz w:val="20"/>
        </w:rPr>
        <w:t>Database.</w:t>
      </w:r>
      <w:r>
        <w:rPr>
          <w:spacing w:val="-5"/>
          <w:sz w:val="20"/>
        </w:rPr>
        <w:t> </w:t>
      </w:r>
      <w:r>
        <w:rPr>
          <w:sz w:val="20"/>
        </w:rPr>
        <w:t>We</w:t>
      </w:r>
      <w:r>
        <w:rPr>
          <w:spacing w:val="-5"/>
          <w:sz w:val="20"/>
        </w:rPr>
        <w:t> </w:t>
      </w:r>
      <w:r>
        <w:rPr>
          <w:sz w:val="20"/>
        </w:rPr>
        <w:t>rely</w:t>
      </w:r>
      <w:r>
        <w:rPr>
          <w:spacing w:val="-5"/>
          <w:sz w:val="20"/>
        </w:rPr>
        <w:t> </w:t>
      </w:r>
      <w:r>
        <w:rPr>
          <w:sz w:val="20"/>
        </w:rPr>
        <w:t>on</w:t>
      </w:r>
      <w:r>
        <w:rPr>
          <w:spacing w:val="-5"/>
          <w:sz w:val="20"/>
        </w:rPr>
        <w:t> </w:t>
      </w:r>
      <w:r>
        <w:rPr>
          <w:sz w:val="20"/>
        </w:rPr>
        <w:t>the</w:t>
      </w:r>
      <w:r>
        <w:rPr>
          <w:spacing w:val="-5"/>
          <w:sz w:val="20"/>
        </w:rPr>
        <w:t> </w:t>
      </w:r>
      <w:r>
        <w:rPr>
          <w:sz w:val="20"/>
        </w:rPr>
        <w:t>AvgTone</w:t>
      </w:r>
      <w:r>
        <w:rPr>
          <w:spacing w:val="-5"/>
          <w:sz w:val="20"/>
        </w:rPr>
        <w:t> </w:t>
      </w:r>
      <w:r>
        <w:rPr>
          <w:sz w:val="20"/>
        </w:rPr>
        <w:t>variable, </w:t>
      </w:r>
      <w:r>
        <w:rPr>
          <w:spacing w:val="-2"/>
          <w:w w:val="105"/>
          <w:sz w:val="20"/>
        </w:rPr>
        <w:t>which</w:t>
      </w:r>
      <w:r>
        <w:rPr>
          <w:spacing w:val="-6"/>
          <w:w w:val="105"/>
          <w:sz w:val="20"/>
        </w:rPr>
        <w:t> </w:t>
      </w:r>
      <w:r>
        <w:rPr>
          <w:spacing w:val="-2"/>
          <w:w w:val="105"/>
          <w:sz w:val="20"/>
        </w:rPr>
        <w:t>is</w:t>
      </w:r>
      <w:r>
        <w:rPr>
          <w:spacing w:val="-6"/>
          <w:w w:val="105"/>
          <w:sz w:val="20"/>
        </w:rPr>
        <w:t> </w:t>
      </w:r>
      <w:r>
        <w:rPr>
          <w:spacing w:val="-2"/>
          <w:w w:val="105"/>
          <w:sz w:val="20"/>
        </w:rPr>
        <w:t>algorithmically</w:t>
      </w:r>
      <w:r>
        <w:rPr>
          <w:spacing w:val="-6"/>
          <w:w w:val="105"/>
          <w:sz w:val="20"/>
        </w:rPr>
        <w:t> </w:t>
      </w:r>
      <w:r>
        <w:rPr>
          <w:spacing w:val="-2"/>
          <w:w w:val="105"/>
          <w:sz w:val="20"/>
        </w:rPr>
        <w:t>calculated</w:t>
      </w:r>
      <w:r>
        <w:rPr>
          <w:spacing w:val="-6"/>
          <w:w w:val="105"/>
          <w:sz w:val="20"/>
        </w:rPr>
        <w:t> </w:t>
      </w:r>
      <w:r>
        <w:rPr>
          <w:spacing w:val="-2"/>
          <w:w w:val="105"/>
          <w:sz w:val="20"/>
        </w:rPr>
        <w:t>based</w:t>
      </w:r>
      <w:r>
        <w:rPr>
          <w:spacing w:val="-6"/>
          <w:w w:val="105"/>
          <w:sz w:val="20"/>
        </w:rPr>
        <w:t> </w:t>
      </w:r>
      <w:r>
        <w:rPr>
          <w:spacing w:val="-2"/>
          <w:w w:val="105"/>
          <w:sz w:val="20"/>
        </w:rPr>
        <w:t>on</w:t>
      </w:r>
      <w:r>
        <w:rPr>
          <w:spacing w:val="-6"/>
          <w:w w:val="105"/>
          <w:sz w:val="20"/>
        </w:rPr>
        <w:t> </w:t>
      </w:r>
      <w:r>
        <w:rPr>
          <w:spacing w:val="-2"/>
          <w:w w:val="105"/>
          <w:sz w:val="20"/>
        </w:rPr>
        <w:t>the</w:t>
      </w:r>
      <w:r>
        <w:rPr>
          <w:spacing w:val="-6"/>
          <w:w w:val="105"/>
          <w:sz w:val="20"/>
        </w:rPr>
        <w:t> </w:t>
      </w:r>
      <w:r>
        <w:rPr>
          <w:spacing w:val="-2"/>
          <w:w w:val="105"/>
          <w:sz w:val="20"/>
        </w:rPr>
        <w:t>tone</w:t>
      </w:r>
      <w:r>
        <w:rPr>
          <w:spacing w:val="-6"/>
          <w:w w:val="105"/>
          <w:sz w:val="20"/>
        </w:rPr>
        <w:t> </w:t>
      </w:r>
      <w:r>
        <w:rPr>
          <w:spacing w:val="-2"/>
          <w:w w:val="105"/>
          <w:sz w:val="20"/>
        </w:rPr>
        <w:t>of</w:t>
      </w:r>
      <w:r>
        <w:rPr>
          <w:spacing w:val="-6"/>
          <w:w w:val="105"/>
          <w:sz w:val="20"/>
        </w:rPr>
        <w:t> </w:t>
      </w:r>
      <w:r>
        <w:rPr>
          <w:spacing w:val="-2"/>
          <w:w w:val="105"/>
          <w:sz w:val="20"/>
        </w:rPr>
        <w:t>hundreds</w:t>
      </w:r>
      <w:r>
        <w:rPr>
          <w:spacing w:val="-6"/>
          <w:w w:val="105"/>
          <w:sz w:val="20"/>
        </w:rPr>
        <w:t> </w:t>
      </w:r>
      <w:r>
        <w:rPr>
          <w:spacing w:val="-2"/>
          <w:w w:val="105"/>
          <w:sz w:val="20"/>
        </w:rPr>
        <w:t>of</w:t>
      </w:r>
      <w:r>
        <w:rPr>
          <w:spacing w:val="-6"/>
          <w:w w:val="105"/>
          <w:sz w:val="20"/>
        </w:rPr>
        <w:t> </w:t>
      </w:r>
      <w:r>
        <w:rPr>
          <w:spacing w:val="-2"/>
          <w:w w:val="105"/>
          <w:sz w:val="20"/>
        </w:rPr>
        <w:t>millions</w:t>
      </w:r>
      <w:r>
        <w:rPr>
          <w:spacing w:val="-6"/>
          <w:w w:val="105"/>
          <w:sz w:val="20"/>
        </w:rPr>
        <w:t> </w:t>
      </w:r>
      <w:r>
        <w:rPr>
          <w:spacing w:val="-2"/>
          <w:w w:val="105"/>
          <w:sz w:val="20"/>
        </w:rPr>
        <w:t>of</w:t>
      </w:r>
      <w:r>
        <w:rPr>
          <w:spacing w:val="-6"/>
          <w:w w:val="105"/>
          <w:sz w:val="20"/>
        </w:rPr>
        <w:t> </w:t>
      </w:r>
      <w:r>
        <w:rPr>
          <w:spacing w:val="-2"/>
          <w:w w:val="105"/>
          <w:sz w:val="20"/>
        </w:rPr>
        <w:t>news</w:t>
      </w:r>
      <w:r>
        <w:rPr>
          <w:spacing w:val="-6"/>
          <w:w w:val="105"/>
          <w:sz w:val="20"/>
        </w:rPr>
        <w:t> </w:t>
      </w:r>
      <w:r>
        <w:rPr>
          <w:spacing w:val="-2"/>
          <w:w w:val="105"/>
          <w:sz w:val="20"/>
        </w:rPr>
        <w:t>articles </w:t>
      </w:r>
      <w:r>
        <w:rPr>
          <w:sz w:val="20"/>
        </w:rPr>
        <w:t>across nearly 200 countries. This measure varies from -100 to +100, with positive scores </w:t>
      </w:r>
      <w:r>
        <w:rPr>
          <w:w w:val="105"/>
          <w:sz w:val="20"/>
        </w:rPr>
        <w:t>indicating</w:t>
      </w:r>
      <w:r>
        <w:rPr>
          <w:spacing w:val="-15"/>
          <w:w w:val="105"/>
          <w:sz w:val="20"/>
        </w:rPr>
        <w:t> </w:t>
      </w:r>
      <w:r>
        <w:rPr>
          <w:w w:val="105"/>
          <w:sz w:val="20"/>
        </w:rPr>
        <w:t>favorable</w:t>
      </w:r>
      <w:r>
        <w:rPr>
          <w:spacing w:val="-15"/>
          <w:w w:val="105"/>
          <w:sz w:val="20"/>
        </w:rPr>
        <w:t> </w:t>
      </w:r>
      <w:r>
        <w:rPr>
          <w:w w:val="105"/>
          <w:sz w:val="20"/>
        </w:rPr>
        <w:t>media</w:t>
      </w:r>
      <w:r>
        <w:rPr>
          <w:spacing w:val="-14"/>
          <w:w w:val="105"/>
          <w:sz w:val="20"/>
        </w:rPr>
        <w:t> </w:t>
      </w:r>
      <w:r>
        <w:rPr>
          <w:w w:val="105"/>
          <w:sz w:val="20"/>
        </w:rPr>
        <w:t>coverage</w:t>
      </w:r>
      <w:r>
        <w:rPr>
          <w:spacing w:val="-15"/>
          <w:w w:val="105"/>
          <w:sz w:val="20"/>
        </w:rPr>
        <w:t> </w:t>
      </w:r>
      <w:r>
        <w:rPr>
          <w:w w:val="105"/>
          <w:sz w:val="20"/>
        </w:rPr>
        <w:t>related</w:t>
      </w:r>
      <w:r>
        <w:rPr>
          <w:spacing w:val="-14"/>
          <w:w w:val="105"/>
          <w:sz w:val="20"/>
        </w:rPr>
        <w:t> </w:t>
      </w:r>
      <w:r>
        <w:rPr>
          <w:w w:val="105"/>
          <w:sz w:val="20"/>
        </w:rPr>
        <w:t>to</w:t>
      </w:r>
      <w:r>
        <w:rPr>
          <w:spacing w:val="-15"/>
          <w:w w:val="105"/>
          <w:sz w:val="20"/>
        </w:rPr>
        <w:t> </w:t>
      </w:r>
      <w:r>
        <w:rPr>
          <w:w w:val="105"/>
          <w:sz w:val="20"/>
        </w:rPr>
        <w:t>government</w:t>
      </w:r>
      <w:r>
        <w:rPr>
          <w:spacing w:val="-15"/>
          <w:w w:val="105"/>
          <w:sz w:val="20"/>
        </w:rPr>
        <w:t> </w:t>
      </w:r>
      <w:r>
        <w:rPr>
          <w:w w:val="105"/>
          <w:sz w:val="20"/>
        </w:rPr>
        <w:t>actors</w:t>
      </w:r>
      <w:r>
        <w:rPr>
          <w:spacing w:val="-14"/>
          <w:w w:val="105"/>
          <w:sz w:val="20"/>
        </w:rPr>
        <w:t> </w:t>
      </w:r>
      <w:r>
        <w:rPr>
          <w:w w:val="105"/>
          <w:sz w:val="20"/>
        </w:rPr>
        <w:t>in</w:t>
      </w:r>
      <w:r>
        <w:rPr>
          <w:spacing w:val="-15"/>
          <w:w w:val="105"/>
          <w:sz w:val="20"/>
        </w:rPr>
        <w:t> </w:t>
      </w:r>
      <w:r>
        <w:rPr>
          <w:w w:val="105"/>
          <w:sz w:val="20"/>
        </w:rPr>
        <w:t>mainland</w:t>
      </w:r>
      <w:r>
        <w:rPr>
          <w:spacing w:val="-14"/>
          <w:w w:val="105"/>
          <w:sz w:val="20"/>
        </w:rPr>
        <w:t> </w:t>
      </w:r>
      <w:r>
        <w:rPr>
          <w:w w:val="105"/>
          <w:sz w:val="20"/>
        </w:rPr>
        <w:t>China</w:t>
      </w:r>
      <w:r>
        <w:rPr>
          <w:spacing w:val="-15"/>
          <w:w w:val="105"/>
          <w:sz w:val="20"/>
        </w:rPr>
        <w:t> </w:t>
      </w:r>
      <w:r>
        <w:rPr>
          <w:w w:val="105"/>
          <w:sz w:val="20"/>
        </w:rPr>
        <w:t>(or</w:t>
      </w:r>
      <w:r>
        <w:rPr>
          <w:spacing w:val="-15"/>
          <w:w w:val="105"/>
          <w:sz w:val="20"/>
        </w:rPr>
        <w:t> </w:t>
      </w:r>
      <w:r>
        <w:rPr>
          <w:w w:val="105"/>
          <w:sz w:val="20"/>
        </w:rPr>
        <w:t>the </w:t>
      </w:r>
      <w:r>
        <w:rPr>
          <w:sz w:val="20"/>
        </w:rPr>
        <w:t>U.S.) and negative scores indicating unfavorable coverage related to government actors in mainland</w:t>
      </w:r>
      <w:r>
        <w:rPr>
          <w:spacing w:val="-8"/>
          <w:sz w:val="20"/>
        </w:rPr>
        <w:t> </w:t>
      </w:r>
      <w:r>
        <w:rPr>
          <w:sz w:val="20"/>
        </w:rPr>
        <w:t>China</w:t>
      </w:r>
      <w:r>
        <w:rPr>
          <w:spacing w:val="-8"/>
          <w:sz w:val="20"/>
        </w:rPr>
        <w:t> </w:t>
      </w:r>
      <w:r>
        <w:rPr>
          <w:sz w:val="20"/>
        </w:rPr>
        <w:t>(or</w:t>
      </w:r>
      <w:r>
        <w:rPr>
          <w:spacing w:val="-8"/>
          <w:sz w:val="20"/>
        </w:rPr>
        <w:t> </w:t>
      </w:r>
      <w:r>
        <w:rPr>
          <w:sz w:val="20"/>
        </w:rPr>
        <w:t>the</w:t>
      </w:r>
      <w:r>
        <w:rPr>
          <w:spacing w:val="-8"/>
          <w:sz w:val="20"/>
        </w:rPr>
        <w:t> </w:t>
      </w:r>
      <w:r>
        <w:rPr>
          <w:sz w:val="20"/>
        </w:rPr>
        <w:t>U.S.).</w:t>
      </w:r>
      <w:r>
        <w:rPr>
          <w:sz w:val="20"/>
          <w:vertAlign w:val="superscript"/>
        </w:rPr>
        <w:t>[56]</w:t>
      </w:r>
      <w:r>
        <w:rPr>
          <w:spacing w:val="-8"/>
          <w:sz w:val="20"/>
          <w:vertAlign w:val="baseline"/>
        </w:rPr>
        <w:t> </w:t>
      </w:r>
      <w:r>
        <w:rPr>
          <w:sz w:val="20"/>
          <w:vertAlign w:val="baseline"/>
        </w:rPr>
        <w:t>For</w:t>
      </w:r>
      <w:r>
        <w:rPr>
          <w:spacing w:val="-8"/>
          <w:sz w:val="20"/>
          <w:vertAlign w:val="baseline"/>
        </w:rPr>
        <w:t> </w:t>
      </w:r>
      <w:r>
        <w:rPr>
          <w:sz w:val="20"/>
          <w:vertAlign w:val="baseline"/>
        </w:rPr>
        <w:t>most</w:t>
      </w:r>
      <w:r>
        <w:rPr>
          <w:spacing w:val="-8"/>
          <w:sz w:val="20"/>
          <w:vertAlign w:val="baseline"/>
        </w:rPr>
        <w:t> </w:t>
      </w:r>
      <w:r>
        <w:rPr>
          <w:sz w:val="20"/>
          <w:vertAlign w:val="baseline"/>
        </w:rPr>
        <w:t>countries</w:t>
      </w:r>
      <w:r>
        <w:rPr>
          <w:spacing w:val="-8"/>
          <w:sz w:val="20"/>
          <w:vertAlign w:val="baseline"/>
        </w:rPr>
        <w:t> </w:t>
      </w:r>
      <w:r>
        <w:rPr>
          <w:sz w:val="20"/>
          <w:vertAlign w:val="baseline"/>
        </w:rPr>
        <w:t>at</w:t>
      </w:r>
      <w:r>
        <w:rPr>
          <w:spacing w:val="-8"/>
          <w:sz w:val="20"/>
          <w:vertAlign w:val="baseline"/>
        </w:rPr>
        <w:t> </w:t>
      </w:r>
      <w:r>
        <w:rPr>
          <w:sz w:val="20"/>
          <w:vertAlign w:val="baseline"/>
        </w:rPr>
        <w:t>most</w:t>
      </w:r>
      <w:r>
        <w:rPr>
          <w:spacing w:val="-8"/>
          <w:sz w:val="20"/>
          <w:vertAlign w:val="baseline"/>
        </w:rPr>
        <w:t> </w:t>
      </w:r>
      <w:r>
        <w:rPr>
          <w:sz w:val="20"/>
          <w:vertAlign w:val="baseline"/>
        </w:rPr>
        <w:t>times,</w:t>
      </w:r>
      <w:r>
        <w:rPr>
          <w:spacing w:val="-8"/>
          <w:sz w:val="20"/>
          <w:vertAlign w:val="baseline"/>
        </w:rPr>
        <w:t> </w:t>
      </w:r>
      <w:r>
        <w:rPr>
          <w:sz w:val="20"/>
          <w:vertAlign w:val="baseline"/>
        </w:rPr>
        <w:t>AvgTone</w:t>
      </w:r>
      <w:r>
        <w:rPr>
          <w:spacing w:val="-8"/>
          <w:sz w:val="20"/>
          <w:vertAlign w:val="baseline"/>
        </w:rPr>
        <w:t> </w:t>
      </w:r>
      <w:r>
        <w:rPr>
          <w:sz w:val="20"/>
          <w:vertAlign w:val="baseline"/>
        </w:rPr>
        <w:t>scores</w:t>
      </w:r>
      <w:r>
        <w:rPr>
          <w:spacing w:val="-8"/>
          <w:sz w:val="20"/>
          <w:vertAlign w:val="baseline"/>
        </w:rPr>
        <w:t> </w:t>
      </w:r>
      <w:r>
        <w:rPr>
          <w:sz w:val="20"/>
          <w:vertAlign w:val="baseline"/>
        </w:rPr>
        <w:t>vary</w:t>
      </w:r>
      <w:r>
        <w:rPr>
          <w:spacing w:val="-8"/>
          <w:sz w:val="20"/>
          <w:vertAlign w:val="baseline"/>
        </w:rPr>
        <w:t> </w:t>
      </w:r>
      <w:r>
        <w:rPr>
          <w:sz w:val="20"/>
          <w:vertAlign w:val="baseline"/>
        </w:rPr>
        <w:t>between</w:t>
      </w:r>
    </w:p>
    <w:p>
      <w:pPr>
        <w:spacing w:before="4"/>
        <w:ind w:left="460" w:right="0" w:firstLine="0"/>
        <w:jc w:val="left"/>
        <w:rPr>
          <w:sz w:val="20"/>
        </w:rPr>
      </w:pPr>
      <w:r>
        <w:rPr>
          <w:sz w:val="20"/>
        </w:rPr>
        <w:t>-10 and +10,</w:t>
      </w:r>
      <w:r>
        <w:rPr>
          <w:spacing w:val="1"/>
          <w:sz w:val="20"/>
        </w:rPr>
        <w:t> </w:t>
      </w:r>
      <w:r>
        <w:rPr>
          <w:sz w:val="20"/>
        </w:rPr>
        <w:t>with values of</w:t>
      </w:r>
      <w:r>
        <w:rPr>
          <w:spacing w:val="1"/>
          <w:sz w:val="20"/>
        </w:rPr>
        <w:t> </w:t>
      </w:r>
      <w:r>
        <w:rPr>
          <w:sz w:val="20"/>
        </w:rPr>
        <w:t>0 indicating</w:t>
      </w:r>
      <w:r>
        <w:rPr>
          <w:spacing w:val="1"/>
          <w:sz w:val="20"/>
        </w:rPr>
        <w:t> </w:t>
      </w:r>
      <w:r>
        <w:rPr>
          <w:sz w:val="20"/>
        </w:rPr>
        <w:t>neutral</w:t>
      </w:r>
      <w:r>
        <w:rPr>
          <w:spacing w:val="1"/>
          <w:sz w:val="20"/>
        </w:rPr>
        <w:t> </w:t>
      </w:r>
      <w:r>
        <w:rPr>
          <w:sz w:val="20"/>
        </w:rPr>
        <w:t>media </w:t>
      </w:r>
      <w:r>
        <w:rPr>
          <w:spacing w:val="-2"/>
          <w:sz w:val="20"/>
        </w:rPr>
        <w:t>coverage.</w:t>
      </w:r>
    </w:p>
    <w:p>
      <w:pPr>
        <w:pStyle w:val="BodyText"/>
        <w:spacing w:before="11"/>
        <w:rPr>
          <w:sz w:val="25"/>
        </w:rPr>
      </w:pPr>
    </w:p>
    <w:p>
      <w:pPr>
        <w:spacing w:line="300" w:lineRule="auto" w:before="0"/>
        <w:ind w:left="460" w:right="598" w:firstLine="0"/>
        <w:jc w:val="left"/>
        <w:rPr>
          <w:sz w:val="20"/>
        </w:rPr>
      </w:pPr>
      <w:r>
        <w:rPr>
          <w:sz w:val="20"/>
        </w:rPr>
        <w:t>We measure elite support for China and the U.S. by assessing the extent to which other governments align their votes in the United Nations General Assembly (UNGA) with each of these foreign powers. The UNGA is a venue in which governments have an opportunity to stake out foreign policy positions that are similar or dissimilar to those adopted by China (or the U.S.). Our measure of UNGA voting alignment with China (or the U.S.) is based on</w:t>
      </w:r>
      <w:r>
        <w:rPr>
          <w:spacing w:val="40"/>
          <w:sz w:val="20"/>
        </w:rPr>
        <w:t> </w:t>
      </w:r>
      <w:r>
        <w:rPr>
          <w:sz w:val="20"/>
        </w:rPr>
        <w:t>“idealpointdistance” estimates between each country in the 3.0 version of AidData’s GCDF dataset and China (or the U.S.). These estimates are drawn from Version 29.0 of the United Nations General Assembly Voting Data (Bailey et al. 2017) and they are inverted, such that higher values indicate higher levels of UNGA voting alignment with China (or the U.S.).</w:t>
      </w:r>
      <w:r>
        <w:rPr>
          <w:sz w:val="20"/>
          <w:vertAlign w:val="superscript"/>
        </w:rPr>
        <w:t>[57]</w:t>
      </w:r>
    </w:p>
    <w:p>
      <w:pPr>
        <w:pStyle w:val="BodyText"/>
        <w:spacing w:before="9"/>
        <w:rPr>
          <w:sz w:val="31"/>
        </w:rPr>
      </w:pPr>
    </w:p>
    <w:p>
      <w:pPr>
        <w:pStyle w:val="BodyText"/>
        <w:spacing w:line="333" w:lineRule="auto"/>
        <w:ind w:left="460" w:right="567"/>
      </w:pPr>
      <w:r>
        <w:t>The global competition for favorable media coverage did not play out in quite the same way. Figure 1.15 demonstrates that, in absolute terms, China outperformed the U.S. on this dimension of soft power in the developing world during both the early BRI period and late BRI period.[58] This pattern is consistent with evidence that Beijing’s grassroots image management strategy involves proactive use of public diplomacy tools to generate more favorable media reporting about China (Brazys and Dukalskis 2019; Custer et al. 2018, 2019). But Beijing’s advantage over Washington was hardly insurmountable; by 2020 and 2021, China had lost ground to the U.S. and was struggling to maintain a razor-thin lead in media coverage favorability.</w:t>
      </w:r>
    </w:p>
    <w:p>
      <w:pPr>
        <w:pStyle w:val="BodyText"/>
        <w:spacing w:before="2"/>
        <w:rPr>
          <w:sz w:val="23"/>
        </w:rPr>
      </w:pPr>
      <w:r>
        <w:rPr/>
        <w:pict>
          <v:shape style="position:absolute;margin-left:90pt;margin-top:14.525489pt;width:144pt;height:.1pt;mso-position-horizontal-relative:page;mso-position-vertical-relative:paragraph;z-index:-15700480;mso-wrap-distance-left:0;mso-wrap-distance-right:0" id="docshape44" coordorigin="1800,291" coordsize="2880,0" path="m1800,291l4680,291e" filled="false" stroked="true" strokeweight=".75pt" strokecolor="#000000">
            <v:path arrowok="t"/>
            <v:stroke dashstyle="solid"/>
            <w10:wrap type="topAndBottom"/>
          </v:shape>
        </w:pict>
      </w:r>
    </w:p>
    <w:p>
      <w:pPr>
        <w:spacing w:after="0"/>
        <w:jc w:val="left"/>
        <w:rPr>
          <w:sz w:val="18"/>
        </w:rPr>
        <w:sectPr>
          <w:pgSz w:w="12240" w:h="15840"/>
          <w:pgMar w:header="0" w:footer="720" w:top="1380" w:bottom="920" w:left="1340" w:right="1340"/>
        </w:sectPr>
      </w:pPr>
    </w:p>
    <w:p>
      <w:pPr>
        <w:pStyle w:val="BodyText"/>
      </w:pPr>
    </w:p>
    <w:p>
      <w:pPr>
        <w:pStyle w:val="BodyText"/>
        <w:spacing w:line="333" w:lineRule="auto" w:before="151"/>
        <w:ind w:left="460" w:right="485"/>
      </w:pPr>
      <w:r>
        <w:t>China’s outsized inﬂuence in the Global South is most clearly evident in the United Nations General Assembly (UNGA), where voting patterns are often used as a proxy for the extent to which governing elites in developing countries align their foreign policy positions with those of the U.S. or China. Figure 1.16 demonstrates that countries in the Global South consistently vote with China rather than the U.S. in UNGA. Although there are some natural foreign policy afﬁnities between China and countries in the Global South, Beijing has a well-established track record of using its largesse to buy votes in international organizations.[59] In joint work with our longtime collaborators from Heidelberg University, the University of Göttingen, the University of Hong Kong, and William &amp; Mary, we show in a new book called Banking on Beijing that when countries vote with China in the UN General Assembly, they are richly rewarded. Our statistical model results imply that if a low-income or middle-income government chooses to increase the alignment of its UNGA voting with China by just 10%, it can expect to see a 276% increase in aid and credit (ODA and OOF commitments) from Beijing, on average (Dreher et al. 2022).[60]</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8"/>
        </w:rPr>
      </w:pPr>
      <w:r>
        <w:rPr/>
        <w:pict>
          <v:shape style="position:absolute;margin-left:90pt;margin-top:11.953321pt;width:144pt;height:.1pt;mso-position-horizontal-relative:page;mso-position-vertical-relative:paragraph;z-index:-15699456;mso-wrap-distance-left:0;mso-wrap-distance-right:0" id="docshape45" coordorigin="1800,239" coordsize="2880,0" path="m1800,239l4680,239e" filled="false" stroked="true" strokeweight=".75pt" strokecolor="#000000">
            <v:path arrowok="t"/>
            <v:stroke dashstyle="solid"/>
            <w10:wrap type="topAndBottom"/>
          </v:shape>
        </w:pict>
      </w:r>
    </w:p>
    <w:p>
      <w:pPr>
        <w:spacing w:after="0" w:line="252" w:lineRule="auto"/>
        <w:jc w:val="left"/>
        <w:rPr>
          <w:sz w:val="18"/>
        </w:rPr>
        <w:sectPr>
          <w:pgSz w:w="12240" w:h="15840"/>
          <w:pgMar w:header="0" w:footer="720" w:top="1400" w:bottom="920" w:left="1340" w:right="1340"/>
        </w:sectPr>
      </w:pPr>
    </w:p>
    <w:p>
      <w:pPr>
        <w:pStyle w:val="BodyText"/>
        <w:ind w:left="340"/>
        <w:rPr>
          <w:sz w:val="20"/>
        </w:rPr>
      </w:pPr>
      <w:r>
        <w:rPr>
          <w:sz w:val="20"/>
        </w:rPr>
        <w:pict>
          <v:shape style="width:444pt;height:38pt;mso-position-horizontal-relative:char;mso-position-vertical-relative:line" type="#_x0000_t202" id="docshape46"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1.14</w:t>
                  </w:r>
                </w:p>
              </w:txbxContent>
            </v:textbox>
            <v:fill type="solid"/>
          </v:shape>
        </w:pict>
      </w:r>
      <w:r>
        <w:rPr>
          <w:sz w:val="20"/>
        </w:rPr>
      </w:r>
    </w:p>
    <w:p>
      <w:pPr>
        <w:pStyle w:val="BodyText"/>
        <w:spacing w:before="4"/>
        <w:rPr>
          <w:sz w:val="14"/>
        </w:rPr>
      </w:pPr>
      <w:r>
        <w:rPr/>
        <w:drawing>
          <wp:anchor distT="0" distB="0" distL="0" distR="0" allowOverlap="1" layoutInCell="1" locked="0" behindDoc="0" simplePos="0" relativeHeight="59">
            <wp:simplePos x="0" y="0"/>
            <wp:positionH relativeFrom="page">
              <wp:posOffset>1250453</wp:posOffset>
            </wp:positionH>
            <wp:positionV relativeFrom="paragraph">
              <wp:posOffset>120085</wp:posOffset>
            </wp:positionV>
            <wp:extent cx="5194442" cy="3181730"/>
            <wp:effectExtent l="0" t="0" r="0" b="0"/>
            <wp:wrapTopAndBottom/>
            <wp:docPr id="29" name="image15.jpeg"/>
            <wp:cNvGraphicFramePr>
              <a:graphicFrameLocks noChangeAspect="1"/>
            </wp:cNvGraphicFramePr>
            <a:graphic>
              <a:graphicData uri="http://schemas.openxmlformats.org/drawingml/2006/picture">
                <pic:pic>
                  <pic:nvPicPr>
                    <pic:cNvPr id="30" name="image15.jpeg"/>
                    <pic:cNvPicPr/>
                  </pic:nvPicPr>
                  <pic:blipFill>
                    <a:blip r:embed="rId22" cstate="print"/>
                    <a:stretch>
                      <a:fillRect/>
                    </a:stretch>
                  </pic:blipFill>
                  <pic:spPr>
                    <a:xfrm>
                      <a:off x="0" y="0"/>
                      <a:ext cx="5194442" cy="3181730"/>
                    </a:xfrm>
                    <a:prstGeom prst="rect">
                      <a:avLst/>
                    </a:prstGeom>
                  </pic:spPr>
                </pic:pic>
              </a:graphicData>
            </a:graphic>
          </wp:anchor>
        </w:drawing>
      </w:r>
    </w:p>
    <w:p>
      <w:pPr>
        <w:pStyle w:val="BodyText"/>
        <w:rPr>
          <w:sz w:val="20"/>
        </w:rPr>
      </w:pPr>
    </w:p>
    <w:p>
      <w:pPr>
        <w:pStyle w:val="BodyText"/>
        <w:spacing w:before="6"/>
        <w:rPr>
          <w:sz w:val="20"/>
        </w:rPr>
      </w:pPr>
    </w:p>
    <w:p>
      <w:pPr>
        <w:spacing w:line="333" w:lineRule="auto" w:before="0"/>
        <w:ind w:left="460" w:right="0" w:firstLine="0"/>
        <w:jc w:val="left"/>
        <w:rPr>
          <w:i/>
          <w:sz w:val="18"/>
        </w:rPr>
      </w:pPr>
      <w:r>
        <w:rPr>
          <w:i/>
          <w:sz w:val="18"/>
        </w:rPr>
        <w:t>Notes: Average public approval ratings for China and the U.S. are weighted by country population. </w:t>
      </w:r>
      <w:r>
        <w:rPr>
          <w:i/>
          <w:sz w:val="18"/>
        </w:rPr>
        <w:t>The</w:t>
      </w:r>
      <w:r>
        <w:rPr>
          <w:i/>
          <w:sz w:val="18"/>
        </w:rPr>
        <w:t> construction of this variable is described in greater detail in Box 1b.</w:t>
      </w:r>
    </w:p>
    <w:p>
      <w:pPr>
        <w:spacing w:after="0" w:line="333"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47"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1.15</w:t>
                  </w:r>
                </w:p>
              </w:txbxContent>
            </v:textbox>
            <v:fill type="solid"/>
          </v:shape>
        </w:pict>
      </w:r>
      <w:r>
        <w:rPr>
          <w:sz w:val="20"/>
        </w:rPr>
      </w:r>
    </w:p>
    <w:p>
      <w:pPr>
        <w:pStyle w:val="BodyText"/>
        <w:spacing w:before="4"/>
        <w:rPr>
          <w:i/>
          <w:sz w:val="14"/>
        </w:rPr>
      </w:pPr>
      <w:r>
        <w:rPr/>
        <w:drawing>
          <wp:anchor distT="0" distB="0" distL="0" distR="0" allowOverlap="1" layoutInCell="1" locked="0" behindDoc="0" simplePos="0" relativeHeight="61">
            <wp:simplePos x="0" y="0"/>
            <wp:positionH relativeFrom="page">
              <wp:posOffset>1250453</wp:posOffset>
            </wp:positionH>
            <wp:positionV relativeFrom="paragraph">
              <wp:posOffset>120307</wp:posOffset>
            </wp:positionV>
            <wp:extent cx="5184668" cy="3181730"/>
            <wp:effectExtent l="0" t="0" r="0" b="0"/>
            <wp:wrapTopAndBottom/>
            <wp:docPr id="31" name="image16.jpeg"/>
            <wp:cNvGraphicFramePr>
              <a:graphicFrameLocks noChangeAspect="1"/>
            </wp:cNvGraphicFramePr>
            <a:graphic>
              <a:graphicData uri="http://schemas.openxmlformats.org/drawingml/2006/picture">
                <pic:pic>
                  <pic:nvPicPr>
                    <pic:cNvPr id="32" name="image16.jpeg"/>
                    <pic:cNvPicPr/>
                  </pic:nvPicPr>
                  <pic:blipFill>
                    <a:blip r:embed="rId23" cstate="print"/>
                    <a:stretch>
                      <a:fillRect/>
                    </a:stretch>
                  </pic:blipFill>
                  <pic:spPr>
                    <a:xfrm>
                      <a:off x="0" y="0"/>
                      <a:ext cx="5184668" cy="3181730"/>
                    </a:xfrm>
                    <a:prstGeom prst="rect">
                      <a:avLst/>
                    </a:prstGeom>
                  </pic:spPr>
                </pic:pic>
              </a:graphicData>
            </a:graphic>
          </wp:anchor>
        </w:drawing>
      </w:r>
    </w:p>
    <w:p>
      <w:pPr>
        <w:pStyle w:val="BodyText"/>
        <w:rPr>
          <w:i/>
          <w:sz w:val="20"/>
        </w:rPr>
      </w:pPr>
    </w:p>
    <w:p>
      <w:pPr>
        <w:pStyle w:val="BodyText"/>
        <w:spacing w:before="2"/>
        <w:rPr>
          <w:i/>
          <w:sz w:val="19"/>
        </w:rPr>
      </w:pPr>
    </w:p>
    <w:p>
      <w:pPr>
        <w:spacing w:line="333" w:lineRule="auto" w:before="0"/>
        <w:ind w:left="460" w:right="0" w:firstLine="0"/>
        <w:jc w:val="left"/>
        <w:rPr>
          <w:i/>
          <w:sz w:val="18"/>
        </w:rPr>
      </w:pPr>
      <w:r>
        <w:rPr>
          <w:i/>
          <w:sz w:val="18"/>
        </w:rPr>
        <w:t>Notes: Average media sentiment ratings for China and the U.S. are weighted by country population. </w:t>
      </w:r>
      <w:r>
        <w:rPr>
          <w:i/>
          <w:sz w:val="18"/>
        </w:rPr>
        <w:t>The</w:t>
      </w:r>
      <w:r>
        <w:rPr>
          <w:i/>
          <w:sz w:val="18"/>
        </w:rPr>
        <w:t> construction of this variable is described in greater detail in Box 1b.</w:t>
      </w:r>
    </w:p>
    <w:p>
      <w:pPr>
        <w:spacing w:after="0" w:line="333"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48"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5"/>
                      <w:sz w:val="32"/>
                    </w:rPr>
                    <w:t>1.6</w:t>
                  </w:r>
                </w:p>
              </w:txbxContent>
            </v:textbox>
            <v:fill type="solid"/>
          </v:shape>
        </w:pict>
      </w:r>
      <w:r>
        <w:rPr>
          <w:sz w:val="20"/>
        </w:rPr>
      </w:r>
    </w:p>
    <w:p>
      <w:pPr>
        <w:pStyle w:val="BodyText"/>
        <w:spacing w:before="4"/>
        <w:rPr>
          <w:i/>
          <w:sz w:val="14"/>
        </w:rPr>
      </w:pPr>
      <w:r>
        <w:rPr/>
        <w:drawing>
          <wp:anchor distT="0" distB="0" distL="0" distR="0" allowOverlap="1" layoutInCell="1" locked="0" behindDoc="0" simplePos="0" relativeHeight="63">
            <wp:simplePos x="0" y="0"/>
            <wp:positionH relativeFrom="page">
              <wp:posOffset>1250453</wp:posOffset>
            </wp:positionH>
            <wp:positionV relativeFrom="paragraph">
              <wp:posOffset>120243</wp:posOffset>
            </wp:positionV>
            <wp:extent cx="5238074" cy="3403091"/>
            <wp:effectExtent l="0" t="0" r="0" b="0"/>
            <wp:wrapTopAndBottom/>
            <wp:docPr id="33" name="image17.jpeg"/>
            <wp:cNvGraphicFramePr>
              <a:graphicFrameLocks noChangeAspect="1"/>
            </wp:cNvGraphicFramePr>
            <a:graphic>
              <a:graphicData uri="http://schemas.openxmlformats.org/drawingml/2006/picture">
                <pic:pic>
                  <pic:nvPicPr>
                    <pic:cNvPr id="34" name="image17.jpeg"/>
                    <pic:cNvPicPr/>
                  </pic:nvPicPr>
                  <pic:blipFill>
                    <a:blip r:embed="rId24" cstate="print"/>
                    <a:stretch>
                      <a:fillRect/>
                    </a:stretch>
                  </pic:blipFill>
                  <pic:spPr>
                    <a:xfrm>
                      <a:off x="0" y="0"/>
                      <a:ext cx="5238074" cy="3403091"/>
                    </a:xfrm>
                    <a:prstGeom prst="rect">
                      <a:avLst/>
                    </a:prstGeom>
                  </pic:spPr>
                </pic:pic>
              </a:graphicData>
            </a:graphic>
          </wp:anchor>
        </w:drawing>
      </w:r>
    </w:p>
    <w:p>
      <w:pPr>
        <w:pStyle w:val="BodyText"/>
        <w:spacing w:before="6"/>
        <w:rPr>
          <w:i/>
          <w:sz w:val="10"/>
        </w:rPr>
      </w:pPr>
    </w:p>
    <w:p>
      <w:pPr>
        <w:spacing w:line="333" w:lineRule="auto" w:before="71"/>
        <w:ind w:left="460" w:right="449" w:firstLine="0"/>
        <w:jc w:val="left"/>
        <w:rPr>
          <w:i/>
          <w:sz w:val="18"/>
        </w:rPr>
      </w:pPr>
      <w:r>
        <w:rPr>
          <w:i/>
          <w:sz w:val="18"/>
        </w:rPr>
        <w:t>Notes: Average UNGA voting alignment scores for China and the U.S. are weighted by country </w:t>
      </w:r>
      <w:r>
        <w:rPr>
          <w:i/>
          <w:sz w:val="18"/>
        </w:rPr>
        <w:t>population.</w:t>
      </w:r>
      <w:r>
        <w:rPr>
          <w:i/>
          <w:sz w:val="18"/>
        </w:rPr>
        <w:t> </w:t>
      </w:r>
      <w:r>
        <w:rPr>
          <w:i/>
          <w:w w:val="105"/>
          <w:sz w:val="18"/>
        </w:rPr>
        <w:t>The</w:t>
      </w:r>
      <w:r>
        <w:rPr>
          <w:i/>
          <w:spacing w:val="-5"/>
          <w:w w:val="105"/>
          <w:sz w:val="18"/>
        </w:rPr>
        <w:t> </w:t>
      </w:r>
      <w:r>
        <w:rPr>
          <w:i/>
          <w:w w:val="105"/>
          <w:sz w:val="18"/>
        </w:rPr>
        <w:t>construction</w:t>
      </w:r>
      <w:r>
        <w:rPr>
          <w:i/>
          <w:spacing w:val="-5"/>
          <w:w w:val="105"/>
          <w:sz w:val="18"/>
        </w:rPr>
        <w:t> </w:t>
      </w:r>
      <w:r>
        <w:rPr>
          <w:i/>
          <w:w w:val="105"/>
          <w:sz w:val="18"/>
        </w:rPr>
        <w:t>of</w:t>
      </w:r>
      <w:r>
        <w:rPr>
          <w:i/>
          <w:spacing w:val="-5"/>
          <w:w w:val="105"/>
          <w:sz w:val="18"/>
        </w:rPr>
        <w:t> </w:t>
      </w:r>
      <w:r>
        <w:rPr>
          <w:i/>
          <w:w w:val="105"/>
          <w:sz w:val="18"/>
        </w:rPr>
        <w:t>this</w:t>
      </w:r>
      <w:r>
        <w:rPr>
          <w:i/>
          <w:spacing w:val="-5"/>
          <w:w w:val="105"/>
          <w:sz w:val="18"/>
        </w:rPr>
        <w:t> </w:t>
      </w:r>
      <w:r>
        <w:rPr>
          <w:i/>
          <w:w w:val="105"/>
          <w:sz w:val="18"/>
        </w:rPr>
        <w:t>variable</w:t>
      </w:r>
      <w:r>
        <w:rPr>
          <w:i/>
          <w:spacing w:val="-5"/>
          <w:w w:val="105"/>
          <w:sz w:val="18"/>
        </w:rPr>
        <w:t> </w:t>
      </w:r>
      <w:r>
        <w:rPr>
          <w:i/>
          <w:w w:val="105"/>
          <w:sz w:val="18"/>
        </w:rPr>
        <w:t>is</w:t>
      </w:r>
      <w:r>
        <w:rPr>
          <w:i/>
          <w:spacing w:val="-5"/>
          <w:w w:val="105"/>
          <w:sz w:val="18"/>
        </w:rPr>
        <w:t> </w:t>
      </w:r>
      <w:r>
        <w:rPr>
          <w:i/>
          <w:w w:val="105"/>
          <w:sz w:val="18"/>
        </w:rPr>
        <w:t>described</w:t>
      </w:r>
      <w:r>
        <w:rPr>
          <w:i/>
          <w:spacing w:val="-5"/>
          <w:w w:val="105"/>
          <w:sz w:val="18"/>
        </w:rPr>
        <w:t> </w:t>
      </w:r>
      <w:r>
        <w:rPr>
          <w:i/>
          <w:w w:val="105"/>
          <w:sz w:val="18"/>
        </w:rPr>
        <w:t>in</w:t>
      </w:r>
      <w:r>
        <w:rPr>
          <w:i/>
          <w:spacing w:val="-5"/>
          <w:w w:val="105"/>
          <w:sz w:val="18"/>
        </w:rPr>
        <w:t> </w:t>
      </w:r>
      <w:r>
        <w:rPr>
          <w:i/>
          <w:w w:val="105"/>
          <w:sz w:val="18"/>
        </w:rPr>
        <w:t>greater</w:t>
      </w:r>
      <w:r>
        <w:rPr>
          <w:i/>
          <w:spacing w:val="-5"/>
          <w:w w:val="105"/>
          <w:sz w:val="18"/>
        </w:rPr>
        <w:t> </w:t>
      </w:r>
      <w:r>
        <w:rPr>
          <w:i/>
          <w:w w:val="105"/>
          <w:sz w:val="18"/>
        </w:rPr>
        <w:t>detail</w:t>
      </w:r>
      <w:r>
        <w:rPr>
          <w:i/>
          <w:spacing w:val="-5"/>
          <w:w w:val="105"/>
          <w:sz w:val="18"/>
        </w:rPr>
        <w:t> </w:t>
      </w:r>
      <w:r>
        <w:rPr>
          <w:i/>
          <w:w w:val="105"/>
          <w:sz w:val="18"/>
        </w:rPr>
        <w:t>in</w:t>
      </w:r>
      <w:r>
        <w:rPr>
          <w:i/>
          <w:spacing w:val="-5"/>
          <w:w w:val="105"/>
          <w:sz w:val="18"/>
        </w:rPr>
        <w:t> </w:t>
      </w:r>
      <w:r>
        <w:rPr>
          <w:i/>
          <w:w w:val="105"/>
          <w:sz w:val="18"/>
        </w:rPr>
        <w:t>Box</w:t>
      </w:r>
      <w:r>
        <w:rPr>
          <w:i/>
          <w:spacing w:val="-5"/>
          <w:w w:val="105"/>
          <w:sz w:val="18"/>
        </w:rPr>
        <w:t> </w:t>
      </w:r>
      <w:r>
        <w:rPr>
          <w:i/>
          <w:w w:val="105"/>
          <w:sz w:val="18"/>
        </w:rPr>
        <w:t>1b.</w:t>
      </w:r>
    </w:p>
    <w:p>
      <w:pPr>
        <w:pStyle w:val="BodyText"/>
        <w:rPr>
          <w:i/>
          <w:sz w:val="18"/>
        </w:rPr>
      </w:pPr>
    </w:p>
    <w:p>
      <w:pPr>
        <w:pStyle w:val="BodyText"/>
        <w:spacing w:line="333" w:lineRule="auto" w:before="113"/>
        <w:ind w:left="460" w:right="843"/>
      </w:pPr>
      <w:r>
        <w:t>Figure 1.17 tallies the annual number of soft power “gains” and “losses” that China experienced vis-à-vis the U.S. on a country-by-country basis between 2014 and 2021.[61] On all three measures of soft power (public opinion, media sentiment, and elite support), China has experienced more losses than gains vis-à-vis the U.S. since 2014 (the ﬁrst full year of BRI implementation). Public opinion in the developing world has moved in a particularly unfavorable direction for Beijing. During the early BRI period, 39% of the country-level public opinion changes that China experienced were relative losses rather than relative gains (i.e., public opinion toward the U.S. improved at a faster rate than public opinion toward China, or public opinion toward the U.S. declined at a slower rate than public opinion toward China). However, during the late BRI period, this ﬁgure shot up to 66%. By 2021, nearly 85% of the country-level public opinion changes that China experienced were relative losses rather than relative gains (see Figure A8 in the Appendix). Over time, rising levels of public antipathy toward China and expanding popular support for the U.S. have widened Washington’s soft power advantage over Beijing. The battle for hearts and minds in the developing world was effectively a toss-up during the early years of the BRI: Beijing and Washington achieved a similar number of public opinion gains and losses on a country-by-country basis.[62] However, during the late BRI period (2018-2021), Beijing’s losses outnumbered its wins—by a signiﬁcant margin.[63]</w:t>
      </w:r>
    </w:p>
    <w:p>
      <w:pPr>
        <w:pStyle w:val="BodyText"/>
        <w:rPr>
          <w:sz w:val="20"/>
        </w:rPr>
      </w:pPr>
    </w:p>
    <w:p>
      <w:pPr>
        <w:pStyle w:val="BodyText"/>
        <w:spacing w:before="7"/>
        <w:rPr>
          <w:sz w:val="19"/>
        </w:rPr>
      </w:pPr>
      <w:r>
        <w:rPr/>
        <w:pict>
          <v:shape style="position:absolute;margin-left:90pt;margin-top:12.522192pt;width:144pt;height:.1pt;mso-position-horizontal-relative:page;mso-position-vertical-relative:paragraph;z-index:-15695872;mso-wrap-distance-left:0;mso-wrap-distance-right:0" id="docshape49" coordorigin="1800,250" coordsize="2880,0" path="m1800,250l4680,250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80" w:bottom="920" w:left="1340" w:right="1340"/>
        </w:sectPr>
      </w:pPr>
    </w:p>
    <w:p>
      <w:pPr>
        <w:pStyle w:val="BodyText"/>
        <w:spacing w:before="2"/>
        <w:rPr>
          <w:sz w:val="27"/>
        </w:rPr>
      </w:pPr>
    </w:p>
    <w:p>
      <w:pPr>
        <w:pStyle w:val="BodyText"/>
        <w:spacing w:line="333" w:lineRule="auto"/>
        <w:ind w:left="460" w:right="526"/>
      </w:pPr>
      <w:r>
        <w:rPr/>
        <w:t>Figures</w:t>
      </w:r>
      <w:r>
        <w:rPr>
          <w:spacing w:val="-1"/>
        </w:rPr>
        <w:t> </w:t>
      </w:r>
      <w:r>
        <w:rPr/>
        <w:t>1.18</w:t>
      </w:r>
      <w:r>
        <w:rPr>
          <w:spacing w:val="-1"/>
        </w:rPr>
        <w:t> </w:t>
      </w:r>
      <w:r>
        <w:rPr/>
        <w:t>and</w:t>
      </w:r>
      <w:r>
        <w:rPr>
          <w:spacing w:val="-1"/>
        </w:rPr>
        <w:t> </w:t>
      </w:r>
      <w:r>
        <w:rPr/>
        <w:t>1.19</w:t>
      </w:r>
      <w:r>
        <w:rPr>
          <w:spacing w:val="-1"/>
        </w:rPr>
        <w:t> </w:t>
      </w:r>
      <w:r>
        <w:rPr/>
        <w:t>suggest</w:t>
      </w:r>
      <w:r>
        <w:rPr>
          <w:spacing w:val="-1"/>
        </w:rPr>
        <w:t> </w:t>
      </w:r>
      <w:r>
        <w:rPr/>
        <w:t>that</w:t>
      </w:r>
      <w:r>
        <w:rPr>
          <w:spacing w:val="-1"/>
        </w:rPr>
        <w:t> </w:t>
      </w:r>
      <w:r>
        <w:rPr/>
        <w:t>Beijing</w:t>
      </w:r>
      <w:r>
        <w:rPr>
          <w:spacing w:val="-1"/>
        </w:rPr>
        <w:t> </w:t>
      </w:r>
      <w:r>
        <w:rPr/>
        <w:t>has</w:t>
      </w:r>
      <w:r>
        <w:rPr>
          <w:spacing w:val="-1"/>
        </w:rPr>
        <w:t> </w:t>
      </w:r>
      <w:r>
        <w:rPr/>
        <w:t>suffered</w:t>
      </w:r>
      <w:r>
        <w:rPr>
          <w:spacing w:val="-1"/>
        </w:rPr>
        <w:t> </w:t>
      </w:r>
      <w:r>
        <w:rPr/>
        <w:t>less</w:t>
      </w:r>
      <w:r>
        <w:rPr>
          <w:spacing w:val="-1"/>
        </w:rPr>
        <w:t> </w:t>
      </w:r>
      <w:r>
        <w:rPr/>
        <w:t>acute</w:t>
      </w:r>
      <w:r>
        <w:rPr>
          <w:spacing w:val="-1"/>
        </w:rPr>
        <w:t> </w:t>
      </w:r>
      <w:r>
        <w:rPr/>
        <w:t>public</w:t>
      </w:r>
      <w:r>
        <w:rPr>
          <w:spacing w:val="-1"/>
        </w:rPr>
        <w:t> </w:t>
      </w:r>
      <w:r>
        <w:rPr/>
        <w:t>opinion and media sentiment losses in BRI participant countries, which is consistent with new research on the international image-enhancing effects of Chinese aid and credit (Wellner et al. forthcoming, 2023; Brazys and Dukalskis 2019).</w:t>
      </w:r>
      <w:r>
        <w:rPr>
          <w:vertAlign w:val="superscript"/>
        </w:rPr>
        <w:t>[64]</w:t>
      </w:r>
      <w:r>
        <w:rPr>
          <w:spacing w:val="-1"/>
          <w:vertAlign w:val="baseline"/>
        </w:rPr>
        <w:t> </w:t>
      </w:r>
      <w:r>
        <w:rPr>
          <w:vertAlign w:val="baseline"/>
        </w:rPr>
        <w:t>However, even in BRI participant countries, the trend lines have moved in a direction that should provide cold comfort to Beijing. Figure 1.20 provides additional grounds for concern, since it demonstrates that governing elites in BRI participant countries are taking foreign policy positions that are increasingly out of</w:t>
      </w:r>
      <w:r>
        <w:rPr>
          <w:spacing w:val="80"/>
          <w:vertAlign w:val="baseline"/>
        </w:rPr>
        <w:t> </w:t>
      </w:r>
      <w:r>
        <w:rPr>
          <w:vertAlign w:val="baseline"/>
        </w:rPr>
        <w:t>alignment with those of China. Souring media sentiment and declining levels of public support may be making it more difﬁcult for governing elites to maintain close relations with Beijing.</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1"/>
        </w:rPr>
      </w:pPr>
      <w:r>
        <w:rPr/>
        <w:pict>
          <v:shape style="position:absolute;margin-left:90pt;margin-top:7.980616pt;width:144pt;height:.1pt;mso-position-horizontal-relative:page;mso-position-vertical-relative:paragraph;z-index:-15695360;mso-wrap-distance-left:0;mso-wrap-distance-right:0" id="docshape50" coordorigin="1800,160" coordsize="2880,0" path="m1800,160l4680,160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pStyle w:val="BodyText"/>
        <w:ind w:left="340"/>
        <w:rPr>
          <w:sz w:val="20"/>
        </w:rPr>
      </w:pPr>
      <w:r>
        <w:rPr>
          <w:sz w:val="20"/>
        </w:rPr>
        <w:pict>
          <v:shape style="width:444pt;height:38pt;mso-position-horizontal-relative:char;mso-position-vertical-relative:line" type="#_x0000_t202" id="docshape51"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1.17</w:t>
                  </w:r>
                </w:p>
              </w:txbxContent>
            </v:textbox>
            <v:fill type="solid"/>
          </v:shape>
        </w:pict>
      </w:r>
      <w:r>
        <w:rPr>
          <w:sz w:val="20"/>
        </w:rPr>
      </w:r>
    </w:p>
    <w:p>
      <w:pPr>
        <w:pStyle w:val="BodyText"/>
        <w:spacing w:before="11"/>
        <w:rPr>
          <w:sz w:val="13"/>
        </w:rPr>
      </w:pPr>
      <w:r>
        <w:rPr/>
        <w:drawing>
          <wp:anchor distT="0" distB="0" distL="0" distR="0" allowOverlap="1" layoutInCell="1" locked="0" behindDoc="0" simplePos="0" relativeHeight="67">
            <wp:simplePos x="0" y="0"/>
            <wp:positionH relativeFrom="page">
              <wp:posOffset>1255811</wp:posOffset>
            </wp:positionH>
            <wp:positionV relativeFrom="paragraph">
              <wp:posOffset>117319</wp:posOffset>
            </wp:positionV>
            <wp:extent cx="4550157" cy="4968621"/>
            <wp:effectExtent l="0" t="0" r="0" b="0"/>
            <wp:wrapTopAndBottom/>
            <wp:docPr id="35" name="image18.jpeg"/>
            <wp:cNvGraphicFramePr>
              <a:graphicFrameLocks noChangeAspect="1"/>
            </wp:cNvGraphicFramePr>
            <a:graphic>
              <a:graphicData uri="http://schemas.openxmlformats.org/drawingml/2006/picture">
                <pic:pic>
                  <pic:nvPicPr>
                    <pic:cNvPr id="36" name="image18.jpeg"/>
                    <pic:cNvPicPr/>
                  </pic:nvPicPr>
                  <pic:blipFill>
                    <a:blip r:embed="rId25" cstate="print"/>
                    <a:stretch>
                      <a:fillRect/>
                    </a:stretch>
                  </pic:blipFill>
                  <pic:spPr>
                    <a:xfrm>
                      <a:off x="0" y="0"/>
                      <a:ext cx="4550157" cy="4968621"/>
                    </a:xfrm>
                    <a:prstGeom prst="rect">
                      <a:avLst/>
                    </a:prstGeom>
                  </pic:spPr>
                </pic:pic>
              </a:graphicData>
            </a:graphic>
          </wp:anchor>
        </w:drawing>
      </w:r>
    </w:p>
    <w:p>
      <w:pPr>
        <w:pStyle w:val="BodyText"/>
        <w:rPr>
          <w:sz w:val="20"/>
        </w:rPr>
      </w:pPr>
    </w:p>
    <w:p>
      <w:pPr>
        <w:pStyle w:val="BodyText"/>
        <w:spacing w:before="6"/>
        <w:rPr>
          <w:sz w:val="16"/>
        </w:rPr>
      </w:pPr>
    </w:p>
    <w:p>
      <w:pPr>
        <w:spacing w:line="333" w:lineRule="auto" w:before="71"/>
        <w:ind w:left="460" w:right="583" w:firstLine="0"/>
        <w:jc w:val="left"/>
        <w:rPr>
          <w:i/>
          <w:sz w:val="18"/>
        </w:rPr>
      </w:pPr>
      <w:r>
        <w:rPr>
          <w:i/>
          <w:sz w:val="18"/>
        </w:rPr>
        <w:t>Notes: China’s relative gains and losses in popular support, media sentiment, and UNGA voting </w:t>
      </w:r>
      <w:r>
        <w:rPr>
          <w:i/>
          <w:sz w:val="18"/>
        </w:rPr>
        <w:t>alignment</w:t>
      </w:r>
      <w:r>
        <w:rPr>
          <w:i/>
          <w:sz w:val="18"/>
        </w:rPr>
        <w:t> vis-à-vis the U.S are calculated on a country-by-country and year-by-year basis. The construction of these </w:t>
      </w:r>
      <w:r>
        <w:rPr>
          <w:i/>
          <w:w w:val="105"/>
          <w:sz w:val="18"/>
        </w:rPr>
        <w:t>measures</w:t>
      </w:r>
      <w:r>
        <w:rPr>
          <w:i/>
          <w:spacing w:val="-5"/>
          <w:w w:val="105"/>
          <w:sz w:val="18"/>
        </w:rPr>
        <w:t> </w:t>
      </w:r>
      <w:r>
        <w:rPr>
          <w:i/>
          <w:w w:val="105"/>
          <w:sz w:val="18"/>
        </w:rPr>
        <w:t>are</w:t>
      </w:r>
      <w:r>
        <w:rPr>
          <w:i/>
          <w:spacing w:val="-5"/>
          <w:w w:val="105"/>
          <w:sz w:val="18"/>
        </w:rPr>
        <w:t> </w:t>
      </w:r>
      <w:r>
        <w:rPr>
          <w:i/>
          <w:w w:val="105"/>
          <w:sz w:val="18"/>
        </w:rPr>
        <w:t>described</w:t>
      </w:r>
      <w:r>
        <w:rPr>
          <w:i/>
          <w:spacing w:val="-5"/>
          <w:w w:val="105"/>
          <w:sz w:val="18"/>
        </w:rPr>
        <w:t> </w:t>
      </w:r>
      <w:r>
        <w:rPr>
          <w:i/>
          <w:w w:val="105"/>
          <w:sz w:val="18"/>
        </w:rPr>
        <w:t>in</w:t>
      </w:r>
      <w:r>
        <w:rPr>
          <w:i/>
          <w:spacing w:val="-5"/>
          <w:w w:val="105"/>
          <w:sz w:val="18"/>
        </w:rPr>
        <w:t> </w:t>
      </w:r>
      <w:r>
        <w:rPr>
          <w:i/>
          <w:w w:val="105"/>
          <w:sz w:val="18"/>
        </w:rPr>
        <w:t>greater</w:t>
      </w:r>
      <w:r>
        <w:rPr>
          <w:i/>
          <w:spacing w:val="-5"/>
          <w:w w:val="105"/>
          <w:sz w:val="18"/>
        </w:rPr>
        <w:t> </w:t>
      </w:r>
      <w:r>
        <w:rPr>
          <w:i/>
          <w:w w:val="105"/>
          <w:sz w:val="18"/>
        </w:rPr>
        <w:t>detail</w:t>
      </w:r>
      <w:r>
        <w:rPr>
          <w:i/>
          <w:spacing w:val="-5"/>
          <w:w w:val="105"/>
          <w:sz w:val="18"/>
        </w:rPr>
        <w:t> </w:t>
      </w:r>
      <w:r>
        <w:rPr>
          <w:i/>
          <w:w w:val="105"/>
          <w:sz w:val="18"/>
        </w:rPr>
        <w:t>in</w:t>
      </w:r>
      <w:r>
        <w:rPr>
          <w:i/>
          <w:spacing w:val="-5"/>
          <w:w w:val="105"/>
          <w:sz w:val="18"/>
        </w:rPr>
        <w:t> </w:t>
      </w:r>
      <w:r>
        <w:rPr>
          <w:i/>
          <w:w w:val="105"/>
          <w:sz w:val="18"/>
        </w:rPr>
        <w:t>Box</w:t>
      </w:r>
      <w:r>
        <w:rPr>
          <w:i/>
          <w:spacing w:val="-5"/>
          <w:w w:val="105"/>
          <w:sz w:val="18"/>
        </w:rPr>
        <w:t> </w:t>
      </w:r>
      <w:r>
        <w:rPr>
          <w:i/>
          <w:w w:val="105"/>
          <w:sz w:val="18"/>
        </w:rPr>
        <w:t>1b</w:t>
      </w:r>
      <w:r>
        <w:rPr>
          <w:i/>
          <w:spacing w:val="-5"/>
          <w:w w:val="105"/>
          <w:sz w:val="18"/>
        </w:rPr>
        <w:t> </w:t>
      </w:r>
      <w:r>
        <w:rPr>
          <w:i/>
          <w:w w:val="105"/>
          <w:sz w:val="18"/>
        </w:rPr>
        <w:t>and</w:t>
      </w:r>
      <w:r>
        <w:rPr>
          <w:i/>
          <w:spacing w:val="-5"/>
          <w:w w:val="105"/>
          <w:sz w:val="18"/>
        </w:rPr>
        <w:t> </w:t>
      </w:r>
      <w:r>
        <w:rPr>
          <w:i/>
          <w:w w:val="105"/>
          <w:sz w:val="18"/>
        </w:rPr>
        <w:t>footnote</w:t>
      </w:r>
      <w:r>
        <w:rPr>
          <w:i/>
          <w:spacing w:val="-5"/>
          <w:w w:val="105"/>
          <w:sz w:val="18"/>
        </w:rPr>
        <w:t> </w:t>
      </w:r>
      <w:r>
        <w:rPr>
          <w:i/>
          <w:w w:val="105"/>
          <w:sz w:val="18"/>
        </w:rPr>
        <w:t>61.</w:t>
      </w:r>
    </w:p>
    <w:p>
      <w:pPr>
        <w:spacing w:after="0" w:line="333"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52"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1.18</w:t>
                  </w:r>
                </w:p>
              </w:txbxContent>
            </v:textbox>
            <v:fill type="solid"/>
          </v:shape>
        </w:pict>
      </w:r>
      <w:r>
        <w:rPr>
          <w:sz w:val="20"/>
        </w:rPr>
      </w:r>
    </w:p>
    <w:p>
      <w:pPr>
        <w:pStyle w:val="BodyText"/>
        <w:spacing w:before="11"/>
        <w:rPr>
          <w:i/>
          <w:sz w:val="13"/>
        </w:rPr>
      </w:pPr>
      <w:r>
        <w:rPr/>
        <w:drawing>
          <wp:anchor distT="0" distB="0" distL="0" distR="0" allowOverlap="1" layoutInCell="1" locked="0" behindDoc="0" simplePos="0" relativeHeight="69">
            <wp:simplePos x="0" y="0"/>
            <wp:positionH relativeFrom="page">
              <wp:posOffset>1250453</wp:posOffset>
            </wp:positionH>
            <wp:positionV relativeFrom="paragraph">
              <wp:posOffset>117336</wp:posOffset>
            </wp:positionV>
            <wp:extent cx="5197534" cy="3184398"/>
            <wp:effectExtent l="0" t="0" r="0" b="0"/>
            <wp:wrapTopAndBottom/>
            <wp:docPr id="37" name="image19.jpeg"/>
            <wp:cNvGraphicFramePr>
              <a:graphicFrameLocks noChangeAspect="1"/>
            </wp:cNvGraphicFramePr>
            <a:graphic>
              <a:graphicData uri="http://schemas.openxmlformats.org/drawingml/2006/picture">
                <pic:pic>
                  <pic:nvPicPr>
                    <pic:cNvPr id="38" name="image19.jpeg"/>
                    <pic:cNvPicPr/>
                  </pic:nvPicPr>
                  <pic:blipFill>
                    <a:blip r:embed="rId26" cstate="print"/>
                    <a:stretch>
                      <a:fillRect/>
                    </a:stretch>
                  </pic:blipFill>
                  <pic:spPr>
                    <a:xfrm>
                      <a:off x="0" y="0"/>
                      <a:ext cx="5197534" cy="3184398"/>
                    </a:xfrm>
                    <a:prstGeom prst="rect">
                      <a:avLst/>
                    </a:prstGeom>
                  </pic:spPr>
                </pic:pic>
              </a:graphicData>
            </a:graphic>
          </wp:anchor>
        </w:drawing>
      </w:r>
    </w:p>
    <w:p>
      <w:pPr>
        <w:pStyle w:val="BodyText"/>
        <w:spacing w:before="1"/>
        <w:rPr>
          <w:i/>
          <w:sz w:val="28"/>
        </w:rPr>
      </w:pPr>
    </w:p>
    <w:p>
      <w:pPr>
        <w:spacing w:line="333" w:lineRule="auto" w:before="69"/>
        <w:ind w:left="460" w:right="845" w:firstLine="0"/>
        <w:jc w:val="left"/>
        <w:rPr>
          <w:i/>
          <w:sz w:val="20"/>
        </w:rPr>
      </w:pPr>
      <w:r>
        <w:rPr>
          <w:i/>
          <w:sz w:val="20"/>
        </w:rPr>
        <w:t>Notes: Average public approval ratings for China are weighted by country population. The</w:t>
      </w:r>
      <w:r>
        <w:rPr>
          <w:i/>
          <w:sz w:val="20"/>
        </w:rPr>
        <w:t> </w:t>
      </w:r>
      <w:r>
        <w:rPr>
          <w:i/>
          <w:w w:val="105"/>
          <w:sz w:val="20"/>
        </w:rPr>
        <w:t>construction</w:t>
      </w:r>
      <w:r>
        <w:rPr>
          <w:i/>
          <w:spacing w:val="-11"/>
          <w:w w:val="105"/>
          <w:sz w:val="20"/>
        </w:rPr>
        <w:t> </w:t>
      </w:r>
      <w:r>
        <w:rPr>
          <w:i/>
          <w:w w:val="105"/>
          <w:sz w:val="20"/>
        </w:rPr>
        <w:t>of</w:t>
      </w:r>
      <w:r>
        <w:rPr>
          <w:i/>
          <w:spacing w:val="-11"/>
          <w:w w:val="105"/>
          <w:sz w:val="20"/>
        </w:rPr>
        <w:t> </w:t>
      </w:r>
      <w:r>
        <w:rPr>
          <w:i/>
          <w:w w:val="105"/>
          <w:sz w:val="20"/>
        </w:rPr>
        <w:t>this</w:t>
      </w:r>
      <w:r>
        <w:rPr>
          <w:i/>
          <w:spacing w:val="-11"/>
          <w:w w:val="105"/>
          <w:sz w:val="20"/>
        </w:rPr>
        <w:t> </w:t>
      </w:r>
      <w:r>
        <w:rPr>
          <w:i/>
          <w:w w:val="105"/>
          <w:sz w:val="20"/>
        </w:rPr>
        <w:t>variable</w:t>
      </w:r>
      <w:r>
        <w:rPr>
          <w:i/>
          <w:spacing w:val="-11"/>
          <w:w w:val="105"/>
          <w:sz w:val="20"/>
        </w:rPr>
        <w:t> </w:t>
      </w:r>
      <w:r>
        <w:rPr>
          <w:i/>
          <w:w w:val="105"/>
          <w:sz w:val="20"/>
        </w:rPr>
        <w:t>is</w:t>
      </w:r>
      <w:r>
        <w:rPr>
          <w:i/>
          <w:spacing w:val="-11"/>
          <w:w w:val="105"/>
          <w:sz w:val="20"/>
        </w:rPr>
        <w:t> </w:t>
      </w:r>
      <w:r>
        <w:rPr>
          <w:i/>
          <w:w w:val="105"/>
          <w:sz w:val="20"/>
        </w:rPr>
        <w:t>described</w:t>
      </w:r>
      <w:r>
        <w:rPr>
          <w:i/>
          <w:spacing w:val="-11"/>
          <w:w w:val="105"/>
          <w:sz w:val="20"/>
        </w:rPr>
        <w:t> </w:t>
      </w:r>
      <w:r>
        <w:rPr>
          <w:i/>
          <w:w w:val="105"/>
          <w:sz w:val="20"/>
        </w:rPr>
        <w:t>in</w:t>
      </w:r>
      <w:r>
        <w:rPr>
          <w:i/>
          <w:spacing w:val="-11"/>
          <w:w w:val="105"/>
          <w:sz w:val="20"/>
        </w:rPr>
        <w:t> </w:t>
      </w:r>
      <w:r>
        <w:rPr>
          <w:i/>
          <w:w w:val="105"/>
          <w:sz w:val="20"/>
        </w:rPr>
        <w:t>greater</w:t>
      </w:r>
      <w:r>
        <w:rPr>
          <w:i/>
          <w:spacing w:val="-11"/>
          <w:w w:val="105"/>
          <w:sz w:val="20"/>
        </w:rPr>
        <w:t> </w:t>
      </w:r>
      <w:r>
        <w:rPr>
          <w:i/>
          <w:w w:val="105"/>
          <w:sz w:val="20"/>
        </w:rPr>
        <w:t>detail</w:t>
      </w:r>
      <w:r>
        <w:rPr>
          <w:i/>
          <w:spacing w:val="-10"/>
          <w:w w:val="105"/>
          <w:sz w:val="20"/>
        </w:rPr>
        <w:t> </w:t>
      </w:r>
      <w:r>
        <w:rPr>
          <w:i/>
          <w:w w:val="105"/>
          <w:sz w:val="20"/>
        </w:rPr>
        <w:t>in</w:t>
      </w:r>
      <w:r>
        <w:rPr>
          <w:i/>
          <w:spacing w:val="-11"/>
          <w:w w:val="105"/>
          <w:sz w:val="20"/>
        </w:rPr>
        <w:t> </w:t>
      </w:r>
      <w:r>
        <w:rPr>
          <w:i/>
          <w:w w:val="105"/>
          <w:sz w:val="20"/>
        </w:rPr>
        <w:t>Box</w:t>
      </w:r>
      <w:r>
        <w:rPr>
          <w:i/>
          <w:spacing w:val="-11"/>
          <w:w w:val="105"/>
          <w:sz w:val="20"/>
        </w:rPr>
        <w:t> </w:t>
      </w:r>
      <w:r>
        <w:rPr>
          <w:i/>
          <w:w w:val="105"/>
          <w:sz w:val="20"/>
        </w:rPr>
        <w:t>1b.</w:t>
      </w:r>
    </w:p>
    <w:p>
      <w:pPr>
        <w:spacing w:after="0" w:line="333" w:lineRule="auto"/>
        <w:jc w:val="left"/>
        <w:rPr>
          <w:sz w:val="20"/>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53"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1.19</w:t>
                  </w:r>
                </w:p>
              </w:txbxContent>
            </v:textbox>
            <v:fill type="solid"/>
          </v:shape>
        </w:pict>
      </w:r>
      <w:r>
        <w:rPr>
          <w:sz w:val="20"/>
        </w:rPr>
      </w:r>
    </w:p>
    <w:p>
      <w:pPr>
        <w:pStyle w:val="BodyText"/>
        <w:spacing w:before="4"/>
        <w:rPr>
          <w:i/>
          <w:sz w:val="14"/>
        </w:rPr>
      </w:pPr>
      <w:r>
        <w:rPr/>
        <w:drawing>
          <wp:anchor distT="0" distB="0" distL="0" distR="0" allowOverlap="1" layoutInCell="1" locked="0" behindDoc="0" simplePos="0" relativeHeight="71">
            <wp:simplePos x="0" y="0"/>
            <wp:positionH relativeFrom="page">
              <wp:posOffset>1250453</wp:posOffset>
            </wp:positionH>
            <wp:positionV relativeFrom="paragraph">
              <wp:posOffset>120307</wp:posOffset>
            </wp:positionV>
            <wp:extent cx="5184668" cy="3181730"/>
            <wp:effectExtent l="0" t="0" r="0" b="0"/>
            <wp:wrapTopAndBottom/>
            <wp:docPr id="39" name="image20.jpeg"/>
            <wp:cNvGraphicFramePr>
              <a:graphicFrameLocks noChangeAspect="1"/>
            </wp:cNvGraphicFramePr>
            <a:graphic>
              <a:graphicData uri="http://schemas.openxmlformats.org/drawingml/2006/picture">
                <pic:pic>
                  <pic:nvPicPr>
                    <pic:cNvPr id="40" name="image20.jpeg"/>
                    <pic:cNvPicPr/>
                  </pic:nvPicPr>
                  <pic:blipFill>
                    <a:blip r:embed="rId27" cstate="print"/>
                    <a:stretch>
                      <a:fillRect/>
                    </a:stretch>
                  </pic:blipFill>
                  <pic:spPr>
                    <a:xfrm>
                      <a:off x="0" y="0"/>
                      <a:ext cx="5184668" cy="3181730"/>
                    </a:xfrm>
                    <a:prstGeom prst="rect">
                      <a:avLst/>
                    </a:prstGeom>
                  </pic:spPr>
                </pic:pic>
              </a:graphicData>
            </a:graphic>
          </wp:anchor>
        </w:drawing>
      </w:r>
    </w:p>
    <w:p>
      <w:pPr>
        <w:pStyle w:val="BodyText"/>
        <w:rPr>
          <w:i/>
          <w:sz w:val="20"/>
        </w:rPr>
      </w:pPr>
    </w:p>
    <w:p>
      <w:pPr>
        <w:pStyle w:val="BodyText"/>
        <w:spacing w:before="2"/>
        <w:rPr>
          <w:i/>
          <w:sz w:val="19"/>
        </w:rPr>
      </w:pPr>
    </w:p>
    <w:p>
      <w:pPr>
        <w:spacing w:line="333" w:lineRule="auto" w:before="0"/>
        <w:ind w:left="460" w:right="485" w:firstLine="0"/>
        <w:jc w:val="left"/>
        <w:rPr>
          <w:i/>
          <w:sz w:val="18"/>
        </w:rPr>
      </w:pPr>
      <w:r>
        <w:rPr>
          <w:i/>
          <w:sz w:val="18"/>
        </w:rPr>
        <w:t>Notes: Average media sentiment ratings for China are weighted by country population. The construction </w:t>
      </w:r>
      <w:r>
        <w:rPr>
          <w:i/>
          <w:sz w:val="18"/>
        </w:rPr>
        <w:t>of</w:t>
      </w:r>
      <w:r>
        <w:rPr>
          <w:i/>
          <w:sz w:val="18"/>
        </w:rPr>
        <w:t> </w:t>
      </w:r>
      <w:r>
        <w:rPr>
          <w:i/>
          <w:w w:val="105"/>
          <w:sz w:val="18"/>
        </w:rPr>
        <w:t>this variable is described in greater detail in Box 1b.</w:t>
      </w:r>
    </w:p>
    <w:p>
      <w:pPr>
        <w:spacing w:after="0" w:line="333" w:lineRule="auto"/>
        <w:jc w:val="left"/>
        <w:rPr>
          <w:sz w:val="18"/>
        </w:rPr>
        <w:sectPr>
          <w:pgSz w:w="12240" w:h="15840"/>
          <w:pgMar w:header="0" w:footer="720" w:top="1580" w:bottom="920" w:left="1340" w:right="1340"/>
        </w:sectPr>
      </w:pPr>
    </w:p>
    <w:p>
      <w:pPr>
        <w:pStyle w:val="BodyText"/>
        <w:ind w:left="340"/>
        <w:rPr>
          <w:sz w:val="20"/>
        </w:rPr>
      </w:pPr>
      <w:r>
        <w:rPr>
          <w:sz w:val="20"/>
        </w:rPr>
        <w:pict>
          <v:shape style="width:444pt;height:38pt;mso-position-horizontal-relative:char;mso-position-vertical-relative:line" type="#_x0000_t202" id="docshape54" filled="true" fillcolor="#5b666f" stroked="false">
            <w10:anchorlock/>
            <v:textbox inset="0,0,0,0">
              <w:txbxContent>
                <w:p>
                  <w:pPr>
                    <w:spacing w:before="128"/>
                    <w:ind w:left="120" w:right="0" w:firstLine="0"/>
                    <w:jc w:val="left"/>
                    <w:rPr>
                      <w:b/>
                      <w:color w:val="000000"/>
                      <w:sz w:val="32"/>
                    </w:rPr>
                  </w:pPr>
                  <w:r>
                    <w:rPr>
                      <w:b/>
                      <w:color w:val="FFFFFF"/>
                      <w:spacing w:val="-12"/>
                      <w:sz w:val="32"/>
                    </w:rPr>
                    <w:t>Figure</w:t>
                  </w:r>
                  <w:r>
                    <w:rPr>
                      <w:b/>
                      <w:color w:val="FFFFFF"/>
                      <w:spacing w:val="-1"/>
                      <w:sz w:val="32"/>
                    </w:rPr>
                    <w:t> </w:t>
                  </w:r>
                  <w:r>
                    <w:rPr>
                      <w:b/>
                      <w:color w:val="FFFFFF"/>
                      <w:spacing w:val="-4"/>
                      <w:sz w:val="32"/>
                    </w:rPr>
                    <w:t>1.20</w:t>
                  </w:r>
                </w:p>
              </w:txbxContent>
            </v:textbox>
            <v:fill type="solid"/>
          </v:shape>
        </w:pict>
      </w:r>
      <w:r>
        <w:rPr>
          <w:sz w:val="20"/>
        </w:rPr>
      </w:r>
    </w:p>
    <w:p>
      <w:pPr>
        <w:pStyle w:val="BodyText"/>
        <w:spacing w:before="4"/>
        <w:rPr>
          <w:i/>
          <w:sz w:val="14"/>
        </w:rPr>
      </w:pPr>
      <w:r>
        <w:rPr/>
        <w:drawing>
          <wp:anchor distT="0" distB="0" distL="0" distR="0" allowOverlap="1" layoutInCell="1" locked="0" behindDoc="0" simplePos="0" relativeHeight="73">
            <wp:simplePos x="0" y="0"/>
            <wp:positionH relativeFrom="page">
              <wp:posOffset>1250453</wp:posOffset>
            </wp:positionH>
            <wp:positionV relativeFrom="paragraph">
              <wp:posOffset>120463</wp:posOffset>
            </wp:positionV>
            <wp:extent cx="5156589" cy="3333750"/>
            <wp:effectExtent l="0" t="0" r="0" b="0"/>
            <wp:wrapTopAndBottom/>
            <wp:docPr id="41" name="image21.jpeg"/>
            <wp:cNvGraphicFramePr>
              <a:graphicFrameLocks noChangeAspect="1"/>
            </wp:cNvGraphicFramePr>
            <a:graphic>
              <a:graphicData uri="http://schemas.openxmlformats.org/drawingml/2006/picture">
                <pic:pic>
                  <pic:nvPicPr>
                    <pic:cNvPr id="42" name="image21.jpeg"/>
                    <pic:cNvPicPr/>
                  </pic:nvPicPr>
                  <pic:blipFill>
                    <a:blip r:embed="rId28" cstate="print"/>
                    <a:stretch>
                      <a:fillRect/>
                    </a:stretch>
                  </pic:blipFill>
                  <pic:spPr>
                    <a:xfrm>
                      <a:off x="0" y="0"/>
                      <a:ext cx="5156589" cy="3333750"/>
                    </a:xfrm>
                    <a:prstGeom prst="rect">
                      <a:avLst/>
                    </a:prstGeom>
                  </pic:spPr>
                </pic:pic>
              </a:graphicData>
            </a:graphic>
          </wp:anchor>
        </w:drawing>
      </w:r>
    </w:p>
    <w:p>
      <w:pPr>
        <w:pStyle w:val="BodyText"/>
        <w:spacing w:before="7"/>
        <w:rPr>
          <w:i/>
          <w:sz w:val="18"/>
        </w:rPr>
      </w:pPr>
    </w:p>
    <w:p>
      <w:pPr>
        <w:spacing w:line="333" w:lineRule="auto" w:before="72"/>
        <w:ind w:left="460" w:right="845" w:firstLine="0"/>
        <w:jc w:val="left"/>
        <w:rPr>
          <w:i/>
          <w:sz w:val="18"/>
        </w:rPr>
      </w:pPr>
      <w:r>
        <w:rPr>
          <w:i/>
          <w:sz w:val="18"/>
        </w:rPr>
        <w:t>Notes: Average UNGA voting alignment scores for China are weighted by country population. </w:t>
      </w:r>
      <w:r>
        <w:rPr>
          <w:i/>
          <w:sz w:val="18"/>
        </w:rPr>
        <w:t>The</w:t>
      </w:r>
      <w:r>
        <w:rPr>
          <w:i/>
          <w:sz w:val="18"/>
        </w:rPr>
        <w:t> </w:t>
      </w:r>
      <w:r>
        <w:rPr>
          <w:i/>
          <w:w w:val="105"/>
          <w:sz w:val="18"/>
        </w:rPr>
        <w:t>construction</w:t>
      </w:r>
      <w:r>
        <w:rPr>
          <w:i/>
          <w:spacing w:val="-4"/>
          <w:w w:val="105"/>
          <w:sz w:val="18"/>
        </w:rPr>
        <w:t> </w:t>
      </w:r>
      <w:r>
        <w:rPr>
          <w:i/>
          <w:w w:val="105"/>
          <w:sz w:val="18"/>
        </w:rPr>
        <w:t>of</w:t>
      </w:r>
      <w:r>
        <w:rPr>
          <w:i/>
          <w:spacing w:val="-4"/>
          <w:w w:val="105"/>
          <w:sz w:val="18"/>
        </w:rPr>
        <w:t> </w:t>
      </w:r>
      <w:r>
        <w:rPr>
          <w:i/>
          <w:w w:val="105"/>
          <w:sz w:val="18"/>
        </w:rPr>
        <w:t>this</w:t>
      </w:r>
      <w:r>
        <w:rPr>
          <w:i/>
          <w:spacing w:val="-4"/>
          <w:w w:val="105"/>
          <w:sz w:val="18"/>
        </w:rPr>
        <w:t> </w:t>
      </w:r>
      <w:r>
        <w:rPr>
          <w:i/>
          <w:w w:val="105"/>
          <w:sz w:val="18"/>
        </w:rPr>
        <w:t>variable</w:t>
      </w:r>
      <w:r>
        <w:rPr>
          <w:i/>
          <w:spacing w:val="-4"/>
          <w:w w:val="105"/>
          <w:sz w:val="18"/>
        </w:rPr>
        <w:t> </w:t>
      </w:r>
      <w:r>
        <w:rPr>
          <w:i/>
          <w:w w:val="105"/>
          <w:sz w:val="18"/>
        </w:rPr>
        <w:t>is</w:t>
      </w:r>
      <w:r>
        <w:rPr>
          <w:i/>
          <w:spacing w:val="-4"/>
          <w:w w:val="105"/>
          <w:sz w:val="18"/>
        </w:rPr>
        <w:t> </w:t>
      </w:r>
      <w:r>
        <w:rPr>
          <w:i/>
          <w:w w:val="105"/>
          <w:sz w:val="18"/>
        </w:rPr>
        <w:t>described</w:t>
      </w:r>
      <w:r>
        <w:rPr>
          <w:i/>
          <w:spacing w:val="-4"/>
          <w:w w:val="105"/>
          <w:sz w:val="18"/>
        </w:rPr>
        <w:t> </w:t>
      </w:r>
      <w:r>
        <w:rPr>
          <w:i/>
          <w:w w:val="105"/>
          <w:sz w:val="18"/>
        </w:rPr>
        <w:t>in</w:t>
      </w:r>
      <w:r>
        <w:rPr>
          <w:i/>
          <w:spacing w:val="-4"/>
          <w:w w:val="105"/>
          <w:sz w:val="18"/>
        </w:rPr>
        <w:t> </w:t>
      </w:r>
      <w:r>
        <w:rPr>
          <w:i/>
          <w:w w:val="105"/>
          <w:sz w:val="18"/>
        </w:rPr>
        <w:t>greater</w:t>
      </w:r>
      <w:r>
        <w:rPr>
          <w:i/>
          <w:spacing w:val="-4"/>
          <w:w w:val="105"/>
          <w:sz w:val="18"/>
        </w:rPr>
        <w:t> </w:t>
      </w:r>
      <w:r>
        <w:rPr>
          <w:i/>
          <w:w w:val="105"/>
          <w:sz w:val="18"/>
        </w:rPr>
        <w:t>detail</w:t>
      </w:r>
      <w:r>
        <w:rPr>
          <w:i/>
          <w:spacing w:val="-4"/>
          <w:w w:val="105"/>
          <w:sz w:val="18"/>
        </w:rPr>
        <w:t> </w:t>
      </w:r>
      <w:r>
        <w:rPr>
          <w:i/>
          <w:w w:val="105"/>
          <w:sz w:val="18"/>
        </w:rPr>
        <w:t>in</w:t>
      </w:r>
      <w:r>
        <w:rPr>
          <w:i/>
          <w:spacing w:val="-4"/>
          <w:w w:val="105"/>
          <w:sz w:val="18"/>
        </w:rPr>
        <w:t> </w:t>
      </w:r>
      <w:r>
        <w:rPr>
          <w:i/>
          <w:w w:val="105"/>
          <w:sz w:val="18"/>
        </w:rPr>
        <w:t>Box</w:t>
      </w:r>
      <w:r>
        <w:rPr>
          <w:i/>
          <w:spacing w:val="-4"/>
          <w:w w:val="105"/>
          <w:sz w:val="18"/>
        </w:rPr>
        <w:t> </w:t>
      </w:r>
      <w:r>
        <w:rPr>
          <w:i/>
          <w:w w:val="105"/>
          <w:sz w:val="18"/>
        </w:rPr>
        <w:t>1b.</w:t>
      </w:r>
    </w:p>
    <w:p>
      <w:pPr>
        <w:pStyle w:val="BodyText"/>
        <w:rPr>
          <w:i/>
          <w:sz w:val="18"/>
        </w:rPr>
      </w:pPr>
    </w:p>
    <w:p>
      <w:pPr>
        <w:pStyle w:val="Heading3"/>
        <w:spacing w:before="114"/>
      </w:pPr>
      <w:r>
        <w:rPr/>
        <w:t>Section</w:t>
      </w:r>
      <w:r>
        <w:rPr>
          <w:spacing w:val="1"/>
        </w:rPr>
        <w:t> </w:t>
      </w:r>
      <w:r>
        <w:rPr/>
        <w:t>6:</w:t>
      </w:r>
      <w:r>
        <w:rPr>
          <w:spacing w:val="2"/>
        </w:rPr>
        <w:t> </w:t>
      </w:r>
      <w:r>
        <w:rPr/>
        <w:t>The</w:t>
      </w:r>
      <w:r>
        <w:rPr>
          <w:spacing w:val="1"/>
        </w:rPr>
        <w:t> </w:t>
      </w:r>
      <w:r>
        <w:rPr/>
        <w:t>balancing</w:t>
      </w:r>
      <w:r>
        <w:rPr>
          <w:spacing w:val="1"/>
        </w:rPr>
        <w:t> </w:t>
      </w:r>
      <w:r>
        <w:rPr/>
        <w:t>act</w:t>
      </w:r>
      <w:r>
        <w:rPr>
          <w:spacing w:val="2"/>
        </w:rPr>
        <w:t> </w:t>
      </w:r>
      <w:r>
        <w:rPr/>
        <w:t>of</w:t>
      </w:r>
      <w:r>
        <w:rPr>
          <w:spacing w:val="2"/>
        </w:rPr>
        <w:t> </w:t>
      </w:r>
      <w:r>
        <w:rPr/>
        <w:t>portfolio</w:t>
      </w:r>
      <w:r>
        <w:rPr>
          <w:spacing w:val="1"/>
        </w:rPr>
        <w:t> </w:t>
      </w:r>
      <w:r>
        <w:rPr/>
        <w:t>risk</w:t>
      </w:r>
      <w:r>
        <w:rPr>
          <w:spacing w:val="2"/>
        </w:rPr>
        <w:t> </w:t>
      </w:r>
      <w:r>
        <w:rPr>
          <w:spacing w:val="-2"/>
        </w:rPr>
        <w:t>management</w:t>
      </w:r>
    </w:p>
    <w:p>
      <w:pPr>
        <w:pStyle w:val="BodyText"/>
        <w:spacing w:line="333" w:lineRule="auto" w:before="271"/>
        <w:ind w:left="460" w:right="458"/>
      </w:pPr>
      <w:r>
        <w:t>Managing the risk proﬁle of China’s overseas development program is a multifaceted challenge. First, China has a high and rapidly rising level of exposure to non-performing loans in LICs and MICs. Its exposure to distressed debt is heavily concentrated among the most important Belt and Road participants, which raises the question of whether its efforts to get repaid will conﬂict with its foreign policy (and soft power) objectives (Hancock and Hill 2022).[65] The crux of the matter, as described by a senior ofﬁcial from China’s central bank, is that “debt reduction can shape China’s image as a responsible, major global player, [but] it often leads to big [ﬁnancial] losses and even causes a moral hazard—debtors may refuse to make repayments if they know [that we may write off their debts]” (Chengjun 2021). Second, a large share of China’s infrastructure project portfolio has signiﬁcant ESG risk exposure, and while there are many good reasons to de-risk the portfolio by adopting stronger safeguards, doing so could result in China losing a competitive edge in the global infrastructure market. China is no longer “the only game in town” for countries seeking external sources of infrastructure ﬁnancing, and the other major players in the market already offer high-quality infrastructure projects that beneﬁt from strong ESG safeguards. China has historically outcompeted G7 countries and the multilateral development banks on two key dimensions: speed and convenience. If these differentiators are no longer applicable, China may face a different type of problem: insufﬁcient demand for Chinese infrastructure ﬁnancing. Third, rising levels of public antipathy toward Beijing and a souring media environment have left China increasingly dependent on the good graces of political leaders in the Global South. One way to address this challenge would be to dust off an old playbook and cater to the parochial interests of host country politicians by plying them with lavish spending on pet projects—like presidential palaces—and amenities in major urban centers (such as museums, theaters, convention centers, and stadiums). An alternative approach would be to double down on public diplomacy efforts—such as scholarships, sister city initiatives, and content-sharing partnerships with local radio stations, television channels, and newspapers—to generate more favorable media coverage and inﬂuence public sentiment in BRI participant countries.</w:t>
      </w:r>
    </w:p>
    <w:p>
      <w:pPr>
        <w:pStyle w:val="BodyText"/>
        <w:spacing w:before="9"/>
        <w:rPr>
          <w:sz w:val="11"/>
        </w:rPr>
      </w:pPr>
      <w:r>
        <w:rPr/>
        <w:pict>
          <v:shape style="position:absolute;margin-left:90pt;margin-top:7.990705pt;width:144pt;height:.1pt;mso-position-horizontal-relative:page;mso-position-vertical-relative:paragraph;z-index:-15690752;mso-wrap-distance-left:0;mso-wrap-distance-right:0" id="docshape55" coordorigin="1800,160" coordsize="2880,0" path="m1800,160l4680,160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580" w:bottom="920" w:left="1340" w:right="1340"/>
        </w:sectPr>
      </w:pPr>
    </w:p>
    <w:p>
      <w:pPr>
        <w:pStyle w:val="BodyText"/>
        <w:spacing w:before="9"/>
        <w:rPr>
          <w:sz w:val="26"/>
        </w:rPr>
      </w:pPr>
    </w:p>
    <w:p>
      <w:pPr>
        <w:pStyle w:val="BodyText"/>
        <w:spacing w:line="333" w:lineRule="auto"/>
        <w:ind w:left="460" w:right="542"/>
      </w:pPr>
      <w:r>
        <w:rPr/>
        <w:t>Beijing</w:t>
      </w:r>
      <w:r>
        <w:rPr>
          <w:spacing w:val="18"/>
        </w:rPr>
        <w:t> </w:t>
      </w:r>
      <w:r>
        <w:rPr/>
        <w:t>is</w:t>
      </w:r>
      <w:r>
        <w:rPr>
          <w:spacing w:val="18"/>
        </w:rPr>
        <w:t> </w:t>
      </w:r>
      <w:r>
        <w:rPr/>
        <w:t>clearly</w:t>
      </w:r>
      <w:r>
        <w:rPr>
          <w:spacing w:val="18"/>
        </w:rPr>
        <w:t> </w:t>
      </w:r>
      <w:r>
        <w:rPr/>
        <w:t>aware</w:t>
      </w:r>
      <w:r>
        <w:rPr>
          <w:spacing w:val="18"/>
        </w:rPr>
        <w:t> </w:t>
      </w:r>
      <w:r>
        <w:rPr/>
        <w:t>of</w:t>
      </w:r>
      <w:r>
        <w:rPr>
          <w:spacing w:val="18"/>
        </w:rPr>
        <w:t> </w:t>
      </w:r>
      <w:r>
        <w:rPr/>
        <w:t>the</w:t>
      </w:r>
      <w:r>
        <w:rPr>
          <w:spacing w:val="18"/>
        </w:rPr>
        <w:t> </w:t>
      </w:r>
      <w:r>
        <w:rPr/>
        <w:t>need</w:t>
      </w:r>
      <w:r>
        <w:rPr>
          <w:spacing w:val="18"/>
        </w:rPr>
        <w:t> </w:t>
      </w:r>
      <w:r>
        <w:rPr/>
        <w:t>to</w:t>
      </w:r>
      <w:r>
        <w:rPr>
          <w:spacing w:val="18"/>
        </w:rPr>
        <w:t> </w:t>
      </w:r>
      <w:r>
        <w:rPr/>
        <w:t>pivot</w:t>
      </w:r>
      <w:r>
        <w:rPr>
          <w:spacing w:val="18"/>
        </w:rPr>
        <w:t> </w:t>
      </w:r>
      <w:r>
        <w:rPr/>
        <w:t>and</w:t>
      </w:r>
      <w:r>
        <w:rPr>
          <w:spacing w:val="18"/>
        </w:rPr>
        <w:t> </w:t>
      </w:r>
      <w:r>
        <w:rPr/>
        <w:t>assume</w:t>
      </w:r>
      <w:r>
        <w:rPr>
          <w:spacing w:val="18"/>
        </w:rPr>
        <w:t> </w:t>
      </w:r>
      <w:r>
        <w:rPr/>
        <w:t>a</w:t>
      </w:r>
      <w:r>
        <w:rPr>
          <w:spacing w:val="18"/>
        </w:rPr>
        <w:t> </w:t>
      </w:r>
      <w:r>
        <w:rPr/>
        <w:t>“ﬁre-ﬁghting”</w:t>
      </w:r>
      <w:r>
        <w:rPr>
          <w:spacing w:val="18"/>
        </w:rPr>
        <w:t> </w:t>
      </w:r>
      <w:r>
        <w:rPr/>
        <w:t>role.</w:t>
      </w:r>
      <w:r>
        <w:rPr>
          <w:spacing w:val="18"/>
        </w:rPr>
        <w:t> </w:t>
      </w:r>
      <w:r>
        <w:rPr/>
        <w:t>It is rapidly refocusing its time, money, and attention on distressed borrowers, troubled projects, and sources of public backlash in the Global South. However, a longer-term reinvention of the BRI is also underway. As Beijing learns from past mistakes, it is recalibrating its lending and grant-giving practices and</w:t>
      </w:r>
      <w:r>
        <w:rPr>
          <w:spacing w:val="40"/>
        </w:rPr>
        <w:t> </w:t>
      </w:r>
      <w:r>
        <w:rPr/>
        <w:t>making efforts to future-proof its ﬂagship, global infrastructure initiative. The ambition of BRI 2.0 remains poorly understood—and underestimated—by </w:t>
      </w:r>
      <w:r>
        <w:rPr/>
        <w:t>those who make and shape policy in G7 countries. Washington, London, Paris, Berlin, Tokyo, Rome, and Ottawa are, for the most part, still formulating policy on the basis of evidence from the BRI 1.0 era.</w:t>
      </w:r>
    </w:p>
    <w:p>
      <w:pPr>
        <w:pStyle w:val="BodyText"/>
        <w:spacing w:before="5"/>
        <w:rPr>
          <w:sz w:val="27"/>
        </w:rPr>
      </w:pPr>
    </w:p>
    <w:p>
      <w:pPr>
        <w:pStyle w:val="BodyText"/>
        <w:spacing w:line="333" w:lineRule="auto"/>
        <w:ind w:left="460" w:right="485"/>
      </w:pPr>
      <w:r>
        <w:t>The primary goal of this report is to explain how China is handling its new role as an international crisis manager in the short-run while engaging in a longer-run effort to future-proof the BRI. In the next three chapters, we attempt to answer the following questions:</w:t>
      </w:r>
    </w:p>
    <w:p>
      <w:pPr>
        <w:spacing w:after="0" w:line="333" w:lineRule="auto"/>
        <w:sectPr>
          <w:pgSz w:w="12240" w:h="15840"/>
          <w:pgMar w:header="0" w:footer="720" w:top="1400" w:bottom="920" w:left="1340" w:right="1340"/>
        </w:sectPr>
      </w:pPr>
    </w:p>
    <w:p>
      <w:pPr>
        <w:pStyle w:val="BodyText"/>
        <w:spacing w:before="8"/>
        <w:rPr>
          <w:sz w:val="27"/>
        </w:rPr>
      </w:pPr>
    </w:p>
    <w:p>
      <w:pPr>
        <w:pStyle w:val="ListParagraph"/>
        <w:numPr>
          <w:ilvl w:val="0"/>
          <w:numId w:val="2"/>
        </w:numPr>
        <w:tabs>
          <w:tab w:pos="1179" w:val="left" w:leader="none"/>
          <w:tab w:pos="1180" w:val="left" w:leader="none"/>
        </w:tabs>
        <w:spacing w:line="333" w:lineRule="auto" w:before="0" w:after="0"/>
        <w:ind w:left="1180" w:right="573" w:hanging="360"/>
        <w:jc w:val="left"/>
        <w:rPr>
          <w:sz w:val="24"/>
        </w:rPr>
      </w:pPr>
      <w:r>
        <w:rPr>
          <w:sz w:val="24"/>
        </w:rPr>
        <w:t>How is China coping with the rising tide of debt distress? What </w:t>
      </w:r>
      <w:r>
        <w:rPr>
          <w:sz w:val="24"/>
        </w:rPr>
        <w:t>measures</w:t>
      </w:r>
      <w:r>
        <w:rPr>
          <w:sz w:val="24"/>
        </w:rPr>
        <w:t> </w:t>
      </w:r>
      <w:r>
        <w:rPr>
          <w:w w:val="105"/>
          <w:sz w:val="24"/>
        </w:rPr>
        <w:t>is</w:t>
      </w:r>
      <w:r>
        <w:rPr>
          <w:spacing w:val="-7"/>
          <w:w w:val="105"/>
          <w:sz w:val="24"/>
        </w:rPr>
        <w:t> </w:t>
      </w:r>
      <w:r>
        <w:rPr>
          <w:w w:val="105"/>
          <w:sz w:val="24"/>
        </w:rPr>
        <w:t>it</w:t>
      </w:r>
      <w:r>
        <w:rPr>
          <w:spacing w:val="-7"/>
          <w:w w:val="105"/>
          <w:sz w:val="24"/>
        </w:rPr>
        <w:t> </w:t>
      </w:r>
      <w:r>
        <w:rPr>
          <w:w w:val="105"/>
          <w:sz w:val="24"/>
        </w:rPr>
        <w:t>taking</w:t>
      </w:r>
      <w:r>
        <w:rPr>
          <w:spacing w:val="-7"/>
          <w:w w:val="105"/>
          <w:sz w:val="24"/>
        </w:rPr>
        <w:t> </w:t>
      </w:r>
      <w:r>
        <w:rPr>
          <w:w w:val="105"/>
          <w:sz w:val="24"/>
        </w:rPr>
        <w:t>to</w:t>
      </w:r>
      <w:r>
        <w:rPr>
          <w:spacing w:val="-7"/>
          <w:w w:val="105"/>
          <w:sz w:val="24"/>
        </w:rPr>
        <w:t> </w:t>
      </w:r>
      <w:r>
        <w:rPr>
          <w:w w:val="105"/>
          <w:sz w:val="24"/>
        </w:rPr>
        <w:t>reduce</w:t>
      </w:r>
      <w:r>
        <w:rPr>
          <w:spacing w:val="-7"/>
          <w:w w:val="105"/>
          <w:sz w:val="24"/>
        </w:rPr>
        <w:t> </w:t>
      </w:r>
      <w:r>
        <w:rPr>
          <w:w w:val="105"/>
          <w:sz w:val="24"/>
        </w:rPr>
        <w:t>its</w:t>
      </w:r>
      <w:r>
        <w:rPr>
          <w:spacing w:val="-7"/>
          <w:w w:val="105"/>
          <w:sz w:val="24"/>
        </w:rPr>
        <w:t> </w:t>
      </w:r>
      <w:r>
        <w:rPr>
          <w:w w:val="105"/>
          <w:sz w:val="24"/>
        </w:rPr>
        <w:t>exposure</w:t>
      </w:r>
      <w:r>
        <w:rPr>
          <w:spacing w:val="-7"/>
          <w:w w:val="105"/>
          <w:sz w:val="24"/>
        </w:rPr>
        <w:t> </w:t>
      </w:r>
      <w:r>
        <w:rPr>
          <w:w w:val="105"/>
          <w:sz w:val="24"/>
        </w:rPr>
        <w:t>to</w:t>
      </w:r>
      <w:r>
        <w:rPr>
          <w:spacing w:val="-7"/>
          <w:w w:val="105"/>
          <w:sz w:val="24"/>
        </w:rPr>
        <w:t> </w:t>
      </w:r>
      <w:r>
        <w:rPr>
          <w:w w:val="105"/>
          <w:sz w:val="24"/>
        </w:rPr>
        <w:t>non-performing</w:t>
      </w:r>
      <w:r>
        <w:rPr>
          <w:spacing w:val="-7"/>
          <w:w w:val="105"/>
          <w:sz w:val="24"/>
        </w:rPr>
        <w:t> </w:t>
      </w:r>
      <w:r>
        <w:rPr>
          <w:w w:val="105"/>
          <w:sz w:val="24"/>
        </w:rPr>
        <w:t>loans?</w:t>
      </w:r>
    </w:p>
    <w:p>
      <w:pPr>
        <w:pStyle w:val="BodyText"/>
        <w:spacing w:before="9"/>
        <w:rPr>
          <w:sz w:val="27"/>
        </w:rPr>
      </w:pPr>
    </w:p>
    <w:p>
      <w:pPr>
        <w:pStyle w:val="ListParagraph"/>
        <w:numPr>
          <w:ilvl w:val="0"/>
          <w:numId w:val="2"/>
        </w:numPr>
        <w:tabs>
          <w:tab w:pos="1179" w:val="left" w:leader="none"/>
          <w:tab w:pos="1180" w:val="left" w:leader="none"/>
        </w:tabs>
        <w:spacing w:line="333" w:lineRule="auto" w:before="0" w:after="0"/>
        <w:ind w:left="1180" w:right="833" w:hanging="360"/>
        <w:jc w:val="left"/>
        <w:rPr>
          <w:sz w:val="24"/>
        </w:rPr>
      </w:pPr>
      <w:r>
        <w:rPr>
          <w:sz w:val="24"/>
        </w:rPr>
        <w:t>Is</w:t>
      </w:r>
      <w:r>
        <w:rPr>
          <w:spacing w:val="-4"/>
          <w:sz w:val="24"/>
        </w:rPr>
        <w:t> </w:t>
      </w:r>
      <w:r>
        <w:rPr>
          <w:sz w:val="24"/>
        </w:rPr>
        <w:t>China</w:t>
      </w:r>
      <w:r>
        <w:rPr>
          <w:spacing w:val="-4"/>
          <w:sz w:val="24"/>
        </w:rPr>
        <w:t> </w:t>
      </w:r>
      <w:r>
        <w:rPr>
          <w:sz w:val="24"/>
        </w:rPr>
        <w:t>stepping</w:t>
      </w:r>
      <w:r>
        <w:rPr>
          <w:spacing w:val="-4"/>
          <w:sz w:val="24"/>
        </w:rPr>
        <w:t> </w:t>
      </w:r>
      <w:r>
        <w:rPr>
          <w:sz w:val="24"/>
        </w:rPr>
        <w:t>up</w:t>
      </w:r>
      <w:r>
        <w:rPr>
          <w:spacing w:val="-4"/>
          <w:sz w:val="24"/>
        </w:rPr>
        <w:t> </w:t>
      </w:r>
      <w:r>
        <w:rPr>
          <w:sz w:val="24"/>
        </w:rPr>
        <w:t>its</w:t>
      </w:r>
      <w:r>
        <w:rPr>
          <w:spacing w:val="-4"/>
          <w:sz w:val="24"/>
        </w:rPr>
        <w:t> </w:t>
      </w:r>
      <w:r>
        <w:rPr>
          <w:sz w:val="24"/>
        </w:rPr>
        <w:t>ESG</w:t>
      </w:r>
      <w:r>
        <w:rPr>
          <w:spacing w:val="-4"/>
          <w:sz w:val="24"/>
        </w:rPr>
        <w:t> </w:t>
      </w:r>
      <w:r>
        <w:rPr>
          <w:sz w:val="24"/>
        </w:rPr>
        <w:t>risk</w:t>
      </w:r>
      <w:r>
        <w:rPr>
          <w:spacing w:val="-4"/>
          <w:sz w:val="24"/>
        </w:rPr>
        <w:t> </w:t>
      </w:r>
      <w:r>
        <w:rPr>
          <w:sz w:val="24"/>
        </w:rPr>
        <w:t>mitigation</w:t>
      </w:r>
      <w:r>
        <w:rPr>
          <w:spacing w:val="-4"/>
          <w:sz w:val="24"/>
        </w:rPr>
        <w:t> </w:t>
      </w:r>
      <w:r>
        <w:rPr>
          <w:sz w:val="24"/>
        </w:rPr>
        <w:t>efforts?</w:t>
      </w:r>
      <w:r>
        <w:rPr>
          <w:spacing w:val="-4"/>
          <w:sz w:val="24"/>
        </w:rPr>
        <w:t> </w:t>
      </w:r>
      <w:r>
        <w:rPr>
          <w:sz w:val="24"/>
        </w:rPr>
        <w:t>If</w:t>
      </w:r>
      <w:r>
        <w:rPr>
          <w:spacing w:val="-4"/>
          <w:sz w:val="24"/>
        </w:rPr>
        <w:t> </w:t>
      </w:r>
      <w:r>
        <w:rPr>
          <w:sz w:val="24"/>
        </w:rPr>
        <w:t>so,</w:t>
      </w:r>
      <w:r>
        <w:rPr>
          <w:spacing w:val="-4"/>
          <w:sz w:val="24"/>
        </w:rPr>
        <w:t> </w:t>
      </w:r>
      <w:r>
        <w:rPr>
          <w:sz w:val="24"/>
        </w:rPr>
        <w:t>where,</w:t>
      </w:r>
      <w:r>
        <w:rPr>
          <w:spacing w:val="-4"/>
          <w:sz w:val="24"/>
        </w:rPr>
        <w:t> </w:t>
      </w:r>
      <w:r>
        <w:rPr>
          <w:sz w:val="24"/>
        </w:rPr>
        <w:t>when, </w:t>
      </w:r>
      <w:r>
        <w:rPr>
          <w:w w:val="105"/>
          <w:sz w:val="24"/>
        </w:rPr>
        <w:t>and</w:t>
      </w:r>
      <w:r>
        <w:rPr>
          <w:spacing w:val="-18"/>
          <w:w w:val="105"/>
          <w:sz w:val="24"/>
        </w:rPr>
        <w:t> </w:t>
      </w:r>
      <w:r>
        <w:rPr>
          <w:w w:val="105"/>
          <w:sz w:val="24"/>
        </w:rPr>
        <w:t>how?</w:t>
      </w:r>
      <w:r>
        <w:rPr>
          <w:spacing w:val="-17"/>
          <w:w w:val="105"/>
          <w:sz w:val="24"/>
        </w:rPr>
        <w:t> </w:t>
      </w:r>
      <w:r>
        <w:rPr>
          <w:w w:val="105"/>
          <w:sz w:val="24"/>
        </w:rPr>
        <w:t>Are</w:t>
      </w:r>
      <w:r>
        <w:rPr>
          <w:spacing w:val="-18"/>
          <w:w w:val="105"/>
          <w:sz w:val="24"/>
        </w:rPr>
        <w:t> </w:t>
      </w:r>
      <w:r>
        <w:rPr>
          <w:w w:val="105"/>
          <w:sz w:val="24"/>
        </w:rPr>
        <w:t>its</w:t>
      </w:r>
      <w:r>
        <w:rPr>
          <w:spacing w:val="-17"/>
          <w:w w:val="105"/>
          <w:sz w:val="24"/>
        </w:rPr>
        <w:t> </w:t>
      </w:r>
      <w:r>
        <w:rPr>
          <w:w w:val="105"/>
          <w:sz w:val="24"/>
        </w:rPr>
        <w:t>infrastructure</w:t>
      </w:r>
      <w:r>
        <w:rPr>
          <w:spacing w:val="-18"/>
          <w:w w:val="105"/>
          <w:sz w:val="24"/>
        </w:rPr>
        <w:t> </w:t>
      </w:r>
      <w:r>
        <w:rPr>
          <w:w w:val="105"/>
          <w:sz w:val="24"/>
        </w:rPr>
        <w:t>projects</w:t>
      </w:r>
      <w:r>
        <w:rPr>
          <w:spacing w:val="-17"/>
          <w:w w:val="105"/>
          <w:sz w:val="24"/>
        </w:rPr>
        <w:t> </w:t>
      </w:r>
      <w:r>
        <w:rPr>
          <w:w w:val="105"/>
          <w:sz w:val="24"/>
        </w:rPr>
        <w:t>with</w:t>
      </w:r>
      <w:r>
        <w:rPr>
          <w:spacing w:val="-18"/>
          <w:w w:val="105"/>
          <w:sz w:val="24"/>
        </w:rPr>
        <w:t> </w:t>
      </w:r>
      <w:r>
        <w:rPr>
          <w:w w:val="105"/>
          <w:sz w:val="24"/>
        </w:rPr>
        <w:t>and</w:t>
      </w:r>
      <w:r>
        <w:rPr>
          <w:spacing w:val="-17"/>
          <w:w w:val="105"/>
          <w:sz w:val="24"/>
        </w:rPr>
        <w:t> </w:t>
      </w:r>
      <w:r>
        <w:rPr>
          <w:w w:val="105"/>
          <w:sz w:val="24"/>
        </w:rPr>
        <w:t>without</w:t>
      </w:r>
      <w:r>
        <w:rPr>
          <w:spacing w:val="-18"/>
          <w:w w:val="105"/>
          <w:sz w:val="24"/>
        </w:rPr>
        <w:t> </w:t>
      </w:r>
      <w:r>
        <w:rPr>
          <w:w w:val="105"/>
          <w:sz w:val="24"/>
        </w:rPr>
        <w:t>strong</w:t>
      </w:r>
      <w:r>
        <w:rPr>
          <w:spacing w:val="-17"/>
          <w:w w:val="105"/>
          <w:sz w:val="24"/>
        </w:rPr>
        <w:t> </w:t>
      </w:r>
      <w:r>
        <w:rPr>
          <w:w w:val="105"/>
          <w:sz w:val="24"/>
        </w:rPr>
        <w:t>ESG safeguards</w:t>
      </w:r>
      <w:r>
        <w:rPr>
          <w:spacing w:val="-8"/>
          <w:w w:val="105"/>
          <w:sz w:val="24"/>
        </w:rPr>
        <w:t> </w:t>
      </w:r>
      <w:r>
        <w:rPr>
          <w:w w:val="105"/>
          <w:sz w:val="24"/>
        </w:rPr>
        <w:t>faring</w:t>
      </w:r>
      <w:r>
        <w:rPr>
          <w:spacing w:val="-8"/>
          <w:w w:val="105"/>
          <w:sz w:val="24"/>
        </w:rPr>
        <w:t> </w:t>
      </w:r>
      <w:r>
        <w:rPr>
          <w:w w:val="105"/>
          <w:sz w:val="24"/>
        </w:rPr>
        <w:t>differently</w:t>
      </w:r>
      <w:r>
        <w:rPr>
          <w:spacing w:val="-8"/>
          <w:w w:val="105"/>
          <w:sz w:val="24"/>
        </w:rPr>
        <w:t> </w:t>
      </w:r>
      <w:r>
        <w:rPr>
          <w:w w:val="105"/>
          <w:sz w:val="24"/>
        </w:rPr>
        <w:t>during</w:t>
      </w:r>
      <w:r>
        <w:rPr>
          <w:spacing w:val="-8"/>
          <w:w w:val="105"/>
          <w:sz w:val="24"/>
        </w:rPr>
        <w:t> </w:t>
      </w:r>
      <w:r>
        <w:rPr>
          <w:w w:val="105"/>
          <w:sz w:val="24"/>
        </w:rPr>
        <w:t>implementation?</w:t>
      </w:r>
    </w:p>
    <w:p>
      <w:pPr>
        <w:pStyle w:val="BodyText"/>
        <w:spacing w:before="7"/>
        <w:rPr>
          <w:sz w:val="27"/>
        </w:rPr>
      </w:pPr>
    </w:p>
    <w:p>
      <w:pPr>
        <w:pStyle w:val="ListParagraph"/>
        <w:numPr>
          <w:ilvl w:val="0"/>
          <w:numId w:val="2"/>
        </w:numPr>
        <w:tabs>
          <w:tab w:pos="1179" w:val="left" w:leader="none"/>
          <w:tab w:pos="1180" w:val="left" w:leader="none"/>
        </w:tabs>
        <w:spacing w:line="333" w:lineRule="auto" w:before="1" w:after="0"/>
        <w:ind w:left="1180" w:right="475" w:hanging="360"/>
        <w:jc w:val="left"/>
        <w:rPr>
          <w:sz w:val="24"/>
        </w:rPr>
      </w:pPr>
      <w:r>
        <w:rPr>
          <w:sz w:val="24"/>
        </w:rPr>
        <w:t>How</w:t>
      </w:r>
      <w:r>
        <w:rPr>
          <w:spacing w:val="-3"/>
          <w:sz w:val="24"/>
        </w:rPr>
        <w:t> </w:t>
      </w:r>
      <w:r>
        <w:rPr>
          <w:sz w:val="24"/>
        </w:rPr>
        <w:t>does</w:t>
      </w:r>
      <w:r>
        <w:rPr>
          <w:spacing w:val="-3"/>
          <w:sz w:val="24"/>
        </w:rPr>
        <w:t> </w:t>
      </w:r>
      <w:r>
        <w:rPr>
          <w:sz w:val="24"/>
        </w:rPr>
        <w:t>China</w:t>
      </w:r>
      <w:r>
        <w:rPr>
          <w:spacing w:val="-3"/>
          <w:sz w:val="24"/>
        </w:rPr>
        <w:t> </w:t>
      </w:r>
      <w:r>
        <w:rPr>
          <w:sz w:val="24"/>
        </w:rPr>
        <w:t>manage</w:t>
      </w:r>
      <w:r>
        <w:rPr>
          <w:spacing w:val="-3"/>
          <w:sz w:val="24"/>
        </w:rPr>
        <w:t> </w:t>
      </w:r>
      <w:r>
        <w:rPr>
          <w:sz w:val="24"/>
        </w:rPr>
        <w:t>reputational</w:t>
      </w:r>
      <w:r>
        <w:rPr>
          <w:spacing w:val="-3"/>
          <w:sz w:val="24"/>
        </w:rPr>
        <w:t> </w:t>
      </w:r>
      <w:r>
        <w:rPr>
          <w:sz w:val="24"/>
        </w:rPr>
        <w:t>risk?</w:t>
      </w:r>
      <w:r>
        <w:rPr>
          <w:spacing w:val="-3"/>
          <w:sz w:val="24"/>
        </w:rPr>
        <w:t> </w:t>
      </w:r>
      <w:r>
        <w:rPr>
          <w:sz w:val="24"/>
        </w:rPr>
        <w:t>What</w:t>
      </w:r>
      <w:r>
        <w:rPr>
          <w:spacing w:val="-3"/>
          <w:sz w:val="24"/>
        </w:rPr>
        <w:t> </w:t>
      </w:r>
      <w:r>
        <w:rPr>
          <w:sz w:val="24"/>
        </w:rPr>
        <w:t>measures</w:t>
      </w:r>
      <w:r>
        <w:rPr>
          <w:spacing w:val="-3"/>
          <w:sz w:val="24"/>
        </w:rPr>
        <w:t> </w:t>
      </w:r>
      <w:r>
        <w:rPr>
          <w:sz w:val="24"/>
        </w:rPr>
        <w:t>does</w:t>
      </w:r>
      <w:r>
        <w:rPr>
          <w:spacing w:val="-3"/>
          <w:sz w:val="24"/>
        </w:rPr>
        <w:t> </w:t>
      </w:r>
      <w:r>
        <w:rPr>
          <w:sz w:val="24"/>
        </w:rPr>
        <w:t>it</w:t>
      </w:r>
      <w:r>
        <w:rPr>
          <w:spacing w:val="-3"/>
          <w:sz w:val="24"/>
        </w:rPr>
        <w:t> </w:t>
      </w:r>
      <w:r>
        <w:rPr>
          <w:sz w:val="24"/>
        </w:rPr>
        <w:t>take</w:t>
      </w:r>
      <w:r>
        <w:rPr>
          <w:spacing w:val="-3"/>
          <w:sz w:val="24"/>
        </w:rPr>
        <w:t> </w:t>
      </w:r>
      <w:r>
        <w:rPr>
          <w:sz w:val="24"/>
        </w:rPr>
        <w:t>to</w:t>
      </w:r>
      <w:r>
        <w:rPr>
          <w:sz w:val="24"/>
        </w:rPr>
        <w:t> </w:t>
      </w:r>
      <w:r>
        <w:rPr>
          <w:w w:val="105"/>
          <w:sz w:val="24"/>
        </w:rPr>
        <w:t>preserve</w:t>
      </w:r>
      <w:r>
        <w:rPr>
          <w:spacing w:val="-18"/>
          <w:w w:val="105"/>
          <w:sz w:val="24"/>
        </w:rPr>
        <w:t> </w:t>
      </w:r>
      <w:r>
        <w:rPr>
          <w:w w:val="105"/>
          <w:sz w:val="24"/>
        </w:rPr>
        <w:t>grassroots,</w:t>
      </w:r>
      <w:r>
        <w:rPr>
          <w:spacing w:val="-17"/>
          <w:w w:val="105"/>
          <w:sz w:val="24"/>
        </w:rPr>
        <w:t> </w:t>
      </w:r>
      <w:r>
        <w:rPr>
          <w:w w:val="105"/>
          <w:sz w:val="24"/>
        </w:rPr>
        <w:t>media,</w:t>
      </w:r>
      <w:r>
        <w:rPr>
          <w:spacing w:val="-18"/>
          <w:w w:val="105"/>
          <w:sz w:val="24"/>
        </w:rPr>
        <w:t> </w:t>
      </w:r>
      <w:r>
        <w:rPr>
          <w:w w:val="105"/>
          <w:sz w:val="24"/>
        </w:rPr>
        <w:t>and</w:t>
      </w:r>
      <w:r>
        <w:rPr>
          <w:spacing w:val="-18"/>
          <w:w w:val="105"/>
          <w:sz w:val="24"/>
        </w:rPr>
        <w:t> </w:t>
      </w:r>
      <w:r>
        <w:rPr>
          <w:w w:val="105"/>
          <w:sz w:val="24"/>
        </w:rPr>
        <w:t>elite</w:t>
      </w:r>
      <w:r>
        <w:rPr>
          <w:spacing w:val="-17"/>
          <w:w w:val="105"/>
          <w:sz w:val="24"/>
        </w:rPr>
        <w:t> </w:t>
      </w:r>
      <w:r>
        <w:rPr>
          <w:w w:val="105"/>
          <w:sz w:val="24"/>
        </w:rPr>
        <w:t>support</w:t>
      </w:r>
      <w:r>
        <w:rPr>
          <w:spacing w:val="-18"/>
          <w:w w:val="105"/>
          <w:sz w:val="24"/>
        </w:rPr>
        <w:t> </w:t>
      </w:r>
      <w:r>
        <w:rPr>
          <w:w w:val="105"/>
          <w:sz w:val="24"/>
        </w:rPr>
        <w:t>in</w:t>
      </w:r>
      <w:r>
        <w:rPr>
          <w:spacing w:val="-17"/>
          <w:w w:val="105"/>
          <w:sz w:val="24"/>
        </w:rPr>
        <w:t> </w:t>
      </w:r>
      <w:r>
        <w:rPr>
          <w:w w:val="105"/>
          <w:sz w:val="24"/>
        </w:rPr>
        <w:t>host</w:t>
      </w:r>
      <w:r>
        <w:rPr>
          <w:spacing w:val="-18"/>
          <w:w w:val="105"/>
          <w:sz w:val="24"/>
        </w:rPr>
        <w:t> </w:t>
      </w:r>
      <w:r>
        <w:rPr>
          <w:w w:val="105"/>
          <w:sz w:val="24"/>
        </w:rPr>
        <w:t>countries?</w:t>
      </w:r>
      <w:r>
        <w:rPr>
          <w:spacing w:val="-17"/>
          <w:w w:val="105"/>
          <w:sz w:val="24"/>
        </w:rPr>
        <w:t> </w:t>
      </w:r>
      <w:r>
        <w:rPr>
          <w:w w:val="105"/>
          <w:sz w:val="24"/>
        </w:rPr>
        <w:t>Are Chinese</w:t>
      </w:r>
      <w:r>
        <w:rPr>
          <w:spacing w:val="-12"/>
          <w:w w:val="105"/>
          <w:sz w:val="24"/>
        </w:rPr>
        <w:t> </w:t>
      </w:r>
      <w:r>
        <w:rPr>
          <w:w w:val="105"/>
          <w:sz w:val="24"/>
        </w:rPr>
        <w:t>development</w:t>
      </w:r>
      <w:r>
        <w:rPr>
          <w:spacing w:val="-12"/>
          <w:w w:val="105"/>
          <w:sz w:val="24"/>
        </w:rPr>
        <w:t> </w:t>
      </w:r>
      <w:r>
        <w:rPr>
          <w:w w:val="105"/>
          <w:sz w:val="24"/>
        </w:rPr>
        <w:t>ﬁnance</w:t>
      </w:r>
      <w:r>
        <w:rPr>
          <w:spacing w:val="-12"/>
          <w:w w:val="105"/>
          <w:sz w:val="24"/>
        </w:rPr>
        <w:t> </w:t>
      </w:r>
      <w:r>
        <w:rPr>
          <w:w w:val="105"/>
          <w:sz w:val="24"/>
        </w:rPr>
        <w:t>institutions</w:t>
      </w:r>
      <w:r>
        <w:rPr>
          <w:spacing w:val="-12"/>
          <w:w w:val="105"/>
          <w:sz w:val="24"/>
        </w:rPr>
        <w:t> </w:t>
      </w:r>
      <w:r>
        <w:rPr>
          <w:w w:val="105"/>
          <w:sz w:val="24"/>
        </w:rPr>
        <w:t>learning</w:t>
      </w:r>
      <w:r>
        <w:rPr>
          <w:spacing w:val="-12"/>
          <w:w w:val="105"/>
          <w:sz w:val="24"/>
        </w:rPr>
        <w:t> </w:t>
      </w:r>
      <w:r>
        <w:rPr>
          <w:w w:val="105"/>
          <w:sz w:val="24"/>
        </w:rPr>
        <w:t>from</w:t>
      </w:r>
      <w:r>
        <w:rPr>
          <w:spacing w:val="-12"/>
          <w:w w:val="105"/>
          <w:sz w:val="24"/>
        </w:rPr>
        <w:t> </w:t>
      </w:r>
      <w:r>
        <w:rPr>
          <w:w w:val="105"/>
          <w:sz w:val="24"/>
        </w:rPr>
        <w:t>their</w:t>
      </w:r>
      <w:r>
        <w:rPr>
          <w:spacing w:val="-12"/>
          <w:w w:val="105"/>
          <w:sz w:val="24"/>
        </w:rPr>
        <w:t> </w:t>
      </w:r>
      <w:r>
        <w:rPr>
          <w:w w:val="105"/>
          <w:sz w:val="24"/>
        </w:rPr>
        <w:t>past </w:t>
      </w:r>
      <w:r>
        <w:rPr>
          <w:spacing w:val="-2"/>
          <w:w w:val="105"/>
          <w:sz w:val="24"/>
        </w:rPr>
        <w:t>mistakes</w:t>
      </w:r>
      <w:r>
        <w:rPr>
          <w:spacing w:val="-9"/>
          <w:w w:val="105"/>
          <w:sz w:val="24"/>
        </w:rPr>
        <w:t> </w:t>
      </w:r>
      <w:r>
        <w:rPr>
          <w:spacing w:val="-2"/>
          <w:w w:val="105"/>
          <w:sz w:val="24"/>
        </w:rPr>
        <w:t>and</w:t>
      </w:r>
      <w:r>
        <w:rPr>
          <w:spacing w:val="-9"/>
          <w:w w:val="105"/>
          <w:sz w:val="24"/>
        </w:rPr>
        <w:t> </w:t>
      </w:r>
      <w:r>
        <w:rPr>
          <w:spacing w:val="-2"/>
          <w:w w:val="105"/>
          <w:sz w:val="24"/>
        </w:rPr>
        <w:t>recalibrating</w:t>
      </w:r>
      <w:r>
        <w:rPr>
          <w:spacing w:val="-9"/>
          <w:w w:val="105"/>
          <w:sz w:val="24"/>
        </w:rPr>
        <w:t> </w:t>
      </w:r>
      <w:r>
        <w:rPr>
          <w:spacing w:val="-2"/>
          <w:w w:val="105"/>
          <w:sz w:val="24"/>
        </w:rPr>
        <w:t>their</w:t>
      </w:r>
      <w:r>
        <w:rPr>
          <w:spacing w:val="-9"/>
          <w:w w:val="105"/>
          <w:sz w:val="24"/>
        </w:rPr>
        <w:t> </w:t>
      </w:r>
      <w:r>
        <w:rPr>
          <w:spacing w:val="-2"/>
          <w:w w:val="105"/>
          <w:sz w:val="24"/>
        </w:rPr>
        <w:t>policies</w:t>
      </w:r>
      <w:r>
        <w:rPr>
          <w:spacing w:val="-9"/>
          <w:w w:val="105"/>
          <w:sz w:val="24"/>
        </w:rPr>
        <w:t> </w:t>
      </w:r>
      <w:r>
        <w:rPr>
          <w:spacing w:val="-2"/>
          <w:w w:val="105"/>
          <w:sz w:val="24"/>
        </w:rPr>
        <w:t>and</w:t>
      </w:r>
      <w:r>
        <w:rPr>
          <w:spacing w:val="-9"/>
          <w:w w:val="105"/>
          <w:sz w:val="24"/>
        </w:rPr>
        <w:t> </w:t>
      </w:r>
      <w:r>
        <w:rPr>
          <w:spacing w:val="-2"/>
          <w:w w:val="105"/>
          <w:sz w:val="24"/>
        </w:rPr>
        <w:t>practices</w:t>
      </w:r>
      <w:r>
        <w:rPr>
          <w:spacing w:val="-9"/>
          <w:w w:val="105"/>
          <w:sz w:val="24"/>
        </w:rPr>
        <w:t> </w:t>
      </w:r>
      <w:r>
        <w:rPr>
          <w:spacing w:val="-2"/>
          <w:w w:val="105"/>
          <w:sz w:val="24"/>
        </w:rPr>
        <w:t>in</w:t>
      </w:r>
      <w:r>
        <w:rPr>
          <w:spacing w:val="-9"/>
          <w:w w:val="105"/>
          <w:sz w:val="24"/>
        </w:rPr>
        <w:t> </w:t>
      </w:r>
      <w:r>
        <w:rPr>
          <w:spacing w:val="-2"/>
          <w:w w:val="105"/>
          <w:sz w:val="24"/>
        </w:rPr>
        <w:t>BRI</w:t>
      </w:r>
      <w:r>
        <w:rPr>
          <w:spacing w:val="-9"/>
          <w:w w:val="105"/>
          <w:sz w:val="24"/>
        </w:rPr>
        <w:t> </w:t>
      </w:r>
      <w:r>
        <w:rPr>
          <w:spacing w:val="-2"/>
          <w:w w:val="105"/>
          <w:sz w:val="24"/>
        </w:rPr>
        <w:t>“buyer’s </w:t>
      </w:r>
      <w:r>
        <w:rPr>
          <w:w w:val="105"/>
          <w:sz w:val="24"/>
        </w:rPr>
        <w:t>remorse” countries?</w:t>
      </w:r>
    </w:p>
    <w:p>
      <w:pPr>
        <w:pStyle w:val="BodyText"/>
        <w:spacing w:before="6"/>
        <w:rPr>
          <w:sz w:val="27"/>
        </w:rPr>
      </w:pPr>
    </w:p>
    <w:p>
      <w:pPr>
        <w:pStyle w:val="ListParagraph"/>
        <w:numPr>
          <w:ilvl w:val="0"/>
          <w:numId w:val="2"/>
        </w:numPr>
        <w:tabs>
          <w:tab w:pos="1179" w:val="left" w:leader="none"/>
          <w:tab w:pos="1180" w:val="left" w:leader="none"/>
        </w:tabs>
        <w:spacing w:line="333" w:lineRule="auto" w:before="0" w:after="0"/>
        <w:ind w:left="1180" w:right="542" w:hanging="360"/>
        <w:jc w:val="left"/>
        <w:rPr>
          <w:sz w:val="24"/>
        </w:rPr>
      </w:pPr>
      <w:r>
        <w:rPr>
          <w:sz w:val="24"/>
        </w:rPr>
        <w:t>What</w:t>
      </w:r>
      <w:r>
        <w:rPr>
          <w:spacing w:val="-4"/>
          <w:sz w:val="24"/>
        </w:rPr>
        <w:t> </w:t>
      </w:r>
      <w:r>
        <w:rPr>
          <w:sz w:val="24"/>
        </w:rPr>
        <w:t>are</w:t>
      </w:r>
      <w:r>
        <w:rPr>
          <w:spacing w:val="-4"/>
          <w:sz w:val="24"/>
        </w:rPr>
        <w:t> </w:t>
      </w:r>
      <w:r>
        <w:rPr>
          <w:sz w:val="24"/>
        </w:rPr>
        <w:t>China’s</w:t>
      </w:r>
      <w:r>
        <w:rPr>
          <w:spacing w:val="-4"/>
          <w:sz w:val="24"/>
        </w:rPr>
        <w:t> </w:t>
      </w:r>
      <w:r>
        <w:rPr>
          <w:sz w:val="24"/>
        </w:rPr>
        <w:t>tolerance</w:t>
      </w:r>
      <w:r>
        <w:rPr>
          <w:spacing w:val="-4"/>
          <w:sz w:val="24"/>
        </w:rPr>
        <w:t> </w:t>
      </w:r>
      <w:r>
        <w:rPr>
          <w:sz w:val="24"/>
        </w:rPr>
        <w:t>levels</w:t>
      </w:r>
      <w:r>
        <w:rPr>
          <w:spacing w:val="-4"/>
          <w:sz w:val="24"/>
        </w:rPr>
        <w:t> </w:t>
      </w:r>
      <w:r>
        <w:rPr>
          <w:sz w:val="24"/>
        </w:rPr>
        <w:t>for</w:t>
      </w:r>
      <w:r>
        <w:rPr>
          <w:spacing w:val="-4"/>
          <w:sz w:val="24"/>
        </w:rPr>
        <w:t> </w:t>
      </w:r>
      <w:r>
        <w:rPr>
          <w:sz w:val="24"/>
        </w:rPr>
        <w:t>repayment</w:t>
      </w:r>
      <w:r>
        <w:rPr>
          <w:spacing w:val="-4"/>
          <w:sz w:val="24"/>
        </w:rPr>
        <w:t> </w:t>
      </w:r>
      <w:r>
        <w:rPr>
          <w:sz w:val="24"/>
        </w:rPr>
        <w:t>risk,</w:t>
      </w:r>
      <w:r>
        <w:rPr>
          <w:spacing w:val="-4"/>
          <w:sz w:val="24"/>
        </w:rPr>
        <w:t> </w:t>
      </w:r>
      <w:r>
        <w:rPr>
          <w:sz w:val="24"/>
        </w:rPr>
        <w:t>project</w:t>
      </w:r>
      <w:r>
        <w:rPr>
          <w:spacing w:val="-4"/>
          <w:sz w:val="24"/>
        </w:rPr>
        <w:t> </w:t>
      </w:r>
      <w:r>
        <w:rPr>
          <w:sz w:val="24"/>
        </w:rPr>
        <w:t>performance</w:t>
      </w:r>
      <w:r>
        <w:rPr>
          <w:sz w:val="24"/>
        </w:rPr>
        <w:t> risk, and reputational risk?</w:t>
      </w:r>
    </w:p>
    <w:p>
      <w:pPr>
        <w:pStyle w:val="BodyText"/>
        <w:spacing w:before="9"/>
        <w:rPr>
          <w:sz w:val="27"/>
        </w:rPr>
      </w:pPr>
    </w:p>
    <w:p>
      <w:pPr>
        <w:pStyle w:val="BodyText"/>
        <w:spacing w:line="333" w:lineRule="auto"/>
        <w:ind w:left="460" w:right="485"/>
      </w:pPr>
      <w:r>
        <w:rPr/>
        <w:t>However,</w:t>
      </w:r>
      <w:r>
        <w:rPr>
          <w:spacing w:val="-6"/>
        </w:rPr>
        <w:t> </w:t>
      </w:r>
      <w:r>
        <w:rPr/>
        <w:t>we</w:t>
      </w:r>
      <w:r>
        <w:rPr>
          <w:spacing w:val="-6"/>
        </w:rPr>
        <w:t> </w:t>
      </w:r>
      <w:r>
        <w:rPr/>
        <w:t>also</w:t>
      </w:r>
      <w:r>
        <w:rPr>
          <w:spacing w:val="-6"/>
        </w:rPr>
        <w:t> </w:t>
      </w:r>
      <w:r>
        <w:rPr/>
        <w:t>want</w:t>
      </w:r>
      <w:r>
        <w:rPr>
          <w:spacing w:val="-6"/>
        </w:rPr>
        <w:t> </w:t>
      </w:r>
      <w:r>
        <w:rPr/>
        <w:t>to</w:t>
      </w:r>
      <w:r>
        <w:rPr>
          <w:spacing w:val="-6"/>
        </w:rPr>
        <w:t> </w:t>
      </w:r>
      <w:r>
        <w:rPr/>
        <w:t>introduce</w:t>
      </w:r>
      <w:r>
        <w:rPr>
          <w:spacing w:val="-6"/>
        </w:rPr>
        <w:t> </w:t>
      </w:r>
      <w:r>
        <w:rPr/>
        <w:t>researchers,</w:t>
      </w:r>
      <w:r>
        <w:rPr>
          <w:spacing w:val="-6"/>
        </w:rPr>
        <w:t> </w:t>
      </w:r>
      <w:r>
        <w:rPr/>
        <w:t>policymakers,</w:t>
      </w:r>
      <w:r>
        <w:rPr>
          <w:spacing w:val="-6"/>
        </w:rPr>
        <w:t> </w:t>
      </w:r>
      <w:r>
        <w:rPr/>
        <w:t>and</w:t>
      </w:r>
      <w:r>
        <w:rPr>
          <w:spacing w:val="-6"/>
        </w:rPr>
        <w:t> </w:t>
      </w:r>
      <w:r>
        <w:rPr/>
        <w:t>journalists</w:t>
      </w:r>
      <w:r>
        <w:rPr>
          <w:spacing w:val="-6"/>
        </w:rPr>
        <w:t> </w:t>
      </w:r>
      <w:r>
        <w:rPr/>
        <w:t>to the “art of the possible” with the 3.0 version of AidData’s GCDF dataset. There are many additional questions that can now be answered because of the dataset’s uniquely comprehensive scope and unprecedented granularity.</w:t>
      </w:r>
      <w:r>
        <w:rPr>
          <w:vertAlign w:val="superscript"/>
        </w:rPr>
        <w:t>[66]</w:t>
      </w:r>
      <w:r>
        <w:rPr>
          <w:vertAlign w:val="baseline"/>
        </w:rPr>
        <w:t> Several new and improved features of the dataset merit special attention:</w:t>
      </w:r>
    </w:p>
    <w:p>
      <w:pPr>
        <w:pStyle w:val="BodyText"/>
        <w:spacing w:before="6"/>
        <w:rPr>
          <w:sz w:val="27"/>
        </w:rPr>
      </w:pPr>
    </w:p>
    <w:p>
      <w:pPr>
        <w:pStyle w:val="ListParagraph"/>
        <w:numPr>
          <w:ilvl w:val="0"/>
          <w:numId w:val="3"/>
        </w:numPr>
        <w:tabs>
          <w:tab w:pos="1180" w:val="left" w:leader="none"/>
        </w:tabs>
        <w:spacing w:line="333" w:lineRule="auto" w:before="0" w:after="0"/>
        <w:ind w:left="1180" w:right="643" w:hanging="360"/>
        <w:jc w:val="left"/>
        <w:rPr>
          <w:sz w:val="24"/>
        </w:rPr>
      </w:pPr>
      <w:r>
        <w:t>Donor and lender coverage: The 3.0 dataset captures projects and activities in LICs and MICs supported by 791 ofﬁcial sector donors and lenders in China. It also identiﬁes the participation of 1,225 co-ﬁnancing institutions—including Western commercial banks, multilateral development banks, and OECD-DAC development ﬁnance institutions that have chosen to collaborate or coordinate with Beijing—in Chinese grant- and loan-ﬁnanced projects and activities. A new feature of the 3.0 dataset is the inclusion of two “ﬂag” variables that allow for easy identiﬁcation of projects/activities that involve (a) non-Chinese ﬁnanciers or (b) multilateral institutions.</w:t>
      </w:r>
    </w:p>
    <w:p>
      <w:pPr>
        <w:pStyle w:val="BodyText"/>
        <w:rPr>
          <w:sz w:val="20"/>
        </w:rPr>
      </w:pPr>
    </w:p>
    <w:p>
      <w:pPr>
        <w:pStyle w:val="BodyText"/>
        <w:spacing w:before="8"/>
        <w:rPr>
          <w:sz w:val="13"/>
        </w:rPr>
      </w:pPr>
      <w:r>
        <w:rPr/>
        <w:pict>
          <v:shape style="position:absolute;margin-left:90pt;margin-top:9.116211pt;width:144pt;height:.1pt;mso-position-horizontal-relative:page;mso-position-vertical-relative:paragraph;z-index:-15690240;mso-wrap-distance-left:0;mso-wrap-distance-right:0" id="docshape56" coordorigin="1800,182" coordsize="2880,0" path="m1800,182l4680,182e" filled="false" stroked="true" strokeweight=".75pt" strokecolor="#000000">
            <v:path arrowok="t"/>
            <v:stroke dashstyle="solid"/>
            <w10:wrap type="topAndBottom"/>
          </v:shape>
        </w:pict>
      </w:r>
    </w:p>
    <w:p>
      <w:pPr>
        <w:spacing w:after="0"/>
        <w:jc w:val="left"/>
        <w:rPr>
          <w:sz w:val="18"/>
        </w:rPr>
        <w:sectPr>
          <w:pgSz w:w="12240" w:h="15840"/>
          <w:pgMar w:header="0" w:footer="720" w:top="1400" w:bottom="920" w:left="1340" w:right="1340"/>
        </w:sectPr>
      </w:pPr>
    </w:p>
    <w:p>
      <w:pPr>
        <w:pStyle w:val="BodyText"/>
        <w:spacing w:before="8"/>
        <w:rPr>
          <w:sz w:val="27"/>
        </w:rPr>
      </w:pPr>
    </w:p>
    <w:p>
      <w:pPr>
        <w:pStyle w:val="ListParagraph"/>
        <w:numPr>
          <w:ilvl w:val="0"/>
          <w:numId w:val="3"/>
        </w:numPr>
        <w:tabs>
          <w:tab w:pos="1180" w:val="left" w:leader="none"/>
        </w:tabs>
        <w:spacing w:line="333" w:lineRule="auto" w:before="0" w:after="0"/>
        <w:ind w:left="1180" w:right="462" w:hanging="360"/>
        <w:jc w:val="left"/>
        <w:rPr>
          <w:sz w:val="24"/>
        </w:rPr>
      </w:pPr>
      <w:r>
        <w:rPr>
          <w:b/>
          <w:sz w:val="24"/>
        </w:rPr>
        <w:t>Borrower</w:t>
      </w:r>
      <w:r>
        <w:rPr>
          <w:b/>
          <w:spacing w:val="-4"/>
          <w:sz w:val="24"/>
        </w:rPr>
        <w:t> </w:t>
      </w:r>
      <w:r>
        <w:rPr>
          <w:b/>
          <w:sz w:val="24"/>
        </w:rPr>
        <w:t>and</w:t>
      </w:r>
      <w:r>
        <w:rPr>
          <w:b/>
          <w:spacing w:val="-4"/>
          <w:sz w:val="24"/>
        </w:rPr>
        <w:t> </w:t>
      </w:r>
      <w:r>
        <w:rPr>
          <w:b/>
          <w:sz w:val="24"/>
        </w:rPr>
        <w:t>recipient</w:t>
      </w:r>
      <w:r>
        <w:rPr>
          <w:b/>
          <w:spacing w:val="-4"/>
          <w:sz w:val="24"/>
        </w:rPr>
        <w:t> </w:t>
      </w:r>
      <w:r>
        <w:rPr>
          <w:b/>
          <w:sz w:val="24"/>
        </w:rPr>
        <w:t>coverage</w:t>
      </w:r>
      <w:r>
        <w:rPr>
          <w:sz w:val="24"/>
        </w:rPr>
        <w:t>:</w:t>
      </w:r>
      <w:r>
        <w:rPr>
          <w:spacing w:val="-4"/>
          <w:sz w:val="24"/>
        </w:rPr>
        <w:t> </w:t>
      </w:r>
      <w:r>
        <w:rPr>
          <w:sz w:val="24"/>
        </w:rPr>
        <w:t>The</w:t>
      </w:r>
      <w:r>
        <w:rPr>
          <w:spacing w:val="-4"/>
          <w:sz w:val="24"/>
        </w:rPr>
        <w:t> </w:t>
      </w:r>
      <w:r>
        <w:rPr>
          <w:sz w:val="24"/>
        </w:rPr>
        <w:t>3.0</w:t>
      </w:r>
      <w:r>
        <w:rPr>
          <w:spacing w:val="-4"/>
          <w:sz w:val="24"/>
        </w:rPr>
        <w:t> </w:t>
      </w:r>
      <w:r>
        <w:rPr>
          <w:sz w:val="24"/>
        </w:rPr>
        <w:t>dataset</w:t>
      </w:r>
      <w:r>
        <w:rPr>
          <w:spacing w:val="-4"/>
          <w:sz w:val="24"/>
        </w:rPr>
        <w:t> </w:t>
      </w:r>
      <w:r>
        <w:rPr>
          <w:sz w:val="24"/>
        </w:rPr>
        <w:t>identiﬁes</w:t>
      </w:r>
      <w:r>
        <w:rPr>
          <w:spacing w:val="-4"/>
          <w:sz w:val="24"/>
        </w:rPr>
        <w:t> </w:t>
      </w:r>
      <w:r>
        <w:rPr>
          <w:sz w:val="24"/>
        </w:rPr>
        <w:t>5,037 </w:t>
      </w:r>
      <w:r>
        <w:rPr>
          <w:w w:val="105"/>
          <w:sz w:val="24"/>
        </w:rPr>
        <w:t>receiving</w:t>
      </w:r>
      <w:r>
        <w:rPr>
          <w:spacing w:val="-17"/>
          <w:w w:val="105"/>
          <w:sz w:val="24"/>
        </w:rPr>
        <w:t> </w:t>
      </w:r>
      <w:r>
        <w:rPr>
          <w:w w:val="105"/>
          <w:sz w:val="24"/>
        </w:rPr>
        <w:t>(borrowing)</w:t>
      </w:r>
      <w:r>
        <w:rPr>
          <w:spacing w:val="-17"/>
          <w:w w:val="105"/>
          <w:sz w:val="24"/>
        </w:rPr>
        <w:t> </w:t>
      </w:r>
      <w:r>
        <w:rPr>
          <w:w w:val="105"/>
          <w:sz w:val="24"/>
        </w:rPr>
        <w:t>institutions</w:t>
      </w:r>
      <w:r>
        <w:rPr>
          <w:spacing w:val="-17"/>
          <w:w w:val="105"/>
          <w:sz w:val="24"/>
        </w:rPr>
        <w:t> </w:t>
      </w:r>
      <w:r>
        <w:rPr>
          <w:w w:val="105"/>
          <w:sz w:val="24"/>
        </w:rPr>
        <w:t>and</w:t>
      </w:r>
      <w:r>
        <w:rPr>
          <w:spacing w:val="-17"/>
          <w:w w:val="105"/>
          <w:sz w:val="24"/>
        </w:rPr>
        <w:t> </w:t>
      </w:r>
      <w:r>
        <w:rPr>
          <w:w w:val="105"/>
          <w:sz w:val="24"/>
        </w:rPr>
        <w:t>categorizes</w:t>
      </w:r>
      <w:r>
        <w:rPr>
          <w:spacing w:val="-17"/>
          <w:w w:val="105"/>
          <w:sz w:val="24"/>
        </w:rPr>
        <w:t> </w:t>
      </w:r>
      <w:r>
        <w:rPr>
          <w:w w:val="105"/>
          <w:sz w:val="24"/>
        </w:rPr>
        <w:t>each</w:t>
      </w:r>
      <w:r>
        <w:rPr>
          <w:spacing w:val="-17"/>
          <w:w w:val="105"/>
          <w:sz w:val="24"/>
        </w:rPr>
        <w:t> </w:t>
      </w:r>
      <w:r>
        <w:rPr>
          <w:w w:val="105"/>
          <w:sz w:val="24"/>
        </w:rPr>
        <w:t>one</w:t>
      </w:r>
      <w:r>
        <w:rPr>
          <w:spacing w:val="-17"/>
          <w:w w:val="105"/>
          <w:sz w:val="24"/>
        </w:rPr>
        <w:t> </w:t>
      </w:r>
      <w:r>
        <w:rPr>
          <w:w w:val="105"/>
          <w:sz w:val="24"/>
        </w:rPr>
        <w:t>by</w:t>
      </w:r>
      <w:r>
        <w:rPr>
          <w:spacing w:val="-17"/>
          <w:w w:val="105"/>
          <w:sz w:val="24"/>
        </w:rPr>
        <w:t> </w:t>
      </w:r>
      <w:r>
        <w:rPr>
          <w:w w:val="105"/>
          <w:sz w:val="24"/>
        </w:rPr>
        <w:t>type </w:t>
      </w:r>
      <w:r>
        <w:rPr>
          <w:sz w:val="24"/>
        </w:rPr>
        <w:t>(government agency, state-owned bank, state-owned company, special </w:t>
      </w:r>
      <w:r>
        <w:rPr>
          <w:w w:val="105"/>
          <w:sz w:val="24"/>
        </w:rPr>
        <w:t>purpose</w:t>
      </w:r>
      <w:r>
        <w:rPr>
          <w:spacing w:val="-12"/>
          <w:w w:val="105"/>
          <w:sz w:val="24"/>
        </w:rPr>
        <w:t> </w:t>
      </w:r>
      <w:r>
        <w:rPr>
          <w:w w:val="105"/>
          <w:sz w:val="24"/>
        </w:rPr>
        <w:t>vehicle/joint</w:t>
      </w:r>
      <w:r>
        <w:rPr>
          <w:spacing w:val="-12"/>
          <w:w w:val="105"/>
          <w:sz w:val="24"/>
        </w:rPr>
        <w:t> </w:t>
      </w:r>
      <w:r>
        <w:rPr>
          <w:w w:val="105"/>
          <w:sz w:val="24"/>
        </w:rPr>
        <w:t>venture,</w:t>
      </w:r>
      <w:r>
        <w:rPr>
          <w:spacing w:val="-12"/>
          <w:w w:val="105"/>
          <w:sz w:val="24"/>
        </w:rPr>
        <w:t> </w:t>
      </w:r>
      <w:r>
        <w:rPr>
          <w:w w:val="105"/>
          <w:sz w:val="24"/>
        </w:rPr>
        <w:t>intergovernmental</w:t>
      </w:r>
      <w:r>
        <w:rPr>
          <w:spacing w:val="-12"/>
          <w:w w:val="105"/>
          <w:sz w:val="24"/>
        </w:rPr>
        <w:t> </w:t>
      </w:r>
      <w:r>
        <w:rPr>
          <w:w w:val="105"/>
          <w:sz w:val="24"/>
        </w:rPr>
        <w:t>organization,</w:t>
      </w:r>
      <w:r>
        <w:rPr>
          <w:spacing w:val="-12"/>
          <w:w w:val="105"/>
          <w:sz w:val="24"/>
        </w:rPr>
        <w:t> </w:t>
      </w:r>
      <w:r>
        <w:rPr>
          <w:w w:val="105"/>
          <w:sz w:val="24"/>
        </w:rPr>
        <w:t>private </w:t>
      </w:r>
      <w:r>
        <w:rPr>
          <w:sz w:val="24"/>
        </w:rPr>
        <w:t>sector, etc.), country of origin (recipient country, China, or a third country), </w:t>
      </w:r>
      <w:r>
        <w:rPr>
          <w:w w:val="105"/>
          <w:sz w:val="24"/>
        </w:rPr>
        <w:t>and,</w:t>
      </w:r>
      <w:r>
        <w:rPr>
          <w:spacing w:val="-7"/>
          <w:w w:val="105"/>
          <w:sz w:val="24"/>
        </w:rPr>
        <w:t> </w:t>
      </w:r>
      <w:r>
        <w:rPr>
          <w:w w:val="105"/>
          <w:sz w:val="24"/>
        </w:rPr>
        <w:t>when</w:t>
      </w:r>
      <w:r>
        <w:rPr>
          <w:spacing w:val="-7"/>
          <w:w w:val="105"/>
          <w:sz w:val="24"/>
        </w:rPr>
        <w:t> </w:t>
      </w:r>
      <w:r>
        <w:rPr>
          <w:w w:val="105"/>
          <w:sz w:val="24"/>
        </w:rPr>
        <w:t>applicable,</w:t>
      </w:r>
      <w:r>
        <w:rPr>
          <w:spacing w:val="-7"/>
          <w:w w:val="105"/>
          <w:sz w:val="24"/>
        </w:rPr>
        <w:t> </w:t>
      </w:r>
      <w:r>
        <w:rPr>
          <w:w w:val="105"/>
          <w:sz w:val="24"/>
        </w:rPr>
        <w:t>role</w:t>
      </w:r>
      <w:r>
        <w:rPr>
          <w:spacing w:val="-7"/>
          <w:w w:val="105"/>
          <w:sz w:val="24"/>
        </w:rPr>
        <w:t> </w:t>
      </w:r>
      <w:r>
        <w:rPr>
          <w:w w:val="105"/>
          <w:sz w:val="24"/>
        </w:rPr>
        <w:t>(direct</w:t>
      </w:r>
      <w:r>
        <w:rPr>
          <w:spacing w:val="-7"/>
          <w:w w:val="105"/>
          <w:sz w:val="24"/>
        </w:rPr>
        <w:t> </w:t>
      </w:r>
      <w:r>
        <w:rPr>
          <w:w w:val="105"/>
          <w:sz w:val="24"/>
        </w:rPr>
        <w:t>borrower</w:t>
      </w:r>
      <w:r>
        <w:rPr>
          <w:spacing w:val="-7"/>
          <w:w w:val="105"/>
          <w:sz w:val="24"/>
        </w:rPr>
        <w:t> </w:t>
      </w:r>
      <w:r>
        <w:rPr>
          <w:w w:val="105"/>
          <w:sz w:val="24"/>
        </w:rPr>
        <w:t>or</w:t>
      </w:r>
      <w:r>
        <w:rPr>
          <w:spacing w:val="-7"/>
          <w:w w:val="105"/>
          <w:sz w:val="24"/>
        </w:rPr>
        <w:t> </w:t>
      </w:r>
      <w:r>
        <w:rPr>
          <w:w w:val="105"/>
          <w:sz w:val="24"/>
        </w:rPr>
        <w:t>indirect</w:t>
      </w:r>
      <w:r>
        <w:rPr>
          <w:spacing w:val="-7"/>
          <w:w w:val="105"/>
          <w:sz w:val="24"/>
        </w:rPr>
        <w:t> </w:t>
      </w:r>
      <w:r>
        <w:rPr>
          <w:w w:val="105"/>
          <w:sz w:val="24"/>
        </w:rPr>
        <w:t>borrower</w:t>
      </w:r>
      <w:r>
        <w:rPr>
          <w:spacing w:val="-7"/>
          <w:w w:val="105"/>
          <w:sz w:val="24"/>
        </w:rPr>
        <w:t> </w:t>
      </w:r>
      <w:r>
        <w:rPr>
          <w:w w:val="105"/>
          <w:sz w:val="24"/>
        </w:rPr>
        <w:t>through an</w:t>
      </w:r>
      <w:r>
        <w:rPr>
          <w:spacing w:val="-9"/>
          <w:w w:val="105"/>
          <w:sz w:val="24"/>
        </w:rPr>
        <w:t> </w:t>
      </w:r>
      <w:r>
        <w:rPr>
          <w:w w:val="105"/>
          <w:sz w:val="24"/>
        </w:rPr>
        <w:t>on-lending</w:t>
      </w:r>
      <w:r>
        <w:rPr>
          <w:spacing w:val="-9"/>
          <w:w w:val="105"/>
          <w:sz w:val="24"/>
        </w:rPr>
        <w:t> </w:t>
      </w:r>
      <w:r>
        <w:rPr>
          <w:w w:val="105"/>
          <w:sz w:val="24"/>
        </w:rPr>
        <w:t>arrangement).</w:t>
      </w:r>
      <w:r>
        <w:rPr>
          <w:spacing w:val="-9"/>
          <w:w w:val="105"/>
          <w:sz w:val="24"/>
        </w:rPr>
        <w:t> </w:t>
      </w:r>
      <w:r>
        <w:rPr>
          <w:w w:val="105"/>
          <w:sz w:val="24"/>
        </w:rPr>
        <w:t>In</w:t>
      </w:r>
      <w:r>
        <w:rPr>
          <w:spacing w:val="-9"/>
          <w:w w:val="105"/>
          <w:sz w:val="24"/>
        </w:rPr>
        <w:t> </w:t>
      </w:r>
      <w:r>
        <w:rPr>
          <w:w w:val="105"/>
          <w:sz w:val="24"/>
        </w:rPr>
        <w:t>recognition</w:t>
      </w:r>
      <w:r>
        <w:rPr>
          <w:spacing w:val="-9"/>
          <w:w w:val="105"/>
          <w:sz w:val="24"/>
        </w:rPr>
        <w:t> </w:t>
      </w:r>
      <w:r>
        <w:rPr>
          <w:w w:val="105"/>
          <w:sz w:val="24"/>
        </w:rPr>
        <w:t>of</w:t>
      </w:r>
      <w:r>
        <w:rPr>
          <w:spacing w:val="-9"/>
          <w:w w:val="105"/>
          <w:sz w:val="24"/>
        </w:rPr>
        <w:t> </w:t>
      </w:r>
      <w:r>
        <w:rPr>
          <w:w w:val="105"/>
          <w:sz w:val="24"/>
        </w:rPr>
        <w:t>the</w:t>
      </w:r>
      <w:r>
        <w:rPr>
          <w:spacing w:val="-9"/>
          <w:w w:val="105"/>
          <w:sz w:val="24"/>
        </w:rPr>
        <w:t> </w:t>
      </w:r>
      <w:r>
        <w:rPr>
          <w:w w:val="105"/>
          <w:sz w:val="24"/>
        </w:rPr>
        <w:t>fact</w:t>
      </w:r>
      <w:r>
        <w:rPr>
          <w:spacing w:val="-9"/>
          <w:w w:val="105"/>
          <w:sz w:val="24"/>
        </w:rPr>
        <w:t> </w:t>
      </w:r>
      <w:r>
        <w:rPr>
          <w:w w:val="105"/>
          <w:sz w:val="24"/>
        </w:rPr>
        <w:t>that</w:t>
      </w:r>
      <w:r>
        <w:rPr>
          <w:spacing w:val="-9"/>
          <w:w w:val="105"/>
          <w:sz w:val="24"/>
        </w:rPr>
        <w:t> </w:t>
      </w:r>
      <w:r>
        <w:rPr>
          <w:w w:val="105"/>
          <w:sz w:val="24"/>
        </w:rPr>
        <w:t>special purpose</w:t>
      </w:r>
      <w:r>
        <w:rPr>
          <w:spacing w:val="-18"/>
          <w:w w:val="105"/>
          <w:sz w:val="24"/>
        </w:rPr>
        <w:t> </w:t>
      </w:r>
      <w:r>
        <w:rPr>
          <w:w w:val="105"/>
          <w:sz w:val="24"/>
        </w:rPr>
        <w:t>vehicles</w:t>
      </w:r>
      <w:r>
        <w:rPr>
          <w:spacing w:val="-17"/>
          <w:w w:val="105"/>
          <w:sz w:val="24"/>
        </w:rPr>
        <w:t> </w:t>
      </w:r>
      <w:r>
        <w:rPr>
          <w:w w:val="105"/>
          <w:sz w:val="24"/>
        </w:rPr>
        <w:t>and</w:t>
      </w:r>
      <w:r>
        <w:rPr>
          <w:spacing w:val="-18"/>
          <w:w w:val="105"/>
          <w:sz w:val="24"/>
        </w:rPr>
        <w:t> </w:t>
      </w:r>
      <w:r>
        <w:rPr>
          <w:w w:val="105"/>
          <w:sz w:val="24"/>
        </w:rPr>
        <w:t>joint</w:t>
      </w:r>
      <w:r>
        <w:rPr>
          <w:spacing w:val="-17"/>
          <w:w w:val="105"/>
          <w:sz w:val="24"/>
        </w:rPr>
        <w:t> </w:t>
      </w:r>
      <w:r>
        <w:rPr>
          <w:w w:val="105"/>
          <w:sz w:val="24"/>
        </w:rPr>
        <w:t>ventures</w:t>
      </w:r>
      <w:r>
        <w:rPr>
          <w:spacing w:val="-18"/>
          <w:w w:val="105"/>
          <w:sz w:val="24"/>
        </w:rPr>
        <w:t> </w:t>
      </w:r>
      <w:r>
        <w:rPr>
          <w:w w:val="105"/>
          <w:sz w:val="24"/>
        </w:rPr>
        <w:t>play</w:t>
      </w:r>
      <w:r>
        <w:rPr>
          <w:spacing w:val="-17"/>
          <w:w w:val="105"/>
          <w:sz w:val="24"/>
        </w:rPr>
        <w:t> </w:t>
      </w:r>
      <w:r>
        <w:rPr>
          <w:w w:val="105"/>
          <w:sz w:val="24"/>
        </w:rPr>
        <w:t>an</w:t>
      </w:r>
      <w:r>
        <w:rPr>
          <w:spacing w:val="-18"/>
          <w:w w:val="105"/>
          <w:sz w:val="24"/>
        </w:rPr>
        <w:t> </w:t>
      </w:r>
      <w:r>
        <w:rPr>
          <w:w w:val="105"/>
          <w:sz w:val="24"/>
        </w:rPr>
        <w:t>important</w:t>
      </w:r>
      <w:r>
        <w:rPr>
          <w:spacing w:val="-17"/>
          <w:w w:val="105"/>
          <w:sz w:val="24"/>
        </w:rPr>
        <w:t> </w:t>
      </w:r>
      <w:r>
        <w:rPr>
          <w:w w:val="105"/>
          <w:sz w:val="24"/>
        </w:rPr>
        <w:t>role</w:t>
      </w:r>
      <w:r>
        <w:rPr>
          <w:spacing w:val="-18"/>
          <w:w w:val="105"/>
          <w:sz w:val="24"/>
        </w:rPr>
        <w:t> </w:t>
      </w:r>
      <w:r>
        <w:rPr>
          <w:w w:val="105"/>
          <w:sz w:val="24"/>
        </w:rPr>
        <w:t>in</w:t>
      </w:r>
      <w:r>
        <w:rPr>
          <w:spacing w:val="-17"/>
          <w:w w:val="105"/>
          <w:sz w:val="24"/>
        </w:rPr>
        <w:t> </w:t>
      </w:r>
      <w:r>
        <w:rPr>
          <w:w w:val="105"/>
          <w:sz w:val="24"/>
        </w:rPr>
        <w:t>China’s overseas</w:t>
      </w:r>
      <w:r>
        <w:rPr>
          <w:spacing w:val="-8"/>
          <w:w w:val="105"/>
          <w:sz w:val="24"/>
        </w:rPr>
        <w:t> </w:t>
      </w:r>
      <w:r>
        <w:rPr>
          <w:w w:val="105"/>
          <w:sz w:val="24"/>
        </w:rPr>
        <w:t>lending</w:t>
      </w:r>
      <w:r>
        <w:rPr>
          <w:spacing w:val="-8"/>
          <w:w w:val="105"/>
          <w:sz w:val="24"/>
        </w:rPr>
        <w:t> </w:t>
      </w:r>
      <w:r>
        <w:rPr>
          <w:w w:val="105"/>
          <w:sz w:val="24"/>
        </w:rPr>
        <w:t>program</w:t>
      </w:r>
      <w:r>
        <w:rPr>
          <w:spacing w:val="-8"/>
          <w:w w:val="105"/>
          <w:sz w:val="24"/>
        </w:rPr>
        <w:t> </w:t>
      </w:r>
      <w:r>
        <w:rPr>
          <w:w w:val="105"/>
          <w:sz w:val="24"/>
        </w:rPr>
        <w:t>and</w:t>
      </w:r>
      <w:r>
        <w:rPr>
          <w:spacing w:val="-8"/>
          <w:w w:val="105"/>
          <w:sz w:val="24"/>
        </w:rPr>
        <w:t> </w:t>
      </w:r>
      <w:r>
        <w:rPr>
          <w:w w:val="105"/>
          <w:sz w:val="24"/>
        </w:rPr>
        <w:t>often</w:t>
      </w:r>
      <w:r>
        <w:rPr>
          <w:spacing w:val="-8"/>
          <w:w w:val="105"/>
          <w:sz w:val="24"/>
        </w:rPr>
        <w:t> </w:t>
      </w:r>
      <w:r>
        <w:rPr>
          <w:w w:val="105"/>
          <w:sz w:val="24"/>
        </w:rPr>
        <w:t>blur</w:t>
      </w:r>
      <w:r>
        <w:rPr>
          <w:spacing w:val="-8"/>
          <w:w w:val="105"/>
          <w:sz w:val="24"/>
        </w:rPr>
        <w:t> </w:t>
      </w:r>
      <w:r>
        <w:rPr>
          <w:w w:val="105"/>
          <w:sz w:val="24"/>
        </w:rPr>
        <w:t>the</w:t>
      </w:r>
      <w:r>
        <w:rPr>
          <w:spacing w:val="-8"/>
          <w:w w:val="105"/>
          <w:sz w:val="24"/>
        </w:rPr>
        <w:t> </w:t>
      </w:r>
      <w:r>
        <w:rPr>
          <w:w w:val="105"/>
          <w:sz w:val="24"/>
        </w:rPr>
        <w:t>lines</w:t>
      </w:r>
      <w:r>
        <w:rPr>
          <w:spacing w:val="-8"/>
          <w:w w:val="105"/>
          <w:sz w:val="24"/>
        </w:rPr>
        <w:t> </w:t>
      </w:r>
      <w:r>
        <w:rPr>
          <w:w w:val="105"/>
          <w:sz w:val="24"/>
        </w:rPr>
        <w:t>between</w:t>
      </w:r>
      <w:r>
        <w:rPr>
          <w:spacing w:val="-8"/>
          <w:w w:val="105"/>
          <w:sz w:val="24"/>
        </w:rPr>
        <w:t> </w:t>
      </w:r>
      <w:r>
        <w:rPr>
          <w:w w:val="105"/>
          <w:sz w:val="24"/>
        </w:rPr>
        <w:t>public</w:t>
      </w:r>
      <w:r>
        <w:rPr>
          <w:spacing w:val="-8"/>
          <w:w w:val="105"/>
          <w:sz w:val="24"/>
        </w:rPr>
        <w:t> </w:t>
      </w:r>
      <w:r>
        <w:rPr>
          <w:w w:val="105"/>
          <w:sz w:val="24"/>
        </w:rPr>
        <w:t>and private</w:t>
      </w:r>
      <w:r>
        <w:rPr>
          <w:spacing w:val="-18"/>
          <w:w w:val="105"/>
          <w:sz w:val="24"/>
        </w:rPr>
        <w:t> </w:t>
      </w:r>
      <w:r>
        <w:rPr>
          <w:w w:val="105"/>
          <w:sz w:val="24"/>
        </w:rPr>
        <w:t>debt</w:t>
      </w:r>
      <w:r>
        <w:rPr>
          <w:spacing w:val="-17"/>
          <w:w w:val="105"/>
          <w:sz w:val="24"/>
        </w:rPr>
        <w:t> </w:t>
      </w:r>
      <w:r>
        <w:rPr>
          <w:w w:val="105"/>
          <w:sz w:val="24"/>
        </w:rPr>
        <w:t>(Malik</w:t>
      </w:r>
      <w:r>
        <w:rPr>
          <w:spacing w:val="-18"/>
          <w:w w:val="105"/>
          <w:sz w:val="24"/>
        </w:rPr>
        <w:t> </w:t>
      </w:r>
      <w:r>
        <w:rPr>
          <w:w w:val="105"/>
          <w:sz w:val="24"/>
        </w:rPr>
        <w:t>et</w:t>
      </w:r>
      <w:r>
        <w:rPr>
          <w:spacing w:val="-18"/>
          <w:w w:val="105"/>
          <w:sz w:val="24"/>
        </w:rPr>
        <w:t> </w:t>
      </w:r>
      <w:r>
        <w:rPr>
          <w:w w:val="105"/>
          <w:sz w:val="24"/>
        </w:rPr>
        <w:t>al.</w:t>
      </w:r>
      <w:r>
        <w:rPr>
          <w:spacing w:val="-17"/>
          <w:w w:val="105"/>
          <w:sz w:val="24"/>
        </w:rPr>
        <w:t> </w:t>
      </w:r>
      <w:r>
        <w:rPr>
          <w:w w:val="105"/>
          <w:sz w:val="24"/>
        </w:rPr>
        <w:t>2021;</w:t>
      </w:r>
      <w:r>
        <w:rPr>
          <w:spacing w:val="-18"/>
          <w:w w:val="105"/>
          <w:sz w:val="24"/>
        </w:rPr>
        <w:t> </w:t>
      </w:r>
      <w:r>
        <w:rPr>
          <w:w w:val="105"/>
          <w:sz w:val="24"/>
        </w:rPr>
        <w:t>Malik</w:t>
      </w:r>
      <w:r>
        <w:rPr>
          <w:spacing w:val="-17"/>
          <w:w w:val="105"/>
          <w:sz w:val="24"/>
        </w:rPr>
        <w:t> </w:t>
      </w:r>
      <w:r>
        <w:rPr>
          <w:w w:val="105"/>
          <w:sz w:val="24"/>
        </w:rPr>
        <w:t>and</w:t>
      </w:r>
      <w:r>
        <w:rPr>
          <w:spacing w:val="-18"/>
          <w:w w:val="105"/>
          <w:sz w:val="24"/>
        </w:rPr>
        <w:t> </w:t>
      </w:r>
      <w:r>
        <w:rPr>
          <w:w w:val="105"/>
          <w:sz w:val="24"/>
        </w:rPr>
        <w:t>Parks</w:t>
      </w:r>
      <w:r>
        <w:rPr>
          <w:spacing w:val="-17"/>
          <w:w w:val="105"/>
          <w:sz w:val="24"/>
        </w:rPr>
        <w:t> </w:t>
      </w:r>
      <w:r>
        <w:rPr>
          <w:w w:val="105"/>
          <w:sz w:val="24"/>
        </w:rPr>
        <w:t>2021),</w:t>
      </w:r>
      <w:r>
        <w:rPr>
          <w:spacing w:val="-18"/>
          <w:w w:val="105"/>
          <w:sz w:val="24"/>
        </w:rPr>
        <w:t> </w:t>
      </w:r>
      <w:r>
        <w:rPr>
          <w:w w:val="105"/>
          <w:sz w:val="24"/>
        </w:rPr>
        <w:t>we</w:t>
      </w:r>
      <w:r>
        <w:rPr>
          <w:spacing w:val="-17"/>
          <w:w w:val="105"/>
          <w:sz w:val="24"/>
        </w:rPr>
        <w:t> </w:t>
      </w:r>
      <w:r>
        <w:rPr>
          <w:w w:val="105"/>
          <w:sz w:val="24"/>
        </w:rPr>
        <w:t>have</w:t>
      </w:r>
      <w:r>
        <w:rPr>
          <w:spacing w:val="-18"/>
          <w:w w:val="105"/>
          <w:sz w:val="24"/>
        </w:rPr>
        <w:t> </w:t>
      </w:r>
      <w:r>
        <w:rPr>
          <w:w w:val="105"/>
          <w:sz w:val="24"/>
        </w:rPr>
        <w:t>also </w:t>
      </w:r>
      <w:r>
        <w:rPr>
          <w:sz w:val="24"/>
        </w:rPr>
        <w:t>added two new variables to the latest version of the dataset: a measure </w:t>
      </w:r>
      <w:r>
        <w:rPr>
          <w:sz w:val="24"/>
        </w:rPr>
        <w:t>of</w:t>
      </w:r>
      <w:r>
        <w:rPr>
          <w:sz w:val="24"/>
        </w:rPr>
        <w:t> </w:t>
      </w:r>
      <w:r>
        <w:rPr>
          <w:w w:val="105"/>
          <w:sz w:val="24"/>
        </w:rPr>
        <w:t>the</w:t>
      </w:r>
      <w:r>
        <w:rPr>
          <w:spacing w:val="-14"/>
          <w:w w:val="105"/>
          <w:sz w:val="24"/>
        </w:rPr>
        <w:t> </w:t>
      </w:r>
      <w:r>
        <w:rPr>
          <w:w w:val="105"/>
          <w:sz w:val="24"/>
        </w:rPr>
        <w:t>extent</w:t>
      </w:r>
      <w:r>
        <w:rPr>
          <w:spacing w:val="-14"/>
          <w:w w:val="105"/>
          <w:sz w:val="24"/>
        </w:rPr>
        <w:t> </w:t>
      </w:r>
      <w:r>
        <w:rPr>
          <w:w w:val="105"/>
          <w:sz w:val="24"/>
        </w:rPr>
        <w:t>of</w:t>
      </w:r>
      <w:r>
        <w:rPr>
          <w:spacing w:val="-14"/>
          <w:w w:val="105"/>
          <w:sz w:val="24"/>
        </w:rPr>
        <w:t> </w:t>
      </w:r>
      <w:r>
        <w:rPr>
          <w:w w:val="105"/>
          <w:sz w:val="24"/>
        </w:rPr>
        <w:t>host</w:t>
      </w:r>
      <w:r>
        <w:rPr>
          <w:spacing w:val="-14"/>
          <w:w w:val="105"/>
          <w:sz w:val="24"/>
        </w:rPr>
        <w:t> </w:t>
      </w:r>
      <w:r>
        <w:rPr>
          <w:w w:val="105"/>
          <w:sz w:val="24"/>
        </w:rPr>
        <w:t>government</w:t>
      </w:r>
      <w:r>
        <w:rPr>
          <w:spacing w:val="-14"/>
          <w:w w:val="105"/>
          <w:sz w:val="24"/>
        </w:rPr>
        <w:t> </w:t>
      </w:r>
      <w:r>
        <w:rPr>
          <w:w w:val="105"/>
          <w:sz w:val="24"/>
        </w:rPr>
        <w:t>ownership</w:t>
      </w:r>
      <w:r>
        <w:rPr>
          <w:spacing w:val="-14"/>
          <w:w w:val="105"/>
          <w:sz w:val="24"/>
        </w:rPr>
        <w:t> </w:t>
      </w:r>
      <w:r>
        <w:rPr>
          <w:w w:val="105"/>
          <w:sz w:val="24"/>
        </w:rPr>
        <w:t>and</w:t>
      </w:r>
      <w:r>
        <w:rPr>
          <w:spacing w:val="-14"/>
          <w:w w:val="105"/>
          <w:sz w:val="24"/>
        </w:rPr>
        <w:t> </w:t>
      </w:r>
      <w:r>
        <w:rPr>
          <w:w w:val="105"/>
          <w:sz w:val="24"/>
        </w:rPr>
        <w:t>a</w:t>
      </w:r>
      <w:r>
        <w:rPr>
          <w:spacing w:val="-14"/>
          <w:w w:val="105"/>
          <w:sz w:val="24"/>
        </w:rPr>
        <w:t> </w:t>
      </w:r>
      <w:r>
        <w:rPr>
          <w:w w:val="105"/>
          <w:sz w:val="24"/>
        </w:rPr>
        <w:t>measure</w:t>
      </w:r>
      <w:r>
        <w:rPr>
          <w:spacing w:val="-14"/>
          <w:w w:val="105"/>
          <w:sz w:val="24"/>
        </w:rPr>
        <w:t> </w:t>
      </w:r>
      <w:r>
        <w:rPr>
          <w:w w:val="105"/>
          <w:sz w:val="24"/>
        </w:rPr>
        <w:t>of</w:t>
      </w:r>
      <w:r>
        <w:rPr>
          <w:spacing w:val="-14"/>
          <w:w w:val="105"/>
          <w:sz w:val="24"/>
        </w:rPr>
        <w:t> </w:t>
      </w:r>
      <w:r>
        <w:rPr>
          <w:w w:val="105"/>
          <w:sz w:val="24"/>
        </w:rPr>
        <w:t>the</w:t>
      </w:r>
      <w:r>
        <w:rPr>
          <w:spacing w:val="-14"/>
          <w:w w:val="105"/>
          <w:sz w:val="24"/>
        </w:rPr>
        <w:t> </w:t>
      </w:r>
      <w:r>
        <w:rPr>
          <w:w w:val="105"/>
          <w:sz w:val="24"/>
        </w:rPr>
        <w:t>extent</w:t>
      </w:r>
      <w:r>
        <w:rPr>
          <w:spacing w:val="-14"/>
          <w:w w:val="105"/>
          <w:sz w:val="24"/>
        </w:rPr>
        <w:t> </w:t>
      </w:r>
      <w:r>
        <w:rPr>
          <w:w w:val="105"/>
          <w:sz w:val="24"/>
        </w:rPr>
        <w:t>of Chinese</w:t>
      </w:r>
      <w:r>
        <w:rPr>
          <w:spacing w:val="-12"/>
          <w:w w:val="105"/>
          <w:sz w:val="24"/>
        </w:rPr>
        <w:t> </w:t>
      </w:r>
      <w:r>
        <w:rPr>
          <w:w w:val="105"/>
          <w:sz w:val="24"/>
        </w:rPr>
        <w:t>government</w:t>
      </w:r>
      <w:r>
        <w:rPr>
          <w:spacing w:val="-12"/>
          <w:w w:val="105"/>
          <w:sz w:val="24"/>
        </w:rPr>
        <w:t> </w:t>
      </w:r>
      <w:r>
        <w:rPr>
          <w:w w:val="105"/>
          <w:sz w:val="24"/>
        </w:rPr>
        <w:t>ownership</w:t>
      </w:r>
      <w:r>
        <w:rPr>
          <w:spacing w:val="-12"/>
          <w:w w:val="105"/>
          <w:sz w:val="24"/>
        </w:rPr>
        <w:t> </w:t>
      </w:r>
      <w:r>
        <w:rPr>
          <w:w w:val="105"/>
          <w:sz w:val="24"/>
        </w:rPr>
        <w:t>whenever</w:t>
      </w:r>
      <w:r>
        <w:rPr>
          <w:spacing w:val="-12"/>
          <w:w w:val="105"/>
          <w:sz w:val="24"/>
        </w:rPr>
        <w:t> </w:t>
      </w:r>
      <w:r>
        <w:rPr>
          <w:w w:val="105"/>
          <w:sz w:val="24"/>
        </w:rPr>
        <w:t>the</w:t>
      </w:r>
      <w:r>
        <w:rPr>
          <w:spacing w:val="-12"/>
          <w:w w:val="105"/>
          <w:sz w:val="24"/>
        </w:rPr>
        <w:t> </w:t>
      </w:r>
      <w:r>
        <w:rPr>
          <w:w w:val="105"/>
          <w:sz w:val="24"/>
        </w:rPr>
        <w:t>borrowing</w:t>
      </w:r>
      <w:r>
        <w:rPr>
          <w:spacing w:val="-12"/>
          <w:w w:val="105"/>
          <w:sz w:val="24"/>
        </w:rPr>
        <w:t> </w:t>
      </w:r>
      <w:r>
        <w:rPr>
          <w:w w:val="105"/>
          <w:sz w:val="24"/>
        </w:rPr>
        <w:t>institution </w:t>
      </w:r>
      <w:r>
        <w:rPr>
          <w:sz w:val="24"/>
        </w:rPr>
        <w:t>(receiving agency) is a special purpose vehicle or joint venture.</w:t>
      </w:r>
      <w:r>
        <w:rPr>
          <w:sz w:val="24"/>
          <w:vertAlign w:val="superscript"/>
        </w:rPr>
        <w:t>[6]</w:t>
      </w:r>
      <w:r>
        <w:rPr>
          <w:sz w:val="24"/>
          <w:vertAlign w:val="superscript"/>
        </w:rPr>
        <w:t>[7]</w:t>
      </w:r>
      <w:r>
        <w:rPr>
          <w:sz w:val="24"/>
          <w:vertAlign w:val="baseline"/>
        </w:rPr>
        <w:t> The 3.0 dataset also identiﬁes 422 institutions (“accountable agencies”) that have </w:t>
      </w:r>
      <w:r>
        <w:rPr>
          <w:w w:val="105"/>
          <w:sz w:val="24"/>
          <w:vertAlign w:val="baseline"/>
        </w:rPr>
        <w:t>supported</w:t>
      </w:r>
      <w:r>
        <w:rPr>
          <w:spacing w:val="-13"/>
          <w:w w:val="105"/>
          <w:sz w:val="24"/>
          <w:vertAlign w:val="baseline"/>
        </w:rPr>
        <w:t> </w:t>
      </w:r>
      <w:r>
        <w:rPr>
          <w:w w:val="105"/>
          <w:sz w:val="24"/>
          <w:vertAlign w:val="baseline"/>
        </w:rPr>
        <w:t>Chinese</w:t>
      </w:r>
      <w:r>
        <w:rPr>
          <w:spacing w:val="-13"/>
          <w:w w:val="105"/>
          <w:sz w:val="24"/>
          <w:vertAlign w:val="baseline"/>
        </w:rPr>
        <w:t> </w:t>
      </w:r>
      <w:r>
        <w:rPr>
          <w:w w:val="105"/>
          <w:sz w:val="24"/>
          <w:vertAlign w:val="baseline"/>
        </w:rPr>
        <w:t>loan-ﬁnanced</w:t>
      </w:r>
      <w:r>
        <w:rPr>
          <w:spacing w:val="-13"/>
          <w:w w:val="105"/>
          <w:sz w:val="24"/>
          <w:vertAlign w:val="baseline"/>
        </w:rPr>
        <w:t> </w:t>
      </w:r>
      <w:r>
        <w:rPr>
          <w:w w:val="105"/>
          <w:sz w:val="24"/>
          <w:vertAlign w:val="baseline"/>
        </w:rPr>
        <w:t>projects</w:t>
      </w:r>
      <w:r>
        <w:rPr>
          <w:spacing w:val="-13"/>
          <w:w w:val="105"/>
          <w:sz w:val="24"/>
          <w:vertAlign w:val="baseline"/>
        </w:rPr>
        <w:t> </w:t>
      </w:r>
      <w:r>
        <w:rPr>
          <w:w w:val="105"/>
          <w:sz w:val="24"/>
          <w:vertAlign w:val="baseline"/>
        </w:rPr>
        <w:t>and</w:t>
      </w:r>
      <w:r>
        <w:rPr>
          <w:spacing w:val="-13"/>
          <w:w w:val="105"/>
          <w:sz w:val="24"/>
          <w:vertAlign w:val="baseline"/>
        </w:rPr>
        <w:t> </w:t>
      </w:r>
      <w:r>
        <w:rPr>
          <w:w w:val="105"/>
          <w:sz w:val="24"/>
          <w:vertAlign w:val="baseline"/>
        </w:rPr>
        <w:t>activities</w:t>
      </w:r>
      <w:r>
        <w:rPr>
          <w:spacing w:val="-13"/>
          <w:w w:val="105"/>
          <w:sz w:val="24"/>
          <w:vertAlign w:val="baseline"/>
        </w:rPr>
        <w:t> </w:t>
      </w:r>
      <w:r>
        <w:rPr>
          <w:w w:val="105"/>
          <w:sz w:val="24"/>
          <w:vertAlign w:val="baseline"/>
        </w:rPr>
        <w:t>by</w:t>
      </w:r>
      <w:r>
        <w:rPr>
          <w:spacing w:val="-13"/>
          <w:w w:val="105"/>
          <w:sz w:val="24"/>
          <w:vertAlign w:val="baseline"/>
        </w:rPr>
        <w:t> </w:t>
      </w:r>
      <w:r>
        <w:rPr>
          <w:w w:val="105"/>
          <w:sz w:val="24"/>
          <w:vertAlign w:val="baseline"/>
        </w:rPr>
        <w:t>providing </w:t>
      </w:r>
      <w:r>
        <w:rPr>
          <w:sz w:val="24"/>
          <w:vertAlign w:val="baseline"/>
        </w:rPr>
        <w:t>repayment guarantees, insurance policies, and collateral which can be </w:t>
      </w:r>
      <w:r>
        <w:rPr>
          <w:w w:val="105"/>
          <w:sz w:val="24"/>
          <w:vertAlign w:val="baseline"/>
        </w:rPr>
        <w:t>seized in the event of default.</w:t>
      </w:r>
      <w:r>
        <w:rPr>
          <w:w w:val="105"/>
          <w:sz w:val="24"/>
          <w:vertAlign w:val="superscript"/>
        </w:rPr>
        <w:t>[6]</w:t>
      </w:r>
      <w:r>
        <w:rPr>
          <w:w w:val="105"/>
          <w:sz w:val="24"/>
          <w:vertAlign w:val="superscript"/>
        </w:rPr>
        <w:t>[8]</w:t>
      </w:r>
    </w:p>
    <w:p>
      <w:pPr>
        <w:pStyle w:val="BodyText"/>
        <w:rPr>
          <w:sz w:val="27"/>
        </w:rPr>
      </w:pPr>
    </w:p>
    <w:p>
      <w:pPr>
        <w:pStyle w:val="ListParagraph"/>
        <w:numPr>
          <w:ilvl w:val="0"/>
          <w:numId w:val="3"/>
        </w:numPr>
        <w:tabs>
          <w:tab w:pos="1180" w:val="left" w:leader="none"/>
        </w:tabs>
        <w:spacing w:line="333" w:lineRule="auto" w:before="0" w:after="0"/>
        <w:ind w:left="1180" w:right="537" w:hanging="360"/>
        <w:jc w:val="left"/>
        <w:rPr>
          <w:sz w:val="24"/>
        </w:rPr>
      </w:pPr>
      <w:r>
        <w:t>Financial instrument coverage: The 3.0 dataset allows users to easily differentiate between the 10,291 grant-ﬁnanced projects/activities and 4,776 loan-ﬁnanced projects/activities. However, given that Beijing relies on an increasingly diverse set of debt instruments to ﬁnance its overseas development program in LICs and MICs, AidData has introduced a new loan categorization scheme in the latest version of the dataset that allows users to isolate speciﬁc types of loan instruments, including but not limited to bilateral loans, syndicated/club loans, interest-free loans, government concessional loans, preferential buyer’s credits, public investment loans, balance of payments (BOP) loans, M&amp;A loans, working capital loans, inter-bank loans, reﬁnancing loans, deferred payment agreements, and pre-export ﬁnancing (PxF) agreements.</w:t>
      </w:r>
    </w:p>
    <w:p>
      <w:pPr>
        <w:pStyle w:val="BodyText"/>
        <w:spacing w:before="10"/>
        <w:rPr>
          <w:sz w:val="26"/>
        </w:rPr>
      </w:pPr>
      <w:r>
        <w:rPr/>
        <w:pict>
          <v:shape style="position:absolute;margin-left:90pt;margin-top:16.67959pt;width:144pt;height:.1pt;mso-position-horizontal-relative:page;mso-position-vertical-relative:paragraph;z-index:-15689728;mso-wrap-distance-left:0;mso-wrap-distance-right:0" id="docshape57" coordorigin="1800,334" coordsize="2880,0" path="m1800,334l4680,334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pStyle w:val="BodyText"/>
        <w:spacing w:before="7"/>
        <w:rPr>
          <w:sz w:val="27"/>
        </w:rPr>
      </w:pPr>
    </w:p>
    <w:p>
      <w:pPr>
        <w:pStyle w:val="ListParagraph"/>
        <w:numPr>
          <w:ilvl w:val="0"/>
          <w:numId w:val="3"/>
        </w:numPr>
        <w:tabs>
          <w:tab w:pos="1180" w:val="left" w:leader="none"/>
        </w:tabs>
        <w:spacing w:line="333" w:lineRule="auto" w:before="0" w:after="0"/>
        <w:ind w:left="1180" w:right="544" w:hanging="360"/>
        <w:jc w:val="left"/>
        <w:rPr>
          <w:sz w:val="24"/>
        </w:rPr>
      </w:pPr>
      <w:r>
        <w:t>Borrowing terms and conditions: There is no other publicly available dataset of China’s overseas loan commitments with global coverage from 2000-2021 that identiﬁes borrowing terms and conditions at the transaction level. The 3.0 dataset identiﬁes 2,699 interest rates, 3,315 maturity lengths, 1,854 grace periods, 498 commitment fees, 480 management fees, and 2,537 grant elements across 4,776 loans in Africa, Asia, Oceania, Eastern and Central Europe, the Middle East, and Latin America and the Caribbean. It also identiﬁes 668 loans backed by third-party repayment guarantees, 529 loans supported by credit insurance policies, and 1,015 loans underpinned by one or more sources of collateral. Three additional dataset features are worth noting. First, in light of recent changes to the OECD’s grant element method of measurement (see Section A-2) and the growing importance of the World Bank/IMF-based method of measurement to determine if and when governments have complied with the non-concessional borrowing limits speciﬁed in their World Bank and IMF programs, we now provide three different grant element measures: one based on the OECD’s cash-ﬂow methodology, one based on the the OECD’s grant-equivalent methodology, and another based on the latest (post-2013) World</w:t>
      </w:r>
    </w:p>
    <w:p>
      <w:pPr>
        <w:pStyle w:val="BodyText"/>
        <w:spacing w:line="333" w:lineRule="auto"/>
        <w:ind w:left="1180" w:right="485"/>
      </w:pPr>
      <w:r>
        <w:t>Bank-IMF methodology.[69] Second, in order to facilitate more accurate calculation of the “all-in” price of Chinese debt, we have introduced variables that measure (a) the default (penalty) interest rate that applies to a loan in the event of default (i.e., non-payment of principal, interest, or fees on their scheduled payment dates), and (b) the cost of credit insurance.[70] Third, to support future research on debt service to China, we have included two new measures in the 3.0 dataset: the calendar day on which the borrower was originally scheduled to make its ﬁrst loan repayment and the calendar day on which the borrower was originally scheduled to make its last loan repayment. Whenever possible, we have also documented disbursements, repayments, and amounts outstanding in the dataset’s “description” ﬁeld.</w:t>
      </w:r>
    </w:p>
    <w:p>
      <w:pPr>
        <w:spacing w:after="0" w:line="249" w:lineRule="auto"/>
        <w:jc w:val="left"/>
        <w:rPr>
          <w:sz w:val="18"/>
        </w:rPr>
        <w:sectPr>
          <w:pgSz w:w="12240" w:h="15840"/>
          <w:pgMar w:header="0" w:footer="720" w:top="1400" w:bottom="920" w:left="1340" w:right="1340"/>
        </w:sectPr>
      </w:pPr>
    </w:p>
    <w:p>
      <w:pPr>
        <w:pStyle w:val="BodyText"/>
        <w:spacing w:before="6"/>
        <w:rPr>
          <w:sz w:val="27"/>
        </w:rPr>
      </w:pPr>
    </w:p>
    <w:p>
      <w:pPr>
        <w:pStyle w:val="ListParagraph"/>
        <w:numPr>
          <w:ilvl w:val="0"/>
          <w:numId w:val="3"/>
        </w:numPr>
        <w:tabs>
          <w:tab w:pos="1180" w:val="left" w:leader="none"/>
        </w:tabs>
        <w:spacing w:line="333" w:lineRule="auto" w:before="0" w:after="0"/>
        <w:ind w:left="1180" w:right="562" w:hanging="360"/>
        <w:jc w:val="left"/>
        <w:rPr>
          <w:sz w:val="24"/>
        </w:rPr>
      </w:pPr>
      <w:r>
        <w:t>Spatial and temporal granularity: The 3.0 dataset provides an unprecedented level of detail on project commencement (implementation start) dates and project completion (implementation end) dates. It identiﬁes precise, calendar day-level commencement dates for 11,286 projects (backed by ﬁnancial commitments worth $767 billion) and calendar day-level completion dates for 11,542 projects (backed by ﬁnancial commitments worth $606 billion). By way of comparison, the 2.0 version of the GCDF dataset identiﬁed calendar day-level commencement dates for 5,539 projects (backed by ﬁnancial commitments worth $504 billion in constant 2021 USD) and calendar day-level completion dates for 6,061 projects (backed by ﬁnancial commitments worth $383 million in constant 2021 USD). The 3.0 dataset also provides data on the originally scheduled project commencement dates and completion dates, which has paved the way for the introduction of two new measures (“Deviation from Planned Implementation Start Date” and “Deviation from Planned Completion Date”) of to what degree projects ran (or are running) ahead of schedule or behind schedule.[71] Another important value addition to the 3.0 dataset is the level of geographical detail regarding where projects take place. As we describe in greater detail in Goodman et al. (2023), for 9,497 projects that have physical footprints or involve speciﬁc locations, the 3.0 dataset extracts point, polygon, and line vector data via OpenStreetMap URLs and provides a corresponding set of GeoJSON ﬁles and geographic precision codes.[72] 72% (6,919) of these projects include “precise” or “approximate” geocodes; the remaining 28% (2,578 projects) are measured at an administrative unit level.[73] Measuring the spatio-temporal rollout of project implementation with a high level of precision is important because it creates new opportunities to identify cause-and-effect relationships in rigorous ways.[74]</w:t>
      </w:r>
    </w:p>
    <w:p>
      <w:pPr>
        <w:pStyle w:val="BodyText"/>
        <w:spacing w:before="7"/>
        <w:rPr>
          <w:sz w:val="8"/>
        </w:rPr>
      </w:pPr>
      <w:r>
        <w:rPr/>
        <w:pict>
          <v:shape style="position:absolute;margin-left:90pt;margin-top:6.164014pt;width:144pt;height:.1pt;mso-position-horizontal-relative:page;mso-position-vertical-relative:paragraph;z-index:-15688704;mso-wrap-distance-left:0;mso-wrap-distance-right:0" id="docshape59" coordorigin="1800,123" coordsize="2880,0" path="m1800,123l4680,123e" filled="false" stroked="true" strokeweight=".75pt" strokecolor="#000000">
            <v:path arrowok="t"/>
            <v:stroke dashstyle="solid"/>
            <w10:wrap type="topAndBottom"/>
          </v:shape>
        </w:pict>
      </w:r>
    </w:p>
    <w:p>
      <w:pPr>
        <w:spacing w:after="0" w:line="249" w:lineRule="auto"/>
        <w:jc w:val="left"/>
        <w:rPr>
          <w:sz w:val="18"/>
        </w:rPr>
        <w:sectPr>
          <w:pgSz w:w="12240" w:h="15840"/>
          <w:pgMar w:header="0" w:footer="720" w:top="1400" w:bottom="920" w:left="1340" w:right="1340"/>
        </w:sectPr>
      </w:pPr>
    </w:p>
    <w:p>
      <w:pPr>
        <w:pStyle w:val="BodyText"/>
        <w:spacing w:before="1"/>
        <w:rPr>
          <w:sz w:val="37"/>
        </w:rPr>
      </w:pPr>
    </w:p>
    <w:p>
      <w:pPr>
        <w:pStyle w:val="ListParagraph"/>
        <w:numPr>
          <w:ilvl w:val="0"/>
          <w:numId w:val="3"/>
        </w:numPr>
        <w:tabs>
          <w:tab w:pos="1180" w:val="left" w:leader="none"/>
        </w:tabs>
        <w:spacing w:line="333" w:lineRule="auto" w:before="1" w:after="0"/>
        <w:ind w:left="1180" w:right="604" w:hanging="360"/>
        <w:jc w:val="left"/>
        <w:rPr>
          <w:sz w:val="24"/>
        </w:rPr>
      </w:pPr>
      <w:r>
        <w:rPr>
          <w:b/>
          <w:sz w:val="24"/>
        </w:rPr>
        <w:t>Sectoral</w:t>
      </w:r>
      <w:r>
        <w:rPr>
          <w:b/>
          <w:spacing w:val="-1"/>
          <w:sz w:val="24"/>
        </w:rPr>
        <w:t> </w:t>
      </w:r>
      <w:r>
        <w:rPr>
          <w:b/>
          <w:sz w:val="24"/>
        </w:rPr>
        <w:t>coverage:</w:t>
      </w:r>
      <w:r>
        <w:rPr>
          <w:b/>
          <w:spacing w:val="-1"/>
          <w:sz w:val="24"/>
        </w:rPr>
        <w:t> </w:t>
      </w:r>
      <w:r>
        <w:rPr>
          <w:sz w:val="24"/>
        </w:rPr>
        <w:t>The</w:t>
      </w:r>
      <w:r>
        <w:rPr>
          <w:spacing w:val="-1"/>
          <w:sz w:val="24"/>
        </w:rPr>
        <w:t> </w:t>
      </w:r>
      <w:r>
        <w:rPr>
          <w:sz w:val="24"/>
        </w:rPr>
        <w:t>3.0</w:t>
      </w:r>
      <w:r>
        <w:rPr>
          <w:spacing w:val="-1"/>
          <w:sz w:val="24"/>
        </w:rPr>
        <w:t> </w:t>
      </w:r>
      <w:r>
        <w:rPr>
          <w:sz w:val="24"/>
        </w:rPr>
        <w:t>dataset</w:t>
      </w:r>
      <w:r>
        <w:rPr>
          <w:spacing w:val="-1"/>
          <w:sz w:val="24"/>
        </w:rPr>
        <w:t> </w:t>
      </w:r>
      <w:r>
        <w:rPr>
          <w:sz w:val="24"/>
        </w:rPr>
        <w:t>systematically</w:t>
      </w:r>
      <w:r>
        <w:rPr>
          <w:spacing w:val="-1"/>
          <w:sz w:val="24"/>
        </w:rPr>
        <w:t> </w:t>
      </w:r>
      <w:r>
        <w:rPr>
          <w:sz w:val="24"/>
        </w:rPr>
        <w:t>tracks</w:t>
      </w:r>
      <w:r>
        <w:rPr>
          <w:spacing w:val="-1"/>
          <w:sz w:val="24"/>
        </w:rPr>
        <w:t> </w:t>
      </w:r>
      <w:r>
        <w:rPr>
          <w:sz w:val="24"/>
        </w:rPr>
        <w:t>provision</w:t>
      </w:r>
      <w:r>
        <w:rPr>
          <w:spacing w:val="-1"/>
          <w:sz w:val="24"/>
        </w:rPr>
        <w:t> </w:t>
      </w:r>
      <w:r>
        <w:rPr>
          <w:sz w:val="24"/>
        </w:rPr>
        <w:t>of ofﬁcial ﬁnancial ﬂows from China to LICs and MICs across all sectors. Every project/activity is assigned a 3-digit sector code based on OECD deﬁnitions and measurement criteria. This “methodological crosswalk” </w:t>
      </w:r>
      <w:r>
        <w:rPr>
          <w:sz w:val="24"/>
        </w:rPr>
        <w:t>is</w:t>
      </w:r>
      <w:r>
        <w:rPr>
          <w:sz w:val="24"/>
        </w:rPr>
        <w:t> important because it allows for cross-ﬁnancier comparisons—at global, regional, national, and subnational scales—since most ofﬁcial sources of international development ﬁnance (including OECD-DAC members and multilateral</w:t>
      </w:r>
      <w:r>
        <w:rPr>
          <w:spacing w:val="-5"/>
          <w:sz w:val="24"/>
        </w:rPr>
        <w:t> </w:t>
      </w:r>
      <w:r>
        <w:rPr>
          <w:sz w:val="24"/>
        </w:rPr>
        <w:t>institutions)</w:t>
      </w:r>
      <w:r>
        <w:rPr>
          <w:spacing w:val="-5"/>
          <w:sz w:val="24"/>
        </w:rPr>
        <w:t> </w:t>
      </w:r>
      <w:r>
        <w:rPr>
          <w:sz w:val="24"/>
        </w:rPr>
        <w:t>use</w:t>
      </w:r>
      <w:r>
        <w:rPr>
          <w:spacing w:val="-5"/>
          <w:sz w:val="24"/>
        </w:rPr>
        <w:t> </w:t>
      </w:r>
      <w:r>
        <w:rPr>
          <w:sz w:val="24"/>
        </w:rPr>
        <w:t>the</w:t>
      </w:r>
      <w:r>
        <w:rPr>
          <w:spacing w:val="-5"/>
          <w:sz w:val="24"/>
        </w:rPr>
        <w:t> </w:t>
      </w:r>
      <w:r>
        <w:rPr>
          <w:sz w:val="24"/>
        </w:rPr>
        <w:t>same</w:t>
      </w:r>
      <w:r>
        <w:rPr>
          <w:spacing w:val="-5"/>
          <w:sz w:val="24"/>
        </w:rPr>
        <w:t> </w:t>
      </w:r>
      <w:r>
        <w:rPr>
          <w:sz w:val="24"/>
        </w:rPr>
        <w:t>criteria.</w:t>
      </w:r>
      <w:r>
        <w:rPr>
          <w:spacing w:val="-5"/>
          <w:sz w:val="24"/>
        </w:rPr>
        <w:t> </w:t>
      </w:r>
      <w:r>
        <w:rPr>
          <w:sz w:val="24"/>
        </w:rPr>
        <w:t>It</w:t>
      </w:r>
      <w:r>
        <w:rPr>
          <w:spacing w:val="-5"/>
          <w:sz w:val="24"/>
        </w:rPr>
        <w:t> </w:t>
      </w:r>
      <w:r>
        <w:rPr>
          <w:sz w:val="24"/>
        </w:rPr>
        <w:t>also</w:t>
      </w:r>
      <w:r>
        <w:rPr>
          <w:spacing w:val="-5"/>
          <w:sz w:val="24"/>
        </w:rPr>
        <w:t> </w:t>
      </w:r>
      <w:r>
        <w:rPr>
          <w:sz w:val="24"/>
        </w:rPr>
        <w:t>facilitates</w:t>
      </w:r>
      <w:r>
        <w:rPr>
          <w:spacing w:val="-5"/>
          <w:sz w:val="24"/>
        </w:rPr>
        <w:t> </w:t>
      </w:r>
      <w:r>
        <w:rPr>
          <w:sz w:val="24"/>
        </w:rPr>
        <w:t>analysis</w:t>
      </w:r>
      <w:r>
        <w:rPr>
          <w:spacing w:val="-5"/>
          <w:sz w:val="24"/>
        </w:rPr>
        <w:t> </w:t>
      </w:r>
      <w:r>
        <w:rPr>
          <w:sz w:val="24"/>
        </w:rPr>
        <w:t>of sectoral patterns and trends over space and time.</w:t>
      </w:r>
    </w:p>
    <w:p>
      <w:pPr>
        <w:pStyle w:val="BodyText"/>
        <w:spacing w:before="4"/>
        <w:rPr>
          <w:sz w:val="27"/>
        </w:rPr>
      </w:pPr>
    </w:p>
    <w:p>
      <w:pPr>
        <w:pStyle w:val="ListParagraph"/>
        <w:numPr>
          <w:ilvl w:val="0"/>
          <w:numId w:val="3"/>
        </w:numPr>
        <w:tabs>
          <w:tab w:pos="1180" w:val="left" w:leader="none"/>
        </w:tabs>
        <w:spacing w:line="333" w:lineRule="auto" w:before="0" w:after="0"/>
        <w:ind w:left="1180" w:right="466" w:hanging="360"/>
        <w:jc w:val="left"/>
        <w:rPr>
          <w:sz w:val="24"/>
        </w:rPr>
      </w:pPr>
      <w:r>
        <w:rPr>
          <w:b/>
          <w:sz w:val="24"/>
        </w:rPr>
        <w:t>Qualitative detail: </w:t>
      </w:r>
      <w:r>
        <w:rPr>
          <w:sz w:val="24"/>
        </w:rPr>
        <w:t>The 3.0 dataset provides detailed project narratives </w:t>
      </w:r>
      <w:r>
        <w:rPr>
          <w:w w:val="105"/>
          <w:sz w:val="24"/>
        </w:rPr>
        <w:t>that</w:t>
      </w:r>
      <w:r>
        <w:rPr>
          <w:spacing w:val="-9"/>
          <w:w w:val="105"/>
          <w:sz w:val="24"/>
        </w:rPr>
        <w:t> </w:t>
      </w:r>
      <w:r>
        <w:rPr>
          <w:w w:val="105"/>
          <w:sz w:val="24"/>
        </w:rPr>
        <w:t>“tell</w:t>
      </w:r>
      <w:r>
        <w:rPr>
          <w:spacing w:val="-9"/>
          <w:w w:val="105"/>
          <w:sz w:val="24"/>
        </w:rPr>
        <w:t> </w:t>
      </w:r>
      <w:r>
        <w:rPr>
          <w:w w:val="105"/>
          <w:sz w:val="24"/>
        </w:rPr>
        <w:t>the</w:t>
      </w:r>
      <w:r>
        <w:rPr>
          <w:spacing w:val="-9"/>
          <w:w w:val="105"/>
          <w:sz w:val="24"/>
        </w:rPr>
        <w:t> </w:t>
      </w:r>
      <w:r>
        <w:rPr>
          <w:w w:val="105"/>
          <w:sz w:val="24"/>
        </w:rPr>
        <w:t>story”</w:t>
      </w:r>
      <w:r>
        <w:rPr>
          <w:spacing w:val="-9"/>
          <w:w w:val="105"/>
          <w:sz w:val="24"/>
        </w:rPr>
        <w:t> </w:t>
      </w:r>
      <w:r>
        <w:rPr>
          <w:w w:val="105"/>
          <w:sz w:val="24"/>
        </w:rPr>
        <w:t>of</w:t>
      </w:r>
      <w:r>
        <w:rPr>
          <w:spacing w:val="-9"/>
          <w:w w:val="105"/>
          <w:sz w:val="24"/>
        </w:rPr>
        <w:t> </w:t>
      </w:r>
      <w:r>
        <w:rPr>
          <w:w w:val="105"/>
          <w:sz w:val="24"/>
        </w:rPr>
        <w:t>each</w:t>
      </w:r>
      <w:r>
        <w:rPr>
          <w:spacing w:val="-9"/>
          <w:w w:val="105"/>
          <w:sz w:val="24"/>
        </w:rPr>
        <w:t> </w:t>
      </w:r>
      <w:r>
        <w:rPr>
          <w:w w:val="105"/>
          <w:sz w:val="24"/>
        </w:rPr>
        <w:t>project</w:t>
      </w:r>
      <w:r>
        <w:rPr>
          <w:spacing w:val="-9"/>
          <w:w w:val="105"/>
          <w:sz w:val="24"/>
        </w:rPr>
        <w:t> </w:t>
      </w:r>
      <w:r>
        <w:rPr>
          <w:w w:val="105"/>
          <w:sz w:val="24"/>
        </w:rPr>
        <w:t>in</w:t>
      </w:r>
      <w:r>
        <w:rPr>
          <w:spacing w:val="-9"/>
          <w:w w:val="105"/>
          <w:sz w:val="24"/>
        </w:rPr>
        <w:t> </w:t>
      </w:r>
      <w:r>
        <w:rPr>
          <w:w w:val="105"/>
          <w:sz w:val="24"/>
        </w:rPr>
        <w:t>the</w:t>
      </w:r>
      <w:r>
        <w:rPr>
          <w:spacing w:val="-9"/>
          <w:w w:val="105"/>
          <w:sz w:val="24"/>
        </w:rPr>
        <w:t> </w:t>
      </w:r>
      <w:r>
        <w:rPr>
          <w:w w:val="105"/>
          <w:sz w:val="24"/>
        </w:rPr>
        <w:t>“description”</w:t>
      </w:r>
      <w:r>
        <w:rPr>
          <w:spacing w:val="-9"/>
          <w:w w:val="105"/>
          <w:sz w:val="24"/>
        </w:rPr>
        <w:t> </w:t>
      </w:r>
      <w:r>
        <w:rPr>
          <w:w w:val="105"/>
          <w:sz w:val="24"/>
        </w:rPr>
        <w:t>ﬁeld.</w:t>
      </w:r>
      <w:r>
        <w:rPr>
          <w:spacing w:val="-9"/>
          <w:w w:val="105"/>
          <w:sz w:val="24"/>
        </w:rPr>
        <w:t> </w:t>
      </w:r>
      <w:r>
        <w:rPr>
          <w:w w:val="105"/>
          <w:sz w:val="24"/>
        </w:rPr>
        <w:t>The</w:t>
      </w:r>
      <w:r>
        <w:rPr>
          <w:spacing w:val="-9"/>
          <w:w w:val="105"/>
          <w:sz w:val="24"/>
        </w:rPr>
        <w:t> </w:t>
      </w:r>
      <w:r>
        <w:rPr>
          <w:w w:val="105"/>
          <w:sz w:val="24"/>
        </w:rPr>
        <w:t>average</w:t>
      </w:r>
      <w:r>
        <w:rPr>
          <w:w w:val="105"/>
          <w:sz w:val="24"/>
        </w:rPr>
        <w:t> length</w:t>
      </w:r>
      <w:r>
        <w:rPr>
          <w:spacing w:val="-16"/>
          <w:w w:val="105"/>
          <w:sz w:val="24"/>
        </w:rPr>
        <w:t> </w:t>
      </w:r>
      <w:r>
        <w:rPr>
          <w:w w:val="105"/>
          <w:sz w:val="24"/>
        </w:rPr>
        <w:t>of</w:t>
      </w:r>
      <w:r>
        <w:rPr>
          <w:spacing w:val="-16"/>
          <w:w w:val="105"/>
          <w:sz w:val="24"/>
        </w:rPr>
        <w:t> </w:t>
      </w:r>
      <w:r>
        <w:rPr>
          <w:w w:val="105"/>
          <w:sz w:val="24"/>
        </w:rPr>
        <w:t>each</w:t>
      </w:r>
      <w:r>
        <w:rPr>
          <w:spacing w:val="-16"/>
          <w:w w:val="105"/>
          <w:sz w:val="24"/>
        </w:rPr>
        <w:t> </w:t>
      </w:r>
      <w:r>
        <w:rPr>
          <w:w w:val="105"/>
          <w:sz w:val="24"/>
        </w:rPr>
        <w:t>project</w:t>
      </w:r>
      <w:r>
        <w:rPr>
          <w:spacing w:val="-16"/>
          <w:w w:val="105"/>
          <w:sz w:val="24"/>
        </w:rPr>
        <w:t> </w:t>
      </w:r>
      <w:r>
        <w:rPr>
          <w:w w:val="105"/>
          <w:sz w:val="24"/>
        </w:rPr>
        <w:t>narrative</w:t>
      </w:r>
      <w:r>
        <w:rPr>
          <w:spacing w:val="-16"/>
          <w:w w:val="105"/>
          <w:sz w:val="24"/>
        </w:rPr>
        <w:t> </w:t>
      </w:r>
      <w:r>
        <w:rPr>
          <w:w w:val="105"/>
          <w:sz w:val="24"/>
        </w:rPr>
        <w:t>increased</w:t>
      </w:r>
      <w:r>
        <w:rPr>
          <w:spacing w:val="-16"/>
          <w:w w:val="105"/>
          <w:sz w:val="24"/>
        </w:rPr>
        <w:t> </w:t>
      </w:r>
      <w:r>
        <w:rPr>
          <w:w w:val="105"/>
          <w:sz w:val="24"/>
        </w:rPr>
        <w:t>from</w:t>
      </w:r>
      <w:r>
        <w:rPr>
          <w:spacing w:val="-16"/>
          <w:w w:val="105"/>
          <w:sz w:val="24"/>
        </w:rPr>
        <w:t> </w:t>
      </w:r>
      <w:r>
        <w:rPr>
          <w:w w:val="105"/>
          <w:sz w:val="24"/>
        </w:rPr>
        <w:t>144</w:t>
      </w:r>
      <w:r>
        <w:rPr>
          <w:spacing w:val="-16"/>
          <w:w w:val="105"/>
          <w:sz w:val="24"/>
        </w:rPr>
        <w:t> </w:t>
      </w:r>
      <w:r>
        <w:rPr>
          <w:w w:val="105"/>
          <w:sz w:val="24"/>
        </w:rPr>
        <w:t>words</w:t>
      </w:r>
      <w:r>
        <w:rPr>
          <w:spacing w:val="-16"/>
          <w:w w:val="105"/>
          <w:sz w:val="24"/>
        </w:rPr>
        <w:t> </w:t>
      </w:r>
      <w:r>
        <w:rPr>
          <w:w w:val="105"/>
          <w:sz w:val="24"/>
        </w:rPr>
        <w:t>in</w:t>
      </w:r>
      <w:r>
        <w:rPr>
          <w:spacing w:val="-16"/>
          <w:w w:val="105"/>
          <w:sz w:val="24"/>
        </w:rPr>
        <w:t> </w:t>
      </w:r>
      <w:r>
        <w:rPr>
          <w:w w:val="105"/>
          <w:sz w:val="24"/>
        </w:rPr>
        <w:t>2.0</w:t>
      </w:r>
      <w:r>
        <w:rPr>
          <w:spacing w:val="-16"/>
          <w:w w:val="105"/>
          <w:sz w:val="24"/>
        </w:rPr>
        <w:t> </w:t>
      </w:r>
      <w:r>
        <w:rPr>
          <w:w w:val="105"/>
          <w:sz w:val="24"/>
        </w:rPr>
        <w:t>dataset to</w:t>
      </w:r>
      <w:r>
        <w:rPr>
          <w:spacing w:val="-18"/>
          <w:w w:val="105"/>
          <w:sz w:val="24"/>
        </w:rPr>
        <w:t> </w:t>
      </w:r>
      <w:r>
        <w:rPr>
          <w:w w:val="105"/>
          <w:sz w:val="24"/>
        </w:rPr>
        <w:t>169</w:t>
      </w:r>
      <w:r>
        <w:rPr>
          <w:spacing w:val="-17"/>
          <w:w w:val="105"/>
          <w:sz w:val="24"/>
        </w:rPr>
        <w:t> </w:t>
      </w:r>
      <w:r>
        <w:rPr>
          <w:w w:val="105"/>
          <w:sz w:val="24"/>
        </w:rPr>
        <w:t>words</w:t>
      </w:r>
      <w:r>
        <w:rPr>
          <w:spacing w:val="-18"/>
          <w:w w:val="105"/>
          <w:sz w:val="24"/>
        </w:rPr>
        <w:t> </w:t>
      </w:r>
      <w:r>
        <w:rPr>
          <w:w w:val="105"/>
          <w:sz w:val="24"/>
        </w:rPr>
        <w:t>in</w:t>
      </w:r>
      <w:r>
        <w:rPr>
          <w:spacing w:val="-18"/>
          <w:w w:val="105"/>
          <w:sz w:val="24"/>
        </w:rPr>
        <w:t> </w:t>
      </w:r>
      <w:r>
        <w:rPr>
          <w:w w:val="105"/>
          <w:sz w:val="24"/>
        </w:rPr>
        <w:t>the</w:t>
      </w:r>
      <w:r>
        <w:rPr>
          <w:spacing w:val="-17"/>
          <w:w w:val="105"/>
          <w:sz w:val="24"/>
        </w:rPr>
        <w:t> </w:t>
      </w:r>
      <w:r>
        <w:rPr>
          <w:w w:val="105"/>
          <w:sz w:val="24"/>
        </w:rPr>
        <w:t>3.0</w:t>
      </w:r>
      <w:r>
        <w:rPr>
          <w:spacing w:val="-18"/>
          <w:w w:val="105"/>
          <w:sz w:val="24"/>
        </w:rPr>
        <w:t> </w:t>
      </w:r>
      <w:r>
        <w:rPr>
          <w:w w:val="105"/>
          <w:sz w:val="24"/>
        </w:rPr>
        <w:t>dataset.</w:t>
      </w:r>
      <w:r>
        <w:rPr>
          <w:spacing w:val="-17"/>
          <w:w w:val="105"/>
          <w:sz w:val="24"/>
        </w:rPr>
        <w:t> </w:t>
      </w:r>
      <w:r>
        <w:rPr>
          <w:w w:val="105"/>
          <w:sz w:val="24"/>
        </w:rPr>
        <w:t>Whereas</w:t>
      </w:r>
      <w:r>
        <w:rPr>
          <w:spacing w:val="-18"/>
          <w:w w:val="105"/>
          <w:sz w:val="24"/>
        </w:rPr>
        <w:t> </w:t>
      </w:r>
      <w:r>
        <w:rPr>
          <w:w w:val="105"/>
          <w:sz w:val="24"/>
        </w:rPr>
        <w:t>the</w:t>
      </w:r>
      <w:r>
        <w:rPr>
          <w:spacing w:val="-17"/>
          <w:w w:val="105"/>
          <w:sz w:val="24"/>
        </w:rPr>
        <w:t> </w:t>
      </w:r>
      <w:r>
        <w:rPr>
          <w:w w:val="105"/>
          <w:sz w:val="24"/>
        </w:rPr>
        <w:t>project</w:t>
      </w:r>
      <w:r>
        <w:rPr>
          <w:spacing w:val="-18"/>
          <w:w w:val="105"/>
          <w:sz w:val="24"/>
        </w:rPr>
        <w:t> </w:t>
      </w:r>
      <w:r>
        <w:rPr>
          <w:w w:val="105"/>
          <w:sz w:val="24"/>
        </w:rPr>
        <w:t>narratives</w:t>
      </w:r>
      <w:r>
        <w:rPr>
          <w:spacing w:val="-17"/>
          <w:w w:val="105"/>
          <w:sz w:val="24"/>
        </w:rPr>
        <w:t> </w:t>
      </w:r>
      <w:r>
        <w:rPr>
          <w:w w:val="105"/>
          <w:sz w:val="24"/>
        </w:rPr>
        <w:t>in</w:t>
      </w:r>
      <w:r>
        <w:rPr>
          <w:spacing w:val="-18"/>
          <w:w w:val="105"/>
          <w:sz w:val="24"/>
        </w:rPr>
        <w:t> </w:t>
      </w:r>
      <w:r>
        <w:rPr>
          <w:w w:val="105"/>
          <w:sz w:val="24"/>
        </w:rPr>
        <w:t>the</w:t>
      </w:r>
      <w:r>
        <w:rPr>
          <w:spacing w:val="-17"/>
          <w:w w:val="105"/>
          <w:sz w:val="24"/>
        </w:rPr>
        <w:t> </w:t>
      </w:r>
      <w:r>
        <w:rPr>
          <w:w w:val="105"/>
          <w:sz w:val="24"/>
        </w:rPr>
        <w:t>2.0 dataset</w:t>
      </w:r>
      <w:r>
        <w:rPr>
          <w:spacing w:val="-14"/>
          <w:w w:val="105"/>
          <w:sz w:val="24"/>
        </w:rPr>
        <w:t> </w:t>
      </w:r>
      <w:r>
        <w:rPr>
          <w:w w:val="105"/>
          <w:sz w:val="24"/>
        </w:rPr>
        <w:t>consisted</w:t>
      </w:r>
      <w:r>
        <w:rPr>
          <w:spacing w:val="-14"/>
          <w:w w:val="105"/>
          <w:sz w:val="24"/>
        </w:rPr>
        <w:t> </w:t>
      </w:r>
      <w:r>
        <w:rPr>
          <w:w w:val="105"/>
          <w:sz w:val="24"/>
        </w:rPr>
        <w:t>of</w:t>
      </w:r>
      <w:r>
        <w:rPr>
          <w:spacing w:val="-14"/>
          <w:w w:val="105"/>
          <w:sz w:val="24"/>
        </w:rPr>
        <w:t> </w:t>
      </w:r>
      <w:r>
        <w:rPr>
          <w:w w:val="105"/>
          <w:sz w:val="24"/>
        </w:rPr>
        <w:t>1.93</w:t>
      </w:r>
      <w:r>
        <w:rPr>
          <w:spacing w:val="-14"/>
          <w:w w:val="105"/>
          <w:sz w:val="24"/>
        </w:rPr>
        <w:t> </w:t>
      </w:r>
      <w:r>
        <w:rPr>
          <w:w w:val="105"/>
          <w:sz w:val="24"/>
        </w:rPr>
        <w:t>million</w:t>
      </w:r>
      <w:r>
        <w:rPr>
          <w:spacing w:val="-14"/>
          <w:w w:val="105"/>
          <w:sz w:val="24"/>
        </w:rPr>
        <w:t> </w:t>
      </w:r>
      <w:r>
        <w:rPr>
          <w:w w:val="105"/>
          <w:sz w:val="24"/>
        </w:rPr>
        <w:t>words</w:t>
      </w:r>
      <w:r>
        <w:rPr>
          <w:spacing w:val="-14"/>
          <w:w w:val="105"/>
          <w:sz w:val="24"/>
        </w:rPr>
        <w:t> </w:t>
      </w:r>
      <w:r>
        <w:rPr>
          <w:w w:val="105"/>
          <w:sz w:val="24"/>
        </w:rPr>
        <w:t>(roughly</w:t>
      </w:r>
      <w:r>
        <w:rPr>
          <w:spacing w:val="-14"/>
          <w:w w:val="105"/>
          <w:sz w:val="24"/>
        </w:rPr>
        <w:t> </w:t>
      </w:r>
      <w:r>
        <w:rPr>
          <w:w w:val="105"/>
          <w:sz w:val="24"/>
        </w:rPr>
        <w:t>the</w:t>
      </w:r>
      <w:r>
        <w:rPr>
          <w:spacing w:val="-14"/>
          <w:w w:val="105"/>
          <w:sz w:val="24"/>
        </w:rPr>
        <w:t> </w:t>
      </w:r>
      <w:r>
        <w:rPr>
          <w:w w:val="105"/>
          <w:sz w:val="24"/>
        </w:rPr>
        <w:t>same</w:t>
      </w:r>
      <w:r>
        <w:rPr>
          <w:spacing w:val="-14"/>
          <w:w w:val="105"/>
          <w:sz w:val="24"/>
        </w:rPr>
        <w:t> </w:t>
      </w:r>
      <w:r>
        <w:rPr>
          <w:w w:val="105"/>
          <w:sz w:val="24"/>
        </w:rPr>
        <w:t>number</w:t>
      </w:r>
      <w:r>
        <w:rPr>
          <w:spacing w:val="-14"/>
          <w:w w:val="105"/>
          <w:sz w:val="24"/>
        </w:rPr>
        <w:t> </w:t>
      </w:r>
      <w:r>
        <w:rPr>
          <w:w w:val="105"/>
          <w:sz w:val="24"/>
        </w:rPr>
        <w:t>of </w:t>
      </w:r>
      <w:r>
        <w:rPr>
          <w:sz w:val="24"/>
        </w:rPr>
        <w:t>words one would ﬁnd in 19 full-length books), the project narratives in the</w:t>
      </w:r>
    </w:p>
    <w:p>
      <w:pPr>
        <w:pStyle w:val="BodyText"/>
        <w:spacing w:line="333" w:lineRule="auto"/>
        <w:ind w:left="1180" w:right="449"/>
      </w:pPr>
      <w:r>
        <w:rPr/>
        <w:pict>
          <v:shape style="position:absolute;margin-left:90pt;margin-top:39.514328pt;width:144pt;height:.1pt;mso-position-horizontal-relative:page;mso-position-vertical-relative:paragraph;z-index:-15688192;mso-wrap-distance-left:0;mso-wrap-distance-right:0" id="docshape60" coordorigin="1800,790" coordsize="2880,0" path="m1800,790l4680,790e" filled="false" stroked="true" strokeweight=".75pt" strokecolor="#000000">
            <v:path arrowok="t"/>
            <v:stroke dashstyle="solid"/>
            <w10:wrap type="topAndBottom"/>
          </v:shape>
        </w:pict>
      </w:r>
      <w:r>
        <w:rPr/>
        <w:t>3.0 dataset consist of 3.48 million words (roughly the same number of words</w:t>
      </w:r>
      <w:r>
        <w:rPr>
          <w:spacing w:val="4"/>
        </w:rPr>
        <w:t> </w:t>
      </w:r>
      <w:r>
        <w:rPr/>
        <w:t>one</w:t>
      </w:r>
      <w:r>
        <w:rPr>
          <w:spacing w:val="5"/>
        </w:rPr>
        <w:t> </w:t>
      </w:r>
      <w:r>
        <w:rPr/>
        <w:t>would</w:t>
      </w:r>
      <w:r>
        <w:rPr>
          <w:spacing w:val="5"/>
        </w:rPr>
        <w:t> </w:t>
      </w:r>
      <w:r>
        <w:rPr/>
        <w:t>ﬁnd</w:t>
      </w:r>
      <w:r>
        <w:rPr>
          <w:spacing w:val="5"/>
        </w:rPr>
        <w:t> </w:t>
      </w:r>
      <w:r>
        <w:rPr/>
        <w:t>in</w:t>
      </w:r>
      <w:r>
        <w:rPr>
          <w:spacing w:val="5"/>
        </w:rPr>
        <w:t> </w:t>
      </w:r>
      <w:r>
        <w:rPr/>
        <w:t>34</w:t>
      </w:r>
      <w:r>
        <w:rPr>
          <w:spacing w:val="5"/>
        </w:rPr>
        <w:t> </w:t>
      </w:r>
      <w:r>
        <w:rPr/>
        <w:t>full-length</w:t>
      </w:r>
      <w:r>
        <w:rPr>
          <w:spacing w:val="5"/>
        </w:rPr>
        <w:t> </w:t>
      </w:r>
      <w:r>
        <w:rPr/>
        <w:t>books).</w:t>
      </w:r>
      <w:r>
        <w:rPr>
          <w:vertAlign w:val="superscript"/>
        </w:rPr>
        <w:t>[7]</w:t>
      </w:r>
      <w:r>
        <w:rPr>
          <w:vertAlign w:val="superscript"/>
        </w:rPr>
        <w:t>[5]</w:t>
      </w:r>
      <w:r>
        <w:rPr>
          <w:spacing w:val="4"/>
          <w:vertAlign w:val="baseline"/>
        </w:rPr>
        <w:t> </w:t>
      </w:r>
      <w:r>
        <w:rPr>
          <w:vertAlign w:val="baseline"/>
        </w:rPr>
        <w:t>As</w:t>
      </w:r>
      <w:r>
        <w:rPr>
          <w:spacing w:val="4"/>
          <w:vertAlign w:val="baseline"/>
        </w:rPr>
        <w:t> </w:t>
      </w:r>
      <w:r>
        <w:rPr>
          <w:vertAlign w:val="baseline"/>
        </w:rPr>
        <w:t>we</w:t>
      </w:r>
      <w:r>
        <w:rPr>
          <w:spacing w:val="5"/>
          <w:vertAlign w:val="baseline"/>
        </w:rPr>
        <w:t> </w:t>
      </w:r>
      <w:r>
        <w:rPr>
          <w:vertAlign w:val="baseline"/>
        </w:rPr>
        <w:t>will</w:t>
      </w:r>
      <w:r>
        <w:rPr>
          <w:spacing w:val="5"/>
          <w:vertAlign w:val="baseline"/>
        </w:rPr>
        <w:t> </w:t>
      </w:r>
      <w:r>
        <w:rPr>
          <w:vertAlign w:val="baseline"/>
        </w:rPr>
        <w:t>demonstrate</w:t>
      </w:r>
      <w:r>
        <w:rPr>
          <w:spacing w:val="5"/>
          <w:vertAlign w:val="baseline"/>
        </w:rPr>
        <w:t> </w:t>
      </w:r>
      <w:r>
        <w:rPr>
          <w:spacing w:val="-5"/>
          <w:vertAlign w:val="baseline"/>
        </w:rPr>
        <w:t>in</w:t>
      </w:r>
    </w:p>
    <w:p>
      <w:pPr>
        <w:spacing w:after="0"/>
        <w:jc w:val="left"/>
        <w:rPr>
          <w:sz w:val="18"/>
        </w:rPr>
        <w:sectPr>
          <w:pgSz w:w="12240" w:h="15840"/>
          <w:pgMar w:header="0" w:footer="720" w:top="1400" w:bottom="920" w:left="1340" w:right="1340"/>
        </w:sectPr>
      </w:pPr>
    </w:p>
    <w:p>
      <w:pPr>
        <w:pStyle w:val="BodyText"/>
        <w:spacing w:line="333" w:lineRule="auto" w:before="27"/>
        <w:ind w:left="1180" w:right="485"/>
      </w:pPr>
      <w:r>
        <w:rPr/>
        <w:t>Chapter</w:t>
      </w:r>
      <w:r>
        <w:rPr>
          <w:spacing w:val="-3"/>
        </w:rPr>
        <w:t> </w:t>
      </w:r>
      <w:r>
        <w:rPr/>
        <w:t>3,</w:t>
      </w:r>
      <w:r>
        <w:rPr>
          <w:spacing w:val="-3"/>
        </w:rPr>
        <w:t> </w:t>
      </w:r>
      <w:r>
        <w:rPr/>
        <w:t>these</w:t>
      </w:r>
      <w:r>
        <w:rPr>
          <w:spacing w:val="-3"/>
        </w:rPr>
        <w:t> </w:t>
      </w:r>
      <w:r>
        <w:rPr/>
        <w:t>narratives</w:t>
      </w:r>
      <w:r>
        <w:rPr>
          <w:spacing w:val="-3"/>
        </w:rPr>
        <w:t> </w:t>
      </w:r>
      <w:r>
        <w:rPr/>
        <w:t>are</w:t>
      </w:r>
      <w:r>
        <w:rPr>
          <w:spacing w:val="-3"/>
        </w:rPr>
        <w:t> </w:t>
      </w:r>
      <w:r>
        <w:rPr/>
        <w:t>useful</w:t>
      </w:r>
      <w:r>
        <w:rPr>
          <w:spacing w:val="-3"/>
        </w:rPr>
        <w:t> </w:t>
      </w:r>
      <w:r>
        <w:rPr/>
        <w:t>in</w:t>
      </w:r>
      <w:r>
        <w:rPr>
          <w:spacing w:val="-3"/>
        </w:rPr>
        <w:t> </w:t>
      </w:r>
      <w:r>
        <w:rPr/>
        <w:t>that</w:t>
      </w:r>
      <w:r>
        <w:rPr>
          <w:spacing w:val="-3"/>
        </w:rPr>
        <w:t> </w:t>
      </w:r>
      <w:r>
        <w:rPr/>
        <w:t>they</w:t>
      </w:r>
      <w:r>
        <w:rPr>
          <w:spacing w:val="-3"/>
        </w:rPr>
        <w:t> </w:t>
      </w:r>
      <w:r>
        <w:rPr/>
        <w:t>document</w:t>
      </w:r>
      <w:r>
        <w:rPr>
          <w:spacing w:val="-3"/>
        </w:rPr>
        <w:t> </w:t>
      </w:r>
      <w:r>
        <w:rPr/>
        <w:t>the</w:t>
      </w:r>
      <w:r>
        <w:rPr>
          <w:spacing w:val="-3"/>
        </w:rPr>
        <w:t> </w:t>
      </w:r>
      <w:r>
        <w:rPr/>
        <w:t>risks</w:t>
      </w:r>
      <w:r>
        <w:rPr>
          <w:spacing w:val="-3"/>
        </w:rPr>
        <w:t> </w:t>
      </w:r>
      <w:r>
        <w:rPr/>
        <w:t>and challenges that arose during project design and implementation (e.g., bankruptcies, scandals, protests, labor strikes, and criminal investigation) and how funding, receiving, implementing, and accountable institutions responded to these risks and challenges.</w:t>
      </w:r>
    </w:p>
    <w:p>
      <w:pPr>
        <w:pStyle w:val="BodyText"/>
        <w:spacing w:before="7"/>
        <w:rPr>
          <w:sz w:val="27"/>
        </w:rPr>
      </w:pPr>
    </w:p>
    <w:p>
      <w:pPr>
        <w:pStyle w:val="ListParagraph"/>
        <w:numPr>
          <w:ilvl w:val="0"/>
          <w:numId w:val="3"/>
        </w:numPr>
        <w:tabs>
          <w:tab w:pos="1180" w:val="left" w:leader="none"/>
        </w:tabs>
        <w:spacing w:line="333" w:lineRule="auto" w:before="0" w:after="0"/>
        <w:ind w:left="1180" w:right="459" w:hanging="360"/>
        <w:jc w:val="left"/>
        <w:rPr>
          <w:sz w:val="24"/>
        </w:rPr>
      </w:pPr>
      <w:r>
        <w:rPr>
          <w:b/>
          <w:spacing w:val="-4"/>
          <w:sz w:val="24"/>
        </w:rPr>
        <w:t>Scale,</w:t>
      </w:r>
      <w:r>
        <w:rPr>
          <w:b/>
          <w:spacing w:val="-7"/>
          <w:sz w:val="24"/>
        </w:rPr>
        <w:t> </w:t>
      </w:r>
      <w:r>
        <w:rPr>
          <w:b/>
          <w:spacing w:val="-4"/>
          <w:sz w:val="24"/>
        </w:rPr>
        <w:t>diversity,</w:t>
      </w:r>
      <w:r>
        <w:rPr>
          <w:b/>
          <w:spacing w:val="-7"/>
          <w:sz w:val="24"/>
        </w:rPr>
        <w:t> </w:t>
      </w:r>
      <w:r>
        <w:rPr>
          <w:b/>
          <w:spacing w:val="-4"/>
          <w:sz w:val="24"/>
        </w:rPr>
        <w:t>quality,</w:t>
      </w:r>
      <w:r>
        <w:rPr>
          <w:b/>
          <w:spacing w:val="-7"/>
          <w:sz w:val="24"/>
        </w:rPr>
        <w:t> </w:t>
      </w:r>
      <w:r>
        <w:rPr>
          <w:b/>
          <w:spacing w:val="-4"/>
          <w:sz w:val="24"/>
        </w:rPr>
        <w:t>and</w:t>
      </w:r>
      <w:r>
        <w:rPr>
          <w:b/>
          <w:spacing w:val="-7"/>
          <w:sz w:val="24"/>
        </w:rPr>
        <w:t> </w:t>
      </w:r>
      <w:r>
        <w:rPr>
          <w:b/>
          <w:spacing w:val="-4"/>
          <w:sz w:val="24"/>
        </w:rPr>
        <w:t>transparency</w:t>
      </w:r>
      <w:r>
        <w:rPr>
          <w:b/>
          <w:spacing w:val="-7"/>
          <w:sz w:val="24"/>
        </w:rPr>
        <w:t> </w:t>
      </w:r>
      <w:r>
        <w:rPr>
          <w:b/>
          <w:spacing w:val="-4"/>
          <w:sz w:val="24"/>
        </w:rPr>
        <w:t>of</w:t>
      </w:r>
      <w:r>
        <w:rPr>
          <w:b/>
          <w:spacing w:val="-7"/>
          <w:sz w:val="24"/>
        </w:rPr>
        <w:t> </w:t>
      </w:r>
      <w:r>
        <w:rPr>
          <w:b/>
          <w:spacing w:val="-4"/>
          <w:sz w:val="24"/>
        </w:rPr>
        <w:t>sourcing</w:t>
      </w:r>
      <w:r>
        <w:rPr>
          <w:spacing w:val="-4"/>
          <w:sz w:val="24"/>
        </w:rPr>
        <w:t>:</w:t>
      </w:r>
      <w:r>
        <w:rPr>
          <w:spacing w:val="-7"/>
          <w:sz w:val="24"/>
        </w:rPr>
        <w:t> </w:t>
      </w:r>
      <w:r>
        <w:rPr>
          <w:spacing w:val="-4"/>
          <w:sz w:val="24"/>
        </w:rPr>
        <w:t>The</w:t>
      </w:r>
      <w:r>
        <w:rPr>
          <w:spacing w:val="-7"/>
          <w:sz w:val="24"/>
        </w:rPr>
        <w:t> </w:t>
      </w:r>
      <w:r>
        <w:rPr>
          <w:spacing w:val="-4"/>
          <w:sz w:val="24"/>
        </w:rPr>
        <w:t>3.0</w:t>
      </w:r>
      <w:r>
        <w:rPr>
          <w:spacing w:val="-7"/>
          <w:sz w:val="24"/>
        </w:rPr>
        <w:t> </w:t>
      </w:r>
      <w:r>
        <w:rPr>
          <w:spacing w:val="-4"/>
          <w:sz w:val="24"/>
        </w:rPr>
        <w:t>dataset </w:t>
      </w:r>
      <w:r>
        <w:rPr>
          <w:sz w:val="24"/>
        </w:rPr>
        <w:t>was assembled with 147,703 sources (including 99,393 unique sources in more than a dozen languages, of which 51,597 are ofﬁcial sources). By way of comparison, the 2.0 dataset was assembled with 91,356 sources (including 63,464 unique sources in more than a dozen languages, of which</w:t>
      </w:r>
      <w:r>
        <w:rPr>
          <w:spacing w:val="-8"/>
          <w:sz w:val="24"/>
        </w:rPr>
        <w:t> </w:t>
      </w:r>
      <w:r>
        <w:rPr>
          <w:sz w:val="24"/>
        </w:rPr>
        <w:t>34,075</w:t>
      </w:r>
      <w:r>
        <w:rPr>
          <w:spacing w:val="-8"/>
          <w:sz w:val="24"/>
        </w:rPr>
        <w:t> </w:t>
      </w:r>
      <w:r>
        <w:rPr>
          <w:sz w:val="24"/>
        </w:rPr>
        <w:t>were</w:t>
      </w:r>
      <w:r>
        <w:rPr>
          <w:spacing w:val="-8"/>
          <w:sz w:val="24"/>
        </w:rPr>
        <w:t> </w:t>
      </w:r>
      <w:r>
        <w:rPr>
          <w:sz w:val="24"/>
        </w:rPr>
        <w:t>ofﬁcial</w:t>
      </w:r>
      <w:r>
        <w:rPr>
          <w:spacing w:val="-8"/>
          <w:sz w:val="24"/>
        </w:rPr>
        <w:t> </w:t>
      </w:r>
      <w:r>
        <w:rPr>
          <w:sz w:val="24"/>
        </w:rPr>
        <w:t>sources).</w:t>
      </w:r>
      <w:r>
        <w:rPr>
          <w:spacing w:val="-8"/>
          <w:sz w:val="24"/>
        </w:rPr>
        <w:t> </w:t>
      </w:r>
      <w:r>
        <w:rPr>
          <w:sz w:val="24"/>
        </w:rPr>
        <w:t>Whereas</w:t>
      </w:r>
      <w:r>
        <w:rPr>
          <w:spacing w:val="-8"/>
          <w:sz w:val="24"/>
        </w:rPr>
        <w:t> </w:t>
      </w:r>
      <w:r>
        <w:rPr>
          <w:sz w:val="24"/>
        </w:rPr>
        <w:t>the</w:t>
      </w:r>
      <w:r>
        <w:rPr>
          <w:spacing w:val="-8"/>
          <w:sz w:val="24"/>
        </w:rPr>
        <w:t> </w:t>
      </w:r>
      <w:r>
        <w:rPr>
          <w:sz w:val="24"/>
        </w:rPr>
        <w:t>average</w:t>
      </w:r>
      <w:r>
        <w:rPr>
          <w:spacing w:val="-8"/>
          <w:sz w:val="24"/>
        </w:rPr>
        <w:t> </w:t>
      </w:r>
      <w:r>
        <w:rPr>
          <w:sz w:val="24"/>
        </w:rPr>
        <w:t>record</w:t>
      </w:r>
      <w:r>
        <w:rPr>
          <w:spacing w:val="-8"/>
          <w:sz w:val="24"/>
        </w:rPr>
        <w:t> </w:t>
      </w:r>
      <w:r>
        <w:rPr>
          <w:sz w:val="24"/>
        </w:rPr>
        <w:t>in</w:t>
      </w:r>
      <w:r>
        <w:rPr>
          <w:spacing w:val="-8"/>
          <w:sz w:val="24"/>
        </w:rPr>
        <w:t> </w:t>
      </w:r>
      <w:r>
        <w:rPr>
          <w:sz w:val="24"/>
        </w:rPr>
        <w:t>the</w:t>
      </w:r>
      <w:r>
        <w:rPr>
          <w:spacing w:val="-8"/>
          <w:sz w:val="24"/>
        </w:rPr>
        <w:t> </w:t>
      </w:r>
      <w:r>
        <w:rPr>
          <w:sz w:val="24"/>
        </w:rPr>
        <w:t>1.0</w:t>
      </w:r>
      <w:r>
        <w:rPr>
          <w:sz w:val="24"/>
        </w:rPr>
        <w:t> dataset was based upon 3.6 sources and the average record in the 2.0 dataset</w:t>
      </w:r>
      <w:r>
        <w:rPr>
          <w:spacing w:val="-5"/>
          <w:sz w:val="24"/>
        </w:rPr>
        <w:t> </w:t>
      </w:r>
      <w:r>
        <w:rPr>
          <w:sz w:val="24"/>
        </w:rPr>
        <w:t>was</w:t>
      </w:r>
      <w:r>
        <w:rPr>
          <w:spacing w:val="-5"/>
          <w:sz w:val="24"/>
        </w:rPr>
        <w:t> </w:t>
      </w:r>
      <w:r>
        <w:rPr>
          <w:sz w:val="24"/>
        </w:rPr>
        <w:t>based</w:t>
      </w:r>
      <w:r>
        <w:rPr>
          <w:spacing w:val="-5"/>
          <w:sz w:val="24"/>
        </w:rPr>
        <w:t> </w:t>
      </w:r>
      <w:r>
        <w:rPr>
          <w:sz w:val="24"/>
        </w:rPr>
        <w:t>on</w:t>
      </w:r>
      <w:r>
        <w:rPr>
          <w:spacing w:val="-5"/>
          <w:sz w:val="24"/>
        </w:rPr>
        <w:t> </w:t>
      </w:r>
      <w:r>
        <w:rPr>
          <w:sz w:val="24"/>
        </w:rPr>
        <w:t>6.8</w:t>
      </w:r>
      <w:r>
        <w:rPr>
          <w:spacing w:val="-5"/>
          <w:sz w:val="24"/>
        </w:rPr>
        <w:t> </w:t>
      </w:r>
      <w:r>
        <w:rPr>
          <w:sz w:val="24"/>
        </w:rPr>
        <w:t>sources,</w:t>
      </w:r>
      <w:r>
        <w:rPr>
          <w:spacing w:val="-5"/>
          <w:sz w:val="24"/>
        </w:rPr>
        <w:t> </w:t>
      </w:r>
      <w:r>
        <w:rPr>
          <w:sz w:val="24"/>
        </w:rPr>
        <w:t>the</w:t>
      </w:r>
      <w:r>
        <w:rPr>
          <w:spacing w:val="-5"/>
          <w:sz w:val="24"/>
        </w:rPr>
        <w:t> </w:t>
      </w:r>
      <w:r>
        <w:rPr>
          <w:sz w:val="24"/>
        </w:rPr>
        <w:t>average</w:t>
      </w:r>
      <w:r>
        <w:rPr>
          <w:spacing w:val="-5"/>
          <w:sz w:val="24"/>
        </w:rPr>
        <w:t> </w:t>
      </w:r>
      <w:r>
        <w:rPr>
          <w:sz w:val="24"/>
        </w:rPr>
        <w:t>record</w:t>
      </w:r>
      <w:r>
        <w:rPr>
          <w:spacing w:val="-5"/>
          <w:sz w:val="24"/>
        </w:rPr>
        <w:t> </w:t>
      </w:r>
      <w:r>
        <w:rPr>
          <w:sz w:val="24"/>
        </w:rPr>
        <w:t>in</w:t>
      </w:r>
      <w:r>
        <w:rPr>
          <w:spacing w:val="-5"/>
          <w:sz w:val="24"/>
        </w:rPr>
        <w:t> </w:t>
      </w:r>
      <w:r>
        <w:rPr>
          <w:sz w:val="24"/>
        </w:rPr>
        <w:t>the</w:t>
      </w:r>
      <w:r>
        <w:rPr>
          <w:spacing w:val="-5"/>
          <w:sz w:val="24"/>
        </w:rPr>
        <w:t> </w:t>
      </w:r>
      <w:r>
        <w:rPr>
          <w:sz w:val="24"/>
        </w:rPr>
        <w:t>3.0</w:t>
      </w:r>
      <w:r>
        <w:rPr>
          <w:spacing w:val="-5"/>
          <w:sz w:val="24"/>
        </w:rPr>
        <w:t> </w:t>
      </w:r>
      <w:r>
        <w:rPr>
          <w:sz w:val="24"/>
        </w:rPr>
        <w:t>dataset</w:t>
      </w:r>
      <w:r>
        <w:rPr>
          <w:spacing w:val="-5"/>
          <w:sz w:val="24"/>
        </w:rPr>
        <w:t> </w:t>
      </w:r>
      <w:r>
        <w:rPr>
          <w:sz w:val="24"/>
        </w:rPr>
        <w:t>is based upon 7.0 sources. 87% of the records in the 3.0 dataset are underpinned by at least one ofﬁcial source. To expose our coding and categorization determinations to public scrutiny and promote replicable research ﬁndings, we disclose all of the sources that were used to construct the dataset at the individual record level, including hundreds of unredacted grant, loan, debt forgiveness, and debt rescheduling agreements (that AidData has never previously published).</w:t>
      </w:r>
    </w:p>
    <w:p>
      <w:pPr>
        <w:spacing w:after="0" w:line="333" w:lineRule="auto"/>
        <w:jc w:val="left"/>
        <w:rPr>
          <w:sz w:val="24"/>
        </w:rPr>
        <w:sectPr>
          <w:pgSz w:w="12240" w:h="15840"/>
          <w:pgMar w:header="0" w:footer="720" w:top="1400" w:bottom="920" w:left="1340" w:right="1340"/>
        </w:sectPr>
      </w:pPr>
    </w:p>
    <w:p>
      <w:pPr>
        <w:pStyle w:val="Title"/>
      </w:pPr>
      <w:r>
        <w:t># Annotation</w:t>
      </w:r>
    </w:p>
    <w:p>
      <w:r>
        <w:t>1 The 2018 National Defense Strategy of the U.S. asserted that “[t]he central challenge to U.S. prosperity and security is the reemergence of long-term, strategic competition…[with] revisionist powers” (U.S. Department of Defense 2018). It called upon the U.S. government to "out-think, out-maneuver, out-partner, and out-innovate revisionist powers” (U.S. Department of Defense 2018). In October 2018, the U.S. Congress passed the Better Utilization of Investment Leading to Development (BUILD) Act, establishing a “full service” development ﬁnance institution to help the U.S. government compete with China around the globe. Then, in September 2019, it authorized the creation of a “Countering Chinese Inﬂuence” fund.</w:t>
        <w:br/>
        <w:br/>
        <w:t>2 Euractiv 2023.</w:t>
        <w:br/>
        <w:br/>
        <w:t>3 Belt and Road Forum for International Cooperation 2017.</w:t>
        <w:br/>
        <w:br/>
        <w:t>4 Quoted in Shepherd and Blanchard 2018.</w:t>
        <w:br/>
        <w:br/>
        <w:t>5 Morris et al. 2020; Dreher et al. 2022. In 2020, Beijing teamed up with eight multilateral institutions to establish the Multilateral Cooperation Center for Development Finance (AIIB 2021).</w:t>
        <w:br/>
        <w:br/>
        <w:t>6 We address this issue at greater length in Chapter 3. Also see Parks 2019; Malik et al. 2021; and Dreher et al. 2022.</w:t>
        <w:br/>
        <w:br/>
        <w:t>7 For example, when China’s biggest borrowers have experienced ﬁnancial distress, it has not called for coordinated debt reschedulings with all major creditors (Gardner et al. 2021; Bon and Cheng 2021).</w:t>
        <w:br/>
        <w:br/>
        <w:t>Instead, it has discreetly provided emergency rescue loans to ensure that such borrowers are sufﬁciently liquid to continue servicing their existing BRI project debts (Horn et al. 2023a, 2023b). Beijing has also spurned multiple invitations to join the Paris Club (the main venue for sovereign debt restructurings) and insisted upon loan contracts with clauses that expressly exclude Chinese debts from the Paris Club and other collective restructuring initiatives, thereby granting its state-owned creditors sole discretion to decide if, when, and how they will grant debt relief (Dreher et al. 2022; Gelpern et al. 2022).</w:t>
        <w:br/>
        <w:br/>
        <w:t>8 The European Union, Japan, Australia, and India have also launched a set of complementary initiatives—called Global Gateway, Partnerships for Infrastructure (P4I), the Blue Dot Network, and the India-Middle East-Europe Economic Corridor (IMEC)—that are designed to increase choice and competition in the global infrastructure ﬁnance market.</w:t>
        <w:br/>
        <w:br/>
        <w:t>9 At the third Belt and Road symposium in November 2021, Xi Jinping also called for better risk management in overseas infrastructure projects and discouraged Chinese companies from going to “chaotic and dangerous” places (State Council of the People's Republic of China 2021).</w:t>
        <w:br/>
        <w:br/>
        <w:t>10 The $1.34 trillion ﬁgure excludes the short-term “rollover” facilities described in Box 2c and Section A-3). It increases to $1.5 trillion when such facilities are included in the tally.</w:t>
        <w:br/>
        <w:br/>
        <w:t>11 All projects and activities in AidData’s GCDF dataset must qualify as ofﬁcial ﬁnancial ﬂows (ODA or OOF). For ease of exposition, in the remainder of this report, we refer to all such projects and activities as “projects.” The deﬁnitions of and measurement standards for ODA and OOF are described in Section A-2 of the Appendix.</w:t>
        <w:br/>
        <w:br/>
        <w:t>12 At the time, we estimated that China’s average annual development ﬁnance commitments amounted to</w:t>
        <w:br/>
        <w:br/>
        <w:t>$85.4 billion between 2013 and 2017 and average annual development ﬁnance commitments from the U.S. amounted to $37 billion over the same ﬁve-year period (Malik et al. 2021). However, the latest (3.0) version of the GCDF dataset demonstrates that China was outspending its rivals by a wider margin than we previously understood: average annual development ﬁnance commitments from China amounted to $117 billion between 2013 and 2017 and average annual development ﬁnance commitments from the U.S. amounted to $40.6 billion over the same ﬁve-year period (in constant USD 2021 prices). These historical revisions imply that Beijing was outspending Washington on a nearly 3-to-1 basis during the early years of the BRI.</w:t>
        <w:br/>
        <w:br/>
        <w:t>13 To see the annual percentage of China’s ofﬁcial ﬁnancial ﬂows to LICs and MICs provided via ODA and OOF, see Figure A1 in the Appendix.</w:t>
        <w:br/>
        <w:br/>
        <w:t>14 Since the ﬁrst full year of BRI implementation in 2014, no member of the G7 has outspent China. The individual members of the G7 spent between $2 billion and $61 billion a year on overseas development activities between 2014 and 2021. China spent between $74 billion and $142 billion a year between 2014 and 2021.</w:t>
        <w:br/>
        <w:br/>
        <w:t>15 In a recent stock-taking exercise, Nikkei Asia concluded that “initial optimism [for the BRI] has been replaced by disappointment over mismanagement, debt crises and corruption that have left many projects unﬁnished or incapable of fulﬁlling their promised potential (Aamir et al. 2022).</w:t>
        <w:br/>
        <w:br/>
        <w:t>16 In Chapter 2, we explain why AidData’s estimates of ofﬁcial sector lending commitments from China to LICs and MICs are substantially different from those recorded in other publicly available databases, such as the China's Overseas Development Finance Database, the Chinese Loans to Latin America and the Caribbean Database, the Chinese Loans to Africa Database, the China's Global Energy Finance Database, the China Overseas Finance Inventory Database, and the World Bank's International Debt Statistics (IDS).</w:t>
        <w:br/>
        <w:br/>
        <w:t>17 The rationale for evaluating “stocks” (cumulative ﬁnancial commitments) rather than “ﬂows” (annual ﬁnancial commitments) is that grants and loans are issued at speciﬁc points in time, but they disburse over many years and support projects implemented over many years.</w:t>
        <w:br/>
        <w:br/>
        <w:t>18 Section A-3 in the Appendix provides guidance for those who wish to use the 3.0 version of AidData's GCDF dataset to estimate cumulative stocks of ofﬁcial ﬁnancial ﬂows from China to LICs and MICs.</w:t>
        <w:br/>
        <w:br/>
        <w:t>19 China’s average annual international development ﬁnance (ODA/OOF) commitments amounted to $85 billion between 2014 and 2021 (excluding the short-term "rollover" facilities described in Box 2c and Section A-3). This ﬁgure rises to $105 billion if one includes short-term "rollover" facilities. Average annual international development ﬁnance (ODA/OOF) commitments from the U.S. amounted to $40 billion between 2014 and 2021.</w:t>
        <w:br/>
        <w:br/>
        <w:t>20 The $680 billion ﬁgure excludes the short-term "rollover" facilities described in Box 2c and Section A-3. It increases to $841 billion when such facilities are included in the tally.</w:t>
        <w:br/>
        <w:br/>
        <w:t>21 Total international development ﬁnance (ODA and OOF) commitments from the World Bank amounted to $307 billion from 2014-2021.</w:t>
        <w:br/>
        <w:br/>
        <w:t>22 While ofﬁcial ﬁnancial ﬂows (ODA and OOF) from the U.S. to LICs and MICs amounted to $61 billion in 2021, ofﬁcial ﬁnancial ﬂows from China to LICs and MICs amounted to $79 billion during the same year.</w:t>
        <w:br/>
        <w:br/>
        <w:t>23 U.S. OOF amounted to $1.4 billion in 2020 and $21.8 billion in 2021.</w:t>
        <w:br/>
        <w:br/>
        <w:t>24 Relatedly, Zeitz (2021) provides evidence that the World Bank is seeking to compete with China via emulation rather than differentiation.</w:t>
        <w:br/>
        <w:br/>
        <w:t>25 In July 2023 correspondence with AidData, the USAID ofﬁce responsible for ODA and OOF reporting to the OECD-DAC conﬁrmed that the full operation of the DFC in 2021 led to the major increase in U.S. OOF in 2021. See also DFC 2021a and DFC 2022. The DFC's transaction-level data, which is organized by ﬁscal year rather than calendar year, can be accessed via https://www.dfc.gov/our-impact/transaction-data.</w:t>
        <w:br/>
        <w:br/>
        <w:t>26 Akhtar and Brown (2021); Dreher et al. (2022).</w:t>
        <w:br/>
        <w:br/>
        <w:t>27 Sevastopulo and Long (2021); Landers et al. (2021).</w:t>
        <w:br/>
        <w:br/>
        <w:t>28 Bruni (2021). The January 2021 framework agreement between the DFC and Government of Ecuador can be accessed in its entirety via https://www.dropbox.com/s/oy377uc6wz8u9oe/Ecuador%20DFC%20January%202021%20Framework%20 Agreement.pdf?dl=0.</w:t>
        <w:br/>
        <w:br/>
        <w:t>29 DFC (2021b).</w:t>
        <w:br/>
        <w:br/>
        <w:t>30 The G7 failed to match China’s ODA and OOF commitments in 2014 and 2016 (see Figure 1.5).</w:t>
        <w:br/>
        <w:br/>
        <w:t>31 While China spent $93 billion a year on average between 2018 and 2021, the G7 spent $137 billion a year on average.</w:t>
        <w:br/>
        <w:br/>
        <w:t>32 In 2021, ofﬁcial ﬁnancial ﬂows (ODA and OOF) from all members of the G7 (combined) to LICs and MICs reached $163 billion, while ofﬁcial ﬁnancial ﬂows from China to LICs and MICs amounted to $79 billion.</w:t>
        <w:br/>
        <w:br/>
        <w:t>33 According to Figure A3, the percentage of China’s overseas development ﬁnance portfolio that supported three “hardware” sectors (Energy; Industry, Mining, and Construction; and Transport and Storage) declined from 68.3% in 2014 (the ﬁrst full year of the early BRI period) to 30.6% in 2021 (the last year of the late BRI period for which we have complete data). The percentage of China’s overseas development ﬁnance portfolio that supported the “Banking and Financial Services” sector and “General Budget Support” sector increased from 13.0% to 58.9% between 2014 and 2021. These two sectors capture emergency lending from China’s central bank (PBOC) to LIC and MIC central banks via currency swap arrangements, as well as emergency lending to ﬁnance LIC and MIC ﬁnance ministries via China’s State Administration of Foreign Exchange (SAFE), state-owned policy banks, state-owned commercial banks, and state-owned energy companies</w:t>
        <w:br/>
        <w:br/>
        <w:t>34 Beijing effectively created a backstop for highly exposed Chinese creditors by channeling emergency rescue loans to the subset of BRI participant countries that present major balance sheet risks (see Horn et al. 2023a, 2023b as well as the replication exercise that we conduct in Chapter 2).</w:t>
        <w:br/>
        <w:br/>
        <w:t>35 Chinese state-owned creditors have for the most part responded to this challenge via cash ﬂow relief (emergency rescue loans, grace period extensions, and/or maturity extensions), which suggests that they think their borrowers are illiquid but not insolvent (Horn et al. 2023a, 2023b). In a recent interview with Muyang Chen of Peking University, one policy bank ofﬁcial characterized the rising tide of debt distress in the developing world as “essentially a problem of liquidity” (Chen 2023: 1772).</w:t>
        <w:br/>
        <w:br/>
        <w:t>36 According to the World Bank’s International Debt Statistics (IDS), sovereign arrears from LICs and MICs to ofﬁcial sector creditors in China have also sharply increased in absolute terms (see Figure A5). However, due to the credit coverage and underreporting issues that affect IDS data (see Figure 2.1, Table A15, Horn et al. 2021, and Malik et al. 2021), the absolute amounts in Figure A5 should be interpreted with caution.</w:t>
        <w:br/>
        <w:br/>
        <w:t>37 Figure 1.8 draws inspiration from Figure 1 in Horn et al. (2023b), which relies on an earlier (2.0) version of AidData’s GCDF dataset. Both ﬁgures seek to measure the percentage of ofﬁcial sector Chinese lending to LIC and MIC borrower countries in distress, but in somewhat different ways. The shape of the line in Figure</w:t>
        <w:br/>
        <w:br/>
        <w:t>1.8 is different from the one in Horn et al. (2023b), in that the onset of exceptionally high levels of distress (in excess of 50%) begins in 2011 rather than 2022. Figure 1.8 also suggests that nearly 80% of China’s overseas lending to LICs and MICs is now supporting countries in distress. Horn et al. (2023b) estimate that the ﬁgure is closer to 60%, although they use a version of the GCDF dataset which captures 3,030 ofﬁcial sector loans from China rather than the 4,890 ofﬁcial sector loans from China captured in the 3.0 version (including 4,776 for approved, active, and completed projects/activities and 114 for suspended and canceled projects/activities).</w:t>
        <w:br/>
        <w:br/>
        <w:t>38 During the pre-BRI period (2000-2013), 32% of China's overseas lending portfolio supported borrowers in ﬁnancial distress on average each year. This ﬁgure increased to 79.7% during the early BRI period</w:t>
        <w:br/>
        <w:br/>
        <w:t>(2014-2017) and remained unchanged (79.7%) during the late BRI period (2018-2021).</w:t>
        <w:br/>
        <w:br/>
        <w:t>39 The sovereign credit ratings produced by Moody’s, Standard &amp; Poor’s, and Fitch vary between AAA and</w:t>
        <w:br/>
        <w:br/>
        <w:t>D. Ratings of BB or lower are considered to be “junk territory.”</w:t>
        <w:br/>
        <w:br/>
        <w:t>40 We exclude all observations in years when a country maintained diplomatic relations with Taiwan (since the reported arrears may be to Taiwan).</w:t>
        <w:br/>
        <w:br/>
        <w:t>41 Once this dummy variable is set to 1 (“turns on") in a particular country-year, it retains a value of 1 (“stays on”) for that country until the end of the loan’s originally scheduled repayment period. The repayment period is calculated for each loan commitment (regardless of whether it was subsequently suspended or canceled) based on the originally scheduled ﬁrst repayment date (estimated by adding the grace period to the commitment date) and the originally scheduled ﬁnal repayment (maturity) date (estimated by adding the maturity to the commitment date). In cases where the grace period is unknown, the average grace period across all ofﬁcial sector loans from China to the same borrower country is applied. The variable never “turns on” for MOFCOM interest-free loans (which are typically issued without a credible expectation of repayment) or emergency rescue loans (responses to ﬁnancial distress).</w:t>
        <w:br/>
        <w:br/>
        <w:t>42 Sovereign arrears from LICs and MICs to ofﬁcial creditors in China have also sharply increased in absolute terms (see Figure A5).</w:t>
        <w:br/>
        <w:br/>
        <w:t>43 For more on the deﬁnition and measurement of the “infrastructure” variable, see Custer et al. (2023).</w:t>
        <w:br/>
        <w:br/>
        <w:t>44 Users of the 3.0 version of AidData’s GCDF dataset who wish to exclude suspended and canceled projects from their analysis can easily do so by using the “Recommended for Aggregates” ﬁlter or the “Status” variable.</w:t>
        <w:br/>
        <w:br/>
        <w:t>45 To calculate this ﬁgure, we ﬁrst determine which countries had ofﬁcially joined the BRI by the end of 2021, and then calculate the share of suspended and canceled projects in BRI participant countries between 2014 and 2021.</w:t>
        <w:br/>
        <w:br/>
        <w:t>46 Take for example the project to build a 97-km “oil road” connecting Masindi-Biso, Kabaale-Kiziranfumbi and Hohwa-Nyairongo-Kyarushesha-Butoole in Uganda (captured via ID#96073 in the 3.0 version of AidData’s GCDF dataset). In December 2021, Uganda’s Ministry of Finance withdrew its request for parliamentary authorization to contract a loan from China Construction Bank for the project. Therefore, AidData status-codes the project as “Pipeline: Pledge” rather than a suspension or cancellation of a ﬁnancial commitment.</w:t>
        <w:br/>
        <w:br/>
        <w:t>47 Figure 1.11 demonstrates that not only the proportion but also the overall size of Beijing’s infrastructure project portfolio (in constant 2021 USD) running behind schedule increased between the early BRI period and the late BRI period.</w:t>
        <w:br/>
        <w:br/>
        <w:t>48 This measure is derived from the “Deviation from Planned Implementation Start Date” and “Deviation from Planned Completion Date” variables in the 3.0 version of AidData’s GCDF dataset.</w:t>
        <w:br/>
        <w:br/>
        <w:t>49 Figure A7 provides evidence of a steady decline in average completion delays—from 571 days in 2000 to 220 days in 2021.</w:t>
        <w:br/>
        <w:br/>
        <w:t>50 Typically, the proceeds from a grant or loan from a Chinese state-owned entity are used by the recipient to ﬁnance a commercial contract between a “project owner” in the host country and a contractor from the ﬁnancier’s country of origin. The commercial contract typically speciﬁes an expected implementation start date and an expected completion (implementation end) date, but contractors and/or project owners can negotiate scope of work and timeline modiﬁcations.</w:t>
        <w:br/>
        <w:br/>
        <w:t>51 One potential reason why project completion dates are consequential for reputations is that they "erase any uncertainty about whether a project will actually reach completion” (Wellner et al. forthcoming). The same study does not ﬁnd that project commencement consistently delivers a public opinion dividend.</w:t>
        <w:br/>
        <w:br/>
        <w:t>52 The average ESG risk prevalence rate reached 54% during the early BRI (2014-2017) period and 47% during the late BRI (2018-2021) period (see Chapter 3 and Figure 44).</w:t>
        <w:br/>
        <w:br/>
        <w:t>53 Foreign powers undertake reputational risk management efforts that focus on the general public and the media because they believe that more favorable sentiment can “ﬁlter up and inﬂuence elite policy to be more amenable to [their own] interests” (Brazys and Dukalskis 2019: 567).</w:t>
        <w:br/>
        <w:br/>
        <w:t>54 Figure A9 in the Appendix provides evidence that this decline is not due to increased indifference toward China (i.e., the absence of active approval). It is because of an increase in active disapproval—from 44% in 2019 to 60% in 2021. High levels of active disapproval likely reﬂect multiple factors, including concerns about the local effects of Chinese development projects and how Beijing handled the COVID-19 pandemic (Silver et al. 2020; Blair et al. 2022a).</w:t>
        <w:br/>
        <w:br/>
        <w:t>55 We also generated two binary indicators that assume values of one if a respondent disapproves of the leadership of China or the leadership of the U.S., respectively. We dropped all "Don't Know" and "Refused to Answer" observations.</w:t>
        <w:br/>
        <w:br/>
        <w:t>56 GDELT event records are recorded in a dyadic format, with two actors and an action performed by Actor 1 on Actor 2 (e.g., the provision of aid from one country to another country, a leader from one country visiting another country). For the purposes of our analysis, we restrict Actor 1 to the LICs and MICs that are covered by the 3.0 version of the GCDF dataset and Actor 2 to China and the U.S. We also restrict our analysis to event records where the actor2type1code variable is set to GOV (in order to ensure that we are measuring media sentiment about the Chinese Government and the U.S. Government, respectively).</w:t>
        <w:br/>
        <w:br/>
        <w:t>57 Although the “one country, one vote” rule applies in UNGA, we report population-weighted estimates of UNGA voting alignment in chapters 1 and 4 because we use this measure as a proxy for elite support of China and the U.S. (rather than as a direct measure of an empirical phenomenon of interest). We also report population-weighted estimates of grassroots support (via Gallup World Poll) and media support (via GDELT) in chapters 1 and 4. This approach is based on the assumption that large countries are more important to China (and the U.S.) than small countries, regardless of the soft power outcome that is being sought.</w:t>
        <w:br/>
        <w:br/>
        <w:t>58 However, in relative terms, the U.S. gained ground on China between 2014 and 2021 (see Figure 1.17.</w:t>
        <w:br/>
        <w:br/>
        <w:t>59 To be sure, China is not the only major power that has used foreign aid and credit to inﬂuence the foreign policy positions of developing countries (Alesina and Dollar 2000; Kuziemko and Werker 2006; Vreeland and Dreher 2014; Rose 2018).</w:t>
        <w:br/>
        <w:br/>
        <w:t>60 We thank Axel Dreher, Andreas Fuchs, Austin Strange, and Mike Tierney for generating and sharing supplementary evidence derived from a statistical model in the ﬁfth chapter of Banking on Beijing.</w:t>
        <w:br/>
        <w:br/>
        <w:t>61 Figure 1.17 present the percentages of LICs and MICs in which China experienced relative gains or losses in popular support, media sentiment, and UNGA voting alignment vis-à-vis the U.S. The percentages are reported over two time periods: early BRI (2014-2017) and late BRI (2018-2021). To measure the relative gains or losses in popular support, we follow a three-step calculation for each country: (1) calculate the difference between the public approval rating for China in a given year and the prior year; (2) calculate the difference between public approval rating for the U.S. in a given year and the prior year; and (3) calculate the “double difference” between (1) and (2) to determine if China experienced a greater gain or loss in public support than the U.S. in the same country-year. For relative gains and losses in media sentiment and UNGA voting alignment, the same three-step calculation was followed using the average media sentiment score for each country-year from the GDELT 1.0 Event Database (related to government actors from mainland China or the U.S.) and the average “idealpointdistance” estimate between each country and China (or the U.S.) in a given year.</w:t>
        <w:br/>
        <w:br/>
        <w:t>62 During the ﬁrst three years of the early BRI period (2014-2016), 55% of the public opinion changes that China experienced at the country-year level vis-à-vis the U.S. were relative gains and 45% were relative losses. Over the full early BRI period (2014-2017), 61% of the public opinion changes that China experienced at the country-year level vis-à-vis the U.S. were relative gains and 39% were relative losses (see Figure A8).</w:t>
        <w:br/>
        <w:br/>
        <w:t>63 During the late BRI period (2018-2021), 39% of the public opinion changes that China experienced at the country-year level vis-à-vis the U.S. were relative gains and 61% were relative losses (see Figure A8).</w:t>
        <w:br/>
        <w:br/>
        <w:t>64 BRI participant countries include those countries that have signed MOUs with China to join its Belt and Road Initiative. A country is assigned to the BRI participant cohort in the year it signed the MOU and every year thereafter.</w:t>
        <w:br/>
        <w:br/>
        <w:t>65 Beijing’s exposure to distressed debt in LICs and MICs also raises the question of whether certain borrowers are “too big to fail” and whether Chinese creditors will strictly adhere to the principle that every loan must be repaid in full (an issue we address at greater length in Chapter 2).</w:t>
        <w:br/>
        <w:br/>
        <w:t>66 Table A1 presents a broad view of how the 3.0 version compares to the 2.0 version of the GCDF dataset.</w:t>
        <w:br/>
        <w:br/>
        <w:t>67 These new variables are called “JV/SPV Host Government Ownership” and “JV/SPV Chinese Government Ownership.” The 3.0 dataset captures 851 loan commitments worth $315 billion (in constant 2021 USD) to borrowing institutions that are categorized as special purpose vehicles or joint ventures.</w:t>
        <w:br/>
        <w:br/>
        <w:t>68 Consistent with the 2.0 version of the GCDF dataset, each accountable agency in the 3.0 dataset is still categorized by type and country of origin. However, unlike the 2.0 version of the GCDF dataset, each accountable agency in the 3.0 dataset is also categorized by role (guarantor, insurance provider, or collateral issuer).</w:t>
        <w:br/>
        <w:br/>
        <w:t>69 The OECD’s cash-ﬂow methodology assumes a ﬁxed, 10 percent discount rate. Its grant-equivalent methodology uses ﬁxed discount rates that depend on the income level of the borrowing country (9% for LDCs and other LICs and 6% for UMICs). The World Bank-IMF methodology assumes a ﬁxed, 5 percent discount rate. For more on the IMF’s Debt Limits Policy (DLP), see https://www.imf.org/en/Topics/sovereign-debt/debt-limits-policy.</w:t>
        <w:br/>
        <w:br/>
        <w:t>70 For example, Argentina’s Ministry of Economy and Public Finance signed a $4,714,350,000 syndicated term facility (loan) agreement on August 1, 2014 with Bank of China, China Development Bank, and ICBC for the 1,740 MW Néstor Kirchner and Jorge Cepernic Hydroelectric Power Plant Construction Project. The</w:t>
        <w:br/>
        <w:br/>
        <w:t>loan agreement, which was later amended on January 27, 2015 and again in mid-2022, speciﬁes a default (penalty) interest rate of 1.5%. As a credit enhancement, the borrower purchased a buyer’s credit insurance policy from Sinosure worth approximately 7.1% of the face value of the loan ($502,976,000) (see Project ID#59723, 59724, 37002 in the 3.0 version of the GCDF dataset).</w:t>
        <w:br/>
        <w:br/>
        <w:t>71 The “Deviation from Planned Implementation Start Date” variable captures the difference between the “Planned Implementation Start Date” and the “Actual Implementation Start Date” when values are recorded for both variables. It captures the difference as the number of calendar days, whereby positive values represent cases where the project started implementation ahead of schedule and negative values represent cases where the project started implementation behind schedule. The “Deviation from Planned Completion Date” variable captures the difference between the “Planned Completion Date” and the “Actual Completion Date” when values are recorded for both variables. It captures the difference as the number of calendar days, whereby positive values represent cases where the project was completed ahead of schedule and negative values represent cases where the project was completed behind schedule.</w:t>
        <w:br/>
        <w:br/>
        <w:t>72 Users who wish to conduct analysis at higher levels of spatial aggregation can ﬁnd the ADM1s (provinces) and ADM2s (districts) that correspond to these project locations in the 3.0 version of the GCDF dataset.</w:t>
        <w:br/>
        <w:br/>
        <w:t>73 A project with “precise” geocodes is one for which we have highly precise boundaries of the project’s geofeature(s). A project with “approximate” geocodes is one identiﬁed within a 5-km radius of the precise boundaries of the project’s geofeature(s). For more details, see Goodman et al. (2023).</w:t>
        <w:br/>
        <w:br/>
        <w:t>74 To better understand how highly precise data on the spatio-temporal rollout of Chinese grant- and loan-ﬁnanced projects make it possible to estimate the causal effects of such projects on intended and unintended outcomes, see Dreher et al. (2019, 2022), Marty et al. (2019), Blair et al. (2022), Baehr et al.</w:t>
        <w:br/>
        <w:br/>
        <w:t>(forthcoming), Isaksson and Kotsadam (2018a, 2018b), Isaksson (2020), Martorano et al. (2020), Iacoella et al. (2021), Malik et al. (2021), Bluhm et al. (2020), Anaxagorou et al. (2020), Wellner et al. (forthcoming), and Asmus et al. (forthcoming).</w:t>
        <w:br/>
        <w:br/>
        <w:t>75 A typical, full-length book includes 100,000 words.</w:t>
      </w:r>
    </w:p>
    <w:sectPr>
      <w:footerReference w:type="default" r:id="rId67"/>
      <w:pgSz w:w="12240" w:h="15840"/>
      <w:pgMar w:footer="0" w:header="0" w:top="1400" w:bottom="280" w:left="1340" w:right="13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97.4422pt;margin-top:745pt;width:18.150pt;height:12pt;mso-position-horizontal-relative:page;mso-position-vertical-relative:page;z-index:-16262656" type="#_x0000_t202" id="docshape1" filled="false" stroked="false">
          <v:textbox inset="0,0,0,0">
            <w:txbxContent>
              <w:p>
                <w:pPr>
                  <w:spacing w:line="214" w:lineRule="exact" w:before="0"/>
                  <w:ind w:left="60" w:right="0" w:firstLine="0"/>
                  <w:jc w:val="left"/>
                  <w:rPr>
                    <w:b/>
                    <w:sz w:val="20"/>
                  </w:rPr>
                </w:pPr>
                <w:r>
                  <w:rPr>
                    <w:b/>
                    <w:spacing w:val="-5"/>
                    <w:sz w:val="20"/>
                  </w:rPr>
                  <w:fldChar w:fldCharType="begin"/>
                </w:r>
                <w:r>
                  <w:rPr>
                    <w:b/>
                    <w:spacing w:val="-5"/>
                    <w:sz w:val="20"/>
                  </w:rPr>
                  <w:instrText> PAGE </w:instrText>
                </w:r>
                <w:r>
                  <w:rPr>
                    <w:b/>
                    <w:spacing w:val="-5"/>
                    <w:sz w:val="20"/>
                  </w:rPr>
                  <w:fldChar w:fldCharType="separate"/>
                </w:r>
                <w:r>
                  <w:rPr>
                    <w:b/>
                    <w:spacing w:val="-5"/>
                    <w:sz w:val="20"/>
                  </w:rPr>
                  <w:t>10</w:t>
                </w:r>
                <w:r>
                  <w:rPr>
                    <w:b/>
                    <w:spacing w:val="-5"/>
                    <w:sz w:val="20"/>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
    <w:multiLevelType w:val="hybridMultilevel"/>
    <w:lvl w:ilvl="0">
      <w:start w:val="0"/>
      <w:numFmt w:val="bullet"/>
      <w:lvlText w:val="●"/>
      <w:lvlJc w:val="left"/>
      <w:pPr>
        <w:ind w:left="1180" w:hanging="360"/>
      </w:pPr>
      <w:rPr>
        <w:rFonts w:hint="default" w:ascii="Arial" w:hAnsi="Arial" w:eastAsia="Arial" w:cs="Arial"/>
        <w:b w:val="0"/>
        <w:bCs w:val="0"/>
        <w:i w:val="0"/>
        <w:iCs w:val="0"/>
        <w:w w:val="100"/>
        <w:sz w:val="24"/>
        <w:szCs w:val="24"/>
        <w:lang w:val="en-US" w:eastAsia="en-US" w:bidi="ar-SA"/>
      </w:rPr>
    </w:lvl>
    <w:lvl w:ilvl="1">
      <w:start w:val="0"/>
      <w:numFmt w:val="bullet"/>
      <w:lvlText w:val="•"/>
      <w:lvlJc w:val="left"/>
      <w:pPr>
        <w:ind w:left="201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694" w:hanging="360"/>
      </w:pPr>
      <w:rPr>
        <w:rFonts w:hint="default"/>
        <w:lang w:val="en-US" w:eastAsia="en-US" w:bidi="ar-SA"/>
      </w:rPr>
    </w:lvl>
    <w:lvl w:ilvl="4">
      <w:start w:val="0"/>
      <w:numFmt w:val="bullet"/>
      <w:lvlText w:val="•"/>
      <w:lvlJc w:val="left"/>
      <w:pPr>
        <w:ind w:left="4532" w:hanging="360"/>
      </w:pPr>
      <w:rPr>
        <w:rFonts w:hint="default"/>
        <w:lang w:val="en-US" w:eastAsia="en-US" w:bidi="ar-SA"/>
      </w:rPr>
    </w:lvl>
    <w:lvl w:ilvl="5">
      <w:start w:val="0"/>
      <w:numFmt w:val="bullet"/>
      <w:lvlText w:val="•"/>
      <w:lvlJc w:val="left"/>
      <w:pPr>
        <w:ind w:left="5370" w:hanging="360"/>
      </w:pPr>
      <w:rPr>
        <w:rFonts w:hint="default"/>
        <w:lang w:val="en-US" w:eastAsia="en-US" w:bidi="ar-SA"/>
      </w:rPr>
    </w:lvl>
    <w:lvl w:ilvl="6">
      <w:start w:val="0"/>
      <w:numFmt w:val="bullet"/>
      <w:lvlText w:val="•"/>
      <w:lvlJc w:val="left"/>
      <w:pPr>
        <w:ind w:left="6208" w:hanging="360"/>
      </w:pPr>
      <w:rPr>
        <w:rFonts w:hint="default"/>
        <w:lang w:val="en-US" w:eastAsia="en-US" w:bidi="ar-SA"/>
      </w:rPr>
    </w:lvl>
    <w:lvl w:ilvl="7">
      <w:start w:val="0"/>
      <w:numFmt w:val="bullet"/>
      <w:lvlText w:val="•"/>
      <w:lvlJc w:val="left"/>
      <w:pPr>
        <w:ind w:left="7046" w:hanging="360"/>
      </w:pPr>
      <w:rPr>
        <w:rFonts w:hint="default"/>
        <w:lang w:val="en-US" w:eastAsia="en-US" w:bidi="ar-SA"/>
      </w:rPr>
    </w:lvl>
    <w:lvl w:ilvl="8">
      <w:start w:val="0"/>
      <w:numFmt w:val="bullet"/>
      <w:lvlText w:val="•"/>
      <w:lvlJc w:val="left"/>
      <w:pPr>
        <w:ind w:left="7884" w:hanging="360"/>
      </w:pPr>
      <w:rPr>
        <w:rFonts w:hint="default"/>
        <w:lang w:val="en-US" w:eastAsia="en-US" w:bidi="ar-SA"/>
      </w:rPr>
    </w:lvl>
  </w:abstractNum>
  <w:abstractNum w:abstractNumId="2">
    <w:multiLevelType w:val="hybridMultilevel"/>
    <w:lvl w:ilvl="0">
      <w:start w:val="1"/>
      <w:numFmt w:val="decimal"/>
      <w:lvlText w:val="%1."/>
      <w:lvlJc w:val="left"/>
      <w:pPr>
        <w:ind w:left="1180" w:hanging="360"/>
        <w:jc w:val="left"/>
      </w:pPr>
      <w:rPr>
        <w:rFonts w:hint="default" w:ascii="Arial" w:hAnsi="Arial" w:eastAsia="Arial" w:cs="Arial"/>
        <w:b w:val="0"/>
        <w:bCs w:val="0"/>
        <w:i w:val="0"/>
        <w:iCs w:val="0"/>
        <w:w w:val="99"/>
        <w:sz w:val="24"/>
        <w:szCs w:val="24"/>
        <w:lang w:val="en-US" w:eastAsia="en-US" w:bidi="ar-SA"/>
      </w:rPr>
    </w:lvl>
    <w:lvl w:ilvl="1">
      <w:start w:val="0"/>
      <w:numFmt w:val="bullet"/>
      <w:lvlText w:val="•"/>
      <w:lvlJc w:val="left"/>
      <w:pPr>
        <w:ind w:left="2018" w:hanging="360"/>
      </w:pPr>
      <w:rPr>
        <w:rFonts w:hint="default"/>
        <w:lang w:val="en-US" w:eastAsia="en-US" w:bidi="ar-SA"/>
      </w:rPr>
    </w:lvl>
    <w:lvl w:ilvl="2">
      <w:start w:val="0"/>
      <w:numFmt w:val="bullet"/>
      <w:lvlText w:val="•"/>
      <w:lvlJc w:val="left"/>
      <w:pPr>
        <w:ind w:left="2856" w:hanging="360"/>
      </w:pPr>
      <w:rPr>
        <w:rFonts w:hint="default"/>
        <w:lang w:val="en-US" w:eastAsia="en-US" w:bidi="ar-SA"/>
      </w:rPr>
    </w:lvl>
    <w:lvl w:ilvl="3">
      <w:start w:val="0"/>
      <w:numFmt w:val="bullet"/>
      <w:lvlText w:val="•"/>
      <w:lvlJc w:val="left"/>
      <w:pPr>
        <w:ind w:left="3694" w:hanging="360"/>
      </w:pPr>
      <w:rPr>
        <w:rFonts w:hint="default"/>
        <w:lang w:val="en-US" w:eastAsia="en-US" w:bidi="ar-SA"/>
      </w:rPr>
    </w:lvl>
    <w:lvl w:ilvl="4">
      <w:start w:val="0"/>
      <w:numFmt w:val="bullet"/>
      <w:lvlText w:val="•"/>
      <w:lvlJc w:val="left"/>
      <w:pPr>
        <w:ind w:left="4532" w:hanging="360"/>
      </w:pPr>
      <w:rPr>
        <w:rFonts w:hint="default"/>
        <w:lang w:val="en-US" w:eastAsia="en-US" w:bidi="ar-SA"/>
      </w:rPr>
    </w:lvl>
    <w:lvl w:ilvl="5">
      <w:start w:val="0"/>
      <w:numFmt w:val="bullet"/>
      <w:lvlText w:val="•"/>
      <w:lvlJc w:val="left"/>
      <w:pPr>
        <w:ind w:left="5370" w:hanging="360"/>
      </w:pPr>
      <w:rPr>
        <w:rFonts w:hint="default"/>
        <w:lang w:val="en-US" w:eastAsia="en-US" w:bidi="ar-SA"/>
      </w:rPr>
    </w:lvl>
    <w:lvl w:ilvl="6">
      <w:start w:val="0"/>
      <w:numFmt w:val="bullet"/>
      <w:lvlText w:val="•"/>
      <w:lvlJc w:val="left"/>
      <w:pPr>
        <w:ind w:left="6208" w:hanging="360"/>
      </w:pPr>
      <w:rPr>
        <w:rFonts w:hint="default"/>
        <w:lang w:val="en-US" w:eastAsia="en-US" w:bidi="ar-SA"/>
      </w:rPr>
    </w:lvl>
    <w:lvl w:ilvl="7">
      <w:start w:val="0"/>
      <w:numFmt w:val="bullet"/>
      <w:lvlText w:val="•"/>
      <w:lvlJc w:val="left"/>
      <w:pPr>
        <w:ind w:left="7046" w:hanging="360"/>
      </w:pPr>
      <w:rPr>
        <w:rFonts w:hint="default"/>
        <w:lang w:val="en-US" w:eastAsia="en-US" w:bidi="ar-SA"/>
      </w:rPr>
    </w:lvl>
    <w:lvl w:ilvl="8">
      <w:start w:val="0"/>
      <w:numFmt w:val="bullet"/>
      <w:lvlText w:val="•"/>
      <w:lvlJc w:val="left"/>
      <w:pPr>
        <w:ind w:left="7884" w:hanging="360"/>
      </w:pPr>
      <w:rPr>
        <w:rFonts w:hint="default"/>
        <w:lang w:val="en-US" w:eastAsia="en-US" w:bidi="ar-SA"/>
      </w:rPr>
    </w:lvl>
  </w:abstractNum>
  <w:abstractNum w:abstractNumId="0">
    <w:multiLevelType w:val="hybridMultilevel"/>
    <w:lvl w:ilvl="0">
      <w:start w:val="0"/>
      <w:numFmt w:val="bullet"/>
      <w:lvlText w:val="●"/>
      <w:lvlJc w:val="left"/>
      <w:pPr>
        <w:ind w:left="1180" w:hanging="720"/>
      </w:pPr>
      <w:rPr>
        <w:rFonts w:hint="default" w:ascii="Arial" w:hAnsi="Arial" w:eastAsia="Arial" w:cs="Arial"/>
        <w:b w:val="0"/>
        <w:bCs w:val="0"/>
        <w:i w:val="0"/>
        <w:iCs w:val="0"/>
        <w:w w:val="100"/>
        <w:sz w:val="20"/>
        <w:szCs w:val="20"/>
        <w:lang w:val="en-US" w:eastAsia="en-US" w:bidi="ar-SA"/>
      </w:rPr>
    </w:lvl>
    <w:lvl w:ilvl="1">
      <w:start w:val="0"/>
      <w:numFmt w:val="bullet"/>
      <w:lvlText w:val="•"/>
      <w:lvlJc w:val="left"/>
      <w:pPr>
        <w:ind w:left="2018" w:hanging="720"/>
      </w:pPr>
      <w:rPr>
        <w:rFonts w:hint="default"/>
        <w:lang w:val="en-US" w:eastAsia="en-US" w:bidi="ar-SA"/>
      </w:rPr>
    </w:lvl>
    <w:lvl w:ilvl="2">
      <w:start w:val="0"/>
      <w:numFmt w:val="bullet"/>
      <w:lvlText w:val="•"/>
      <w:lvlJc w:val="left"/>
      <w:pPr>
        <w:ind w:left="2856" w:hanging="720"/>
      </w:pPr>
      <w:rPr>
        <w:rFonts w:hint="default"/>
        <w:lang w:val="en-US" w:eastAsia="en-US" w:bidi="ar-SA"/>
      </w:rPr>
    </w:lvl>
    <w:lvl w:ilvl="3">
      <w:start w:val="0"/>
      <w:numFmt w:val="bullet"/>
      <w:lvlText w:val="•"/>
      <w:lvlJc w:val="left"/>
      <w:pPr>
        <w:ind w:left="3694" w:hanging="720"/>
      </w:pPr>
      <w:rPr>
        <w:rFonts w:hint="default"/>
        <w:lang w:val="en-US" w:eastAsia="en-US" w:bidi="ar-SA"/>
      </w:rPr>
    </w:lvl>
    <w:lvl w:ilvl="4">
      <w:start w:val="0"/>
      <w:numFmt w:val="bullet"/>
      <w:lvlText w:val="•"/>
      <w:lvlJc w:val="left"/>
      <w:pPr>
        <w:ind w:left="4532" w:hanging="720"/>
      </w:pPr>
      <w:rPr>
        <w:rFonts w:hint="default"/>
        <w:lang w:val="en-US" w:eastAsia="en-US" w:bidi="ar-SA"/>
      </w:rPr>
    </w:lvl>
    <w:lvl w:ilvl="5">
      <w:start w:val="0"/>
      <w:numFmt w:val="bullet"/>
      <w:lvlText w:val="•"/>
      <w:lvlJc w:val="left"/>
      <w:pPr>
        <w:ind w:left="5370" w:hanging="720"/>
      </w:pPr>
      <w:rPr>
        <w:rFonts w:hint="default"/>
        <w:lang w:val="en-US" w:eastAsia="en-US" w:bidi="ar-SA"/>
      </w:rPr>
    </w:lvl>
    <w:lvl w:ilvl="6">
      <w:start w:val="0"/>
      <w:numFmt w:val="bullet"/>
      <w:lvlText w:val="•"/>
      <w:lvlJc w:val="left"/>
      <w:pPr>
        <w:ind w:left="6208" w:hanging="720"/>
      </w:pPr>
      <w:rPr>
        <w:rFonts w:hint="default"/>
        <w:lang w:val="en-US" w:eastAsia="en-US" w:bidi="ar-SA"/>
      </w:rPr>
    </w:lvl>
    <w:lvl w:ilvl="7">
      <w:start w:val="0"/>
      <w:numFmt w:val="bullet"/>
      <w:lvlText w:val="•"/>
      <w:lvlJc w:val="left"/>
      <w:pPr>
        <w:ind w:left="7046" w:hanging="720"/>
      </w:pPr>
      <w:rPr>
        <w:rFonts w:hint="default"/>
        <w:lang w:val="en-US" w:eastAsia="en-US" w:bidi="ar-SA"/>
      </w:rPr>
    </w:lvl>
    <w:lvl w:ilvl="8">
      <w:start w:val="0"/>
      <w:numFmt w:val="bullet"/>
      <w:lvlText w:val="•"/>
      <w:lvlJc w:val="left"/>
      <w:pPr>
        <w:ind w:left="7884" w:hanging="720"/>
      </w:pPr>
      <w:rPr>
        <w:rFonts w:hint="default"/>
        <w:lang w:val="en-US" w:eastAsia="en-US" w:bidi="ar-SA"/>
      </w:rPr>
    </w:lvl>
  </w:abstractNum>
  <w:num w:numId="2">
    <w:abstractNumId w:val="1"/>
  </w:num>
  <w:num w:numId="3">
    <w:abstractNumId w:val="2"/>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en-US" w:eastAsia="en-US" w:bidi="ar-SA"/>
    </w:rPr>
  </w:style>
  <w:style w:styleId="BodyText" w:type="paragraph">
    <w:name w:val="Body Text"/>
    <w:basedOn w:val="Normal"/>
    <w:uiPriority w:val="1"/>
    <w:qFormat/>
    <w:pPr/>
    <w:rPr>
      <w:rFonts w:ascii="Arial" w:hAnsi="Arial" w:eastAsia="Arial" w:cs="Arial"/>
      <w:sz w:val="24"/>
      <w:szCs w:val="24"/>
      <w:lang w:val="en-US" w:eastAsia="en-US" w:bidi="ar-SA"/>
    </w:rPr>
  </w:style>
  <w:style w:styleId="Heading1" w:type="paragraph">
    <w:name w:val="Heading 1"/>
    <w:basedOn w:val="Normal"/>
    <w:uiPriority w:val="1"/>
    <w:qFormat/>
    <w:pPr>
      <w:ind w:left="100"/>
      <w:outlineLvl w:val="1"/>
    </w:pPr>
    <w:rPr>
      <w:rFonts w:ascii="Arial" w:hAnsi="Arial" w:eastAsia="Arial" w:cs="Arial"/>
      <w:sz w:val="40"/>
      <w:szCs w:val="40"/>
      <w:lang w:val="en-US" w:eastAsia="en-US" w:bidi="ar-SA"/>
    </w:rPr>
  </w:style>
  <w:style w:styleId="Heading2" w:type="paragraph">
    <w:name w:val="Heading 2"/>
    <w:basedOn w:val="Normal"/>
    <w:uiPriority w:val="1"/>
    <w:qFormat/>
    <w:pPr>
      <w:spacing w:before="128"/>
      <w:ind w:left="120"/>
      <w:outlineLvl w:val="2"/>
    </w:pPr>
    <w:rPr>
      <w:rFonts w:ascii="Arial" w:hAnsi="Arial" w:eastAsia="Arial" w:cs="Arial"/>
      <w:b/>
      <w:bCs/>
      <w:sz w:val="32"/>
      <w:szCs w:val="32"/>
      <w:lang w:val="en-US" w:eastAsia="en-US" w:bidi="ar-SA"/>
    </w:rPr>
  </w:style>
  <w:style w:styleId="Heading3" w:type="paragraph">
    <w:name w:val="Heading 3"/>
    <w:basedOn w:val="Normal"/>
    <w:uiPriority w:val="1"/>
    <w:qFormat/>
    <w:pPr>
      <w:ind w:left="460"/>
      <w:outlineLvl w:val="3"/>
    </w:pPr>
    <w:rPr>
      <w:rFonts w:ascii="Arial" w:hAnsi="Arial" w:eastAsia="Arial" w:cs="Arial"/>
      <w:sz w:val="32"/>
      <w:szCs w:val="32"/>
      <w:lang w:val="en-US" w:eastAsia="en-US" w:bidi="ar-SA"/>
    </w:rPr>
  </w:style>
  <w:style w:styleId="Heading4" w:type="paragraph">
    <w:name w:val="Heading 4"/>
    <w:basedOn w:val="Normal"/>
    <w:uiPriority w:val="1"/>
    <w:qFormat/>
    <w:pPr>
      <w:ind w:left="120" w:right="275"/>
      <w:outlineLvl w:val="4"/>
    </w:pPr>
    <w:rPr>
      <w:rFonts w:ascii="Arial" w:hAnsi="Arial" w:eastAsia="Arial" w:cs="Arial"/>
      <w:b/>
      <w:bCs/>
      <w:sz w:val="24"/>
      <w:szCs w:val="24"/>
      <w:lang w:val="en-US" w:eastAsia="en-US" w:bidi="ar-SA"/>
    </w:rPr>
  </w:style>
  <w:style w:styleId="Title" w:type="paragraph">
    <w:name w:val="Title"/>
    <w:basedOn w:val="Normal"/>
    <w:uiPriority w:val="1"/>
    <w:qFormat/>
    <w:pPr>
      <w:ind w:left="100"/>
    </w:pPr>
    <w:rPr>
      <w:rFonts w:ascii="Trebuchet MS" w:hAnsi="Trebuchet MS" w:eastAsia="Trebuchet MS" w:cs="Trebuchet MS"/>
      <w:sz w:val="52"/>
      <w:szCs w:val="52"/>
      <w:lang w:val="en-US" w:eastAsia="en-US" w:bidi="ar-SA"/>
    </w:rPr>
  </w:style>
  <w:style w:styleId="ListParagraph" w:type="paragraph">
    <w:name w:val="List Paragraph"/>
    <w:basedOn w:val="Normal"/>
    <w:uiPriority w:val="1"/>
    <w:qFormat/>
    <w:pPr>
      <w:ind w:left="1180" w:hanging="360"/>
    </w:pPr>
    <w:rPr>
      <w:rFonts w:ascii="Arial" w:hAnsi="Arial" w:eastAsia="Arial" w:cs="Arial"/>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footer" Target="footer1.xml"/><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hyperlink" Target="https://www.dfc.gov/our-impact/transaction-data" TargetMode="External"/><Relationship Id="rId14" Type="http://schemas.openxmlformats.org/officeDocument/2006/relationships/hyperlink" Target="https://www.dropbox.com/s/oy377uc6wz8u9oe/Ecuador%20DFC%20January%202021%20Framework%20Agreement.pdf?dl=0" TargetMode="External"/><Relationship Id="rId15" Type="http://schemas.openxmlformats.org/officeDocument/2006/relationships/image" Target="media/image8.jpeg"/><Relationship Id="rId16" Type="http://schemas.openxmlformats.org/officeDocument/2006/relationships/image" Target="media/image9.jpeg"/><Relationship Id="rId17" Type="http://schemas.openxmlformats.org/officeDocument/2006/relationships/image" Target="media/image10.jpeg"/><Relationship Id="rId18" Type="http://schemas.openxmlformats.org/officeDocument/2006/relationships/image" Target="media/image11.jpeg"/><Relationship Id="rId19" Type="http://schemas.openxmlformats.org/officeDocument/2006/relationships/image" Target="media/image12.jpeg"/><Relationship Id="rId20" Type="http://schemas.openxmlformats.org/officeDocument/2006/relationships/image" Target="media/image13.jpeg"/><Relationship Id="rId21" Type="http://schemas.openxmlformats.org/officeDocument/2006/relationships/image" Target="media/image14.jpeg"/><Relationship Id="rId22" Type="http://schemas.openxmlformats.org/officeDocument/2006/relationships/image" Target="media/image15.jpeg"/><Relationship Id="rId23" Type="http://schemas.openxmlformats.org/officeDocument/2006/relationships/image" Target="media/image16.jpeg"/><Relationship Id="rId24" Type="http://schemas.openxmlformats.org/officeDocument/2006/relationships/image" Target="media/image17.jpeg"/><Relationship Id="rId25" Type="http://schemas.openxmlformats.org/officeDocument/2006/relationships/image" Target="media/image18.jpeg"/><Relationship Id="rId26" Type="http://schemas.openxmlformats.org/officeDocument/2006/relationships/image" Target="media/image19.jpeg"/><Relationship Id="rId27" Type="http://schemas.openxmlformats.org/officeDocument/2006/relationships/image" Target="media/image20.jpeg"/><Relationship Id="rId28" Type="http://schemas.openxmlformats.org/officeDocument/2006/relationships/image" Target="media/image21.jpeg"/><Relationship Id="rId29" Type="http://schemas.openxmlformats.org/officeDocument/2006/relationships/hyperlink" Target="https://www.imf.org/en/Topics/sovereign-debt/debt-limits-policy" TargetMode="External"/><Relationship Id="rId30" Type="http://schemas.openxmlformats.org/officeDocument/2006/relationships/footer" Target="footer2.xml"/><Relationship Id="rId31" Type="http://schemas.openxmlformats.org/officeDocument/2006/relationships/hyperlink" Target="https://asia.nikkei.com/Spotlight/The-Big-Story/Road-to-nowhere-China-s-Belt-and-Road-Initiative-at-tipping-point" TargetMode="External"/><Relationship Id="rId32" Type="http://schemas.openxmlformats.org/officeDocument/2006/relationships/hyperlink" Target="https://sgp.fas.org/crs/row/R47006.pdf" TargetMode="External"/><Relationship Id="rId33" Type="http://schemas.openxmlformats.org/officeDocument/2006/relationships/hyperlink" Target="http://www.beltandroadforum.org/n100/2017/0" TargetMode="External"/><Relationship Id="rId34" Type="http://schemas.openxmlformats.org/officeDocument/2006/relationships/footer" Target="footer3.xml"/><Relationship Id="rId35" Type="http://schemas.openxmlformats.org/officeDocument/2006/relationships/hyperlink" Target="https://www.latinfinance.com/daily-briefs/2021/1/15/ecuador-strikes-funding-agreement-with-uss-dfc" TargetMode="External"/><Relationship Id="rId36" Type="http://schemas.openxmlformats.org/officeDocument/2006/relationships/hyperlink" Target="https://finance.sina.cn/bond/zsyw/2021-12-03/detail-ikyamrmy6550370.d.html?vt=4&amp;cid=76633&amp;node_id=76633" TargetMode="External"/><Relationship Id="rId37" Type="http://schemas.openxmlformats.org/officeDocument/2006/relationships/hyperlink" Target="http://www.gov.cn/gongbao/content/2018/content_5260809.htm" TargetMode="External"/><Relationship Id="rId38" Type="http://schemas.openxmlformats.org/officeDocument/2006/relationships/hyperlink" Target="https://www.gov.cn/gongbao/content/2018/content_5264999.htm" TargetMode="External"/><Relationship Id="rId39" Type="http://schemas.openxmlformats.org/officeDocument/2006/relationships/footer" Target="footer4.xml"/><Relationship Id="rId40" Type="http://schemas.openxmlformats.org/officeDocument/2006/relationships/hyperlink" Target="https://www.reuters.com/markets/asia/china-development-loans-emerging-economies-hit-13-year-low-2021-study-2023-01-24/" TargetMode="External"/><Relationship Id="rId41" Type="http://schemas.openxmlformats.org/officeDocument/2006/relationships/hyperlink" Target="https://events.euractiv.com/event/info/the-belt-and-road-initiative-where-are-we-10-years-on?_ga=2.41858210.1856855957.1695222202-589043501.1692974998" TargetMode="External"/><Relationship Id="rId42" Type="http://schemas.openxmlformats.org/officeDocument/2006/relationships/hyperlink" Target="http://www.ft.com/content/5bf4d6d8-9073-11e6-" TargetMode="External"/><Relationship Id="rId43" Type="http://schemas.openxmlformats.org/officeDocument/2006/relationships/hyperlink" Target="https://www.bu.edu/gdp/2020/12/13/scope-and-findings-chinas-overseas-development-finance-database/" TargetMode="External"/><Relationship Id="rId44" Type="http://schemas.openxmlformats.org/officeDocument/2006/relationships/footer" Target="footer5.xml"/><Relationship Id="rId45" Type="http://schemas.openxmlformats.org/officeDocument/2006/relationships/hyperlink" Target="https://www.bloomberg.com/news/articles/2022-09-26/debt-crisis-puts-scrutiny-on-china-soft-power#xj4y7vzkg" TargetMode="External"/><Relationship Id="rId46" Type="http://schemas.openxmlformats.org/officeDocument/2006/relationships/hyperlink" Target="https://www.bu.edu/gdp/files/2022/11/GCI_PB_012_EN_FIN.pdf" TargetMode="External"/><Relationship Id="rId47" Type="http://schemas.openxmlformats.org/officeDocument/2006/relationships/footer" Target="footer6.xml"/><Relationship Id="rId48" Type="http://schemas.openxmlformats.org/officeDocument/2006/relationships/hyperlink" Target="https://www.cgdev.org/blog/why-does-dfc-want-pay-ecuadors-chinese-creditors" TargetMode="External"/><Relationship Id="rId49" Type="http://schemas.openxmlformats.org/officeDocument/2006/relationships/hyperlink" Target="https://foreignpolicy.com/2023/02/13/china-belt-and-road-initiative-infrastructure-development-geopolitics/" TargetMode="External"/><Relationship Id="rId50" Type="http://schemas.openxmlformats.org/officeDocument/2006/relationships/hyperlink" Target="http://www.mofcom.gov.cn/article/fbhfn/fbh2014/201412/2014120082" TargetMode="External"/><Relationship Id="rId51" Type="http://schemas.openxmlformats.org/officeDocument/2006/relationships/hyperlink" Target="https://www.fmprc.gov.cn/mfa_eng/wjdt_665385/zyjh_665391/201904/t20190426_678729.html" TargetMode="External"/><Relationship Id="rId52" Type="http://schemas.openxmlformats.org/officeDocument/2006/relationships/footer" Target="footer7.xml"/><Relationship Id="rId53" Type="http://schemas.openxmlformats.org/officeDocument/2006/relationships/hyperlink" Target="https://www.thedialogue.org/wp-content/uploads/2023/03/Chinese-Development-Finance-2023-FINAL.pdf" TargetMode="External"/><Relationship Id="rId54" Type="http://schemas.openxmlformats.org/officeDocument/2006/relationships/hyperlink" Target="https://chinaglobalsouth.com/podcasts/whats-driving-the-steady-decline-in-chinese-overseas-development-lending/" TargetMode="External"/><Relationship Id="rId55" Type="http://schemas.openxmlformats.org/officeDocument/2006/relationships/hyperlink" Target="http://en.people.cn/n/2" TargetMode="External"/><Relationship Id="rId56" Type="http://schemas.openxmlformats.org/officeDocument/2006/relationships/hyperlink" Target="https://www.bu.edu/gdp/files/2023/01/GCI_PB_017_CODF_EN_FIN.pdf" TargetMode="External"/><Relationship Id="rId57" Type="http://schemas.openxmlformats.org/officeDocument/2006/relationships/hyperlink" Target="https://www.cgdev.org/publication/linking-us-foreign-aid-un-votes-what-are-implications" TargetMode="External"/><Relationship Id="rId58" Type="http://schemas.openxmlformats.org/officeDocument/2006/relationships/hyperlink" Target="https://www.ft.com/content/affcc432-03c4-459d-a6b8-922ca8346c14" TargetMode="External"/><Relationship Id="rId59" Type="http://schemas.openxmlformats.org/officeDocument/2006/relationships/hyperlink" Target="http://www.reuters.com/article/china-africa/chinas-xi-says-funds-for-africa-not-forvanity-" TargetMode="External"/><Relationship Id="rId60" Type="http://schemas.openxmlformats.org/officeDocument/2006/relationships/footer" Target="footer8.xml"/><Relationship Id="rId61" Type="http://schemas.openxmlformats.org/officeDocument/2006/relationships/hyperlink" Target="https://www.pewresearch.org/global/2020/10/06/unfavorable-views-of-china-reach-historic-highs-in-many-countries/" TargetMode="External"/><Relationship Id="rId62" Type="http://schemas.openxmlformats.org/officeDocument/2006/relationships/hyperlink" Target="http://www.safe.gov.cn/en/&#64257;le/&#64257;le/20221226/9186b372d33e4a6b9d156ab154cc2979.pdf?n" TargetMode="External"/><Relationship Id="rId63" Type="http://schemas.openxmlformats.org/officeDocument/2006/relationships/hyperlink" Target="https://www.gov.cn/xinwen/2021-11/21/content_5652298.htm" TargetMode="External"/><Relationship Id="rId64" Type="http://schemas.openxmlformats.org/officeDocument/2006/relationships/hyperlink" Target="https://www.dfc.gov/media/press-releases/dfc-surpasses-67-billion-commitments-2021-during-record-fiscal-year" TargetMode="External"/><Relationship Id="rId65" Type="http://schemas.openxmlformats.org/officeDocument/2006/relationships/hyperlink" Target="https://www.dfc.gov/media/press-releases/dfc-and-ecuador-sign-framework-agreement-support-development-private-sector" TargetMode="External"/><Relationship Id="rId66" Type="http://schemas.openxmlformats.org/officeDocument/2006/relationships/hyperlink" Target="https://www.dfc.gov/media/press-releases/dfc-marks-largest-year-more-74-billion-committed-fy-2022" TargetMode="External"/><Relationship Id="rId67" Type="http://schemas.openxmlformats.org/officeDocument/2006/relationships/footer" Target="footer9.xml"/><Relationship Id="rId68"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Bradley C. Parks, Ammar A. Malik, Brooke Escobar, Sheng Zhang, Rory Fedorochko, Kyra Solomon, Fei Wang, Lydia Vlasto, Katherine Walsh, and Seth Goodman</dc:creator>
  <cp:keywords>China, official finance, sovereign debt, ESG, Argentina, Bangladesh, Zambia</cp:keywords>
  <dc:subject>Beijing's Bid to De-Risk Its Global Infrastructure Initiative</dc:subject>
  <dc:title>Belt and Road Reboot</dc:title>
  <dcterms:created xsi:type="dcterms:W3CDTF">2023-11-10T04:11:36Z</dcterms:created>
  <dcterms:modified xsi:type="dcterms:W3CDTF">2023-11-10T04:11:36Z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2023-11-05T00:00:00Z</vt:filetime>
  </property>
  <property fmtid="{D5CDD505-2E9C-101B-9397-08002B2CF9AE}" pid="3" name="LastSaved">
    <vt:filetime>2023-11-10T00:00:00Z</vt:filetime>
  </property>
  <property fmtid="{D5CDD505-2E9C-101B-9397-08002B2CF9AE}" pid="4" name="Producer">
    <vt:lpwstr>Skia/PDF m120 Google Docs Renderer</vt:lpwstr>
  </property>
</Properties>
</file>