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593" w:lineRule="exact"/>
      </w:pPr>
      <w:r>
        <w:rPr>
          <w:color w:val="999999"/>
        </w:rPr>
        <w:t>Belt</w:t>
      </w:r>
      <w:r>
        <w:rPr>
          <w:color w:val="999999"/>
          <w:spacing w:val="-24"/>
        </w:rPr>
        <w:t> </w:t>
      </w:r>
      <w:r>
        <w:rPr>
          <w:color w:val="999999"/>
        </w:rPr>
        <w:t>and</w:t>
      </w:r>
      <w:r>
        <w:rPr>
          <w:color w:val="999999"/>
          <w:spacing w:val="-23"/>
        </w:rPr>
        <w:t> </w:t>
      </w:r>
      <w:r>
        <w:rPr>
          <w:color w:val="999999"/>
        </w:rPr>
        <w:t>Road</w:t>
      </w:r>
      <w:r>
        <w:rPr>
          <w:color w:val="999999"/>
          <w:spacing w:val="-24"/>
        </w:rPr>
        <w:t> </w:t>
      </w:r>
      <w:r>
        <w:rPr>
          <w:color w:val="999999"/>
        </w:rPr>
        <w:t>Reboot:</w:t>
      </w:r>
      <w:r>
        <w:rPr>
          <w:color w:val="999999"/>
          <w:spacing w:val="-23"/>
        </w:rPr>
        <w:t> </w:t>
      </w:r>
      <w:r>
        <w:rPr>
          <w:color w:val="999999"/>
        </w:rPr>
        <w:t>Beijing’s</w:t>
      </w:r>
      <w:r>
        <w:rPr>
          <w:color w:val="999999"/>
          <w:spacing w:val="-23"/>
        </w:rPr>
        <w:t> </w:t>
      </w:r>
      <w:r>
        <w:rPr>
          <w:color w:val="999999"/>
        </w:rPr>
        <w:t>Bid</w:t>
      </w:r>
      <w:r>
        <w:rPr>
          <w:color w:val="999999"/>
          <w:spacing w:val="-24"/>
        </w:rPr>
        <w:t> </w:t>
      </w:r>
      <w:r>
        <w:rPr>
          <w:color w:val="999999"/>
          <w:spacing w:val="-5"/>
        </w:rPr>
        <w:t>to</w:t>
      </w:r>
    </w:p>
    <w:p>
      <w:pPr>
        <w:pStyle w:val="Title"/>
        <w:spacing w:line="328" w:lineRule="auto" w:before="226"/>
        <w:ind w:right="767"/>
      </w:pPr>
      <w:r>
        <w:rPr>
          <w:color w:val="999999"/>
          <w:spacing w:val="-4"/>
        </w:rPr>
        <w:t>De-Risk</w:t>
      </w:r>
      <w:r>
        <w:rPr>
          <w:color w:val="999999"/>
          <w:spacing w:val="-30"/>
        </w:rPr>
        <w:t> </w:t>
      </w:r>
      <w:r>
        <w:rPr>
          <w:color w:val="999999"/>
          <w:spacing w:val="-4"/>
        </w:rPr>
        <w:t>Its</w:t>
      </w:r>
      <w:r>
        <w:rPr>
          <w:color w:val="999999"/>
          <w:spacing w:val="-30"/>
        </w:rPr>
        <w:t> </w:t>
      </w:r>
      <w:r>
        <w:rPr>
          <w:color w:val="999999"/>
          <w:spacing w:val="-4"/>
        </w:rPr>
        <w:t>Global</w:t>
      </w:r>
      <w:r>
        <w:rPr>
          <w:color w:val="999999"/>
          <w:spacing w:val="-30"/>
        </w:rPr>
        <w:t> </w:t>
      </w:r>
      <w:r>
        <w:rPr>
          <w:color w:val="999999"/>
          <w:spacing w:val="-4"/>
        </w:rPr>
        <w:t>Infrastructure </w:t>
      </w:r>
      <w:r>
        <w:rPr>
          <w:color w:val="999999"/>
          <w:spacing w:val="-2"/>
        </w:rPr>
        <w:t>Initiative</w:t>
      </w:r>
    </w:p>
    <w:p>
      <w:pPr>
        <w:pStyle w:val="BodyText"/>
        <w:spacing w:before="10"/>
        <w:rPr>
          <w:rFonts w:ascii="Trebuchet MS"/>
          <w:sz w:val="72"/>
        </w:rPr>
      </w:pPr>
    </w:p>
    <w:p>
      <w:pPr>
        <w:pStyle w:val="Heading1"/>
        <w:spacing w:line="348" w:lineRule="auto"/>
        <w:rPr>
          <w:rFonts w:ascii="Trebuchet MS" w:hAnsi="Trebuchet MS"/>
        </w:rPr>
      </w:pPr>
      <w:r>
        <w:rPr>
          <w:rFonts w:ascii="Trebuchet MS" w:hAnsi="Trebuchet MS"/>
        </w:rPr>
        <w:t>Chapter</w:t>
      </w:r>
      <w:r>
        <w:rPr>
          <w:rFonts w:ascii="Trebuchet MS" w:hAnsi="Trebuchet MS"/>
          <w:spacing w:val="-19"/>
        </w:rPr>
        <w:t> </w:t>
      </w:r>
      <w:r>
        <w:rPr>
          <w:rFonts w:ascii="Trebuchet MS" w:hAnsi="Trebuchet MS"/>
        </w:rPr>
        <w:t>2:</w:t>
      </w:r>
      <w:r>
        <w:rPr>
          <w:rFonts w:ascii="Trebuchet MS" w:hAnsi="Trebuchet MS"/>
          <w:spacing w:val="-19"/>
        </w:rPr>
        <w:t> </w:t>
      </w:r>
      <w:r>
        <w:rPr>
          <w:rFonts w:ascii="Trebuchet MS" w:hAnsi="Trebuchet MS"/>
        </w:rPr>
        <w:t>The</w:t>
      </w:r>
      <w:r>
        <w:rPr>
          <w:rFonts w:ascii="Trebuchet MS" w:hAnsi="Trebuchet MS"/>
          <w:spacing w:val="-20"/>
        </w:rPr>
        <w:t> </w:t>
      </w:r>
      <w:r>
        <w:rPr>
          <w:rFonts w:ascii="Trebuchet MS" w:hAnsi="Trebuchet MS"/>
        </w:rPr>
        <w:t>Road</w:t>
      </w:r>
      <w:r>
        <w:rPr>
          <w:rFonts w:ascii="Trebuchet MS" w:hAnsi="Trebuchet MS"/>
          <w:spacing w:val="-19"/>
        </w:rPr>
        <w:t> </w:t>
      </w:r>
      <w:r>
        <w:rPr>
          <w:rFonts w:ascii="Trebuchet MS" w:hAnsi="Trebuchet MS"/>
        </w:rPr>
        <w:t>to</w:t>
      </w:r>
      <w:r>
        <w:rPr>
          <w:rFonts w:ascii="Trebuchet MS" w:hAnsi="Trebuchet MS"/>
          <w:spacing w:val="-19"/>
        </w:rPr>
        <w:t> </w:t>
      </w:r>
      <w:r>
        <w:rPr>
          <w:rFonts w:ascii="Trebuchet MS" w:hAnsi="Trebuchet MS"/>
        </w:rPr>
        <w:t>Repayment</w:t>
      </w:r>
      <w:r>
        <w:rPr>
          <w:rFonts w:ascii="Trebuchet MS" w:hAnsi="Trebuchet MS"/>
          <w:spacing w:val="-20"/>
        </w:rPr>
        <w:t> </w:t>
      </w:r>
      <w:r>
        <w:rPr>
          <w:rFonts w:ascii="Trebuchet MS" w:hAnsi="Trebuchet MS"/>
        </w:rPr>
        <w:t>for</w:t>
      </w:r>
      <w:r>
        <w:rPr>
          <w:rFonts w:ascii="Trebuchet MS" w:hAnsi="Trebuchet MS"/>
          <w:spacing w:val="-19"/>
        </w:rPr>
        <w:t> </w:t>
      </w:r>
      <w:r>
        <w:rPr>
          <w:rFonts w:ascii="Trebuchet MS" w:hAnsi="Trebuchet MS"/>
        </w:rPr>
        <w:t>the</w:t>
      </w:r>
      <w:r>
        <w:rPr>
          <w:rFonts w:ascii="Trebuchet MS" w:hAnsi="Trebuchet MS"/>
          <w:spacing w:val="-19"/>
        </w:rPr>
        <w:t> </w:t>
      </w:r>
      <w:r>
        <w:rPr>
          <w:rFonts w:ascii="Trebuchet MS" w:hAnsi="Trebuchet MS"/>
        </w:rPr>
        <w:t>World’s Largest Ofﬁcial Debt Collector</w:t>
      </w: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spacing w:before="8"/>
        <w:rPr>
          <w:rFonts w:ascii="Trebuchet MS"/>
          <w:sz w:val="57"/>
        </w:rPr>
      </w:pPr>
    </w:p>
    <w:p>
      <w:pPr>
        <w:pStyle w:val="BodyText"/>
        <w:ind w:left="400"/>
        <w:rPr>
          <w:rFonts w:ascii="Trebuchet MS"/>
        </w:rPr>
      </w:pPr>
      <w:r>
        <w:rPr>
          <w:rFonts w:ascii="Trebuchet MS"/>
          <w:w w:val="105"/>
        </w:rPr>
        <w:t>November</w:t>
      </w:r>
      <w:r>
        <w:rPr>
          <w:rFonts w:ascii="Trebuchet MS"/>
          <w:spacing w:val="-17"/>
          <w:w w:val="105"/>
        </w:rPr>
        <w:t> </w:t>
      </w:r>
      <w:r>
        <w:rPr>
          <w:rFonts w:ascii="Trebuchet MS"/>
          <w:spacing w:val="-4"/>
          <w:w w:val="105"/>
        </w:rPr>
        <w:t>2023</w:t>
      </w:r>
    </w:p>
    <w:p>
      <w:pPr>
        <w:pStyle w:val="BodyText"/>
        <w:rPr>
          <w:rFonts w:ascii="Trebuchet MS"/>
        </w:rPr>
      </w:pPr>
    </w:p>
    <w:p>
      <w:pPr>
        <w:pStyle w:val="BodyText"/>
        <w:spacing w:line="328" w:lineRule="auto" w:before="146"/>
        <w:ind w:left="400" w:right="767"/>
        <w:rPr>
          <w:rFonts w:ascii="Trebuchet MS"/>
        </w:rPr>
      </w:pPr>
      <w:r>
        <w:rPr>
          <w:rFonts w:ascii="Trebuchet MS"/>
        </w:rPr>
        <w:t>Bradley</w:t>
      </w:r>
      <w:r>
        <w:rPr>
          <w:rFonts w:ascii="Trebuchet MS"/>
          <w:spacing w:val="-4"/>
        </w:rPr>
        <w:t> </w:t>
      </w:r>
      <w:r>
        <w:rPr>
          <w:rFonts w:ascii="Trebuchet MS"/>
        </w:rPr>
        <w:t>C.</w:t>
      </w:r>
      <w:r>
        <w:rPr>
          <w:rFonts w:ascii="Trebuchet MS"/>
          <w:spacing w:val="-4"/>
        </w:rPr>
        <w:t> </w:t>
      </w:r>
      <w:r>
        <w:rPr>
          <w:rFonts w:ascii="Trebuchet MS"/>
        </w:rPr>
        <w:t>Parks,</w:t>
      </w:r>
      <w:r>
        <w:rPr>
          <w:rFonts w:ascii="Trebuchet MS"/>
          <w:spacing w:val="-4"/>
        </w:rPr>
        <w:t> </w:t>
      </w:r>
      <w:r>
        <w:rPr>
          <w:rFonts w:ascii="Trebuchet MS"/>
        </w:rPr>
        <w:t>Ammar</w:t>
      </w:r>
      <w:r>
        <w:rPr>
          <w:rFonts w:ascii="Trebuchet MS"/>
          <w:spacing w:val="-4"/>
        </w:rPr>
        <w:t> </w:t>
      </w:r>
      <w:r>
        <w:rPr>
          <w:rFonts w:ascii="Trebuchet MS"/>
        </w:rPr>
        <w:t>A.</w:t>
      </w:r>
      <w:r>
        <w:rPr>
          <w:rFonts w:ascii="Trebuchet MS"/>
          <w:spacing w:val="-4"/>
        </w:rPr>
        <w:t> </w:t>
      </w:r>
      <w:r>
        <w:rPr>
          <w:rFonts w:ascii="Trebuchet MS"/>
        </w:rPr>
        <w:t>Malik,</w:t>
      </w:r>
      <w:r>
        <w:rPr>
          <w:rFonts w:ascii="Trebuchet MS"/>
          <w:spacing w:val="-4"/>
        </w:rPr>
        <w:t> </w:t>
      </w:r>
      <w:r>
        <w:rPr>
          <w:rFonts w:ascii="Trebuchet MS"/>
        </w:rPr>
        <w:t>Brooke</w:t>
      </w:r>
      <w:r>
        <w:rPr>
          <w:rFonts w:ascii="Trebuchet MS"/>
          <w:spacing w:val="-4"/>
        </w:rPr>
        <w:t> </w:t>
      </w:r>
      <w:r>
        <w:rPr>
          <w:rFonts w:ascii="Trebuchet MS"/>
        </w:rPr>
        <w:t>Escobar,</w:t>
      </w:r>
      <w:r>
        <w:rPr>
          <w:rFonts w:ascii="Trebuchet MS"/>
          <w:spacing w:val="-4"/>
        </w:rPr>
        <w:t> </w:t>
      </w:r>
      <w:r>
        <w:rPr>
          <w:rFonts w:ascii="Trebuchet MS"/>
        </w:rPr>
        <w:t>Sheng</w:t>
      </w:r>
      <w:r>
        <w:rPr>
          <w:rFonts w:ascii="Trebuchet MS"/>
          <w:spacing w:val="-4"/>
        </w:rPr>
        <w:t> </w:t>
      </w:r>
      <w:r>
        <w:rPr>
          <w:rFonts w:ascii="Trebuchet MS"/>
        </w:rPr>
        <w:t>Zhang,</w:t>
      </w:r>
      <w:r>
        <w:rPr>
          <w:rFonts w:ascii="Trebuchet MS"/>
          <w:spacing w:val="-4"/>
        </w:rPr>
        <w:t> </w:t>
      </w:r>
      <w:r>
        <w:rPr>
          <w:rFonts w:ascii="Trebuchet MS"/>
        </w:rPr>
        <w:t>Rory</w:t>
      </w:r>
      <w:r>
        <w:rPr>
          <w:rFonts w:ascii="Trebuchet MS"/>
          <w:spacing w:val="-4"/>
        </w:rPr>
        <w:t> </w:t>
      </w:r>
      <w:r>
        <w:rPr>
          <w:rFonts w:ascii="Trebuchet MS"/>
        </w:rPr>
        <w:t>Fedorochko, Kyra Solomon, Fei Wang, Lydia Vlasto, Katherine Walsh, and Seth Goodman</w:t>
      </w:r>
    </w:p>
    <w:p>
      <w:pPr>
        <w:pStyle w:val="BodyText"/>
        <w:rPr>
          <w:rFonts w:ascii="Trebuchet MS"/>
          <w:sz w:val="20"/>
        </w:rPr>
      </w:pPr>
    </w:p>
    <w:p>
      <w:pPr>
        <w:pStyle w:val="BodyText"/>
        <w:spacing w:before="4"/>
        <w:rPr>
          <w:rFonts w:ascii="Trebuchet MS"/>
          <w:sz w:val="15"/>
        </w:rPr>
      </w:pPr>
      <w:r>
        <w:rPr/>
        <w:drawing>
          <wp:anchor distT="0" distB="0" distL="0" distR="0" allowOverlap="1" layoutInCell="1" locked="0" behindDoc="0" simplePos="0" relativeHeight="0">
            <wp:simplePos x="0" y="0"/>
            <wp:positionH relativeFrom="page">
              <wp:posOffset>933450</wp:posOffset>
            </wp:positionH>
            <wp:positionV relativeFrom="paragraph">
              <wp:posOffset>128573</wp:posOffset>
            </wp:positionV>
            <wp:extent cx="2453568" cy="516540"/>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453568" cy="516540"/>
                    </a:xfrm>
                    <a:prstGeom prst="rect">
                      <a:avLst/>
                    </a:prstGeom>
                  </pic:spPr>
                </pic:pic>
              </a:graphicData>
            </a:graphic>
          </wp:anchor>
        </w:drawing>
      </w:r>
    </w:p>
    <w:p>
      <w:pPr>
        <w:spacing w:after="0"/>
        <w:rPr>
          <w:rFonts w:ascii="Trebuchet MS"/>
          <w:sz w:val="15"/>
        </w:rPr>
        <w:sectPr>
          <w:type w:val="continuous"/>
          <w:pgSz w:w="12240" w:h="15840"/>
          <w:pgMar w:top="1460" w:bottom="280" w:left="1040" w:right="1040"/>
        </w:sectPr>
      </w:pPr>
    </w:p>
    <w:p>
      <w:pPr>
        <w:pStyle w:val="Heading1"/>
        <w:spacing w:line="350" w:lineRule="auto" w:before="10"/>
        <w:ind w:left="760" w:right="767"/>
      </w:pPr>
      <w:r>
        <w:rPr/>
        <w:t>Chapter</w:t>
      </w:r>
      <w:r>
        <w:rPr>
          <w:spacing w:val="-1"/>
        </w:rPr>
        <w:t> </w:t>
      </w:r>
      <w:r>
        <w:rPr/>
        <w:t>2:</w:t>
      </w:r>
      <w:r>
        <w:rPr>
          <w:spacing w:val="-1"/>
        </w:rPr>
        <w:t> </w:t>
      </w:r>
      <w:r>
        <w:rPr/>
        <w:t>The</w:t>
      </w:r>
      <w:r>
        <w:rPr>
          <w:spacing w:val="-1"/>
        </w:rPr>
        <w:t> </w:t>
      </w:r>
      <w:r>
        <w:rPr/>
        <w:t>Road</w:t>
      </w:r>
      <w:r>
        <w:rPr>
          <w:spacing w:val="-1"/>
        </w:rPr>
        <w:t> </w:t>
      </w:r>
      <w:r>
        <w:rPr/>
        <w:t>to</w:t>
      </w:r>
      <w:r>
        <w:rPr>
          <w:spacing w:val="-1"/>
        </w:rPr>
        <w:t> </w:t>
      </w:r>
      <w:r>
        <w:rPr/>
        <w:t>Repayment</w:t>
      </w:r>
      <w:r>
        <w:rPr>
          <w:spacing w:val="-1"/>
        </w:rPr>
        <w:t> </w:t>
      </w:r>
      <w:r>
        <w:rPr/>
        <w:t>for</w:t>
      </w:r>
      <w:r>
        <w:rPr>
          <w:spacing w:val="-1"/>
        </w:rPr>
        <w:t> </w:t>
      </w:r>
      <w:r>
        <w:rPr/>
        <w:t>the World’s Largest Ofﬁcial Debt Collector</w:t>
      </w:r>
    </w:p>
    <w:p>
      <w:pPr>
        <w:pStyle w:val="Heading3"/>
        <w:spacing w:line="312" w:lineRule="auto" w:before="239"/>
      </w:pPr>
      <w:r>
        <w:rPr/>
        <w:t>Section</w:t>
      </w:r>
      <w:r>
        <w:rPr>
          <w:spacing w:val="-4"/>
        </w:rPr>
        <w:t> </w:t>
      </w:r>
      <w:r>
        <w:rPr/>
        <w:t>1:</w:t>
      </w:r>
      <w:r>
        <w:rPr>
          <w:spacing w:val="-3"/>
        </w:rPr>
        <w:t> </w:t>
      </w:r>
      <w:r>
        <w:rPr/>
        <w:t>Debunking</w:t>
      </w:r>
      <w:r>
        <w:rPr>
          <w:spacing w:val="-4"/>
        </w:rPr>
        <w:t> </w:t>
      </w:r>
      <w:r>
        <w:rPr/>
        <w:t>the</w:t>
      </w:r>
      <w:r>
        <w:rPr>
          <w:spacing w:val="-4"/>
        </w:rPr>
        <w:t> </w:t>
      </w:r>
      <w:r>
        <w:rPr/>
        <w:t>myth</w:t>
      </w:r>
      <w:r>
        <w:rPr>
          <w:spacing w:val="-4"/>
        </w:rPr>
        <w:t> </w:t>
      </w:r>
      <w:r>
        <w:rPr/>
        <w:t>that</w:t>
      </w:r>
      <w:r>
        <w:rPr>
          <w:spacing w:val="-3"/>
        </w:rPr>
        <w:t> </w:t>
      </w:r>
      <w:r>
        <w:rPr/>
        <w:t>Beijing’s</w:t>
      </w:r>
      <w:r>
        <w:rPr>
          <w:spacing w:val="-3"/>
        </w:rPr>
        <w:t> </w:t>
      </w:r>
      <w:r>
        <w:rPr/>
        <w:t>overseas lending program has collapsed</w:t>
      </w:r>
    </w:p>
    <w:p>
      <w:pPr>
        <w:pStyle w:val="BodyText"/>
        <w:spacing w:line="333" w:lineRule="auto" w:before="162"/>
        <w:ind w:left="760" w:right="767"/>
      </w:pPr>
      <w:r>
        <w:rPr/>
        <w:t>The conventional wisdom is that Beijing has responded to the </w:t>
      </w:r>
      <w:r>
        <w:rPr/>
        <w:t>deteriorating performance of its overseas lending program via retreat. Eric Olander,</w:t>
      </w:r>
    </w:p>
    <w:p>
      <w:pPr>
        <w:pStyle w:val="BodyText"/>
        <w:spacing w:line="333" w:lineRule="auto"/>
        <w:ind w:left="760" w:right="838"/>
      </w:pPr>
      <w:r>
        <w:rPr/>
        <w:t>co-founder of the China-Global South Project (CGSP), recently summarized the </w:t>
      </w:r>
      <w:r>
        <w:rPr>
          <w:w w:val="105"/>
        </w:rPr>
        <w:t>state</w:t>
      </w:r>
      <w:r>
        <w:rPr>
          <w:spacing w:val="-18"/>
          <w:w w:val="105"/>
        </w:rPr>
        <w:t> </w:t>
      </w:r>
      <w:r>
        <w:rPr>
          <w:w w:val="105"/>
        </w:rPr>
        <w:t>of</w:t>
      </w:r>
      <w:r>
        <w:rPr>
          <w:spacing w:val="-17"/>
          <w:w w:val="105"/>
        </w:rPr>
        <w:t> </w:t>
      </w:r>
      <w:r>
        <w:rPr>
          <w:w w:val="105"/>
        </w:rPr>
        <w:t>expert</w:t>
      </w:r>
      <w:r>
        <w:rPr>
          <w:spacing w:val="-18"/>
          <w:w w:val="105"/>
        </w:rPr>
        <w:t> </w:t>
      </w:r>
      <w:r>
        <w:rPr>
          <w:w w:val="105"/>
        </w:rPr>
        <w:t>opinion,</w:t>
      </w:r>
      <w:r>
        <w:rPr>
          <w:spacing w:val="-18"/>
          <w:w w:val="105"/>
        </w:rPr>
        <w:t> </w:t>
      </w:r>
      <w:r>
        <w:rPr>
          <w:w w:val="105"/>
        </w:rPr>
        <w:t>noting</w:t>
      </w:r>
      <w:r>
        <w:rPr>
          <w:spacing w:val="-17"/>
          <w:w w:val="105"/>
        </w:rPr>
        <w:t> </w:t>
      </w:r>
      <w:r>
        <w:rPr>
          <w:w w:val="105"/>
        </w:rPr>
        <w:t>that</w:t>
      </w:r>
      <w:r>
        <w:rPr>
          <w:spacing w:val="-18"/>
          <w:w w:val="105"/>
        </w:rPr>
        <w:t> </w:t>
      </w:r>
      <w:r>
        <w:rPr>
          <w:w w:val="105"/>
        </w:rPr>
        <w:t>“[t]here</w:t>
      </w:r>
      <w:r>
        <w:rPr>
          <w:spacing w:val="-17"/>
          <w:w w:val="105"/>
        </w:rPr>
        <w:t> </w:t>
      </w:r>
      <w:r>
        <w:rPr>
          <w:w w:val="105"/>
        </w:rPr>
        <w:t>was</w:t>
      </w:r>
      <w:r>
        <w:rPr>
          <w:spacing w:val="-18"/>
          <w:w w:val="105"/>
        </w:rPr>
        <w:t> </w:t>
      </w:r>
      <w:r>
        <w:rPr>
          <w:w w:val="105"/>
        </w:rPr>
        <w:t>a</w:t>
      </w:r>
      <w:r>
        <w:rPr>
          <w:spacing w:val="-17"/>
          <w:w w:val="105"/>
        </w:rPr>
        <w:t> </w:t>
      </w:r>
      <w:r>
        <w:rPr>
          <w:w w:val="105"/>
        </w:rPr>
        <w:t>time</w:t>
      </w:r>
      <w:r>
        <w:rPr>
          <w:spacing w:val="-18"/>
          <w:w w:val="105"/>
        </w:rPr>
        <w:t> </w:t>
      </w:r>
      <w:r>
        <w:rPr>
          <w:w w:val="105"/>
        </w:rPr>
        <w:t>when</w:t>
      </w:r>
      <w:r>
        <w:rPr>
          <w:spacing w:val="-17"/>
          <w:w w:val="105"/>
        </w:rPr>
        <w:t> </w:t>
      </w:r>
      <w:r>
        <w:rPr>
          <w:w w:val="105"/>
        </w:rPr>
        <w:t>Chinese</w:t>
      </w:r>
      <w:r>
        <w:rPr>
          <w:spacing w:val="-18"/>
          <w:w w:val="105"/>
        </w:rPr>
        <w:t> </w:t>
      </w:r>
      <w:r>
        <w:rPr>
          <w:w w:val="105"/>
        </w:rPr>
        <w:t>lending</w:t>
      </w:r>
      <w:r>
        <w:rPr>
          <w:spacing w:val="-17"/>
          <w:w w:val="105"/>
        </w:rPr>
        <w:t> </w:t>
      </w:r>
      <w:r>
        <w:rPr>
          <w:w w:val="105"/>
        </w:rPr>
        <w:t>to developing</w:t>
      </w:r>
      <w:r>
        <w:rPr>
          <w:spacing w:val="-5"/>
          <w:w w:val="105"/>
        </w:rPr>
        <w:t> </w:t>
      </w:r>
      <w:r>
        <w:rPr>
          <w:w w:val="105"/>
        </w:rPr>
        <w:t>countries</w:t>
      </w:r>
      <w:r>
        <w:rPr>
          <w:spacing w:val="-5"/>
          <w:w w:val="105"/>
        </w:rPr>
        <w:t> </w:t>
      </w:r>
      <w:r>
        <w:rPr>
          <w:w w:val="105"/>
        </w:rPr>
        <w:t>rivaled</w:t>
      </w:r>
      <w:r>
        <w:rPr>
          <w:spacing w:val="-5"/>
          <w:w w:val="105"/>
        </w:rPr>
        <w:t> </w:t>
      </w:r>
      <w:r>
        <w:rPr>
          <w:w w:val="105"/>
        </w:rPr>
        <w:t>the</w:t>
      </w:r>
      <w:r>
        <w:rPr>
          <w:spacing w:val="-5"/>
          <w:w w:val="105"/>
        </w:rPr>
        <w:t> </w:t>
      </w:r>
      <w:r>
        <w:rPr>
          <w:w w:val="105"/>
        </w:rPr>
        <w:t>World</w:t>
      </w:r>
      <w:r>
        <w:rPr>
          <w:spacing w:val="-5"/>
          <w:w w:val="105"/>
        </w:rPr>
        <w:t> </w:t>
      </w:r>
      <w:r>
        <w:rPr>
          <w:w w:val="105"/>
        </w:rPr>
        <w:t>Bank”</w:t>
      </w:r>
      <w:r>
        <w:rPr>
          <w:spacing w:val="-5"/>
          <w:w w:val="105"/>
        </w:rPr>
        <w:t> </w:t>
      </w:r>
      <w:r>
        <w:rPr>
          <w:w w:val="105"/>
        </w:rPr>
        <w:t>but</w:t>
      </w:r>
      <w:r>
        <w:rPr>
          <w:spacing w:val="-5"/>
          <w:w w:val="105"/>
        </w:rPr>
        <w:t> </w:t>
      </w:r>
      <w:r>
        <w:rPr>
          <w:w w:val="105"/>
        </w:rPr>
        <w:t>“[t]hose</w:t>
      </w:r>
      <w:r>
        <w:rPr>
          <w:spacing w:val="-5"/>
          <w:w w:val="105"/>
        </w:rPr>
        <w:t> </w:t>
      </w:r>
      <w:r>
        <w:rPr>
          <w:w w:val="105"/>
        </w:rPr>
        <w:t>days</w:t>
      </w:r>
      <w:r>
        <w:rPr>
          <w:spacing w:val="-5"/>
          <w:w w:val="105"/>
        </w:rPr>
        <w:t> </w:t>
      </w:r>
      <w:r>
        <w:rPr>
          <w:w w:val="105"/>
        </w:rPr>
        <w:t>are</w:t>
      </w:r>
      <w:r>
        <w:rPr>
          <w:spacing w:val="-5"/>
          <w:w w:val="105"/>
        </w:rPr>
        <w:t> </w:t>
      </w:r>
      <w:r>
        <w:rPr>
          <w:w w:val="105"/>
        </w:rPr>
        <w:t>now</w:t>
      </w:r>
      <w:r>
        <w:rPr>
          <w:spacing w:val="-5"/>
          <w:w w:val="105"/>
        </w:rPr>
        <w:t> </w:t>
      </w:r>
      <w:r>
        <w:rPr>
          <w:w w:val="105"/>
        </w:rPr>
        <w:t>long </w:t>
      </w:r>
      <w:r>
        <w:rPr>
          <w:spacing w:val="-2"/>
          <w:w w:val="105"/>
        </w:rPr>
        <w:t>gone</w:t>
      </w:r>
      <w:r>
        <w:rPr>
          <w:spacing w:val="-10"/>
          <w:w w:val="105"/>
        </w:rPr>
        <w:t> </w:t>
      </w:r>
      <w:r>
        <w:rPr>
          <w:spacing w:val="-2"/>
          <w:w w:val="105"/>
        </w:rPr>
        <w:t>as</w:t>
      </w:r>
      <w:r>
        <w:rPr>
          <w:spacing w:val="-10"/>
          <w:w w:val="105"/>
        </w:rPr>
        <w:t> </w:t>
      </w:r>
      <w:r>
        <w:rPr>
          <w:spacing w:val="-2"/>
          <w:w w:val="105"/>
        </w:rPr>
        <w:t>Chinese</w:t>
      </w:r>
      <w:r>
        <w:rPr>
          <w:spacing w:val="-10"/>
          <w:w w:val="105"/>
        </w:rPr>
        <w:t> </w:t>
      </w:r>
      <w:r>
        <w:rPr>
          <w:spacing w:val="-2"/>
          <w:w w:val="105"/>
        </w:rPr>
        <w:t>overseas</w:t>
      </w:r>
      <w:r>
        <w:rPr>
          <w:spacing w:val="-10"/>
          <w:w w:val="105"/>
        </w:rPr>
        <w:t> </w:t>
      </w:r>
      <w:r>
        <w:rPr>
          <w:spacing w:val="-2"/>
          <w:w w:val="105"/>
        </w:rPr>
        <w:t>development</w:t>
      </w:r>
      <w:r>
        <w:rPr>
          <w:spacing w:val="-10"/>
          <w:w w:val="105"/>
        </w:rPr>
        <w:t> </w:t>
      </w:r>
      <w:r>
        <w:rPr>
          <w:spacing w:val="-2"/>
          <w:w w:val="105"/>
        </w:rPr>
        <w:t>lending</w:t>
      </w:r>
      <w:r>
        <w:rPr>
          <w:spacing w:val="-10"/>
          <w:w w:val="105"/>
        </w:rPr>
        <w:t> </w:t>
      </w:r>
      <w:r>
        <w:rPr>
          <w:spacing w:val="-2"/>
          <w:w w:val="105"/>
        </w:rPr>
        <w:t>has</w:t>
      </w:r>
      <w:r>
        <w:rPr>
          <w:spacing w:val="-10"/>
          <w:w w:val="105"/>
        </w:rPr>
        <w:t> </w:t>
      </w:r>
      <w:r>
        <w:rPr>
          <w:spacing w:val="-2"/>
          <w:w w:val="105"/>
        </w:rPr>
        <w:t>been</w:t>
      </w:r>
      <w:r>
        <w:rPr>
          <w:spacing w:val="-10"/>
          <w:w w:val="105"/>
        </w:rPr>
        <w:t> </w:t>
      </w:r>
      <w:r>
        <w:rPr>
          <w:spacing w:val="-2"/>
          <w:w w:val="105"/>
        </w:rPr>
        <w:t>on</w:t>
      </w:r>
      <w:r>
        <w:rPr>
          <w:spacing w:val="-10"/>
          <w:w w:val="105"/>
        </w:rPr>
        <w:t> </w:t>
      </w:r>
      <w:r>
        <w:rPr>
          <w:spacing w:val="-2"/>
          <w:w w:val="105"/>
        </w:rPr>
        <w:t>a</w:t>
      </w:r>
      <w:r>
        <w:rPr>
          <w:spacing w:val="-10"/>
          <w:w w:val="105"/>
        </w:rPr>
        <w:t> </w:t>
      </w:r>
      <w:r>
        <w:rPr>
          <w:spacing w:val="-2"/>
          <w:w w:val="105"/>
        </w:rPr>
        <w:t>steady </w:t>
      </w:r>
      <w:r>
        <w:rPr/>
        <w:t>downward trajectory” (Olander 2023). Scott Kennedy of the Center for Strategic and International Studies (CSIS) told </w:t>
      </w:r>
      <w:r>
        <w:rPr>
          <w:i/>
        </w:rPr>
        <w:t>Foreign Policy </w:t>
      </w:r>
      <w:r>
        <w:rPr/>
        <w:t>magazine earlier this year </w:t>
      </w:r>
      <w:r>
        <w:rPr>
          <w:w w:val="105"/>
        </w:rPr>
        <w:t>that</w:t>
      </w:r>
      <w:r>
        <w:rPr>
          <w:spacing w:val="-15"/>
          <w:w w:val="105"/>
        </w:rPr>
        <w:t> </w:t>
      </w:r>
      <w:r>
        <w:rPr>
          <w:w w:val="105"/>
        </w:rPr>
        <w:t>the</w:t>
      </w:r>
      <w:r>
        <w:rPr>
          <w:spacing w:val="-15"/>
          <w:w w:val="105"/>
        </w:rPr>
        <w:t> </w:t>
      </w:r>
      <w:r>
        <w:rPr>
          <w:w w:val="105"/>
        </w:rPr>
        <w:t>BRI</w:t>
      </w:r>
      <w:r>
        <w:rPr>
          <w:spacing w:val="-15"/>
          <w:w w:val="105"/>
        </w:rPr>
        <w:t> </w:t>
      </w:r>
      <w:r>
        <w:rPr>
          <w:w w:val="105"/>
        </w:rPr>
        <w:t>was</w:t>
      </w:r>
      <w:r>
        <w:rPr>
          <w:spacing w:val="-15"/>
          <w:w w:val="105"/>
        </w:rPr>
        <w:t> </w:t>
      </w:r>
      <w:r>
        <w:rPr>
          <w:w w:val="105"/>
        </w:rPr>
        <w:t>a</w:t>
      </w:r>
      <w:r>
        <w:rPr>
          <w:spacing w:val="-15"/>
          <w:w w:val="105"/>
        </w:rPr>
        <w:t> </w:t>
      </w:r>
      <w:r>
        <w:rPr>
          <w:w w:val="105"/>
        </w:rPr>
        <w:t>“shadow</w:t>
      </w:r>
      <w:r>
        <w:rPr>
          <w:spacing w:val="-15"/>
          <w:w w:val="105"/>
        </w:rPr>
        <w:t> </w:t>
      </w:r>
      <w:r>
        <w:rPr>
          <w:w w:val="105"/>
        </w:rPr>
        <w:t>of</w:t>
      </w:r>
      <w:r>
        <w:rPr>
          <w:spacing w:val="-15"/>
          <w:w w:val="105"/>
        </w:rPr>
        <w:t> </w:t>
      </w:r>
      <w:r>
        <w:rPr>
          <w:w w:val="105"/>
        </w:rPr>
        <w:t>its</w:t>
      </w:r>
      <w:r>
        <w:rPr>
          <w:spacing w:val="-15"/>
          <w:w w:val="105"/>
        </w:rPr>
        <w:t> </w:t>
      </w:r>
      <w:r>
        <w:rPr>
          <w:w w:val="105"/>
        </w:rPr>
        <w:t>former</w:t>
      </w:r>
      <w:r>
        <w:rPr>
          <w:spacing w:val="-15"/>
          <w:w w:val="105"/>
        </w:rPr>
        <w:t> </w:t>
      </w:r>
      <w:r>
        <w:rPr>
          <w:w w:val="105"/>
        </w:rPr>
        <w:t>self”</w:t>
      </w:r>
      <w:r>
        <w:rPr>
          <w:spacing w:val="-15"/>
          <w:w w:val="105"/>
        </w:rPr>
        <w:t> </w:t>
      </w:r>
      <w:r>
        <w:rPr>
          <w:w w:val="105"/>
        </w:rPr>
        <w:t>(Lu</w:t>
      </w:r>
      <w:r>
        <w:rPr>
          <w:spacing w:val="-15"/>
          <w:w w:val="105"/>
        </w:rPr>
        <w:t> </w:t>
      </w:r>
      <w:r>
        <w:rPr>
          <w:w w:val="105"/>
        </w:rPr>
        <w:t>2023).</w:t>
      </w:r>
      <w:r>
        <w:rPr>
          <w:w w:val="105"/>
          <w:vertAlign w:val="superscript"/>
        </w:rPr>
        <w:t>76</w:t>
      </w:r>
      <w:r>
        <w:rPr>
          <w:spacing w:val="-15"/>
          <w:w w:val="105"/>
          <w:vertAlign w:val="baseline"/>
        </w:rPr>
        <w:t> </w:t>
      </w:r>
      <w:r>
        <w:rPr>
          <w:w w:val="105"/>
          <w:vertAlign w:val="baseline"/>
        </w:rPr>
        <w:t>Elliot</w:t>
      </w:r>
      <w:r>
        <w:rPr>
          <w:spacing w:val="-15"/>
          <w:w w:val="105"/>
          <w:vertAlign w:val="baseline"/>
        </w:rPr>
        <w:t> </w:t>
      </w:r>
      <w:r>
        <w:rPr>
          <w:w w:val="105"/>
          <w:vertAlign w:val="baseline"/>
        </w:rPr>
        <w:t>Wilson</w:t>
      </w:r>
      <w:r>
        <w:rPr>
          <w:spacing w:val="-15"/>
          <w:w w:val="105"/>
          <w:vertAlign w:val="baseline"/>
        </w:rPr>
        <w:t> </w:t>
      </w:r>
      <w:r>
        <w:rPr>
          <w:w w:val="105"/>
          <w:vertAlign w:val="baseline"/>
        </w:rPr>
        <w:t>of </w:t>
      </w:r>
      <w:r>
        <w:rPr>
          <w:i/>
          <w:vertAlign w:val="baseline"/>
        </w:rPr>
        <w:t>Euromoney </w:t>
      </w:r>
      <w:r>
        <w:rPr>
          <w:vertAlign w:val="baseline"/>
        </w:rPr>
        <w:t>magazine claims that “Chinese overseas lending to the developing </w:t>
      </w:r>
      <w:r>
        <w:rPr>
          <w:w w:val="105"/>
          <w:vertAlign w:val="baseline"/>
        </w:rPr>
        <w:t>world</w:t>
      </w:r>
      <w:r>
        <w:rPr>
          <w:spacing w:val="-2"/>
          <w:w w:val="105"/>
          <w:vertAlign w:val="baseline"/>
        </w:rPr>
        <w:t> </w:t>
      </w:r>
      <w:r>
        <w:rPr>
          <w:w w:val="105"/>
          <w:vertAlign w:val="baseline"/>
        </w:rPr>
        <w:t>has</w:t>
      </w:r>
      <w:r>
        <w:rPr>
          <w:spacing w:val="-2"/>
          <w:w w:val="105"/>
          <w:vertAlign w:val="baseline"/>
        </w:rPr>
        <w:t> </w:t>
      </w:r>
      <w:r>
        <w:rPr>
          <w:w w:val="105"/>
          <w:vertAlign w:val="baseline"/>
        </w:rPr>
        <w:t>collapsed”</w:t>
      </w:r>
      <w:r>
        <w:rPr>
          <w:spacing w:val="-2"/>
          <w:w w:val="105"/>
          <w:vertAlign w:val="baseline"/>
        </w:rPr>
        <w:t> </w:t>
      </w:r>
      <w:r>
        <w:rPr>
          <w:w w:val="105"/>
          <w:vertAlign w:val="baseline"/>
        </w:rPr>
        <w:t>(Wilson</w:t>
      </w:r>
      <w:r>
        <w:rPr>
          <w:spacing w:val="-2"/>
          <w:w w:val="105"/>
          <w:vertAlign w:val="baseline"/>
        </w:rPr>
        <w:t> </w:t>
      </w:r>
      <w:r>
        <w:rPr>
          <w:w w:val="105"/>
          <w:vertAlign w:val="baseline"/>
        </w:rPr>
        <w:t>2022).</w:t>
      </w:r>
    </w:p>
    <w:p>
      <w:pPr>
        <w:pStyle w:val="BodyText"/>
        <w:spacing w:before="6"/>
        <w:rPr>
          <w:sz w:val="27"/>
        </w:rPr>
      </w:pPr>
    </w:p>
    <w:p>
      <w:pPr>
        <w:pStyle w:val="BodyText"/>
        <w:spacing w:line="333" w:lineRule="auto"/>
        <w:ind w:left="760" w:right="767"/>
      </w:pPr>
      <w:r>
        <w:rPr/>
        <w:t>However, the conventional wisdom is mostly wrong. The empirical evidence </w:t>
      </w:r>
      <w:r>
        <w:rPr/>
        <w:t>that </w:t>
      </w:r>
      <w:r>
        <w:rPr>
          <w:w w:val="105"/>
        </w:rPr>
        <w:t>we</w:t>
      </w:r>
      <w:r>
        <w:rPr>
          <w:spacing w:val="-15"/>
          <w:w w:val="105"/>
        </w:rPr>
        <w:t> </w:t>
      </w:r>
      <w:r>
        <w:rPr>
          <w:w w:val="105"/>
        </w:rPr>
        <w:t>present</w:t>
      </w:r>
      <w:r>
        <w:rPr>
          <w:spacing w:val="-15"/>
          <w:w w:val="105"/>
        </w:rPr>
        <w:t> </w:t>
      </w:r>
      <w:r>
        <w:rPr>
          <w:w w:val="105"/>
        </w:rPr>
        <w:t>in</w:t>
      </w:r>
      <w:r>
        <w:rPr>
          <w:spacing w:val="-15"/>
          <w:w w:val="105"/>
        </w:rPr>
        <w:t> </w:t>
      </w:r>
      <w:r>
        <w:rPr>
          <w:w w:val="105"/>
        </w:rPr>
        <w:t>this</w:t>
      </w:r>
      <w:r>
        <w:rPr>
          <w:spacing w:val="-15"/>
          <w:w w:val="105"/>
        </w:rPr>
        <w:t> </w:t>
      </w:r>
      <w:r>
        <w:rPr>
          <w:w w:val="105"/>
        </w:rPr>
        <w:t>chapter</w:t>
      </w:r>
      <w:r>
        <w:rPr>
          <w:spacing w:val="-15"/>
          <w:w w:val="105"/>
        </w:rPr>
        <w:t> </w:t>
      </w:r>
      <w:r>
        <w:rPr>
          <w:w w:val="105"/>
        </w:rPr>
        <w:t>paints</w:t>
      </w:r>
      <w:r>
        <w:rPr>
          <w:spacing w:val="-15"/>
          <w:w w:val="105"/>
        </w:rPr>
        <w:t> </w:t>
      </w:r>
      <w:r>
        <w:rPr>
          <w:w w:val="105"/>
        </w:rPr>
        <w:t>a</w:t>
      </w:r>
      <w:r>
        <w:rPr>
          <w:spacing w:val="-15"/>
          <w:w w:val="105"/>
        </w:rPr>
        <w:t> </w:t>
      </w:r>
      <w:r>
        <w:rPr>
          <w:w w:val="105"/>
        </w:rPr>
        <w:t>different</w:t>
      </w:r>
      <w:r>
        <w:rPr>
          <w:spacing w:val="-15"/>
          <w:w w:val="105"/>
        </w:rPr>
        <w:t> </w:t>
      </w:r>
      <w:r>
        <w:rPr>
          <w:w w:val="105"/>
        </w:rPr>
        <w:t>picture—one</w:t>
      </w:r>
      <w:r>
        <w:rPr>
          <w:spacing w:val="-15"/>
          <w:w w:val="105"/>
        </w:rPr>
        <w:t> </w:t>
      </w:r>
      <w:r>
        <w:rPr>
          <w:w w:val="105"/>
        </w:rPr>
        <w:t>in</w:t>
      </w:r>
      <w:r>
        <w:rPr>
          <w:spacing w:val="-15"/>
          <w:w w:val="105"/>
        </w:rPr>
        <w:t> </w:t>
      </w:r>
      <w:r>
        <w:rPr>
          <w:w w:val="105"/>
        </w:rPr>
        <w:t>which</w:t>
      </w:r>
      <w:r>
        <w:rPr>
          <w:spacing w:val="-15"/>
          <w:w w:val="105"/>
        </w:rPr>
        <w:t> </w:t>
      </w:r>
      <w:r>
        <w:rPr>
          <w:w w:val="105"/>
        </w:rPr>
        <w:t>China</w:t>
      </w:r>
      <w:r>
        <w:rPr>
          <w:spacing w:val="-15"/>
          <w:w w:val="105"/>
        </w:rPr>
        <w:t> </w:t>
      </w:r>
      <w:r>
        <w:rPr>
          <w:w w:val="105"/>
        </w:rPr>
        <w:t>is behaving</w:t>
      </w:r>
      <w:r>
        <w:rPr>
          <w:spacing w:val="-18"/>
          <w:w w:val="105"/>
        </w:rPr>
        <w:t> </w:t>
      </w:r>
      <w:r>
        <w:rPr>
          <w:w w:val="105"/>
        </w:rPr>
        <w:t>more</w:t>
      </w:r>
      <w:r>
        <w:rPr>
          <w:spacing w:val="-17"/>
          <w:w w:val="105"/>
        </w:rPr>
        <w:t> </w:t>
      </w:r>
      <w:r>
        <w:rPr>
          <w:w w:val="105"/>
        </w:rPr>
        <w:t>like</w:t>
      </w:r>
      <w:r>
        <w:rPr>
          <w:spacing w:val="-18"/>
          <w:w w:val="105"/>
        </w:rPr>
        <w:t> </w:t>
      </w:r>
      <w:r>
        <w:rPr>
          <w:w w:val="105"/>
        </w:rPr>
        <w:t>an</w:t>
      </w:r>
      <w:r>
        <w:rPr>
          <w:spacing w:val="-17"/>
          <w:w w:val="105"/>
        </w:rPr>
        <w:t> </w:t>
      </w:r>
      <w:r>
        <w:rPr>
          <w:w w:val="105"/>
        </w:rPr>
        <w:t>international</w:t>
      </w:r>
      <w:r>
        <w:rPr>
          <w:spacing w:val="-18"/>
          <w:w w:val="105"/>
        </w:rPr>
        <w:t> </w:t>
      </w:r>
      <w:r>
        <w:rPr>
          <w:w w:val="105"/>
        </w:rPr>
        <w:t>crisis</w:t>
      </w:r>
      <w:r>
        <w:rPr>
          <w:spacing w:val="-17"/>
          <w:w w:val="105"/>
        </w:rPr>
        <w:t> </w:t>
      </w:r>
      <w:r>
        <w:rPr>
          <w:w w:val="105"/>
        </w:rPr>
        <w:t>manager</w:t>
      </w:r>
      <w:r>
        <w:rPr>
          <w:spacing w:val="-18"/>
          <w:w w:val="105"/>
        </w:rPr>
        <w:t> </w:t>
      </w:r>
      <w:r>
        <w:rPr>
          <w:w w:val="105"/>
        </w:rPr>
        <w:t>than</w:t>
      </w:r>
      <w:r>
        <w:rPr>
          <w:spacing w:val="-17"/>
          <w:w w:val="105"/>
        </w:rPr>
        <w:t> </w:t>
      </w:r>
      <w:r>
        <w:rPr>
          <w:w w:val="105"/>
        </w:rPr>
        <w:t>a</w:t>
      </w:r>
      <w:r>
        <w:rPr>
          <w:spacing w:val="-18"/>
          <w:w w:val="105"/>
        </w:rPr>
        <w:t> </w:t>
      </w:r>
      <w:r>
        <w:rPr>
          <w:w w:val="105"/>
        </w:rPr>
        <w:t>country</w:t>
      </w:r>
      <w:r>
        <w:rPr>
          <w:spacing w:val="-17"/>
          <w:w w:val="105"/>
        </w:rPr>
        <w:t> </w:t>
      </w:r>
      <w:r>
        <w:rPr>
          <w:w w:val="105"/>
        </w:rPr>
        <w:t>admiring</w:t>
      </w:r>
      <w:r>
        <w:rPr>
          <w:spacing w:val="-18"/>
          <w:w w:val="105"/>
        </w:rPr>
        <w:t> </w:t>
      </w:r>
      <w:r>
        <w:rPr>
          <w:w w:val="105"/>
        </w:rPr>
        <w:t>its problems</w:t>
      </w:r>
      <w:r>
        <w:rPr>
          <w:spacing w:val="-18"/>
          <w:w w:val="105"/>
        </w:rPr>
        <w:t> </w:t>
      </w:r>
      <w:r>
        <w:rPr>
          <w:w w:val="105"/>
        </w:rPr>
        <w:t>and</w:t>
      </w:r>
      <w:r>
        <w:rPr>
          <w:spacing w:val="-17"/>
          <w:w w:val="105"/>
        </w:rPr>
        <w:t> </w:t>
      </w:r>
      <w:r>
        <w:rPr>
          <w:w w:val="105"/>
        </w:rPr>
        <w:t>sticking</w:t>
      </w:r>
      <w:r>
        <w:rPr>
          <w:spacing w:val="-18"/>
          <w:w w:val="105"/>
        </w:rPr>
        <w:t> </w:t>
      </w:r>
      <w:r>
        <w:rPr>
          <w:w w:val="105"/>
        </w:rPr>
        <w:t>its</w:t>
      </w:r>
      <w:r>
        <w:rPr>
          <w:spacing w:val="-18"/>
          <w:w w:val="105"/>
        </w:rPr>
        <w:t> </w:t>
      </w:r>
      <w:r>
        <w:rPr>
          <w:w w:val="105"/>
        </w:rPr>
        <w:t>head</w:t>
      </w:r>
      <w:r>
        <w:rPr>
          <w:spacing w:val="-17"/>
          <w:w w:val="105"/>
        </w:rPr>
        <w:t> </w:t>
      </w:r>
      <w:r>
        <w:rPr>
          <w:w w:val="105"/>
        </w:rPr>
        <w:t>in</w:t>
      </w:r>
      <w:r>
        <w:rPr>
          <w:spacing w:val="-18"/>
          <w:w w:val="105"/>
        </w:rPr>
        <w:t> </w:t>
      </w:r>
      <w:r>
        <w:rPr>
          <w:w w:val="105"/>
        </w:rPr>
        <w:t>the</w:t>
      </w:r>
      <w:r>
        <w:rPr>
          <w:spacing w:val="-17"/>
          <w:w w:val="105"/>
        </w:rPr>
        <w:t> </w:t>
      </w:r>
      <w:r>
        <w:rPr>
          <w:w w:val="105"/>
        </w:rPr>
        <w:t>sand.</w:t>
      </w:r>
      <w:r>
        <w:rPr>
          <w:spacing w:val="-18"/>
          <w:w w:val="105"/>
        </w:rPr>
        <w:t> </w:t>
      </w:r>
      <w:r>
        <w:rPr>
          <w:w w:val="105"/>
        </w:rPr>
        <w:t>Beijing</w:t>
      </w:r>
      <w:r>
        <w:rPr>
          <w:spacing w:val="-17"/>
          <w:w w:val="105"/>
        </w:rPr>
        <w:t> </w:t>
      </w:r>
      <w:r>
        <w:rPr>
          <w:w w:val="105"/>
        </w:rPr>
        <w:t>is</w:t>
      </w:r>
      <w:r>
        <w:rPr>
          <w:spacing w:val="-18"/>
          <w:w w:val="105"/>
        </w:rPr>
        <w:t> </w:t>
      </w:r>
      <w:r>
        <w:rPr>
          <w:w w:val="105"/>
        </w:rPr>
        <w:t>rebalancing</w:t>
      </w:r>
      <w:r>
        <w:rPr>
          <w:spacing w:val="-17"/>
          <w:w w:val="105"/>
        </w:rPr>
        <w:t> </w:t>
      </w:r>
      <w:r>
        <w:rPr>
          <w:w w:val="105"/>
        </w:rPr>
        <w:t>its</w:t>
      </w:r>
      <w:r>
        <w:rPr>
          <w:spacing w:val="-18"/>
          <w:w w:val="105"/>
        </w:rPr>
        <w:t> </w:t>
      </w:r>
      <w:r>
        <w:rPr>
          <w:w w:val="105"/>
        </w:rPr>
        <w:t>overseas lending</w:t>
      </w:r>
      <w:r>
        <w:rPr>
          <w:spacing w:val="-7"/>
          <w:w w:val="105"/>
        </w:rPr>
        <w:t> </w:t>
      </w:r>
      <w:r>
        <w:rPr>
          <w:w w:val="105"/>
        </w:rPr>
        <w:t>portfolio</w:t>
      </w:r>
      <w:r>
        <w:rPr>
          <w:spacing w:val="-7"/>
          <w:w w:val="105"/>
        </w:rPr>
        <w:t> </w:t>
      </w:r>
      <w:r>
        <w:rPr>
          <w:w w:val="105"/>
        </w:rPr>
        <w:t>by</w:t>
      </w:r>
      <w:r>
        <w:rPr>
          <w:spacing w:val="-7"/>
          <w:w w:val="105"/>
        </w:rPr>
        <w:t> </w:t>
      </w:r>
      <w:r>
        <w:rPr>
          <w:w w:val="105"/>
        </w:rPr>
        <w:t>adopting</w:t>
      </w:r>
      <w:r>
        <w:rPr>
          <w:spacing w:val="-7"/>
          <w:w w:val="105"/>
        </w:rPr>
        <w:t> </w:t>
      </w:r>
      <w:r>
        <w:rPr>
          <w:w w:val="105"/>
        </w:rPr>
        <w:t>a</w:t>
      </w:r>
      <w:r>
        <w:rPr>
          <w:spacing w:val="-7"/>
          <w:w w:val="105"/>
        </w:rPr>
        <w:t> </w:t>
      </w:r>
      <w:r>
        <w:rPr>
          <w:w w:val="105"/>
        </w:rPr>
        <w:t>wide-ranging</w:t>
      </w:r>
      <w:r>
        <w:rPr>
          <w:spacing w:val="-7"/>
          <w:w w:val="105"/>
        </w:rPr>
        <w:t> </w:t>
      </w:r>
      <w:r>
        <w:rPr>
          <w:w w:val="105"/>
        </w:rPr>
        <w:t>set</w:t>
      </w:r>
      <w:r>
        <w:rPr>
          <w:spacing w:val="-7"/>
          <w:w w:val="105"/>
        </w:rPr>
        <w:t> </w:t>
      </w:r>
      <w:r>
        <w:rPr>
          <w:w w:val="105"/>
        </w:rPr>
        <w:t>of</w:t>
      </w:r>
      <w:r>
        <w:rPr>
          <w:spacing w:val="-7"/>
          <w:w w:val="105"/>
        </w:rPr>
        <w:t> </w:t>
      </w:r>
      <w:r>
        <w:rPr>
          <w:w w:val="105"/>
        </w:rPr>
        <w:t>de-risking</w:t>
      </w:r>
      <w:r>
        <w:rPr>
          <w:spacing w:val="-7"/>
          <w:w w:val="105"/>
        </w:rPr>
        <w:t> </w:t>
      </w:r>
      <w:r>
        <w:rPr>
          <w:w w:val="105"/>
        </w:rPr>
        <w:t>measures.</w:t>
      </w:r>
      <w:r>
        <w:rPr>
          <w:spacing w:val="-7"/>
          <w:w w:val="105"/>
        </w:rPr>
        <w:t> </w:t>
      </w:r>
      <w:r>
        <w:rPr>
          <w:w w:val="105"/>
        </w:rPr>
        <w:t>It</w:t>
      </w:r>
      <w:r>
        <w:rPr>
          <w:spacing w:val="-7"/>
          <w:w w:val="105"/>
        </w:rPr>
        <w:t> </w:t>
      </w:r>
      <w:r>
        <w:rPr>
          <w:w w:val="105"/>
        </w:rPr>
        <w:t>is ramping</w:t>
      </w:r>
      <w:r>
        <w:rPr>
          <w:spacing w:val="-18"/>
          <w:w w:val="105"/>
        </w:rPr>
        <w:t> </w:t>
      </w:r>
      <w:r>
        <w:rPr>
          <w:w w:val="105"/>
        </w:rPr>
        <w:t>down</w:t>
      </w:r>
      <w:r>
        <w:rPr>
          <w:spacing w:val="-17"/>
          <w:w w:val="105"/>
        </w:rPr>
        <w:t> </w:t>
      </w:r>
      <w:r>
        <w:rPr>
          <w:w w:val="105"/>
        </w:rPr>
        <w:t>the</w:t>
      </w:r>
      <w:r>
        <w:rPr>
          <w:spacing w:val="-18"/>
          <w:w w:val="105"/>
        </w:rPr>
        <w:t> </w:t>
      </w:r>
      <w:r>
        <w:rPr>
          <w:w w:val="105"/>
        </w:rPr>
        <w:t>provision</w:t>
      </w:r>
      <w:r>
        <w:rPr>
          <w:spacing w:val="-18"/>
          <w:w w:val="105"/>
        </w:rPr>
        <w:t> </w:t>
      </w:r>
      <w:r>
        <w:rPr>
          <w:w w:val="105"/>
        </w:rPr>
        <w:t>of</w:t>
      </w:r>
      <w:r>
        <w:rPr>
          <w:spacing w:val="-17"/>
          <w:w w:val="105"/>
        </w:rPr>
        <w:t> </w:t>
      </w:r>
      <w:r>
        <w:rPr>
          <w:w w:val="105"/>
        </w:rPr>
        <w:t>long-term,</w:t>
      </w:r>
      <w:r>
        <w:rPr>
          <w:spacing w:val="-18"/>
          <w:w w:val="105"/>
        </w:rPr>
        <w:t> </w:t>
      </w:r>
      <w:r>
        <w:rPr>
          <w:w w:val="105"/>
        </w:rPr>
        <w:t>dollar-denominated</w:t>
      </w:r>
      <w:r>
        <w:rPr>
          <w:spacing w:val="-17"/>
          <w:w w:val="105"/>
        </w:rPr>
        <w:t> </w:t>
      </w:r>
      <w:r>
        <w:rPr>
          <w:w w:val="105"/>
        </w:rPr>
        <w:t>bilateral</w:t>
      </w:r>
      <w:r>
        <w:rPr>
          <w:spacing w:val="-18"/>
          <w:w w:val="105"/>
        </w:rPr>
        <w:t> </w:t>
      </w:r>
      <w:r>
        <w:rPr>
          <w:w w:val="105"/>
        </w:rPr>
        <w:t>loans</w:t>
      </w:r>
      <w:r>
        <w:rPr>
          <w:spacing w:val="-17"/>
          <w:w w:val="105"/>
        </w:rPr>
        <w:t> </w:t>
      </w:r>
      <w:r>
        <w:rPr>
          <w:w w:val="105"/>
        </w:rPr>
        <w:t>to sovereign</w:t>
      </w:r>
      <w:r>
        <w:rPr>
          <w:spacing w:val="-14"/>
          <w:w w:val="105"/>
        </w:rPr>
        <w:t> </w:t>
      </w:r>
      <w:r>
        <w:rPr>
          <w:w w:val="105"/>
        </w:rPr>
        <w:t>borrowers</w:t>
      </w:r>
      <w:r>
        <w:rPr>
          <w:spacing w:val="-14"/>
          <w:w w:val="105"/>
        </w:rPr>
        <w:t> </w:t>
      </w:r>
      <w:r>
        <w:rPr>
          <w:w w:val="105"/>
        </w:rPr>
        <w:t>for</w:t>
      </w:r>
      <w:r>
        <w:rPr>
          <w:spacing w:val="-14"/>
          <w:w w:val="105"/>
        </w:rPr>
        <w:t> </w:t>
      </w:r>
      <w:r>
        <w:rPr>
          <w:w w:val="105"/>
        </w:rPr>
        <w:t>public</w:t>
      </w:r>
      <w:r>
        <w:rPr>
          <w:spacing w:val="-14"/>
          <w:w w:val="105"/>
        </w:rPr>
        <w:t> </w:t>
      </w:r>
      <w:r>
        <w:rPr>
          <w:w w:val="105"/>
        </w:rPr>
        <w:t>investment</w:t>
      </w:r>
      <w:r>
        <w:rPr>
          <w:spacing w:val="-14"/>
          <w:w w:val="105"/>
        </w:rPr>
        <w:t> </w:t>
      </w:r>
      <w:r>
        <w:rPr>
          <w:w w:val="105"/>
        </w:rPr>
        <w:t>projects,</w:t>
      </w:r>
      <w:r>
        <w:rPr>
          <w:spacing w:val="-14"/>
          <w:w w:val="105"/>
        </w:rPr>
        <w:t> </w:t>
      </w:r>
      <w:r>
        <w:rPr>
          <w:w w:val="105"/>
        </w:rPr>
        <w:t>while</w:t>
      </w:r>
      <w:r>
        <w:rPr>
          <w:spacing w:val="-14"/>
          <w:w w:val="105"/>
        </w:rPr>
        <w:t> </w:t>
      </w:r>
      <w:r>
        <w:rPr>
          <w:w w:val="105"/>
        </w:rPr>
        <w:t>at</w:t>
      </w:r>
      <w:r>
        <w:rPr>
          <w:spacing w:val="-14"/>
          <w:w w:val="105"/>
        </w:rPr>
        <w:t> </w:t>
      </w:r>
      <w:r>
        <w:rPr>
          <w:w w:val="105"/>
        </w:rPr>
        <w:t>the</w:t>
      </w:r>
      <w:r>
        <w:rPr>
          <w:spacing w:val="-14"/>
          <w:w w:val="105"/>
        </w:rPr>
        <w:t> </w:t>
      </w:r>
      <w:r>
        <w:rPr>
          <w:w w:val="105"/>
        </w:rPr>
        <w:t>same</w:t>
      </w:r>
      <w:r>
        <w:rPr>
          <w:spacing w:val="-14"/>
          <w:w w:val="105"/>
        </w:rPr>
        <w:t> </w:t>
      </w:r>
      <w:r>
        <w:rPr>
          <w:w w:val="105"/>
        </w:rPr>
        <w:t>time ramping</w:t>
      </w:r>
      <w:r>
        <w:rPr>
          <w:spacing w:val="-12"/>
          <w:w w:val="105"/>
        </w:rPr>
        <w:t> </w:t>
      </w:r>
      <w:r>
        <w:rPr>
          <w:w w:val="105"/>
        </w:rPr>
        <w:t>up</w:t>
      </w:r>
      <w:r>
        <w:rPr>
          <w:spacing w:val="-12"/>
          <w:w w:val="105"/>
        </w:rPr>
        <w:t> </w:t>
      </w:r>
      <w:r>
        <w:rPr>
          <w:w w:val="105"/>
        </w:rPr>
        <w:t>the</w:t>
      </w:r>
      <w:r>
        <w:rPr>
          <w:spacing w:val="-12"/>
          <w:w w:val="105"/>
        </w:rPr>
        <w:t> </w:t>
      </w:r>
      <w:r>
        <w:rPr>
          <w:w w:val="105"/>
        </w:rPr>
        <w:t>provision</w:t>
      </w:r>
      <w:r>
        <w:rPr>
          <w:spacing w:val="-12"/>
          <w:w w:val="105"/>
        </w:rPr>
        <w:t> </w:t>
      </w:r>
      <w:r>
        <w:rPr>
          <w:w w:val="105"/>
        </w:rPr>
        <w:t>of</w:t>
      </w:r>
      <w:r>
        <w:rPr>
          <w:spacing w:val="-12"/>
          <w:w w:val="105"/>
        </w:rPr>
        <w:t> </w:t>
      </w:r>
      <w:r>
        <w:rPr>
          <w:w w:val="105"/>
        </w:rPr>
        <w:t>loans</w:t>
      </w:r>
      <w:r>
        <w:rPr>
          <w:spacing w:val="-12"/>
          <w:w w:val="105"/>
        </w:rPr>
        <w:t> </w:t>
      </w:r>
      <w:r>
        <w:rPr>
          <w:w w:val="105"/>
        </w:rPr>
        <w:t>that</w:t>
      </w:r>
      <w:r>
        <w:rPr>
          <w:spacing w:val="-12"/>
          <w:w w:val="105"/>
        </w:rPr>
        <w:t> </w:t>
      </w:r>
      <w:r>
        <w:rPr>
          <w:w w:val="105"/>
        </w:rPr>
        <w:t>are</w:t>
      </w:r>
      <w:r>
        <w:rPr>
          <w:spacing w:val="-12"/>
          <w:w w:val="105"/>
        </w:rPr>
        <w:t> </w:t>
      </w:r>
      <w:r>
        <w:rPr>
          <w:w w:val="105"/>
        </w:rPr>
        <w:t>RMB-denominated,</w:t>
      </w:r>
      <w:r>
        <w:rPr>
          <w:spacing w:val="-12"/>
          <w:w w:val="105"/>
        </w:rPr>
        <w:t> </w:t>
      </w:r>
      <w:r>
        <w:rPr>
          <w:w w:val="105"/>
        </w:rPr>
        <w:t>short-</w:t>
      </w:r>
      <w:r>
        <w:rPr>
          <w:spacing w:val="-13"/>
          <w:w w:val="105"/>
        </w:rPr>
        <w:t> </w:t>
      </w:r>
      <w:r>
        <w:rPr>
          <w:w w:val="105"/>
        </w:rPr>
        <w:t>or</w:t>
      </w:r>
    </w:p>
    <w:p>
      <w:pPr>
        <w:pStyle w:val="BodyText"/>
        <w:spacing w:line="333" w:lineRule="auto"/>
        <w:ind w:left="760" w:right="794"/>
      </w:pPr>
      <w:r>
        <w:rPr>
          <w:w w:val="105"/>
        </w:rPr>
        <w:t>medium-term</w:t>
      </w:r>
      <w:r>
        <w:rPr>
          <w:spacing w:val="-5"/>
          <w:w w:val="105"/>
        </w:rPr>
        <w:t> </w:t>
      </w:r>
      <w:r>
        <w:rPr>
          <w:w w:val="105"/>
        </w:rPr>
        <w:t>in</w:t>
      </w:r>
      <w:r>
        <w:rPr>
          <w:spacing w:val="-5"/>
          <w:w w:val="105"/>
        </w:rPr>
        <w:t> </w:t>
      </w:r>
      <w:r>
        <w:rPr>
          <w:w w:val="105"/>
        </w:rPr>
        <w:t>nature,</w:t>
      </w:r>
      <w:r>
        <w:rPr>
          <w:spacing w:val="-5"/>
          <w:w w:val="105"/>
        </w:rPr>
        <w:t> </w:t>
      </w:r>
      <w:r>
        <w:rPr>
          <w:w w:val="105"/>
        </w:rPr>
        <w:t>unrelated</w:t>
      </w:r>
      <w:r>
        <w:rPr>
          <w:spacing w:val="-5"/>
          <w:w w:val="105"/>
        </w:rPr>
        <w:t> </w:t>
      </w:r>
      <w:r>
        <w:rPr>
          <w:w w:val="105"/>
        </w:rPr>
        <w:t>to</w:t>
      </w:r>
      <w:r>
        <w:rPr>
          <w:spacing w:val="-5"/>
          <w:w w:val="105"/>
        </w:rPr>
        <w:t> </w:t>
      </w:r>
      <w:r>
        <w:rPr>
          <w:w w:val="105"/>
        </w:rPr>
        <w:t>public</w:t>
      </w:r>
      <w:r>
        <w:rPr>
          <w:spacing w:val="-5"/>
          <w:w w:val="105"/>
        </w:rPr>
        <w:t> </w:t>
      </w:r>
      <w:r>
        <w:rPr>
          <w:w w:val="105"/>
        </w:rPr>
        <w:t>investment</w:t>
      </w:r>
      <w:r>
        <w:rPr>
          <w:spacing w:val="-5"/>
          <w:w w:val="105"/>
        </w:rPr>
        <w:t> </w:t>
      </w:r>
      <w:r>
        <w:rPr>
          <w:w w:val="105"/>
        </w:rPr>
        <w:t>projects,</w:t>
      </w:r>
      <w:r>
        <w:rPr>
          <w:spacing w:val="-5"/>
          <w:w w:val="105"/>
        </w:rPr>
        <w:t> </w:t>
      </w:r>
      <w:r>
        <w:rPr>
          <w:w w:val="105"/>
        </w:rPr>
        <w:t>and/or involving</w:t>
      </w:r>
      <w:r>
        <w:rPr>
          <w:spacing w:val="-15"/>
          <w:w w:val="105"/>
        </w:rPr>
        <w:t> </w:t>
      </w:r>
      <w:r>
        <w:rPr>
          <w:w w:val="105"/>
        </w:rPr>
        <w:t>multiple</w:t>
      </w:r>
      <w:r>
        <w:rPr>
          <w:spacing w:val="-15"/>
          <w:w w:val="105"/>
        </w:rPr>
        <w:t> </w:t>
      </w:r>
      <w:r>
        <w:rPr>
          <w:w w:val="105"/>
        </w:rPr>
        <w:t>Chinese</w:t>
      </w:r>
      <w:r>
        <w:rPr>
          <w:spacing w:val="-15"/>
          <w:w w:val="105"/>
        </w:rPr>
        <w:t> </w:t>
      </w:r>
      <w:r>
        <w:rPr>
          <w:w w:val="105"/>
        </w:rPr>
        <w:t>and/or</w:t>
      </w:r>
      <w:r>
        <w:rPr>
          <w:spacing w:val="-15"/>
          <w:w w:val="105"/>
        </w:rPr>
        <w:t> </w:t>
      </w:r>
      <w:r>
        <w:rPr>
          <w:w w:val="105"/>
        </w:rPr>
        <w:t>non-Chinese</w:t>
      </w:r>
      <w:r>
        <w:rPr>
          <w:spacing w:val="-15"/>
          <w:w w:val="105"/>
        </w:rPr>
        <w:t> </w:t>
      </w:r>
      <w:r>
        <w:rPr>
          <w:w w:val="105"/>
        </w:rPr>
        <w:t>banks.</w:t>
      </w:r>
      <w:r>
        <w:rPr>
          <w:spacing w:val="-15"/>
          <w:w w:val="105"/>
        </w:rPr>
        <w:t> </w:t>
      </w:r>
      <w:r>
        <w:rPr>
          <w:w w:val="105"/>
        </w:rPr>
        <w:t>It</w:t>
      </w:r>
      <w:r>
        <w:rPr>
          <w:spacing w:val="-15"/>
          <w:w w:val="105"/>
        </w:rPr>
        <w:t> </w:t>
      </w:r>
      <w:r>
        <w:rPr>
          <w:w w:val="105"/>
        </w:rPr>
        <w:t>is</w:t>
      </w:r>
      <w:r>
        <w:rPr>
          <w:spacing w:val="-15"/>
          <w:w w:val="105"/>
        </w:rPr>
        <w:t> </w:t>
      </w:r>
      <w:r>
        <w:rPr>
          <w:w w:val="105"/>
        </w:rPr>
        <w:t>ratcheting</w:t>
      </w:r>
      <w:r>
        <w:rPr>
          <w:spacing w:val="-15"/>
          <w:w w:val="105"/>
        </w:rPr>
        <w:t> </w:t>
      </w:r>
      <w:r>
        <w:rPr>
          <w:w w:val="105"/>
        </w:rPr>
        <w:t>down</w:t>
      </w:r>
      <w:r>
        <w:rPr>
          <w:spacing w:val="-15"/>
          <w:w w:val="105"/>
        </w:rPr>
        <w:t> </w:t>
      </w:r>
      <w:r>
        <w:rPr>
          <w:w w:val="105"/>
        </w:rPr>
        <w:t>its </w:t>
      </w:r>
      <w:r>
        <w:rPr/>
        <w:t>use</w:t>
      </w:r>
      <w:r>
        <w:rPr>
          <w:spacing w:val="-5"/>
        </w:rPr>
        <w:t> </w:t>
      </w:r>
      <w:r>
        <w:rPr/>
        <w:t>of</w:t>
      </w:r>
      <w:r>
        <w:rPr>
          <w:spacing w:val="-5"/>
        </w:rPr>
        <w:t> </w:t>
      </w:r>
      <w:r>
        <w:rPr/>
        <w:t>the</w:t>
      </w:r>
      <w:r>
        <w:rPr>
          <w:spacing w:val="-5"/>
        </w:rPr>
        <w:t> </w:t>
      </w:r>
      <w:r>
        <w:rPr/>
        <w:t>policy</w:t>
      </w:r>
      <w:r>
        <w:rPr>
          <w:spacing w:val="-5"/>
        </w:rPr>
        <w:t> </w:t>
      </w:r>
      <w:r>
        <w:rPr/>
        <w:t>banks</w:t>
      </w:r>
      <w:r>
        <w:rPr>
          <w:spacing w:val="-5"/>
        </w:rPr>
        <w:t> </w:t>
      </w:r>
      <w:r>
        <w:rPr/>
        <w:t>(China</w:t>
      </w:r>
      <w:r>
        <w:rPr>
          <w:spacing w:val="-5"/>
        </w:rPr>
        <w:t> </w:t>
      </w:r>
      <w:r>
        <w:rPr/>
        <w:t>Development</w:t>
      </w:r>
      <w:r>
        <w:rPr>
          <w:spacing w:val="-5"/>
        </w:rPr>
        <w:t> </w:t>
      </w:r>
      <w:r>
        <w:rPr/>
        <w:t>Bank</w:t>
      </w:r>
      <w:r>
        <w:rPr>
          <w:spacing w:val="-5"/>
        </w:rPr>
        <w:t> </w:t>
      </w:r>
      <w:r>
        <w:rPr/>
        <w:t>and</w:t>
      </w:r>
      <w:r>
        <w:rPr>
          <w:spacing w:val="-5"/>
        </w:rPr>
        <w:t> </w:t>
      </w:r>
      <w:r>
        <w:rPr/>
        <w:t>China</w:t>
      </w:r>
      <w:r>
        <w:rPr>
          <w:spacing w:val="-5"/>
        </w:rPr>
        <w:t> </w:t>
      </w:r>
      <w:r>
        <w:rPr/>
        <w:t>Eximbank),</w:t>
      </w:r>
      <w:r>
        <w:rPr>
          <w:spacing w:val="-5"/>
        </w:rPr>
        <w:t> </w:t>
      </w:r>
      <w:r>
        <w:rPr/>
        <w:t>while</w:t>
      </w:r>
      <w:r>
        <w:rPr>
          <w:spacing w:val="-5"/>
        </w:rPr>
        <w:t> </w:t>
      </w:r>
      <w:r>
        <w:rPr/>
        <w:t>at the same time ratcheting up its use of the central bank (People’s Bank of China), state-owned commercial banks (such as Industrial and Commercial Bank of China, Bank of China, and China Construction Bank), and syndicated loan</w:t>
      </w:r>
    </w:p>
    <w:p>
      <w:pPr>
        <w:pStyle w:val="BodyText"/>
        <w:rPr>
          <w:sz w:val="6"/>
        </w:rPr>
      </w:pPr>
      <w:r>
        <w:rPr/>
        <w:pict>
          <v:shape style="position:absolute;margin-left:90pt;margin-top:4.654150pt;width:144pt;height:.1pt;mso-position-horizontal-relative:page;mso-position-vertical-relative:paragraph;z-index:-15728128;mso-wrap-distance-left:0;mso-wrap-distance-right:0" id="docshape2" coordorigin="1800,93" coordsize="2880,0" path="m1800,93l4680,93e" filled="false" stroked="true" strokeweight=".75pt" strokecolor="#000000">
            <v:path arrowok="t"/>
            <v:stroke dashstyle="solid"/>
            <w10:wrap type="topAndBottom"/>
          </v:shape>
        </w:pict>
      </w:r>
    </w:p>
    <w:p>
      <w:pPr>
        <w:spacing w:line="249" w:lineRule="auto" w:before="113"/>
        <w:ind w:left="760" w:right="767" w:firstLine="0"/>
        <w:jc w:val="left"/>
        <w:rPr>
          <w:sz w:val="18"/>
        </w:rPr>
      </w:pPr>
      <w:r>
        <w:rPr>
          <w:sz w:val="18"/>
          <w:vertAlign w:val="superscript"/>
        </w:rPr>
        <w:t>76</w:t>
      </w:r>
      <w:r>
        <w:rPr>
          <w:spacing w:val="-6"/>
          <w:sz w:val="18"/>
          <w:vertAlign w:val="baseline"/>
        </w:rPr>
        <w:t> </w:t>
      </w:r>
      <w:r>
        <w:rPr>
          <w:sz w:val="18"/>
          <w:vertAlign w:val="baseline"/>
        </w:rPr>
        <w:t>The</w:t>
      </w:r>
      <w:r>
        <w:rPr>
          <w:spacing w:val="-5"/>
          <w:sz w:val="18"/>
          <w:vertAlign w:val="baseline"/>
        </w:rPr>
        <w:t> </w:t>
      </w:r>
      <w:r>
        <w:rPr>
          <w:sz w:val="18"/>
          <w:vertAlign w:val="baseline"/>
        </w:rPr>
        <w:t>same</w:t>
      </w:r>
      <w:r>
        <w:rPr>
          <w:spacing w:val="-5"/>
          <w:sz w:val="18"/>
          <w:vertAlign w:val="baseline"/>
        </w:rPr>
        <w:t> </w:t>
      </w:r>
      <w:r>
        <w:rPr>
          <w:i/>
          <w:sz w:val="18"/>
          <w:vertAlign w:val="baseline"/>
        </w:rPr>
        <w:t>Foreign</w:t>
      </w:r>
      <w:r>
        <w:rPr>
          <w:i/>
          <w:spacing w:val="-5"/>
          <w:sz w:val="18"/>
          <w:vertAlign w:val="baseline"/>
        </w:rPr>
        <w:t> </w:t>
      </w:r>
      <w:r>
        <w:rPr>
          <w:i/>
          <w:sz w:val="18"/>
          <w:vertAlign w:val="baseline"/>
        </w:rPr>
        <w:t>Policy</w:t>
      </w:r>
      <w:r>
        <w:rPr>
          <w:i/>
          <w:spacing w:val="-5"/>
          <w:sz w:val="18"/>
          <w:vertAlign w:val="baseline"/>
        </w:rPr>
        <w:t> </w:t>
      </w:r>
      <w:r>
        <w:rPr>
          <w:sz w:val="18"/>
          <w:vertAlign w:val="baseline"/>
        </w:rPr>
        <w:t>magazine</w:t>
      </w:r>
      <w:r>
        <w:rPr>
          <w:spacing w:val="-5"/>
          <w:sz w:val="18"/>
          <w:vertAlign w:val="baseline"/>
        </w:rPr>
        <w:t> </w:t>
      </w:r>
      <w:r>
        <w:rPr>
          <w:sz w:val="18"/>
          <w:vertAlign w:val="baseline"/>
        </w:rPr>
        <w:t>article</w:t>
      </w:r>
      <w:r>
        <w:rPr>
          <w:spacing w:val="-5"/>
          <w:sz w:val="18"/>
          <w:vertAlign w:val="baseline"/>
        </w:rPr>
        <w:t> </w:t>
      </w:r>
      <w:r>
        <w:rPr>
          <w:sz w:val="18"/>
          <w:vertAlign w:val="baseline"/>
        </w:rPr>
        <w:t>notes</w:t>
      </w:r>
      <w:r>
        <w:rPr>
          <w:spacing w:val="-5"/>
          <w:sz w:val="18"/>
          <w:vertAlign w:val="baseline"/>
        </w:rPr>
        <w:t> </w:t>
      </w:r>
      <w:r>
        <w:rPr>
          <w:sz w:val="18"/>
          <w:vertAlign w:val="baseline"/>
        </w:rPr>
        <w:t>that</w:t>
      </w:r>
      <w:r>
        <w:rPr>
          <w:spacing w:val="-5"/>
          <w:sz w:val="18"/>
          <w:vertAlign w:val="baseline"/>
        </w:rPr>
        <w:t> </w:t>
      </w:r>
      <w:r>
        <w:rPr>
          <w:sz w:val="18"/>
          <w:vertAlign w:val="baseline"/>
        </w:rPr>
        <w:t>“experts</w:t>
      </w:r>
      <w:r>
        <w:rPr>
          <w:spacing w:val="-5"/>
          <w:sz w:val="18"/>
          <w:vertAlign w:val="baseline"/>
        </w:rPr>
        <w:t> </w:t>
      </w:r>
      <w:r>
        <w:rPr>
          <w:sz w:val="18"/>
          <w:vertAlign w:val="baseline"/>
        </w:rPr>
        <w:t>say</w:t>
      </w:r>
      <w:r>
        <w:rPr>
          <w:spacing w:val="-5"/>
          <w:sz w:val="18"/>
          <w:vertAlign w:val="baseline"/>
        </w:rPr>
        <w:t> </w:t>
      </w:r>
      <w:r>
        <w:rPr>
          <w:sz w:val="18"/>
          <w:vertAlign w:val="baseline"/>
        </w:rPr>
        <w:t>China's</w:t>
      </w:r>
      <w:r>
        <w:rPr>
          <w:spacing w:val="-5"/>
          <w:sz w:val="18"/>
          <w:vertAlign w:val="baseline"/>
        </w:rPr>
        <w:t> </w:t>
      </w:r>
      <w:r>
        <w:rPr>
          <w:sz w:val="18"/>
          <w:vertAlign w:val="baseline"/>
        </w:rPr>
        <w:t>lending</w:t>
      </w:r>
      <w:r>
        <w:rPr>
          <w:spacing w:val="-5"/>
          <w:sz w:val="18"/>
          <w:vertAlign w:val="baseline"/>
        </w:rPr>
        <w:t> </w:t>
      </w:r>
      <w:r>
        <w:rPr>
          <w:sz w:val="18"/>
          <w:vertAlign w:val="baseline"/>
        </w:rPr>
        <w:t>for</w:t>
      </w:r>
      <w:r>
        <w:rPr>
          <w:spacing w:val="-5"/>
          <w:sz w:val="18"/>
          <w:vertAlign w:val="baseline"/>
        </w:rPr>
        <w:t> </w:t>
      </w:r>
      <w:r>
        <w:rPr>
          <w:sz w:val="18"/>
          <w:vertAlign w:val="baseline"/>
        </w:rPr>
        <w:t>BRI</w:t>
      </w:r>
      <w:r>
        <w:rPr>
          <w:spacing w:val="-5"/>
          <w:sz w:val="18"/>
          <w:vertAlign w:val="baseline"/>
        </w:rPr>
        <w:t> </w:t>
      </w:r>
      <w:r>
        <w:rPr>
          <w:sz w:val="18"/>
          <w:vertAlign w:val="baseline"/>
        </w:rPr>
        <w:t>projects</w:t>
      </w:r>
      <w:r>
        <w:rPr>
          <w:spacing w:val="-5"/>
          <w:sz w:val="18"/>
          <w:vertAlign w:val="baseline"/>
        </w:rPr>
        <w:t> </w:t>
      </w:r>
      <w:r>
        <w:rPr>
          <w:sz w:val="18"/>
          <w:vertAlign w:val="baseline"/>
        </w:rPr>
        <w:t>has plummeted” (Lu 2023).</w:t>
      </w:r>
    </w:p>
    <w:p>
      <w:pPr>
        <w:spacing w:after="0" w:line="249" w:lineRule="auto"/>
        <w:jc w:val="left"/>
        <w:rPr>
          <w:sz w:val="18"/>
        </w:rPr>
        <w:sectPr>
          <w:footerReference w:type="default" r:id="rId6"/>
          <w:pgSz w:w="12240" w:h="15840"/>
          <w:pgMar w:footer="720" w:header="0" w:top="1500" w:bottom="920" w:left="1040" w:right="1040"/>
          <w:pgNumType w:start="45"/>
        </w:sectPr>
      </w:pPr>
    </w:p>
    <w:p>
      <w:pPr>
        <w:pStyle w:val="BodyText"/>
        <w:spacing w:line="333" w:lineRule="auto" w:before="27"/>
        <w:ind w:left="760" w:right="818"/>
      </w:pPr>
      <w:r>
        <w:rPr/>
        <w:t>arrangements with non-Chinese banks (such as Standard Chartered, BNP Paribas, the International Finance Corporation, and the European Bank of Reconstruction and Development). It is also putting in place stronger </w:t>
      </w:r>
      <w:r>
        <w:rPr/>
        <w:t>safeguards to protect itself from borrowers that present high levels of repayment risk. So, another way of reading the evidentiary record is that Beijing is behaving like a </w:t>
      </w:r>
      <w:r>
        <w:rPr>
          <w:i/>
        </w:rPr>
        <w:t>yield-maximizing investment portfolio manager </w:t>
      </w:r>
      <w:r>
        <w:rPr/>
        <w:t>(see Box 2b).</w:t>
      </w:r>
    </w:p>
    <w:p>
      <w:pPr>
        <w:pStyle w:val="BodyText"/>
        <w:spacing w:before="7"/>
        <w:rPr>
          <w:sz w:val="27"/>
        </w:rPr>
      </w:pPr>
    </w:p>
    <w:p>
      <w:pPr>
        <w:pStyle w:val="BodyText"/>
        <w:spacing w:line="333" w:lineRule="auto"/>
        <w:ind w:left="760" w:right="767"/>
      </w:pPr>
      <w:r>
        <w:rPr/>
        <w:t>The de-risking measures that Beijing is implementing are poorly understood among those who make and shape policy in Western capitals, which means that Washington, London, and Brussels increasingly run the risk of competing with a version of the BRI that no longer exists—BRI 1.0 rather than BRI 2.0. Our aim in this</w:t>
      </w:r>
      <w:r>
        <w:rPr>
          <w:spacing w:val="20"/>
        </w:rPr>
        <w:t> </w:t>
      </w:r>
      <w:r>
        <w:rPr/>
        <w:t>chapter</w:t>
      </w:r>
      <w:r>
        <w:rPr>
          <w:spacing w:val="20"/>
        </w:rPr>
        <w:t> </w:t>
      </w:r>
      <w:r>
        <w:rPr/>
        <w:t>is</w:t>
      </w:r>
      <w:r>
        <w:rPr>
          <w:spacing w:val="20"/>
        </w:rPr>
        <w:t> </w:t>
      </w:r>
      <w:r>
        <w:rPr/>
        <w:t>to</w:t>
      </w:r>
      <w:r>
        <w:rPr>
          <w:spacing w:val="20"/>
        </w:rPr>
        <w:t> </w:t>
      </w:r>
      <w:r>
        <w:rPr/>
        <w:t>set</w:t>
      </w:r>
      <w:r>
        <w:rPr>
          <w:spacing w:val="20"/>
        </w:rPr>
        <w:t> </w:t>
      </w:r>
      <w:r>
        <w:rPr/>
        <w:t>the</w:t>
      </w:r>
      <w:r>
        <w:rPr>
          <w:spacing w:val="20"/>
        </w:rPr>
        <w:t> </w:t>
      </w:r>
      <w:r>
        <w:rPr/>
        <w:t>record</w:t>
      </w:r>
      <w:r>
        <w:rPr>
          <w:spacing w:val="20"/>
        </w:rPr>
        <w:t> </w:t>
      </w:r>
      <w:r>
        <w:rPr/>
        <w:t>straight.</w:t>
      </w:r>
      <w:r>
        <w:rPr>
          <w:spacing w:val="20"/>
        </w:rPr>
        <w:t> </w:t>
      </w:r>
      <w:r>
        <w:rPr/>
        <w:t>We</w:t>
      </w:r>
      <w:r>
        <w:rPr>
          <w:spacing w:val="20"/>
        </w:rPr>
        <w:t> </w:t>
      </w:r>
      <w:r>
        <w:rPr/>
        <w:t>do</w:t>
      </w:r>
      <w:r>
        <w:rPr>
          <w:spacing w:val="20"/>
        </w:rPr>
        <w:t> </w:t>
      </w:r>
      <w:r>
        <w:rPr/>
        <w:t>so</w:t>
      </w:r>
      <w:r>
        <w:rPr>
          <w:spacing w:val="20"/>
        </w:rPr>
        <w:t> </w:t>
      </w:r>
      <w:r>
        <w:rPr/>
        <w:t>by</w:t>
      </w:r>
      <w:r>
        <w:rPr>
          <w:spacing w:val="20"/>
        </w:rPr>
        <w:t> </w:t>
      </w:r>
      <w:r>
        <w:rPr/>
        <w:t>ﬁrst</w:t>
      </w:r>
      <w:r>
        <w:rPr>
          <w:spacing w:val="20"/>
        </w:rPr>
        <w:t> </w:t>
      </w:r>
      <w:r>
        <w:rPr/>
        <w:t>debunking</w:t>
      </w:r>
      <w:r>
        <w:rPr>
          <w:spacing w:val="20"/>
        </w:rPr>
        <w:t> </w:t>
      </w:r>
      <w:r>
        <w:rPr/>
        <w:t>the popular myth that China’s overseas lending program has experienced a total collapse. The rest of the chapter is focused on demystifying the purpose, </w:t>
      </w:r>
      <w:r>
        <w:rPr/>
        <w:t>nature, and scope of Beijing’s ongoing BRI reboot.</w:t>
      </w:r>
    </w:p>
    <w:p>
      <w:pPr>
        <w:pStyle w:val="BodyText"/>
        <w:spacing w:before="5"/>
        <w:rPr>
          <w:sz w:val="27"/>
        </w:rPr>
      </w:pPr>
    </w:p>
    <w:p>
      <w:pPr>
        <w:pStyle w:val="BodyText"/>
        <w:spacing w:line="333" w:lineRule="auto"/>
        <w:ind w:left="760" w:right="767"/>
      </w:pPr>
      <w:r>
        <w:rPr/>
        <w:t>The “Beijing in retreat” storyline has gained traction because it is consistent with the topline Chinese lending commitment trends that are recorded in several publicly</w:t>
      </w:r>
      <w:r>
        <w:rPr>
          <w:spacing w:val="-15"/>
        </w:rPr>
        <w:t> </w:t>
      </w:r>
      <w:r>
        <w:rPr/>
        <w:t>available</w:t>
      </w:r>
      <w:r>
        <w:rPr>
          <w:spacing w:val="-15"/>
        </w:rPr>
        <w:t> </w:t>
      </w:r>
      <w:r>
        <w:rPr/>
        <w:t>databases,</w:t>
      </w:r>
      <w:r>
        <w:rPr>
          <w:spacing w:val="-15"/>
        </w:rPr>
        <w:t> </w:t>
      </w:r>
      <w:r>
        <w:rPr/>
        <w:t>such</w:t>
      </w:r>
      <w:r>
        <w:rPr>
          <w:spacing w:val="-15"/>
        </w:rPr>
        <w:t> </w:t>
      </w:r>
      <w:r>
        <w:rPr/>
        <w:t>as</w:t>
      </w:r>
      <w:r>
        <w:rPr>
          <w:spacing w:val="-15"/>
        </w:rPr>
        <w:t> </w:t>
      </w:r>
      <w:r>
        <w:rPr/>
        <w:t>the</w:t>
      </w:r>
      <w:r>
        <w:rPr>
          <w:spacing w:val="-15"/>
        </w:rPr>
        <w:t> </w:t>
      </w:r>
      <w:r>
        <w:rPr/>
        <w:t>China’s</w:t>
      </w:r>
      <w:r>
        <w:rPr>
          <w:spacing w:val="-15"/>
        </w:rPr>
        <w:t> </w:t>
      </w:r>
      <w:r>
        <w:rPr/>
        <w:t>Overseas</w:t>
      </w:r>
      <w:r>
        <w:rPr>
          <w:spacing w:val="-15"/>
        </w:rPr>
        <w:t> </w:t>
      </w:r>
      <w:r>
        <w:rPr/>
        <w:t>Development</w:t>
      </w:r>
      <w:r>
        <w:rPr>
          <w:spacing w:val="-15"/>
        </w:rPr>
        <w:t> </w:t>
      </w:r>
      <w:r>
        <w:rPr/>
        <w:t>Finance Database, the Chinese Loans to Latin America and the Caribbean Database, the Chinese</w:t>
      </w:r>
      <w:r>
        <w:rPr>
          <w:spacing w:val="-7"/>
        </w:rPr>
        <w:t> </w:t>
      </w:r>
      <w:r>
        <w:rPr/>
        <w:t>Loans</w:t>
      </w:r>
      <w:r>
        <w:rPr>
          <w:spacing w:val="-7"/>
        </w:rPr>
        <w:t> </w:t>
      </w:r>
      <w:r>
        <w:rPr/>
        <w:t>to</w:t>
      </w:r>
      <w:r>
        <w:rPr>
          <w:spacing w:val="-7"/>
        </w:rPr>
        <w:t> </w:t>
      </w:r>
      <w:r>
        <w:rPr/>
        <w:t>Africa</w:t>
      </w:r>
      <w:r>
        <w:rPr>
          <w:spacing w:val="-7"/>
        </w:rPr>
        <w:t> </w:t>
      </w:r>
      <w:r>
        <w:rPr/>
        <w:t>Database,</w:t>
      </w:r>
      <w:r>
        <w:rPr>
          <w:spacing w:val="-7"/>
        </w:rPr>
        <w:t> </w:t>
      </w:r>
      <w:r>
        <w:rPr/>
        <w:t>the</w:t>
      </w:r>
      <w:r>
        <w:rPr>
          <w:spacing w:val="-7"/>
        </w:rPr>
        <w:t> </w:t>
      </w:r>
      <w:r>
        <w:rPr/>
        <w:t>China’s</w:t>
      </w:r>
      <w:r>
        <w:rPr>
          <w:spacing w:val="-7"/>
        </w:rPr>
        <w:t> </w:t>
      </w:r>
      <w:r>
        <w:rPr/>
        <w:t>Global</w:t>
      </w:r>
      <w:r>
        <w:rPr>
          <w:spacing w:val="-7"/>
        </w:rPr>
        <w:t> </w:t>
      </w:r>
      <w:r>
        <w:rPr/>
        <w:t>Energy</w:t>
      </w:r>
      <w:r>
        <w:rPr>
          <w:spacing w:val="-7"/>
        </w:rPr>
        <w:t> </w:t>
      </w:r>
      <w:r>
        <w:rPr/>
        <w:t>Finance</w:t>
      </w:r>
      <w:r>
        <w:rPr>
          <w:spacing w:val="-7"/>
        </w:rPr>
        <w:t> </w:t>
      </w:r>
      <w:r>
        <w:rPr/>
        <w:t>Database, the China Overseas Finance Inventory Database, and the World Bank’s International Debt Statistics (IDS). Consider the following claims that have been made based upon these data sources:</w:t>
      </w:r>
    </w:p>
    <w:p>
      <w:pPr>
        <w:pStyle w:val="BodyText"/>
        <w:spacing w:before="5"/>
        <w:rPr>
          <w:sz w:val="27"/>
        </w:rPr>
      </w:pPr>
    </w:p>
    <w:p>
      <w:pPr>
        <w:pStyle w:val="ListParagraph"/>
        <w:numPr>
          <w:ilvl w:val="0"/>
          <w:numId w:val="1"/>
        </w:numPr>
        <w:tabs>
          <w:tab w:pos="1479" w:val="left" w:leader="none"/>
          <w:tab w:pos="1480" w:val="left" w:leader="none"/>
        </w:tabs>
        <w:spacing w:line="333" w:lineRule="auto" w:before="0" w:after="0"/>
        <w:ind w:left="1480" w:right="764" w:hanging="360"/>
        <w:jc w:val="left"/>
        <w:rPr>
          <w:sz w:val="24"/>
        </w:rPr>
      </w:pPr>
      <w:r>
        <w:rPr>
          <w:sz w:val="24"/>
        </w:rPr>
        <w:t>In</w:t>
      </w:r>
      <w:r>
        <w:rPr>
          <w:spacing w:val="-1"/>
          <w:sz w:val="24"/>
        </w:rPr>
        <w:t> </w:t>
      </w:r>
      <w:r>
        <w:rPr>
          <w:sz w:val="24"/>
        </w:rPr>
        <w:t>December</w:t>
      </w:r>
      <w:r>
        <w:rPr>
          <w:spacing w:val="-1"/>
          <w:sz w:val="24"/>
        </w:rPr>
        <w:t> </w:t>
      </w:r>
      <w:r>
        <w:rPr>
          <w:sz w:val="24"/>
        </w:rPr>
        <w:t>2020,</w:t>
      </w:r>
      <w:r>
        <w:rPr>
          <w:spacing w:val="-1"/>
          <w:sz w:val="24"/>
        </w:rPr>
        <w:t> </w:t>
      </w:r>
      <w:r>
        <w:rPr>
          <w:sz w:val="24"/>
        </w:rPr>
        <w:t>Boston</w:t>
      </w:r>
      <w:r>
        <w:rPr>
          <w:spacing w:val="-1"/>
          <w:sz w:val="24"/>
        </w:rPr>
        <w:t> </w:t>
      </w:r>
      <w:r>
        <w:rPr>
          <w:sz w:val="24"/>
        </w:rPr>
        <w:t>University’s</w:t>
      </w:r>
      <w:r>
        <w:rPr>
          <w:spacing w:val="-1"/>
          <w:sz w:val="24"/>
        </w:rPr>
        <w:t> </w:t>
      </w:r>
      <w:r>
        <w:rPr>
          <w:sz w:val="24"/>
        </w:rPr>
        <w:t>Global</w:t>
      </w:r>
      <w:r>
        <w:rPr>
          <w:spacing w:val="-1"/>
          <w:sz w:val="24"/>
        </w:rPr>
        <w:t> </w:t>
      </w:r>
      <w:r>
        <w:rPr>
          <w:sz w:val="24"/>
        </w:rPr>
        <w:t>Development</w:t>
      </w:r>
      <w:r>
        <w:rPr>
          <w:spacing w:val="-1"/>
          <w:sz w:val="24"/>
        </w:rPr>
        <w:t> </w:t>
      </w:r>
      <w:r>
        <w:rPr>
          <w:sz w:val="24"/>
        </w:rPr>
        <w:t>Policy</w:t>
      </w:r>
      <w:r>
        <w:rPr>
          <w:spacing w:val="-1"/>
          <w:sz w:val="24"/>
        </w:rPr>
        <w:t> </w:t>
      </w:r>
      <w:r>
        <w:rPr>
          <w:sz w:val="24"/>
        </w:rPr>
        <w:t>Center</w:t>
      </w:r>
      <w:r>
        <w:rPr>
          <w:sz w:val="24"/>
        </w:rPr>
        <w:t> released the China’s Overseas Development Finance (CODF) Database, which provides data on China Eximbank and CDB lending commitments</w:t>
      </w:r>
      <w:r>
        <w:rPr>
          <w:spacing w:val="80"/>
          <w:sz w:val="24"/>
        </w:rPr>
        <w:t> </w:t>
      </w:r>
      <w:r>
        <w:rPr>
          <w:sz w:val="24"/>
        </w:rPr>
        <w:t>to governments, inter-governmental bodies, majority state-owned entities and minority state-owned entities with sovereign guarantees. The</w:t>
      </w:r>
      <w:r>
        <w:rPr>
          <w:spacing w:val="40"/>
          <w:sz w:val="24"/>
        </w:rPr>
        <w:t> </w:t>
      </w:r>
      <w:r>
        <w:rPr>
          <w:sz w:val="24"/>
        </w:rPr>
        <w:t>research team responsible for the database claimed at the time that it provided evidence of “China’s overseas development ﬁnance commitments” declining from $75 billion in 2016 to $3.9 billion in 2020</w:t>
      </w:r>
      <w:r>
        <w:rPr>
          <w:spacing w:val="40"/>
          <w:sz w:val="24"/>
        </w:rPr>
        <w:t> </w:t>
      </w:r>
      <w:r>
        <w:rPr>
          <w:sz w:val="24"/>
        </w:rPr>
        <w:t>(Gallagher</w:t>
      </w:r>
      <w:r>
        <w:rPr>
          <w:spacing w:val="-12"/>
          <w:sz w:val="24"/>
        </w:rPr>
        <w:t> </w:t>
      </w:r>
      <w:r>
        <w:rPr>
          <w:sz w:val="24"/>
        </w:rPr>
        <w:t>and</w:t>
      </w:r>
      <w:r>
        <w:rPr>
          <w:spacing w:val="-12"/>
          <w:sz w:val="24"/>
        </w:rPr>
        <w:t> </w:t>
      </w:r>
      <w:r>
        <w:rPr>
          <w:sz w:val="24"/>
        </w:rPr>
        <w:t>Ray</w:t>
      </w:r>
      <w:r>
        <w:rPr>
          <w:spacing w:val="-12"/>
          <w:sz w:val="24"/>
        </w:rPr>
        <w:t> </w:t>
      </w:r>
      <w:r>
        <w:rPr>
          <w:sz w:val="24"/>
        </w:rPr>
        <w:t>2020).</w:t>
      </w:r>
      <w:r>
        <w:rPr>
          <w:spacing w:val="-12"/>
          <w:sz w:val="24"/>
        </w:rPr>
        <w:t> </w:t>
      </w:r>
      <w:r>
        <w:rPr>
          <w:sz w:val="24"/>
        </w:rPr>
        <w:t>Then,</w:t>
      </w:r>
      <w:r>
        <w:rPr>
          <w:spacing w:val="-12"/>
          <w:sz w:val="24"/>
        </w:rPr>
        <w:t> </w:t>
      </w:r>
      <w:r>
        <w:rPr>
          <w:sz w:val="24"/>
        </w:rPr>
        <w:t>in</w:t>
      </w:r>
      <w:r>
        <w:rPr>
          <w:spacing w:val="-12"/>
          <w:sz w:val="24"/>
        </w:rPr>
        <w:t> </w:t>
      </w:r>
      <w:r>
        <w:rPr>
          <w:sz w:val="24"/>
        </w:rPr>
        <w:t>January</w:t>
      </w:r>
      <w:r>
        <w:rPr>
          <w:spacing w:val="-12"/>
          <w:sz w:val="24"/>
        </w:rPr>
        <w:t> </w:t>
      </w:r>
      <w:r>
        <w:rPr>
          <w:sz w:val="24"/>
        </w:rPr>
        <w:t>2023,</w:t>
      </w:r>
      <w:r>
        <w:rPr>
          <w:spacing w:val="-12"/>
          <w:sz w:val="24"/>
        </w:rPr>
        <w:t> </w:t>
      </w:r>
      <w:r>
        <w:rPr>
          <w:sz w:val="24"/>
        </w:rPr>
        <w:t>the</w:t>
      </w:r>
      <w:r>
        <w:rPr>
          <w:spacing w:val="-12"/>
          <w:sz w:val="24"/>
        </w:rPr>
        <w:t> </w:t>
      </w:r>
      <w:r>
        <w:rPr>
          <w:sz w:val="24"/>
        </w:rPr>
        <w:t>same</w:t>
      </w:r>
      <w:r>
        <w:rPr>
          <w:spacing w:val="-12"/>
          <w:sz w:val="24"/>
        </w:rPr>
        <w:t> </w:t>
      </w:r>
      <w:r>
        <w:rPr>
          <w:sz w:val="24"/>
        </w:rPr>
        <w:t>research</w:t>
      </w:r>
      <w:r>
        <w:rPr>
          <w:spacing w:val="-12"/>
          <w:sz w:val="24"/>
        </w:rPr>
        <w:t> </w:t>
      </w:r>
      <w:r>
        <w:rPr>
          <w:sz w:val="24"/>
        </w:rPr>
        <w:t>team used an updated version of the CODF database to argue that China’s</w:t>
      </w:r>
    </w:p>
    <w:p>
      <w:pPr>
        <w:spacing w:after="0" w:line="333" w:lineRule="auto"/>
        <w:jc w:val="left"/>
        <w:rPr>
          <w:sz w:val="24"/>
        </w:rPr>
        <w:sectPr>
          <w:pgSz w:w="12240" w:h="15840"/>
          <w:pgMar w:header="0" w:footer="720" w:top="1400" w:bottom="920" w:left="1040" w:right="1040"/>
        </w:sectPr>
      </w:pPr>
    </w:p>
    <w:p>
      <w:pPr>
        <w:pStyle w:val="BodyText"/>
        <w:spacing w:line="333" w:lineRule="auto" w:before="27"/>
        <w:ind w:left="1480" w:right="898"/>
      </w:pPr>
      <w:r>
        <w:rPr/>
        <w:t>overseas development ﬁnance commitments remained at </w:t>
      </w:r>
      <w:r>
        <w:rPr/>
        <w:t>an exceptionally low level ($3.6 billion) in 2021 (Ray 2023).</w:t>
      </w:r>
    </w:p>
    <w:p>
      <w:pPr>
        <w:pStyle w:val="BodyText"/>
        <w:spacing w:before="8"/>
        <w:rPr>
          <w:sz w:val="27"/>
        </w:rPr>
      </w:pPr>
    </w:p>
    <w:p>
      <w:pPr>
        <w:pStyle w:val="ListParagraph"/>
        <w:numPr>
          <w:ilvl w:val="0"/>
          <w:numId w:val="1"/>
        </w:numPr>
        <w:tabs>
          <w:tab w:pos="1479" w:val="left" w:leader="none"/>
          <w:tab w:pos="1480" w:val="left" w:leader="none"/>
        </w:tabs>
        <w:spacing w:line="333" w:lineRule="auto" w:before="0" w:after="0"/>
        <w:ind w:left="1480" w:right="937" w:hanging="360"/>
        <w:jc w:val="left"/>
        <w:rPr>
          <w:sz w:val="24"/>
        </w:rPr>
      </w:pPr>
      <w:r>
        <w:rPr>
          <w:sz w:val="24"/>
        </w:rPr>
        <w:t>The</w:t>
      </w:r>
      <w:r>
        <w:rPr>
          <w:spacing w:val="-13"/>
          <w:sz w:val="24"/>
        </w:rPr>
        <w:t> </w:t>
      </w:r>
      <w:r>
        <w:rPr>
          <w:sz w:val="24"/>
        </w:rPr>
        <w:t>World</w:t>
      </w:r>
      <w:r>
        <w:rPr>
          <w:spacing w:val="-13"/>
          <w:sz w:val="24"/>
        </w:rPr>
        <w:t> </w:t>
      </w:r>
      <w:r>
        <w:rPr>
          <w:sz w:val="24"/>
        </w:rPr>
        <w:t>Bank’s</w:t>
      </w:r>
      <w:r>
        <w:rPr>
          <w:spacing w:val="-13"/>
          <w:sz w:val="24"/>
        </w:rPr>
        <w:t> </w:t>
      </w:r>
      <w:r>
        <w:rPr>
          <w:sz w:val="24"/>
        </w:rPr>
        <w:t>International</w:t>
      </w:r>
      <w:r>
        <w:rPr>
          <w:spacing w:val="-13"/>
          <w:sz w:val="24"/>
        </w:rPr>
        <w:t> </w:t>
      </w:r>
      <w:r>
        <w:rPr>
          <w:sz w:val="24"/>
        </w:rPr>
        <w:t>Debt</w:t>
      </w:r>
      <w:r>
        <w:rPr>
          <w:spacing w:val="-13"/>
          <w:sz w:val="24"/>
        </w:rPr>
        <w:t> </w:t>
      </w:r>
      <w:r>
        <w:rPr>
          <w:sz w:val="24"/>
        </w:rPr>
        <w:t>Statistics</w:t>
      </w:r>
      <w:r>
        <w:rPr>
          <w:spacing w:val="-13"/>
          <w:sz w:val="24"/>
        </w:rPr>
        <w:t> </w:t>
      </w:r>
      <w:r>
        <w:rPr>
          <w:sz w:val="24"/>
        </w:rPr>
        <w:t>(IDS)</w:t>
      </w:r>
      <w:r>
        <w:rPr>
          <w:spacing w:val="-13"/>
          <w:sz w:val="24"/>
        </w:rPr>
        <w:t> </w:t>
      </w:r>
      <w:r>
        <w:rPr>
          <w:sz w:val="24"/>
        </w:rPr>
        <w:t>show</w:t>
      </w:r>
      <w:r>
        <w:rPr>
          <w:spacing w:val="-13"/>
          <w:sz w:val="24"/>
        </w:rPr>
        <w:t> </w:t>
      </w:r>
      <w:r>
        <w:rPr>
          <w:sz w:val="24"/>
        </w:rPr>
        <w:t>a</w:t>
      </w:r>
      <w:r>
        <w:rPr>
          <w:spacing w:val="-13"/>
          <w:sz w:val="24"/>
        </w:rPr>
        <w:t> </w:t>
      </w:r>
      <w:r>
        <w:rPr>
          <w:sz w:val="24"/>
        </w:rPr>
        <w:t>sharp</w:t>
      </w:r>
      <w:r>
        <w:rPr>
          <w:spacing w:val="-13"/>
          <w:sz w:val="24"/>
        </w:rPr>
        <w:t> </w:t>
      </w:r>
      <w:r>
        <w:rPr>
          <w:sz w:val="24"/>
        </w:rPr>
        <w:t>decline</w:t>
      </w:r>
      <w:r>
        <w:rPr>
          <w:sz w:val="24"/>
        </w:rPr>
        <w:t> </w:t>
      </w:r>
      <w:r>
        <w:rPr>
          <w:w w:val="105"/>
          <w:sz w:val="24"/>
        </w:rPr>
        <w:t>in</w:t>
      </w:r>
      <w:r>
        <w:rPr>
          <w:spacing w:val="-8"/>
          <w:w w:val="105"/>
          <w:sz w:val="24"/>
        </w:rPr>
        <w:t> </w:t>
      </w:r>
      <w:r>
        <w:rPr>
          <w:w w:val="105"/>
          <w:sz w:val="24"/>
        </w:rPr>
        <w:t>ofﬁcial</w:t>
      </w:r>
      <w:r>
        <w:rPr>
          <w:spacing w:val="-8"/>
          <w:w w:val="105"/>
          <w:sz w:val="24"/>
        </w:rPr>
        <w:t> </w:t>
      </w:r>
      <w:r>
        <w:rPr>
          <w:w w:val="105"/>
          <w:sz w:val="24"/>
        </w:rPr>
        <w:t>sector</w:t>
      </w:r>
      <w:r>
        <w:rPr>
          <w:spacing w:val="-8"/>
          <w:w w:val="105"/>
          <w:sz w:val="24"/>
        </w:rPr>
        <w:t> </w:t>
      </w:r>
      <w:r>
        <w:rPr>
          <w:w w:val="105"/>
          <w:sz w:val="24"/>
        </w:rPr>
        <w:t>loan</w:t>
      </w:r>
      <w:r>
        <w:rPr>
          <w:spacing w:val="-8"/>
          <w:w w:val="105"/>
          <w:sz w:val="24"/>
        </w:rPr>
        <w:t> </w:t>
      </w:r>
      <w:r>
        <w:rPr>
          <w:w w:val="105"/>
          <w:sz w:val="24"/>
        </w:rPr>
        <w:t>commitments</w:t>
      </w:r>
      <w:r>
        <w:rPr>
          <w:spacing w:val="-8"/>
          <w:w w:val="105"/>
          <w:sz w:val="24"/>
        </w:rPr>
        <w:t> </w:t>
      </w:r>
      <w:r>
        <w:rPr>
          <w:w w:val="105"/>
          <w:sz w:val="24"/>
        </w:rPr>
        <w:t>from</w:t>
      </w:r>
      <w:r>
        <w:rPr>
          <w:spacing w:val="-8"/>
          <w:w w:val="105"/>
          <w:sz w:val="24"/>
        </w:rPr>
        <w:t> </w:t>
      </w:r>
      <w:r>
        <w:rPr>
          <w:w w:val="105"/>
          <w:sz w:val="24"/>
        </w:rPr>
        <w:t>China</w:t>
      </w:r>
      <w:r>
        <w:rPr>
          <w:spacing w:val="-8"/>
          <w:w w:val="105"/>
          <w:sz w:val="24"/>
        </w:rPr>
        <w:t> </w:t>
      </w:r>
      <w:r>
        <w:rPr>
          <w:w w:val="105"/>
          <w:sz w:val="24"/>
        </w:rPr>
        <w:t>to</w:t>
      </w:r>
      <w:r>
        <w:rPr>
          <w:spacing w:val="-8"/>
          <w:w w:val="105"/>
          <w:sz w:val="24"/>
        </w:rPr>
        <w:t> </w:t>
      </w:r>
      <w:r>
        <w:rPr>
          <w:w w:val="105"/>
          <w:sz w:val="24"/>
        </w:rPr>
        <w:t>public</w:t>
      </w:r>
      <w:r>
        <w:rPr>
          <w:spacing w:val="-8"/>
          <w:w w:val="105"/>
          <w:sz w:val="24"/>
        </w:rPr>
        <w:t> </w:t>
      </w:r>
      <w:r>
        <w:rPr>
          <w:w w:val="105"/>
          <w:sz w:val="24"/>
        </w:rPr>
        <w:t>sector institutions</w:t>
      </w:r>
      <w:r>
        <w:rPr>
          <w:spacing w:val="-12"/>
          <w:w w:val="105"/>
          <w:sz w:val="24"/>
        </w:rPr>
        <w:t> </w:t>
      </w:r>
      <w:r>
        <w:rPr>
          <w:w w:val="105"/>
          <w:sz w:val="24"/>
        </w:rPr>
        <w:t>in</w:t>
      </w:r>
      <w:r>
        <w:rPr>
          <w:spacing w:val="-12"/>
          <w:w w:val="105"/>
          <w:sz w:val="24"/>
        </w:rPr>
        <w:t> </w:t>
      </w:r>
      <w:r>
        <w:rPr>
          <w:w w:val="105"/>
          <w:sz w:val="24"/>
        </w:rPr>
        <w:t>low-income</w:t>
      </w:r>
      <w:r>
        <w:rPr>
          <w:spacing w:val="-12"/>
          <w:w w:val="105"/>
          <w:sz w:val="24"/>
        </w:rPr>
        <w:t> </w:t>
      </w:r>
      <w:r>
        <w:rPr>
          <w:w w:val="105"/>
          <w:sz w:val="24"/>
        </w:rPr>
        <w:t>and</w:t>
      </w:r>
      <w:r>
        <w:rPr>
          <w:spacing w:val="-12"/>
          <w:w w:val="105"/>
          <w:sz w:val="24"/>
        </w:rPr>
        <w:t> </w:t>
      </w:r>
      <w:r>
        <w:rPr>
          <w:w w:val="105"/>
          <w:sz w:val="24"/>
        </w:rPr>
        <w:t>middle-income</w:t>
      </w:r>
      <w:r>
        <w:rPr>
          <w:spacing w:val="-12"/>
          <w:w w:val="105"/>
          <w:sz w:val="24"/>
        </w:rPr>
        <w:t> </w:t>
      </w:r>
      <w:r>
        <w:rPr>
          <w:w w:val="105"/>
          <w:sz w:val="24"/>
        </w:rPr>
        <w:t>countries—from</w:t>
      </w:r>
      <w:r>
        <w:rPr>
          <w:spacing w:val="-12"/>
          <w:w w:val="105"/>
          <w:sz w:val="24"/>
        </w:rPr>
        <w:t> </w:t>
      </w:r>
      <w:r>
        <w:rPr>
          <w:w w:val="105"/>
          <w:sz w:val="24"/>
        </w:rPr>
        <w:t>$31.5 billion in 2016 to $7 billion in 2021.</w:t>
      </w:r>
    </w:p>
    <w:p>
      <w:pPr>
        <w:pStyle w:val="BodyText"/>
        <w:spacing w:before="7"/>
        <w:rPr>
          <w:sz w:val="27"/>
        </w:rPr>
      </w:pPr>
    </w:p>
    <w:p>
      <w:pPr>
        <w:pStyle w:val="ListParagraph"/>
        <w:numPr>
          <w:ilvl w:val="0"/>
          <w:numId w:val="1"/>
        </w:numPr>
        <w:tabs>
          <w:tab w:pos="1479" w:val="left" w:leader="none"/>
          <w:tab w:pos="1480" w:val="left" w:leader="none"/>
        </w:tabs>
        <w:spacing w:line="333" w:lineRule="auto" w:before="1" w:after="0"/>
        <w:ind w:left="1480" w:right="965" w:hanging="360"/>
        <w:jc w:val="left"/>
        <w:rPr>
          <w:sz w:val="24"/>
        </w:rPr>
      </w:pPr>
      <w:r>
        <w:rPr>
          <w:w w:val="105"/>
          <w:sz w:val="24"/>
        </w:rPr>
        <w:t>According</w:t>
      </w:r>
      <w:r>
        <w:rPr>
          <w:spacing w:val="-15"/>
          <w:w w:val="105"/>
          <w:sz w:val="24"/>
        </w:rPr>
        <w:t> </w:t>
      </w:r>
      <w:r>
        <w:rPr>
          <w:w w:val="105"/>
          <w:sz w:val="24"/>
        </w:rPr>
        <w:t>to</w:t>
      </w:r>
      <w:r>
        <w:rPr>
          <w:spacing w:val="-15"/>
          <w:w w:val="105"/>
          <w:sz w:val="24"/>
        </w:rPr>
        <w:t> </w:t>
      </w:r>
      <w:r>
        <w:rPr>
          <w:w w:val="105"/>
          <w:sz w:val="24"/>
        </w:rPr>
        <w:t>the</w:t>
      </w:r>
      <w:r>
        <w:rPr>
          <w:spacing w:val="-15"/>
          <w:w w:val="105"/>
          <w:sz w:val="24"/>
        </w:rPr>
        <w:t> </w:t>
      </w:r>
      <w:r>
        <w:rPr>
          <w:w w:val="105"/>
          <w:sz w:val="24"/>
        </w:rPr>
        <w:t>Chinese</w:t>
      </w:r>
      <w:r>
        <w:rPr>
          <w:spacing w:val="-15"/>
          <w:w w:val="105"/>
          <w:sz w:val="24"/>
        </w:rPr>
        <w:t> </w:t>
      </w:r>
      <w:r>
        <w:rPr>
          <w:w w:val="105"/>
          <w:sz w:val="24"/>
        </w:rPr>
        <w:t>Loans</w:t>
      </w:r>
      <w:r>
        <w:rPr>
          <w:spacing w:val="-15"/>
          <w:w w:val="105"/>
          <w:sz w:val="24"/>
        </w:rPr>
        <w:t> </w:t>
      </w:r>
      <w:r>
        <w:rPr>
          <w:w w:val="105"/>
          <w:sz w:val="24"/>
        </w:rPr>
        <w:t>to</w:t>
      </w:r>
      <w:r>
        <w:rPr>
          <w:spacing w:val="-15"/>
          <w:w w:val="105"/>
          <w:sz w:val="24"/>
        </w:rPr>
        <w:t> </w:t>
      </w:r>
      <w:r>
        <w:rPr>
          <w:w w:val="105"/>
          <w:sz w:val="24"/>
        </w:rPr>
        <w:t>Latin</w:t>
      </w:r>
      <w:r>
        <w:rPr>
          <w:spacing w:val="-15"/>
          <w:w w:val="105"/>
          <w:sz w:val="24"/>
        </w:rPr>
        <w:t> </w:t>
      </w:r>
      <w:r>
        <w:rPr>
          <w:w w:val="105"/>
          <w:sz w:val="24"/>
        </w:rPr>
        <w:t>America</w:t>
      </w:r>
      <w:r>
        <w:rPr>
          <w:spacing w:val="-15"/>
          <w:w w:val="105"/>
          <w:sz w:val="24"/>
        </w:rPr>
        <w:t> </w:t>
      </w:r>
      <w:r>
        <w:rPr>
          <w:w w:val="105"/>
          <w:sz w:val="24"/>
        </w:rPr>
        <w:t>and</w:t>
      </w:r>
      <w:r>
        <w:rPr>
          <w:spacing w:val="-15"/>
          <w:w w:val="105"/>
          <w:sz w:val="24"/>
        </w:rPr>
        <w:t> </w:t>
      </w:r>
      <w:r>
        <w:rPr>
          <w:w w:val="105"/>
          <w:sz w:val="24"/>
        </w:rPr>
        <w:t>the</w:t>
      </w:r>
      <w:r>
        <w:rPr>
          <w:spacing w:val="-15"/>
          <w:w w:val="105"/>
          <w:sz w:val="24"/>
        </w:rPr>
        <w:t> </w:t>
      </w:r>
      <w:r>
        <w:rPr>
          <w:w w:val="105"/>
          <w:sz w:val="24"/>
        </w:rPr>
        <w:t>Caribbean Database</w:t>
      </w:r>
      <w:r>
        <w:rPr>
          <w:spacing w:val="-15"/>
          <w:w w:val="105"/>
          <w:sz w:val="24"/>
        </w:rPr>
        <w:t> </w:t>
      </w:r>
      <w:r>
        <w:rPr>
          <w:w w:val="105"/>
          <w:sz w:val="24"/>
        </w:rPr>
        <w:t>jointly</w:t>
      </w:r>
      <w:r>
        <w:rPr>
          <w:spacing w:val="-15"/>
          <w:w w:val="105"/>
          <w:sz w:val="24"/>
        </w:rPr>
        <w:t> </w:t>
      </w:r>
      <w:r>
        <w:rPr>
          <w:w w:val="105"/>
          <w:sz w:val="24"/>
        </w:rPr>
        <w:t>produced</w:t>
      </w:r>
      <w:r>
        <w:rPr>
          <w:spacing w:val="-15"/>
          <w:w w:val="105"/>
          <w:sz w:val="24"/>
        </w:rPr>
        <w:t> </w:t>
      </w:r>
      <w:r>
        <w:rPr>
          <w:w w:val="105"/>
          <w:sz w:val="24"/>
        </w:rPr>
        <w:t>by</w:t>
      </w:r>
      <w:r>
        <w:rPr>
          <w:spacing w:val="-15"/>
          <w:w w:val="105"/>
          <w:sz w:val="24"/>
        </w:rPr>
        <w:t> </w:t>
      </w:r>
      <w:r>
        <w:rPr>
          <w:w w:val="105"/>
          <w:sz w:val="24"/>
        </w:rPr>
        <w:t>Inter-American</w:t>
      </w:r>
      <w:r>
        <w:rPr>
          <w:spacing w:val="-15"/>
          <w:w w:val="105"/>
          <w:sz w:val="24"/>
        </w:rPr>
        <w:t> </w:t>
      </w:r>
      <w:r>
        <w:rPr>
          <w:w w:val="105"/>
          <w:sz w:val="24"/>
        </w:rPr>
        <w:t>Dialogue</w:t>
      </w:r>
      <w:r>
        <w:rPr>
          <w:spacing w:val="-15"/>
          <w:w w:val="105"/>
          <w:sz w:val="24"/>
        </w:rPr>
        <w:t> </w:t>
      </w:r>
      <w:r>
        <w:rPr>
          <w:w w:val="105"/>
          <w:sz w:val="24"/>
        </w:rPr>
        <w:t>and</w:t>
      </w:r>
      <w:r>
        <w:rPr>
          <w:spacing w:val="-15"/>
          <w:w w:val="105"/>
          <w:sz w:val="24"/>
        </w:rPr>
        <w:t> </w:t>
      </w:r>
      <w:r>
        <w:rPr>
          <w:w w:val="105"/>
          <w:sz w:val="24"/>
        </w:rPr>
        <w:t>Boston </w:t>
      </w:r>
      <w:r>
        <w:rPr>
          <w:spacing w:val="-2"/>
          <w:w w:val="105"/>
          <w:sz w:val="24"/>
        </w:rPr>
        <w:t>University’s</w:t>
      </w:r>
      <w:r>
        <w:rPr>
          <w:spacing w:val="-9"/>
          <w:w w:val="105"/>
          <w:sz w:val="24"/>
        </w:rPr>
        <w:t> </w:t>
      </w:r>
      <w:r>
        <w:rPr>
          <w:spacing w:val="-2"/>
          <w:w w:val="105"/>
          <w:sz w:val="24"/>
        </w:rPr>
        <w:t>Global</w:t>
      </w:r>
      <w:r>
        <w:rPr>
          <w:spacing w:val="-9"/>
          <w:w w:val="105"/>
          <w:sz w:val="24"/>
        </w:rPr>
        <w:t> </w:t>
      </w:r>
      <w:r>
        <w:rPr>
          <w:spacing w:val="-2"/>
          <w:w w:val="105"/>
          <w:sz w:val="24"/>
        </w:rPr>
        <w:t>Development</w:t>
      </w:r>
      <w:r>
        <w:rPr>
          <w:spacing w:val="-9"/>
          <w:w w:val="105"/>
          <w:sz w:val="24"/>
        </w:rPr>
        <w:t> </w:t>
      </w:r>
      <w:r>
        <w:rPr>
          <w:spacing w:val="-2"/>
          <w:w w:val="105"/>
          <w:sz w:val="24"/>
        </w:rPr>
        <w:t>Policy</w:t>
      </w:r>
      <w:r>
        <w:rPr>
          <w:spacing w:val="-9"/>
          <w:w w:val="105"/>
          <w:sz w:val="24"/>
        </w:rPr>
        <w:t> </w:t>
      </w:r>
      <w:r>
        <w:rPr>
          <w:spacing w:val="-2"/>
          <w:w w:val="105"/>
          <w:sz w:val="24"/>
        </w:rPr>
        <w:t>Center,</w:t>
      </w:r>
      <w:r>
        <w:rPr>
          <w:spacing w:val="-9"/>
          <w:w w:val="105"/>
          <w:sz w:val="24"/>
        </w:rPr>
        <w:t> </w:t>
      </w:r>
      <w:r>
        <w:rPr>
          <w:spacing w:val="-2"/>
          <w:w w:val="105"/>
          <w:sz w:val="24"/>
        </w:rPr>
        <w:t>“the</w:t>
      </w:r>
      <w:r>
        <w:rPr>
          <w:spacing w:val="-9"/>
          <w:w w:val="105"/>
          <w:sz w:val="24"/>
        </w:rPr>
        <w:t> </w:t>
      </w:r>
      <w:r>
        <w:rPr>
          <w:spacing w:val="-2"/>
          <w:w w:val="105"/>
          <w:sz w:val="24"/>
        </w:rPr>
        <w:t>LAC</w:t>
      </w:r>
      <w:r>
        <w:rPr>
          <w:spacing w:val="-9"/>
          <w:w w:val="105"/>
          <w:sz w:val="24"/>
        </w:rPr>
        <w:t> </w:t>
      </w:r>
      <w:r>
        <w:rPr>
          <w:spacing w:val="-2"/>
          <w:w w:val="105"/>
          <w:sz w:val="24"/>
        </w:rPr>
        <w:t>region</w:t>
      </w:r>
      <w:r>
        <w:rPr>
          <w:spacing w:val="-9"/>
          <w:w w:val="105"/>
          <w:sz w:val="24"/>
        </w:rPr>
        <w:t> </w:t>
      </w:r>
      <w:r>
        <w:rPr>
          <w:spacing w:val="-2"/>
          <w:w w:val="105"/>
          <w:sz w:val="24"/>
        </w:rPr>
        <w:t>saw</w:t>
      </w:r>
      <w:r>
        <w:rPr>
          <w:spacing w:val="-9"/>
          <w:w w:val="105"/>
          <w:sz w:val="24"/>
        </w:rPr>
        <w:t> </w:t>
      </w:r>
      <w:r>
        <w:rPr>
          <w:spacing w:val="-2"/>
          <w:w w:val="105"/>
          <w:sz w:val="24"/>
        </w:rPr>
        <w:t>a </w:t>
      </w:r>
      <w:r>
        <w:rPr>
          <w:sz w:val="24"/>
        </w:rPr>
        <w:t>precipitous decline in loans from CDB and Eximbank between 2015 and </w:t>
      </w:r>
      <w:r>
        <w:rPr>
          <w:spacing w:val="-2"/>
          <w:w w:val="105"/>
          <w:sz w:val="24"/>
        </w:rPr>
        <w:t>2020,</w:t>
      </w:r>
      <w:r>
        <w:rPr>
          <w:spacing w:val="-10"/>
          <w:w w:val="105"/>
          <w:sz w:val="24"/>
        </w:rPr>
        <w:t> </w:t>
      </w:r>
      <w:r>
        <w:rPr>
          <w:spacing w:val="-2"/>
          <w:w w:val="105"/>
          <w:sz w:val="24"/>
        </w:rPr>
        <w:t>when</w:t>
      </w:r>
      <w:r>
        <w:rPr>
          <w:spacing w:val="-10"/>
          <w:w w:val="105"/>
          <w:sz w:val="24"/>
        </w:rPr>
        <w:t> </w:t>
      </w:r>
      <w:r>
        <w:rPr>
          <w:spacing w:val="-2"/>
          <w:w w:val="105"/>
          <w:sz w:val="24"/>
        </w:rPr>
        <w:t>lending</w:t>
      </w:r>
      <w:r>
        <w:rPr>
          <w:spacing w:val="-10"/>
          <w:w w:val="105"/>
          <w:sz w:val="24"/>
        </w:rPr>
        <w:t> </w:t>
      </w:r>
      <w:r>
        <w:rPr>
          <w:spacing w:val="-2"/>
          <w:w w:val="105"/>
          <w:sz w:val="24"/>
        </w:rPr>
        <w:t>ceased</w:t>
      </w:r>
      <w:r>
        <w:rPr>
          <w:spacing w:val="-10"/>
          <w:w w:val="105"/>
          <w:sz w:val="24"/>
        </w:rPr>
        <w:t> </w:t>
      </w:r>
      <w:r>
        <w:rPr>
          <w:spacing w:val="-2"/>
          <w:w w:val="105"/>
          <w:sz w:val="24"/>
        </w:rPr>
        <w:t>altogether”</w:t>
      </w:r>
      <w:r>
        <w:rPr>
          <w:spacing w:val="-10"/>
          <w:w w:val="105"/>
          <w:sz w:val="24"/>
        </w:rPr>
        <w:t> </w:t>
      </w:r>
      <w:r>
        <w:rPr>
          <w:spacing w:val="-2"/>
          <w:w w:val="105"/>
          <w:sz w:val="24"/>
        </w:rPr>
        <w:t>(Myers</w:t>
      </w:r>
      <w:r>
        <w:rPr>
          <w:spacing w:val="-10"/>
          <w:w w:val="105"/>
          <w:sz w:val="24"/>
        </w:rPr>
        <w:t> </w:t>
      </w:r>
      <w:r>
        <w:rPr>
          <w:spacing w:val="-2"/>
          <w:w w:val="105"/>
          <w:sz w:val="24"/>
        </w:rPr>
        <w:t>and</w:t>
      </w:r>
      <w:r>
        <w:rPr>
          <w:spacing w:val="-10"/>
          <w:w w:val="105"/>
          <w:sz w:val="24"/>
        </w:rPr>
        <w:t> </w:t>
      </w:r>
      <w:r>
        <w:rPr>
          <w:spacing w:val="-2"/>
          <w:w w:val="105"/>
          <w:sz w:val="24"/>
        </w:rPr>
        <w:t>Ray</w:t>
      </w:r>
      <w:r>
        <w:rPr>
          <w:spacing w:val="-10"/>
          <w:w w:val="105"/>
          <w:sz w:val="24"/>
        </w:rPr>
        <w:t> </w:t>
      </w:r>
      <w:r>
        <w:rPr>
          <w:spacing w:val="-2"/>
          <w:w w:val="105"/>
          <w:sz w:val="24"/>
        </w:rPr>
        <w:t>2023:</w:t>
      </w:r>
      <w:r>
        <w:rPr>
          <w:spacing w:val="-10"/>
          <w:w w:val="105"/>
          <w:sz w:val="24"/>
        </w:rPr>
        <w:t> </w:t>
      </w:r>
      <w:r>
        <w:rPr>
          <w:spacing w:val="-2"/>
          <w:w w:val="105"/>
          <w:sz w:val="24"/>
        </w:rPr>
        <w:t>1).</w:t>
      </w:r>
      <w:r>
        <w:rPr>
          <w:spacing w:val="-10"/>
          <w:w w:val="105"/>
          <w:sz w:val="24"/>
        </w:rPr>
        <w:t> </w:t>
      </w:r>
      <w:r>
        <w:rPr>
          <w:spacing w:val="-2"/>
          <w:w w:val="105"/>
          <w:sz w:val="24"/>
        </w:rPr>
        <w:t>They </w:t>
      </w:r>
      <w:r>
        <w:rPr>
          <w:w w:val="105"/>
          <w:sz w:val="24"/>
        </w:rPr>
        <w:t>also</w:t>
      </w:r>
      <w:r>
        <w:rPr>
          <w:spacing w:val="-18"/>
          <w:w w:val="105"/>
          <w:sz w:val="24"/>
        </w:rPr>
        <w:t> </w:t>
      </w:r>
      <w:r>
        <w:rPr>
          <w:w w:val="105"/>
          <w:sz w:val="24"/>
        </w:rPr>
        <w:t>concluded</w:t>
      </w:r>
      <w:r>
        <w:rPr>
          <w:spacing w:val="-17"/>
          <w:w w:val="105"/>
          <w:sz w:val="24"/>
        </w:rPr>
        <w:t> </w:t>
      </w:r>
      <w:r>
        <w:rPr>
          <w:w w:val="105"/>
          <w:sz w:val="24"/>
        </w:rPr>
        <w:t>that</w:t>
      </w:r>
      <w:r>
        <w:rPr>
          <w:spacing w:val="-18"/>
          <w:w w:val="105"/>
          <w:sz w:val="24"/>
        </w:rPr>
        <w:t> </w:t>
      </w:r>
      <w:r>
        <w:rPr>
          <w:w w:val="105"/>
          <w:sz w:val="24"/>
        </w:rPr>
        <w:t>Chinese</w:t>
      </w:r>
      <w:r>
        <w:rPr>
          <w:spacing w:val="-18"/>
          <w:w w:val="105"/>
          <w:sz w:val="24"/>
        </w:rPr>
        <w:t> </w:t>
      </w:r>
      <w:r>
        <w:rPr>
          <w:w w:val="105"/>
          <w:sz w:val="24"/>
        </w:rPr>
        <w:t>development</w:t>
      </w:r>
      <w:r>
        <w:rPr>
          <w:spacing w:val="-17"/>
          <w:w w:val="105"/>
          <w:sz w:val="24"/>
        </w:rPr>
        <w:t> </w:t>
      </w:r>
      <w:r>
        <w:rPr>
          <w:w w:val="105"/>
          <w:sz w:val="24"/>
        </w:rPr>
        <w:t>ﬁnance</w:t>
      </w:r>
      <w:r>
        <w:rPr>
          <w:spacing w:val="-18"/>
          <w:w w:val="105"/>
          <w:sz w:val="24"/>
        </w:rPr>
        <w:t> </w:t>
      </w:r>
      <w:r>
        <w:rPr>
          <w:w w:val="105"/>
          <w:sz w:val="24"/>
        </w:rPr>
        <w:t>commitments</w:t>
      </w:r>
      <w:r>
        <w:rPr>
          <w:spacing w:val="-17"/>
          <w:w w:val="105"/>
          <w:sz w:val="24"/>
        </w:rPr>
        <w:t> </w:t>
      </w:r>
      <w:r>
        <w:rPr>
          <w:w w:val="105"/>
          <w:sz w:val="24"/>
        </w:rPr>
        <w:t>to</w:t>
      </w:r>
      <w:r>
        <w:rPr>
          <w:spacing w:val="-18"/>
          <w:w w:val="105"/>
          <w:sz w:val="24"/>
        </w:rPr>
        <w:t> </w:t>
      </w:r>
      <w:r>
        <w:rPr>
          <w:w w:val="105"/>
          <w:sz w:val="24"/>
        </w:rPr>
        <w:t>the </w:t>
      </w:r>
      <w:r>
        <w:rPr>
          <w:sz w:val="24"/>
        </w:rPr>
        <w:t>LAC region remained stubbornly low in 2021, identifying only one </w:t>
      </w:r>
      <w:r>
        <w:rPr>
          <w:sz w:val="24"/>
        </w:rPr>
        <w:t>($204</w:t>
      </w:r>
      <w:r>
        <w:rPr>
          <w:sz w:val="24"/>
        </w:rPr>
        <w:t> </w:t>
      </w:r>
      <w:r>
        <w:rPr>
          <w:w w:val="105"/>
          <w:sz w:val="24"/>
        </w:rPr>
        <w:t>million)</w:t>
      </w:r>
      <w:r>
        <w:rPr>
          <w:spacing w:val="-9"/>
          <w:w w:val="105"/>
          <w:sz w:val="24"/>
        </w:rPr>
        <w:t> </w:t>
      </w:r>
      <w:r>
        <w:rPr>
          <w:w w:val="105"/>
          <w:sz w:val="24"/>
        </w:rPr>
        <w:t>CDB</w:t>
      </w:r>
      <w:r>
        <w:rPr>
          <w:spacing w:val="-9"/>
          <w:w w:val="105"/>
          <w:sz w:val="24"/>
        </w:rPr>
        <w:t> </w:t>
      </w:r>
      <w:r>
        <w:rPr>
          <w:w w:val="105"/>
          <w:sz w:val="24"/>
        </w:rPr>
        <w:t>loan</w:t>
      </w:r>
      <w:r>
        <w:rPr>
          <w:spacing w:val="-9"/>
          <w:w w:val="105"/>
          <w:sz w:val="24"/>
        </w:rPr>
        <w:t> </w:t>
      </w:r>
      <w:r>
        <w:rPr>
          <w:w w:val="105"/>
          <w:sz w:val="24"/>
        </w:rPr>
        <w:t>commitment</w:t>
      </w:r>
      <w:r>
        <w:rPr>
          <w:spacing w:val="-9"/>
          <w:w w:val="105"/>
          <w:sz w:val="24"/>
        </w:rPr>
        <w:t> </w:t>
      </w:r>
      <w:r>
        <w:rPr>
          <w:w w:val="105"/>
          <w:sz w:val="24"/>
        </w:rPr>
        <w:t>in</w:t>
      </w:r>
      <w:r>
        <w:rPr>
          <w:spacing w:val="-9"/>
          <w:w w:val="105"/>
          <w:sz w:val="24"/>
        </w:rPr>
        <w:t> </w:t>
      </w:r>
      <w:r>
        <w:rPr>
          <w:w w:val="105"/>
          <w:sz w:val="24"/>
        </w:rPr>
        <w:t>that</w:t>
      </w:r>
      <w:r>
        <w:rPr>
          <w:spacing w:val="-9"/>
          <w:w w:val="105"/>
          <w:sz w:val="24"/>
        </w:rPr>
        <w:t> </w:t>
      </w:r>
      <w:r>
        <w:rPr>
          <w:w w:val="105"/>
          <w:sz w:val="24"/>
        </w:rPr>
        <w:t>year.</w:t>
      </w:r>
      <w:r>
        <w:rPr>
          <w:w w:val="105"/>
          <w:sz w:val="24"/>
          <w:vertAlign w:val="superscript"/>
        </w:rPr>
        <w:t>7</w:t>
      </w:r>
      <w:r>
        <w:rPr>
          <w:w w:val="105"/>
          <w:sz w:val="24"/>
          <w:vertAlign w:val="superscript"/>
        </w:rPr>
        <w:t>7</w:t>
      </w:r>
    </w:p>
    <w:p>
      <w:pPr>
        <w:pStyle w:val="BodyText"/>
        <w:spacing w:before="5"/>
        <w:rPr>
          <w:sz w:val="27"/>
        </w:rPr>
      </w:pPr>
    </w:p>
    <w:p>
      <w:pPr>
        <w:pStyle w:val="ListParagraph"/>
        <w:numPr>
          <w:ilvl w:val="0"/>
          <w:numId w:val="1"/>
        </w:numPr>
        <w:tabs>
          <w:tab w:pos="1479" w:val="left" w:leader="none"/>
          <w:tab w:pos="1480" w:val="left" w:leader="none"/>
        </w:tabs>
        <w:spacing w:line="333" w:lineRule="auto" w:before="0" w:after="0"/>
        <w:ind w:left="1480" w:right="760" w:hanging="360"/>
        <w:jc w:val="left"/>
        <w:rPr>
          <w:sz w:val="24"/>
        </w:rPr>
      </w:pPr>
      <w:r>
        <w:rPr>
          <w:sz w:val="24"/>
        </w:rPr>
        <w:t>According to the Chinese Loans to Africa (CLA) database, which was initially developed by the China-Africa Research Initiative at the Johns Hopkins</w:t>
      </w:r>
      <w:r>
        <w:rPr>
          <w:spacing w:val="-10"/>
          <w:sz w:val="24"/>
        </w:rPr>
        <w:t> </w:t>
      </w:r>
      <w:r>
        <w:rPr>
          <w:sz w:val="24"/>
        </w:rPr>
        <w:t>School</w:t>
      </w:r>
      <w:r>
        <w:rPr>
          <w:spacing w:val="-10"/>
          <w:sz w:val="24"/>
        </w:rPr>
        <w:t> </w:t>
      </w:r>
      <w:r>
        <w:rPr>
          <w:sz w:val="24"/>
        </w:rPr>
        <w:t>of</w:t>
      </w:r>
      <w:r>
        <w:rPr>
          <w:spacing w:val="-10"/>
          <w:sz w:val="24"/>
        </w:rPr>
        <w:t> </w:t>
      </w:r>
      <w:r>
        <w:rPr>
          <w:sz w:val="24"/>
        </w:rPr>
        <w:t>Advanced</w:t>
      </w:r>
      <w:r>
        <w:rPr>
          <w:spacing w:val="-10"/>
          <w:sz w:val="24"/>
        </w:rPr>
        <w:t> </w:t>
      </w:r>
      <w:r>
        <w:rPr>
          <w:sz w:val="24"/>
        </w:rPr>
        <w:t>International</w:t>
      </w:r>
      <w:r>
        <w:rPr>
          <w:spacing w:val="-10"/>
          <w:sz w:val="24"/>
        </w:rPr>
        <w:t> </w:t>
      </w:r>
      <w:r>
        <w:rPr>
          <w:sz w:val="24"/>
        </w:rPr>
        <w:t>Studies</w:t>
      </w:r>
      <w:r>
        <w:rPr>
          <w:spacing w:val="-10"/>
          <w:sz w:val="24"/>
        </w:rPr>
        <w:t> </w:t>
      </w:r>
      <w:r>
        <w:rPr>
          <w:sz w:val="24"/>
        </w:rPr>
        <w:t>(SAIS-CARI)</w:t>
      </w:r>
      <w:r>
        <w:rPr>
          <w:spacing w:val="-10"/>
          <w:sz w:val="24"/>
        </w:rPr>
        <w:t> </w:t>
      </w:r>
      <w:r>
        <w:rPr>
          <w:sz w:val="24"/>
        </w:rPr>
        <w:t>and</w:t>
      </w:r>
      <w:r>
        <w:rPr>
          <w:spacing w:val="-10"/>
          <w:sz w:val="24"/>
        </w:rPr>
        <w:t> </w:t>
      </w:r>
      <w:r>
        <w:rPr>
          <w:sz w:val="24"/>
        </w:rPr>
        <w:t>is</w:t>
      </w:r>
      <w:r>
        <w:rPr>
          <w:spacing w:val="-10"/>
          <w:sz w:val="24"/>
        </w:rPr>
        <w:t> </w:t>
      </w:r>
      <w:r>
        <w:rPr>
          <w:sz w:val="24"/>
        </w:rPr>
        <w:t>now maintained by Boston University’s Global Development Policy Center, Chinese lending commitments to African governments and state-owned entities</w:t>
      </w:r>
      <w:r>
        <w:rPr>
          <w:spacing w:val="19"/>
          <w:sz w:val="24"/>
        </w:rPr>
        <w:t> </w:t>
      </w:r>
      <w:r>
        <w:rPr>
          <w:sz w:val="24"/>
        </w:rPr>
        <w:t>plunged</w:t>
      </w:r>
      <w:r>
        <w:rPr>
          <w:spacing w:val="19"/>
          <w:sz w:val="24"/>
        </w:rPr>
        <w:t> </w:t>
      </w:r>
      <w:r>
        <w:rPr>
          <w:sz w:val="24"/>
        </w:rPr>
        <w:t>from</w:t>
      </w:r>
      <w:r>
        <w:rPr>
          <w:spacing w:val="19"/>
          <w:sz w:val="24"/>
        </w:rPr>
        <w:t> </w:t>
      </w:r>
      <w:r>
        <w:rPr>
          <w:sz w:val="24"/>
        </w:rPr>
        <w:t>a</w:t>
      </w:r>
      <w:r>
        <w:rPr>
          <w:spacing w:val="19"/>
          <w:sz w:val="24"/>
        </w:rPr>
        <w:t> </w:t>
      </w:r>
      <w:r>
        <w:rPr>
          <w:sz w:val="24"/>
        </w:rPr>
        <w:t>high</w:t>
      </w:r>
      <w:r>
        <w:rPr>
          <w:spacing w:val="19"/>
          <w:sz w:val="24"/>
        </w:rPr>
        <w:t> </w:t>
      </w:r>
      <w:r>
        <w:rPr>
          <w:sz w:val="24"/>
        </w:rPr>
        <w:t>of</w:t>
      </w:r>
      <w:r>
        <w:rPr>
          <w:spacing w:val="19"/>
          <w:sz w:val="24"/>
        </w:rPr>
        <w:t> </w:t>
      </w:r>
      <w:r>
        <w:rPr>
          <w:sz w:val="24"/>
        </w:rPr>
        <w:t>$28</w:t>
      </w:r>
      <w:r>
        <w:rPr>
          <w:spacing w:val="19"/>
          <w:sz w:val="24"/>
        </w:rPr>
        <w:t> </w:t>
      </w:r>
      <w:r>
        <w:rPr>
          <w:sz w:val="24"/>
        </w:rPr>
        <w:t>billion</w:t>
      </w:r>
      <w:r>
        <w:rPr>
          <w:spacing w:val="19"/>
          <w:sz w:val="24"/>
        </w:rPr>
        <w:t> </w:t>
      </w:r>
      <w:r>
        <w:rPr>
          <w:sz w:val="24"/>
        </w:rPr>
        <w:t>in</w:t>
      </w:r>
      <w:r>
        <w:rPr>
          <w:spacing w:val="19"/>
          <w:sz w:val="24"/>
        </w:rPr>
        <w:t> </w:t>
      </w:r>
      <w:r>
        <w:rPr>
          <w:sz w:val="24"/>
        </w:rPr>
        <w:t>2016</w:t>
      </w:r>
      <w:r>
        <w:rPr>
          <w:spacing w:val="19"/>
          <w:sz w:val="24"/>
        </w:rPr>
        <w:t> </w:t>
      </w:r>
      <w:r>
        <w:rPr>
          <w:sz w:val="24"/>
        </w:rPr>
        <w:t>to</w:t>
      </w:r>
      <w:r>
        <w:rPr>
          <w:spacing w:val="19"/>
          <w:sz w:val="24"/>
        </w:rPr>
        <w:t> </w:t>
      </w:r>
      <w:r>
        <w:rPr>
          <w:sz w:val="24"/>
        </w:rPr>
        <w:t>a</w:t>
      </w:r>
      <w:r>
        <w:rPr>
          <w:spacing w:val="19"/>
          <w:sz w:val="24"/>
        </w:rPr>
        <w:t> </w:t>
      </w:r>
      <w:r>
        <w:rPr>
          <w:sz w:val="24"/>
        </w:rPr>
        <w:t>low</w:t>
      </w:r>
      <w:r>
        <w:rPr>
          <w:spacing w:val="19"/>
          <w:sz w:val="24"/>
        </w:rPr>
        <w:t> </w:t>
      </w:r>
      <w:r>
        <w:rPr>
          <w:sz w:val="24"/>
        </w:rPr>
        <w:t>of</w:t>
      </w:r>
      <w:r>
        <w:rPr>
          <w:spacing w:val="19"/>
          <w:sz w:val="24"/>
        </w:rPr>
        <w:t> </w:t>
      </w:r>
      <w:r>
        <w:rPr>
          <w:sz w:val="24"/>
        </w:rPr>
        <w:t>$1.9</w:t>
      </w:r>
      <w:r>
        <w:rPr>
          <w:spacing w:val="19"/>
          <w:sz w:val="24"/>
        </w:rPr>
        <w:t> </w:t>
      </w:r>
      <w:r>
        <w:rPr>
          <w:sz w:val="24"/>
        </w:rPr>
        <w:t>billion in</w:t>
      </w:r>
      <w:r>
        <w:rPr>
          <w:spacing w:val="-3"/>
          <w:sz w:val="24"/>
        </w:rPr>
        <w:t> </w:t>
      </w:r>
      <w:r>
        <w:rPr>
          <w:sz w:val="24"/>
        </w:rPr>
        <w:t>2020.</w:t>
      </w:r>
      <w:r>
        <w:rPr>
          <w:spacing w:val="-3"/>
          <w:sz w:val="24"/>
        </w:rPr>
        <w:t> </w:t>
      </w:r>
      <w:r>
        <w:rPr>
          <w:sz w:val="24"/>
        </w:rPr>
        <w:t>In</w:t>
      </w:r>
      <w:r>
        <w:rPr>
          <w:spacing w:val="-3"/>
          <w:sz w:val="24"/>
        </w:rPr>
        <w:t> </w:t>
      </w:r>
      <w:r>
        <w:rPr>
          <w:sz w:val="24"/>
        </w:rPr>
        <w:t>a</w:t>
      </w:r>
      <w:r>
        <w:rPr>
          <w:spacing w:val="-3"/>
          <w:sz w:val="24"/>
        </w:rPr>
        <w:t> </w:t>
      </w:r>
      <w:r>
        <w:rPr>
          <w:sz w:val="24"/>
        </w:rPr>
        <w:t>summary</w:t>
      </w:r>
      <w:r>
        <w:rPr>
          <w:spacing w:val="-3"/>
          <w:sz w:val="24"/>
        </w:rPr>
        <w:t> </w:t>
      </w:r>
      <w:r>
        <w:rPr>
          <w:sz w:val="24"/>
        </w:rPr>
        <w:t>of</w:t>
      </w:r>
      <w:r>
        <w:rPr>
          <w:spacing w:val="-3"/>
          <w:sz w:val="24"/>
        </w:rPr>
        <w:t> </w:t>
      </w:r>
      <w:r>
        <w:rPr>
          <w:sz w:val="24"/>
        </w:rPr>
        <w:t>their</w:t>
      </w:r>
      <w:r>
        <w:rPr>
          <w:spacing w:val="-3"/>
          <w:sz w:val="24"/>
        </w:rPr>
        <w:t> </w:t>
      </w:r>
      <w:r>
        <w:rPr>
          <w:sz w:val="24"/>
        </w:rPr>
        <w:t>ﬁndings,</w:t>
      </w:r>
      <w:r>
        <w:rPr>
          <w:spacing w:val="-3"/>
          <w:sz w:val="24"/>
        </w:rPr>
        <w:t> </w:t>
      </w:r>
      <w:r>
        <w:rPr>
          <w:sz w:val="24"/>
        </w:rPr>
        <w:t>the</w:t>
      </w:r>
      <w:r>
        <w:rPr>
          <w:spacing w:val="-3"/>
          <w:sz w:val="24"/>
        </w:rPr>
        <w:t> </w:t>
      </w:r>
      <w:r>
        <w:rPr>
          <w:sz w:val="24"/>
        </w:rPr>
        <w:t>researchers</w:t>
      </w:r>
      <w:r>
        <w:rPr>
          <w:spacing w:val="-3"/>
          <w:sz w:val="24"/>
        </w:rPr>
        <w:t> </w:t>
      </w:r>
      <w:r>
        <w:rPr>
          <w:sz w:val="24"/>
        </w:rPr>
        <w:t>responsible</w:t>
      </w:r>
      <w:r>
        <w:rPr>
          <w:spacing w:val="-3"/>
          <w:sz w:val="24"/>
        </w:rPr>
        <w:t> </w:t>
      </w:r>
      <w:r>
        <w:rPr>
          <w:sz w:val="24"/>
        </w:rPr>
        <w:t>for</w:t>
      </w:r>
      <w:r>
        <w:rPr>
          <w:spacing w:val="-3"/>
          <w:sz w:val="24"/>
        </w:rPr>
        <w:t> </w:t>
      </w:r>
      <w:r>
        <w:rPr>
          <w:sz w:val="24"/>
        </w:rPr>
        <w:t>the</w:t>
      </w:r>
      <w:r>
        <w:rPr>
          <w:sz w:val="24"/>
        </w:rPr>
        <w:t> CLA database conclude that “[c]ompared to previous years, the number</w:t>
      </w:r>
      <w:r>
        <w:rPr>
          <w:spacing w:val="80"/>
          <w:w w:val="150"/>
          <w:sz w:val="24"/>
        </w:rPr>
        <w:t> </w:t>
      </w:r>
      <w:r>
        <w:rPr>
          <w:sz w:val="24"/>
        </w:rPr>
        <w:t>of loans and the total value of loan commitments decreased dramatically</w:t>
      </w:r>
      <w:r>
        <w:rPr>
          <w:spacing w:val="40"/>
          <w:sz w:val="24"/>
        </w:rPr>
        <w:t> </w:t>
      </w:r>
      <w:r>
        <w:rPr>
          <w:sz w:val="24"/>
        </w:rPr>
        <w:t>in 2020” (Hwang et al. (2022: 2).</w:t>
      </w:r>
      <w:r>
        <w:rPr>
          <w:sz w:val="24"/>
          <w:vertAlign w:val="superscript"/>
        </w:rPr>
        <w:t>7</w:t>
      </w:r>
      <w:r>
        <w:rPr>
          <w:sz w:val="24"/>
          <w:vertAlign w:val="superscript"/>
        </w:rPr>
        <w:t>8</w:t>
      </w:r>
    </w:p>
    <w:p>
      <w:pPr>
        <w:pStyle w:val="BodyText"/>
        <w:spacing w:before="3"/>
        <w:rPr>
          <w:sz w:val="27"/>
        </w:rPr>
      </w:pPr>
    </w:p>
    <w:p>
      <w:pPr>
        <w:pStyle w:val="BodyText"/>
        <w:spacing w:line="333" w:lineRule="auto" w:before="1"/>
        <w:ind w:left="760" w:right="767"/>
      </w:pPr>
      <w:r>
        <w:rPr/>
        <w:t>The</w:t>
      </w:r>
      <w:r>
        <w:rPr>
          <w:spacing w:val="-5"/>
        </w:rPr>
        <w:t> </w:t>
      </w:r>
      <w:r>
        <w:rPr/>
        <w:t>latest</w:t>
      </w:r>
      <w:r>
        <w:rPr>
          <w:spacing w:val="-5"/>
        </w:rPr>
        <w:t> </w:t>
      </w:r>
      <w:r>
        <w:rPr/>
        <w:t>(3.0)</w:t>
      </w:r>
      <w:r>
        <w:rPr>
          <w:spacing w:val="-5"/>
        </w:rPr>
        <w:t> </w:t>
      </w:r>
      <w:r>
        <w:rPr/>
        <w:t>version</w:t>
      </w:r>
      <w:r>
        <w:rPr>
          <w:spacing w:val="-5"/>
        </w:rPr>
        <w:t> </w:t>
      </w:r>
      <w:r>
        <w:rPr/>
        <w:t>of</w:t>
      </w:r>
      <w:r>
        <w:rPr>
          <w:spacing w:val="-5"/>
        </w:rPr>
        <w:t> </w:t>
      </w:r>
      <w:r>
        <w:rPr/>
        <w:t>AidData’s</w:t>
      </w:r>
      <w:r>
        <w:rPr>
          <w:spacing w:val="-5"/>
        </w:rPr>
        <w:t> </w:t>
      </w:r>
      <w:r>
        <w:rPr/>
        <w:t>Global</w:t>
      </w:r>
      <w:r>
        <w:rPr>
          <w:spacing w:val="-5"/>
        </w:rPr>
        <w:t> </w:t>
      </w:r>
      <w:r>
        <w:rPr/>
        <w:t>Chinese</w:t>
      </w:r>
      <w:r>
        <w:rPr>
          <w:spacing w:val="-5"/>
        </w:rPr>
        <w:t> </w:t>
      </w:r>
      <w:r>
        <w:rPr/>
        <w:t>Development</w:t>
      </w:r>
      <w:r>
        <w:rPr>
          <w:spacing w:val="-5"/>
        </w:rPr>
        <w:t> </w:t>
      </w:r>
      <w:r>
        <w:rPr/>
        <w:t>Finance (GCDF)</w:t>
      </w:r>
      <w:r>
        <w:rPr>
          <w:spacing w:val="-12"/>
        </w:rPr>
        <w:t> </w:t>
      </w:r>
      <w:r>
        <w:rPr/>
        <w:t>dataset</w:t>
      </w:r>
      <w:r>
        <w:rPr>
          <w:spacing w:val="-12"/>
        </w:rPr>
        <w:t> </w:t>
      </w:r>
      <w:r>
        <w:rPr/>
        <w:t>paints</w:t>
      </w:r>
      <w:r>
        <w:rPr>
          <w:spacing w:val="-11"/>
        </w:rPr>
        <w:t> </w:t>
      </w:r>
      <w:r>
        <w:rPr/>
        <w:t>a</w:t>
      </w:r>
      <w:r>
        <w:rPr>
          <w:spacing w:val="-12"/>
        </w:rPr>
        <w:t> </w:t>
      </w:r>
      <w:r>
        <w:rPr/>
        <w:t>different</w:t>
      </w:r>
      <w:r>
        <w:rPr>
          <w:spacing w:val="-12"/>
        </w:rPr>
        <w:t> </w:t>
      </w:r>
      <w:r>
        <w:rPr/>
        <w:t>picture</w:t>
      </w:r>
      <w:r>
        <w:rPr>
          <w:spacing w:val="-11"/>
        </w:rPr>
        <w:t> </w:t>
      </w:r>
      <w:r>
        <w:rPr/>
        <w:t>of</w:t>
      </w:r>
      <w:r>
        <w:rPr>
          <w:spacing w:val="-12"/>
        </w:rPr>
        <w:t> </w:t>
      </w:r>
      <w:r>
        <w:rPr/>
        <w:t>China’s</w:t>
      </w:r>
      <w:r>
        <w:rPr>
          <w:spacing w:val="-11"/>
        </w:rPr>
        <w:t> </w:t>
      </w:r>
      <w:r>
        <w:rPr/>
        <w:t>overseas</w:t>
      </w:r>
      <w:r>
        <w:rPr>
          <w:spacing w:val="-12"/>
        </w:rPr>
        <w:t> </w:t>
      </w:r>
      <w:r>
        <w:rPr>
          <w:spacing w:val="-2"/>
        </w:rPr>
        <w:t>development</w:t>
      </w:r>
    </w:p>
    <w:p>
      <w:pPr>
        <w:pStyle w:val="BodyText"/>
        <w:spacing w:before="9"/>
        <w:rPr>
          <w:sz w:val="23"/>
        </w:rPr>
      </w:pPr>
      <w:r>
        <w:rPr/>
        <w:pict>
          <v:shape style="position:absolute;margin-left:90pt;margin-top:14.889063pt;width:144pt;height:.1pt;mso-position-horizontal-relative:page;mso-position-vertical-relative:paragraph;z-index:-15727616;mso-wrap-distance-left:0;mso-wrap-distance-right:0" id="docshape3" coordorigin="1800,298" coordsize="2880,0" path="m1800,298l4680,298e" filled="false" stroked="true" strokeweight=".75pt" strokecolor="#000000">
            <v:path arrowok="t"/>
            <v:stroke dashstyle="solid"/>
            <w10:wrap type="topAndBottom"/>
          </v:shape>
        </w:pict>
      </w:r>
    </w:p>
    <w:p>
      <w:pPr>
        <w:spacing w:line="249" w:lineRule="auto" w:before="110"/>
        <w:ind w:left="760" w:right="794" w:firstLine="0"/>
        <w:jc w:val="left"/>
        <w:rPr>
          <w:sz w:val="20"/>
        </w:rPr>
      </w:pPr>
      <w:r>
        <w:rPr>
          <w:sz w:val="20"/>
          <w:vertAlign w:val="superscript"/>
        </w:rPr>
        <w:t>77</w:t>
      </w:r>
      <w:r>
        <w:rPr>
          <w:spacing w:val="-2"/>
          <w:sz w:val="20"/>
          <w:vertAlign w:val="baseline"/>
        </w:rPr>
        <w:t> </w:t>
      </w:r>
      <w:r>
        <w:rPr>
          <w:sz w:val="20"/>
          <w:vertAlign w:val="baseline"/>
        </w:rPr>
        <w:t>AidData</w:t>
      </w:r>
      <w:r>
        <w:rPr>
          <w:spacing w:val="-3"/>
          <w:sz w:val="20"/>
          <w:vertAlign w:val="baseline"/>
        </w:rPr>
        <w:t> </w:t>
      </w:r>
      <w:r>
        <w:rPr>
          <w:sz w:val="20"/>
          <w:vertAlign w:val="baseline"/>
        </w:rPr>
        <w:t>has</w:t>
      </w:r>
      <w:r>
        <w:rPr>
          <w:spacing w:val="-3"/>
          <w:sz w:val="20"/>
          <w:vertAlign w:val="baseline"/>
        </w:rPr>
        <w:t> </w:t>
      </w:r>
      <w:r>
        <w:rPr>
          <w:sz w:val="20"/>
          <w:vertAlign w:val="baseline"/>
        </w:rPr>
        <w:t>categorized</w:t>
      </w:r>
      <w:r>
        <w:rPr>
          <w:spacing w:val="-3"/>
          <w:sz w:val="20"/>
          <w:vertAlign w:val="baseline"/>
        </w:rPr>
        <w:t> </w:t>
      </w:r>
      <w:r>
        <w:rPr>
          <w:sz w:val="20"/>
          <w:vertAlign w:val="baseline"/>
        </w:rPr>
        <w:t>this</w:t>
      </w:r>
      <w:r>
        <w:rPr>
          <w:spacing w:val="-3"/>
          <w:sz w:val="20"/>
          <w:vertAlign w:val="baseline"/>
        </w:rPr>
        <w:t> </w:t>
      </w:r>
      <w:r>
        <w:rPr>
          <w:sz w:val="20"/>
          <w:vertAlign w:val="baseline"/>
        </w:rPr>
        <w:t>$204</w:t>
      </w:r>
      <w:r>
        <w:rPr>
          <w:spacing w:val="-3"/>
          <w:sz w:val="20"/>
          <w:vertAlign w:val="baseline"/>
        </w:rPr>
        <w:t> </w:t>
      </w:r>
      <w:r>
        <w:rPr>
          <w:sz w:val="20"/>
          <w:vertAlign w:val="baseline"/>
        </w:rPr>
        <w:t>million</w:t>
      </w:r>
      <w:r>
        <w:rPr>
          <w:spacing w:val="-3"/>
          <w:sz w:val="20"/>
          <w:vertAlign w:val="baseline"/>
        </w:rPr>
        <w:t> </w:t>
      </w:r>
      <w:r>
        <w:rPr>
          <w:sz w:val="20"/>
          <w:vertAlign w:val="baseline"/>
        </w:rPr>
        <w:t>(EUR</w:t>
      </w:r>
      <w:r>
        <w:rPr>
          <w:spacing w:val="-3"/>
          <w:sz w:val="20"/>
          <w:vertAlign w:val="baseline"/>
        </w:rPr>
        <w:t> </w:t>
      </w:r>
      <w:r>
        <w:rPr>
          <w:sz w:val="20"/>
          <w:vertAlign w:val="baseline"/>
        </w:rPr>
        <w:t>175</w:t>
      </w:r>
      <w:r>
        <w:rPr>
          <w:spacing w:val="-3"/>
          <w:sz w:val="20"/>
          <w:vertAlign w:val="baseline"/>
        </w:rPr>
        <w:t> </w:t>
      </w:r>
      <w:r>
        <w:rPr>
          <w:sz w:val="20"/>
          <w:vertAlign w:val="baseline"/>
        </w:rPr>
        <w:t>million)</w:t>
      </w:r>
      <w:r>
        <w:rPr>
          <w:spacing w:val="-2"/>
          <w:sz w:val="20"/>
          <w:vertAlign w:val="baseline"/>
        </w:rPr>
        <w:t> </w:t>
      </w:r>
      <w:r>
        <w:rPr>
          <w:sz w:val="20"/>
          <w:vertAlign w:val="baseline"/>
        </w:rPr>
        <w:t>CDB</w:t>
      </w:r>
      <w:r>
        <w:rPr>
          <w:spacing w:val="-3"/>
          <w:sz w:val="20"/>
          <w:vertAlign w:val="baseline"/>
        </w:rPr>
        <w:t> </w:t>
      </w:r>
      <w:r>
        <w:rPr>
          <w:sz w:val="20"/>
          <w:vertAlign w:val="baseline"/>
        </w:rPr>
        <w:t>loan</w:t>
      </w:r>
      <w:r>
        <w:rPr>
          <w:spacing w:val="-3"/>
          <w:sz w:val="20"/>
          <w:vertAlign w:val="baseline"/>
        </w:rPr>
        <w:t> </w:t>
      </w:r>
      <w:r>
        <w:rPr>
          <w:sz w:val="20"/>
          <w:vertAlign w:val="baseline"/>
        </w:rPr>
        <w:t>as</w:t>
      </w:r>
      <w:r>
        <w:rPr>
          <w:spacing w:val="-3"/>
          <w:sz w:val="20"/>
          <w:vertAlign w:val="baseline"/>
        </w:rPr>
        <w:t> </w:t>
      </w:r>
      <w:r>
        <w:rPr>
          <w:sz w:val="20"/>
          <w:vertAlign w:val="baseline"/>
        </w:rPr>
        <w:t>an</w:t>
      </w:r>
      <w:r>
        <w:rPr>
          <w:spacing w:val="-3"/>
          <w:sz w:val="20"/>
          <w:vertAlign w:val="baseline"/>
        </w:rPr>
        <w:t> </w:t>
      </w:r>
      <w:r>
        <w:rPr>
          <w:sz w:val="20"/>
          <w:vertAlign w:val="baseline"/>
        </w:rPr>
        <w:t>informal</w:t>
      </w:r>
      <w:r>
        <w:rPr>
          <w:spacing w:val="-2"/>
          <w:sz w:val="20"/>
          <w:vertAlign w:val="baseline"/>
        </w:rPr>
        <w:t> </w:t>
      </w:r>
      <w:r>
        <w:rPr>
          <w:sz w:val="20"/>
          <w:vertAlign w:val="baseline"/>
        </w:rPr>
        <w:t>pledge</w:t>
      </w:r>
      <w:r>
        <w:rPr>
          <w:spacing w:val="-3"/>
          <w:sz w:val="20"/>
          <w:vertAlign w:val="baseline"/>
        </w:rPr>
        <w:t> </w:t>
      </w:r>
      <w:r>
        <w:rPr>
          <w:sz w:val="20"/>
          <w:vertAlign w:val="baseline"/>
        </w:rPr>
        <w:t>of ﬁnancial support rather than a formal loan commitment, based on evidence that it gathered via direct correspondence with the Debt Management Division of Trinidad and Tobago's Ministry of Finance. See ID#95549 in the 3.0 version of AidData’s GCDF dataset for more details.</w:t>
      </w:r>
    </w:p>
    <w:p>
      <w:pPr>
        <w:spacing w:line="249" w:lineRule="auto" w:before="4"/>
        <w:ind w:left="760" w:right="898" w:firstLine="0"/>
        <w:jc w:val="left"/>
        <w:rPr>
          <w:sz w:val="20"/>
        </w:rPr>
      </w:pPr>
      <w:r>
        <w:rPr>
          <w:sz w:val="20"/>
          <w:vertAlign w:val="superscript"/>
        </w:rPr>
        <w:t>78</w:t>
      </w:r>
      <w:r>
        <w:rPr>
          <w:sz w:val="20"/>
          <w:vertAlign w:val="baseline"/>
        </w:rPr>
        <w:t> An update of the CLA database was published at the time that this report was going to press. </w:t>
      </w:r>
      <w:r>
        <w:rPr>
          <w:w w:val="105"/>
          <w:sz w:val="20"/>
          <w:vertAlign w:val="baseline"/>
        </w:rPr>
        <w:t>It</w:t>
      </w:r>
      <w:r>
        <w:rPr>
          <w:spacing w:val="-13"/>
          <w:w w:val="105"/>
          <w:sz w:val="20"/>
          <w:vertAlign w:val="baseline"/>
        </w:rPr>
        <w:t> </w:t>
      </w:r>
      <w:r>
        <w:rPr>
          <w:w w:val="105"/>
          <w:sz w:val="20"/>
          <w:vertAlign w:val="baseline"/>
        </w:rPr>
        <w:t>shows</w:t>
      </w:r>
      <w:r>
        <w:rPr>
          <w:spacing w:val="-13"/>
          <w:w w:val="105"/>
          <w:sz w:val="20"/>
          <w:vertAlign w:val="baseline"/>
        </w:rPr>
        <w:t> </w:t>
      </w:r>
      <w:r>
        <w:rPr>
          <w:w w:val="105"/>
          <w:sz w:val="20"/>
          <w:vertAlign w:val="baseline"/>
        </w:rPr>
        <w:t>a</w:t>
      </w:r>
      <w:r>
        <w:rPr>
          <w:spacing w:val="-13"/>
          <w:w w:val="105"/>
          <w:sz w:val="20"/>
          <w:vertAlign w:val="baseline"/>
        </w:rPr>
        <w:t> </w:t>
      </w:r>
      <w:r>
        <w:rPr>
          <w:w w:val="105"/>
          <w:sz w:val="20"/>
          <w:vertAlign w:val="baseline"/>
        </w:rPr>
        <w:t>continued</w:t>
      </w:r>
      <w:r>
        <w:rPr>
          <w:spacing w:val="-13"/>
          <w:w w:val="105"/>
          <w:sz w:val="20"/>
          <w:vertAlign w:val="baseline"/>
        </w:rPr>
        <w:t> </w:t>
      </w:r>
      <w:r>
        <w:rPr>
          <w:w w:val="105"/>
          <w:sz w:val="20"/>
          <w:vertAlign w:val="baseline"/>
        </w:rPr>
        <w:t>decline</w:t>
      </w:r>
      <w:r>
        <w:rPr>
          <w:spacing w:val="-13"/>
          <w:w w:val="105"/>
          <w:sz w:val="20"/>
          <w:vertAlign w:val="baseline"/>
        </w:rPr>
        <w:t> </w:t>
      </w:r>
      <w:r>
        <w:rPr>
          <w:w w:val="105"/>
          <w:sz w:val="20"/>
          <w:vertAlign w:val="baseline"/>
        </w:rPr>
        <w:t>in</w:t>
      </w:r>
      <w:r>
        <w:rPr>
          <w:spacing w:val="-13"/>
          <w:w w:val="105"/>
          <w:sz w:val="20"/>
          <w:vertAlign w:val="baseline"/>
        </w:rPr>
        <w:t> </w:t>
      </w:r>
      <w:r>
        <w:rPr>
          <w:w w:val="105"/>
          <w:sz w:val="20"/>
          <w:vertAlign w:val="baseline"/>
        </w:rPr>
        <w:t>Chinese</w:t>
      </w:r>
      <w:r>
        <w:rPr>
          <w:spacing w:val="-13"/>
          <w:w w:val="105"/>
          <w:sz w:val="20"/>
          <w:vertAlign w:val="baseline"/>
        </w:rPr>
        <w:t> </w:t>
      </w:r>
      <w:r>
        <w:rPr>
          <w:w w:val="105"/>
          <w:sz w:val="20"/>
          <w:vertAlign w:val="baseline"/>
        </w:rPr>
        <w:t>lending</w:t>
      </w:r>
      <w:r>
        <w:rPr>
          <w:spacing w:val="-13"/>
          <w:w w:val="105"/>
          <w:sz w:val="20"/>
          <w:vertAlign w:val="baseline"/>
        </w:rPr>
        <w:t> </w:t>
      </w:r>
      <w:r>
        <w:rPr>
          <w:w w:val="105"/>
          <w:sz w:val="20"/>
          <w:vertAlign w:val="baseline"/>
        </w:rPr>
        <w:t>commitment—to</w:t>
      </w:r>
      <w:r>
        <w:rPr>
          <w:spacing w:val="-13"/>
          <w:w w:val="105"/>
          <w:sz w:val="20"/>
          <w:vertAlign w:val="baseline"/>
        </w:rPr>
        <w:t> </w:t>
      </w:r>
      <w:r>
        <w:rPr>
          <w:w w:val="105"/>
          <w:sz w:val="20"/>
          <w:vertAlign w:val="baseline"/>
        </w:rPr>
        <w:t>$1.2</w:t>
      </w:r>
      <w:r>
        <w:rPr>
          <w:spacing w:val="-13"/>
          <w:w w:val="105"/>
          <w:sz w:val="20"/>
          <w:vertAlign w:val="baseline"/>
        </w:rPr>
        <w:t> </w:t>
      </w:r>
      <w:r>
        <w:rPr>
          <w:w w:val="105"/>
          <w:sz w:val="20"/>
          <w:vertAlign w:val="baseline"/>
        </w:rPr>
        <w:t>billion</w:t>
      </w:r>
      <w:r>
        <w:rPr>
          <w:spacing w:val="-13"/>
          <w:w w:val="105"/>
          <w:sz w:val="20"/>
          <w:vertAlign w:val="baseline"/>
        </w:rPr>
        <w:t> </w:t>
      </w:r>
      <w:r>
        <w:rPr>
          <w:w w:val="105"/>
          <w:sz w:val="20"/>
          <w:vertAlign w:val="baseline"/>
        </w:rPr>
        <w:t>in</w:t>
      </w:r>
      <w:r>
        <w:rPr>
          <w:spacing w:val="-13"/>
          <w:w w:val="105"/>
          <w:sz w:val="20"/>
          <w:vertAlign w:val="baseline"/>
        </w:rPr>
        <w:t> </w:t>
      </w:r>
      <w:r>
        <w:rPr>
          <w:w w:val="105"/>
          <w:sz w:val="20"/>
          <w:vertAlign w:val="baseline"/>
        </w:rPr>
        <w:t>2021</w:t>
      </w:r>
      <w:r>
        <w:rPr>
          <w:spacing w:val="-13"/>
          <w:w w:val="105"/>
          <w:sz w:val="20"/>
          <w:vertAlign w:val="baseline"/>
        </w:rPr>
        <w:t> </w:t>
      </w:r>
      <w:r>
        <w:rPr>
          <w:w w:val="105"/>
          <w:sz w:val="20"/>
          <w:vertAlign w:val="baseline"/>
        </w:rPr>
        <w:t>and</w:t>
      </w:r>
    </w:p>
    <w:p>
      <w:pPr>
        <w:spacing w:before="1"/>
        <w:ind w:left="760" w:right="0" w:firstLine="0"/>
        <w:jc w:val="left"/>
        <w:rPr>
          <w:sz w:val="20"/>
        </w:rPr>
      </w:pPr>
      <w:r>
        <w:rPr>
          <w:sz w:val="20"/>
        </w:rPr>
        <w:t>$994.4</w:t>
      </w:r>
      <w:r>
        <w:rPr>
          <w:spacing w:val="-6"/>
          <w:sz w:val="20"/>
        </w:rPr>
        <w:t> </w:t>
      </w:r>
      <w:r>
        <w:rPr>
          <w:sz w:val="20"/>
        </w:rPr>
        <w:t>million</w:t>
      </w:r>
      <w:r>
        <w:rPr>
          <w:spacing w:val="-5"/>
          <w:sz w:val="20"/>
        </w:rPr>
        <w:t> </w:t>
      </w:r>
      <w:r>
        <w:rPr>
          <w:sz w:val="20"/>
        </w:rPr>
        <w:t>in</w:t>
      </w:r>
      <w:r>
        <w:rPr>
          <w:spacing w:val="-5"/>
          <w:sz w:val="20"/>
        </w:rPr>
        <w:t> </w:t>
      </w:r>
      <w:r>
        <w:rPr>
          <w:sz w:val="20"/>
        </w:rPr>
        <w:t>2022</w:t>
      </w:r>
      <w:r>
        <w:rPr>
          <w:spacing w:val="-5"/>
          <w:sz w:val="20"/>
        </w:rPr>
        <w:t> </w:t>
      </w:r>
      <w:r>
        <w:rPr>
          <w:sz w:val="20"/>
        </w:rPr>
        <w:t>(Moses</w:t>
      </w:r>
      <w:r>
        <w:rPr>
          <w:spacing w:val="-5"/>
          <w:sz w:val="20"/>
        </w:rPr>
        <w:t> </w:t>
      </w:r>
      <w:r>
        <w:rPr>
          <w:sz w:val="20"/>
        </w:rPr>
        <w:t>et</w:t>
      </w:r>
      <w:r>
        <w:rPr>
          <w:spacing w:val="-6"/>
          <w:sz w:val="20"/>
        </w:rPr>
        <w:t> </w:t>
      </w:r>
      <w:r>
        <w:rPr>
          <w:sz w:val="20"/>
        </w:rPr>
        <w:t>al.</w:t>
      </w:r>
      <w:r>
        <w:rPr>
          <w:spacing w:val="-5"/>
          <w:sz w:val="20"/>
        </w:rPr>
        <w:t> </w:t>
      </w:r>
      <w:r>
        <w:rPr>
          <w:spacing w:val="-2"/>
          <w:sz w:val="20"/>
        </w:rPr>
        <w:t>2023).</w:t>
      </w:r>
    </w:p>
    <w:p>
      <w:pPr>
        <w:spacing w:after="0"/>
        <w:jc w:val="left"/>
        <w:rPr>
          <w:sz w:val="20"/>
        </w:rPr>
        <w:sectPr>
          <w:pgSz w:w="12240" w:h="15840"/>
          <w:pgMar w:header="0" w:footer="720" w:top="1400" w:bottom="920" w:left="1040" w:right="1040"/>
        </w:sectPr>
      </w:pPr>
    </w:p>
    <w:p>
      <w:pPr>
        <w:pStyle w:val="BodyText"/>
        <w:spacing w:line="333" w:lineRule="auto" w:before="27"/>
        <w:ind w:left="760" w:right="767"/>
      </w:pPr>
      <w:r>
        <w:rPr/>
        <w:t>ﬁnance portfolio (see Figure 1.2 in Chapter 1). It demonstrates that Beijing is </w:t>
      </w:r>
      <w:r>
        <w:rPr/>
        <w:t>still the single largest source of international development ﬁnance in the world, with annual ODA and OOF commitments to LIC and MICs now hovering around $80 </w:t>
      </w:r>
      <w:r>
        <w:rPr>
          <w:w w:val="105"/>
        </w:rPr>
        <w:t>billion.</w:t>
      </w:r>
      <w:r>
        <w:rPr>
          <w:spacing w:val="-12"/>
          <w:w w:val="105"/>
        </w:rPr>
        <w:t> </w:t>
      </w:r>
      <w:r>
        <w:rPr>
          <w:w w:val="105"/>
        </w:rPr>
        <w:t>Although</w:t>
      </w:r>
      <w:r>
        <w:rPr>
          <w:spacing w:val="-12"/>
          <w:w w:val="105"/>
        </w:rPr>
        <w:t> </w:t>
      </w:r>
      <w:r>
        <w:rPr>
          <w:w w:val="105"/>
        </w:rPr>
        <w:t>it</w:t>
      </w:r>
      <w:r>
        <w:rPr>
          <w:spacing w:val="-12"/>
          <w:w w:val="105"/>
        </w:rPr>
        <w:t> </w:t>
      </w:r>
      <w:r>
        <w:rPr>
          <w:w w:val="105"/>
        </w:rPr>
        <w:t>provides</w:t>
      </w:r>
      <w:r>
        <w:rPr>
          <w:spacing w:val="-12"/>
          <w:w w:val="105"/>
        </w:rPr>
        <w:t> </w:t>
      </w:r>
      <w:r>
        <w:rPr>
          <w:w w:val="105"/>
        </w:rPr>
        <w:t>evidence</w:t>
      </w:r>
      <w:r>
        <w:rPr>
          <w:spacing w:val="-12"/>
          <w:w w:val="105"/>
        </w:rPr>
        <w:t> </w:t>
      </w:r>
      <w:r>
        <w:rPr>
          <w:w w:val="105"/>
        </w:rPr>
        <w:t>of</w:t>
      </w:r>
      <w:r>
        <w:rPr>
          <w:spacing w:val="-12"/>
          <w:w w:val="105"/>
        </w:rPr>
        <w:t> </w:t>
      </w:r>
      <w:r>
        <w:rPr>
          <w:w w:val="105"/>
        </w:rPr>
        <w:t>China’s</w:t>
      </w:r>
      <w:r>
        <w:rPr>
          <w:spacing w:val="-12"/>
          <w:w w:val="105"/>
        </w:rPr>
        <w:t> </w:t>
      </w:r>
      <w:r>
        <w:rPr>
          <w:w w:val="105"/>
        </w:rPr>
        <w:t>annual</w:t>
      </w:r>
      <w:r>
        <w:rPr>
          <w:spacing w:val="-12"/>
          <w:w w:val="105"/>
        </w:rPr>
        <w:t> </w:t>
      </w:r>
      <w:r>
        <w:rPr>
          <w:w w:val="105"/>
        </w:rPr>
        <w:t>international development</w:t>
      </w:r>
      <w:r>
        <w:rPr>
          <w:spacing w:val="-11"/>
          <w:w w:val="105"/>
        </w:rPr>
        <w:t> </w:t>
      </w:r>
      <w:r>
        <w:rPr>
          <w:w w:val="105"/>
        </w:rPr>
        <w:t>ﬁnance</w:t>
      </w:r>
      <w:r>
        <w:rPr>
          <w:spacing w:val="-11"/>
          <w:w w:val="105"/>
        </w:rPr>
        <w:t> </w:t>
      </w:r>
      <w:r>
        <w:rPr>
          <w:w w:val="105"/>
        </w:rPr>
        <w:t>commitments</w:t>
      </w:r>
      <w:r>
        <w:rPr>
          <w:spacing w:val="-11"/>
          <w:w w:val="105"/>
        </w:rPr>
        <w:t> </w:t>
      </w:r>
      <w:r>
        <w:rPr>
          <w:w w:val="105"/>
        </w:rPr>
        <w:t>falling</w:t>
      </w:r>
      <w:r>
        <w:rPr>
          <w:spacing w:val="-11"/>
          <w:w w:val="105"/>
        </w:rPr>
        <w:t> </w:t>
      </w:r>
      <w:r>
        <w:rPr>
          <w:w w:val="105"/>
        </w:rPr>
        <w:t>between</w:t>
      </w:r>
      <w:r>
        <w:rPr>
          <w:spacing w:val="-11"/>
          <w:w w:val="105"/>
        </w:rPr>
        <w:t> </w:t>
      </w:r>
      <w:r>
        <w:rPr>
          <w:w w:val="105"/>
        </w:rPr>
        <w:t>2016</w:t>
      </w:r>
      <w:r>
        <w:rPr>
          <w:spacing w:val="-11"/>
          <w:w w:val="105"/>
        </w:rPr>
        <w:t> </w:t>
      </w:r>
      <w:r>
        <w:rPr>
          <w:w w:val="105"/>
        </w:rPr>
        <w:t>and</w:t>
      </w:r>
      <w:r>
        <w:rPr>
          <w:spacing w:val="-11"/>
          <w:w w:val="105"/>
        </w:rPr>
        <w:t> </w:t>
      </w:r>
      <w:r>
        <w:rPr>
          <w:w w:val="105"/>
        </w:rPr>
        <w:t>2020,</w:t>
      </w:r>
      <w:r>
        <w:rPr>
          <w:spacing w:val="-11"/>
          <w:w w:val="105"/>
        </w:rPr>
        <w:t> </w:t>
      </w:r>
      <w:r>
        <w:rPr>
          <w:w w:val="105"/>
        </w:rPr>
        <w:t>it</w:t>
      </w:r>
      <w:r>
        <w:rPr>
          <w:spacing w:val="-11"/>
          <w:w w:val="105"/>
        </w:rPr>
        <w:t> </w:t>
      </w:r>
      <w:r>
        <w:rPr>
          <w:w w:val="105"/>
        </w:rPr>
        <w:t>also </w:t>
      </w:r>
      <w:r>
        <w:rPr/>
        <w:t>shows an increase in 2021 (returning to a level that is roughly comparable to the </w:t>
      </w:r>
      <w:r>
        <w:rPr>
          <w:w w:val="105"/>
        </w:rPr>
        <w:t>ﬁrst</w:t>
      </w:r>
      <w:r>
        <w:rPr>
          <w:spacing w:val="-4"/>
          <w:w w:val="105"/>
        </w:rPr>
        <w:t> </w:t>
      </w:r>
      <w:r>
        <w:rPr>
          <w:w w:val="105"/>
        </w:rPr>
        <w:t>full</w:t>
      </w:r>
      <w:r>
        <w:rPr>
          <w:spacing w:val="-4"/>
          <w:w w:val="105"/>
        </w:rPr>
        <w:t> </w:t>
      </w:r>
      <w:r>
        <w:rPr>
          <w:w w:val="105"/>
        </w:rPr>
        <w:t>year</w:t>
      </w:r>
      <w:r>
        <w:rPr>
          <w:spacing w:val="-4"/>
          <w:w w:val="105"/>
        </w:rPr>
        <w:t> </w:t>
      </w:r>
      <w:r>
        <w:rPr>
          <w:w w:val="105"/>
        </w:rPr>
        <w:t>of</w:t>
      </w:r>
      <w:r>
        <w:rPr>
          <w:spacing w:val="-4"/>
          <w:w w:val="105"/>
        </w:rPr>
        <w:t> </w:t>
      </w:r>
      <w:r>
        <w:rPr>
          <w:w w:val="105"/>
        </w:rPr>
        <w:t>BRI</w:t>
      </w:r>
      <w:r>
        <w:rPr>
          <w:spacing w:val="-4"/>
          <w:w w:val="105"/>
        </w:rPr>
        <w:t> </w:t>
      </w:r>
      <w:r>
        <w:rPr>
          <w:w w:val="105"/>
        </w:rPr>
        <w:t>implementation).</w:t>
      </w:r>
    </w:p>
    <w:p>
      <w:pPr>
        <w:pStyle w:val="BodyText"/>
        <w:rPr>
          <w:sz w:val="20"/>
        </w:rPr>
      </w:pPr>
    </w:p>
    <w:p>
      <w:pPr>
        <w:pStyle w:val="BodyText"/>
        <w:spacing w:before="9"/>
        <w:rPr>
          <w:sz w:val="16"/>
        </w:rPr>
      </w:pPr>
      <w:r>
        <w:rPr/>
        <w:pict>
          <v:shape style="position:absolute;margin-left:84pt;margin-top:10.888446pt;width:444pt;height:38pt;mso-position-horizontal-relative:page;mso-position-vertical-relative:paragraph;z-index:-15727104;mso-wrap-distance-left:0;mso-wrap-distance-right:0" type="#_x0000_t202" id="docshape4" filled="true" fillcolor="#5b666f" stroked="false">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2.1</w:t>
                  </w:r>
                </w:p>
              </w:txbxContent>
            </v:textbox>
            <v:fill type="solid"/>
            <w10:wrap type="topAndBottom"/>
          </v:shape>
        </w:pict>
      </w:r>
      <w:r>
        <w:rPr/>
        <w:drawing>
          <wp:anchor distT="0" distB="0" distL="0" distR="0" allowOverlap="1" layoutInCell="1" locked="0" behindDoc="0" simplePos="0" relativeHeight="4">
            <wp:simplePos x="0" y="0"/>
            <wp:positionH relativeFrom="page">
              <wp:posOffset>1255811</wp:posOffset>
            </wp:positionH>
            <wp:positionV relativeFrom="paragraph">
              <wp:posOffset>751150</wp:posOffset>
            </wp:positionV>
            <wp:extent cx="5172859" cy="318439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172859" cy="3184398"/>
                    </a:xfrm>
                    <a:prstGeom prst="rect">
                      <a:avLst/>
                    </a:prstGeom>
                  </pic:spPr>
                </pic:pic>
              </a:graphicData>
            </a:graphic>
          </wp:anchor>
        </w:drawing>
      </w:r>
    </w:p>
    <w:p>
      <w:pPr>
        <w:pStyle w:val="BodyText"/>
        <w:spacing w:before="8"/>
        <w:rPr>
          <w:sz w:val="15"/>
        </w:rPr>
      </w:pPr>
    </w:p>
    <w:p>
      <w:pPr>
        <w:pStyle w:val="BodyText"/>
        <w:rPr>
          <w:sz w:val="20"/>
        </w:rPr>
      </w:pPr>
    </w:p>
    <w:p>
      <w:pPr>
        <w:pStyle w:val="BodyText"/>
        <w:spacing w:before="10"/>
        <w:rPr>
          <w:sz w:val="16"/>
        </w:rPr>
      </w:pPr>
    </w:p>
    <w:p>
      <w:pPr>
        <w:spacing w:line="333" w:lineRule="auto" w:before="71"/>
        <w:ind w:left="760" w:right="767" w:firstLine="0"/>
        <w:jc w:val="left"/>
        <w:rPr>
          <w:i/>
          <w:sz w:val="18"/>
        </w:rPr>
      </w:pPr>
      <w:r>
        <w:rPr>
          <w:i/>
          <w:sz w:val="18"/>
        </w:rPr>
        <w:t>Notes: Figure 2.1 compares the total size of ofﬁcial sector lending commitments from China to LICs </w:t>
      </w:r>
      <w:r>
        <w:rPr>
          <w:i/>
          <w:sz w:val="18"/>
        </w:rPr>
        <w:t>and</w:t>
      </w:r>
      <w:r>
        <w:rPr>
          <w:i/>
          <w:sz w:val="18"/>
        </w:rPr>
        <w:t> MICs across three datasets: the 3.0 version of AidData’s GCDF dataset, Boston University’s China’s Overseas Development Finance Database (CODF), and the World Bank’s International Debt Statistics (representing commitments to ofﬁcial creditors in China).</w:t>
      </w:r>
    </w:p>
    <w:p>
      <w:pPr>
        <w:pStyle w:val="BodyText"/>
        <w:rPr>
          <w:i/>
          <w:sz w:val="18"/>
        </w:rPr>
      </w:pPr>
    </w:p>
    <w:p>
      <w:pPr>
        <w:pStyle w:val="BodyText"/>
        <w:spacing w:line="333" w:lineRule="auto" w:before="112"/>
        <w:ind w:left="760" w:right="767"/>
      </w:pPr>
      <w:r>
        <w:rPr/>
        <w:pict>
          <v:shape style="position:absolute;margin-left:90pt;margin-top:102.868233pt;width:144pt;height:.1pt;mso-position-horizontal-relative:page;mso-position-vertical-relative:paragraph;z-index:-15726080;mso-wrap-distance-left:0;mso-wrap-distance-right:0" id="docshape5" coordorigin="1800,2057" coordsize="2880,0" path="m1800,2057l4680,2057e" filled="false" stroked="true" strokeweight=".75pt" strokecolor="#000000">
            <v:path arrowok="t"/>
            <v:stroke dashstyle="solid"/>
            <w10:wrap type="topAndBottom"/>
          </v:shape>
        </w:pict>
      </w:r>
      <w:r>
        <w:rPr/>
        <w:t>Figure 2.1 provides a comparison of ofﬁcial lending commitments from China </w:t>
      </w:r>
      <w:r>
        <w:rPr/>
        <w:t>to </w:t>
      </w:r>
      <w:r>
        <w:rPr>
          <w:w w:val="105"/>
        </w:rPr>
        <w:t>borrowers</w:t>
      </w:r>
      <w:r>
        <w:rPr>
          <w:spacing w:val="-18"/>
          <w:w w:val="105"/>
        </w:rPr>
        <w:t> </w:t>
      </w:r>
      <w:r>
        <w:rPr>
          <w:w w:val="105"/>
        </w:rPr>
        <w:t>in</w:t>
      </w:r>
      <w:r>
        <w:rPr>
          <w:spacing w:val="-17"/>
          <w:w w:val="105"/>
        </w:rPr>
        <w:t> </w:t>
      </w:r>
      <w:r>
        <w:rPr>
          <w:w w:val="105"/>
        </w:rPr>
        <w:t>low-income</w:t>
      </w:r>
      <w:r>
        <w:rPr>
          <w:spacing w:val="-18"/>
          <w:w w:val="105"/>
        </w:rPr>
        <w:t> </w:t>
      </w:r>
      <w:r>
        <w:rPr>
          <w:w w:val="105"/>
        </w:rPr>
        <w:t>and</w:t>
      </w:r>
      <w:r>
        <w:rPr>
          <w:spacing w:val="-18"/>
          <w:w w:val="105"/>
        </w:rPr>
        <w:t> </w:t>
      </w:r>
      <w:r>
        <w:rPr>
          <w:w w:val="105"/>
        </w:rPr>
        <w:t>middle-income</w:t>
      </w:r>
      <w:r>
        <w:rPr>
          <w:spacing w:val="-17"/>
          <w:w w:val="105"/>
        </w:rPr>
        <w:t> </w:t>
      </w:r>
      <w:r>
        <w:rPr>
          <w:w w:val="105"/>
        </w:rPr>
        <w:t>countries,</w:t>
      </w:r>
      <w:r>
        <w:rPr>
          <w:spacing w:val="-18"/>
          <w:w w:val="105"/>
        </w:rPr>
        <w:t> </w:t>
      </w:r>
      <w:r>
        <w:rPr>
          <w:w w:val="105"/>
        </w:rPr>
        <w:t>as</w:t>
      </w:r>
      <w:r>
        <w:rPr>
          <w:spacing w:val="-17"/>
          <w:w w:val="105"/>
        </w:rPr>
        <w:t> </w:t>
      </w:r>
      <w:r>
        <w:rPr>
          <w:w w:val="105"/>
        </w:rPr>
        <w:t>measured</w:t>
      </w:r>
      <w:r>
        <w:rPr>
          <w:spacing w:val="-18"/>
          <w:w w:val="105"/>
        </w:rPr>
        <w:t> </w:t>
      </w:r>
      <w:r>
        <w:rPr>
          <w:w w:val="105"/>
        </w:rPr>
        <w:t>by</w:t>
      </w:r>
      <w:r>
        <w:rPr>
          <w:spacing w:val="-17"/>
          <w:w w:val="105"/>
        </w:rPr>
        <w:t> </w:t>
      </w:r>
      <w:r>
        <w:rPr>
          <w:w w:val="105"/>
        </w:rPr>
        <w:t>three </w:t>
      </w:r>
      <w:r>
        <w:rPr>
          <w:spacing w:val="-2"/>
          <w:w w:val="105"/>
        </w:rPr>
        <w:t>different</w:t>
      </w:r>
      <w:r>
        <w:rPr>
          <w:spacing w:val="-16"/>
          <w:w w:val="105"/>
        </w:rPr>
        <w:t> </w:t>
      </w:r>
      <w:r>
        <w:rPr>
          <w:spacing w:val="-2"/>
          <w:w w:val="105"/>
        </w:rPr>
        <w:t>sources:</w:t>
      </w:r>
      <w:r>
        <w:rPr>
          <w:spacing w:val="-15"/>
          <w:w w:val="105"/>
        </w:rPr>
        <w:t> </w:t>
      </w:r>
      <w:r>
        <w:rPr>
          <w:spacing w:val="-2"/>
          <w:w w:val="105"/>
        </w:rPr>
        <w:t>the</w:t>
      </w:r>
      <w:r>
        <w:rPr>
          <w:spacing w:val="-16"/>
          <w:w w:val="105"/>
        </w:rPr>
        <w:t> </w:t>
      </w:r>
      <w:r>
        <w:rPr>
          <w:spacing w:val="-2"/>
          <w:w w:val="105"/>
        </w:rPr>
        <w:t>3.0</w:t>
      </w:r>
      <w:r>
        <w:rPr>
          <w:spacing w:val="-15"/>
          <w:w w:val="105"/>
        </w:rPr>
        <w:t> </w:t>
      </w:r>
      <w:r>
        <w:rPr>
          <w:spacing w:val="-2"/>
          <w:w w:val="105"/>
        </w:rPr>
        <w:t>version</w:t>
      </w:r>
      <w:r>
        <w:rPr>
          <w:spacing w:val="-16"/>
          <w:w w:val="105"/>
        </w:rPr>
        <w:t> </w:t>
      </w:r>
      <w:r>
        <w:rPr>
          <w:spacing w:val="-2"/>
          <w:w w:val="105"/>
        </w:rPr>
        <w:t>of</w:t>
      </w:r>
      <w:r>
        <w:rPr>
          <w:spacing w:val="-15"/>
          <w:w w:val="105"/>
        </w:rPr>
        <w:t> </w:t>
      </w:r>
      <w:r>
        <w:rPr>
          <w:spacing w:val="-2"/>
          <w:w w:val="105"/>
        </w:rPr>
        <w:t>AidData’s</w:t>
      </w:r>
      <w:r>
        <w:rPr>
          <w:spacing w:val="-16"/>
          <w:w w:val="105"/>
        </w:rPr>
        <w:t> </w:t>
      </w:r>
      <w:r>
        <w:rPr>
          <w:spacing w:val="-2"/>
          <w:w w:val="105"/>
        </w:rPr>
        <w:t>GCDF</w:t>
      </w:r>
      <w:r>
        <w:rPr>
          <w:spacing w:val="-15"/>
          <w:w w:val="105"/>
        </w:rPr>
        <w:t> </w:t>
      </w:r>
      <w:r>
        <w:rPr>
          <w:spacing w:val="-2"/>
          <w:w w:val="105"/>
        </w:rPr>
        <w:t>dataset,</w:t>
      </w:r>
      <w:r>
        <w:rPr>
          <w:spacing w:val="-16"/>
          <w:w w:val="105"/>
        </w:rPr>
        <w:t> </w:t>
      </w:r>
      <w:r>
        <w:rPr>
          <w:spacing w:val="-2"/>
          <w:w w:val="105"/>
        </w:rPr>
        <w:t>the</w:t>
      </w:r>
      <w:r>
        <w:rPr>
          <w:spacing w:val="-15"/>
          <w:w w:val="105"/>
        </w:rPr>
        <w:t> </w:t>
      </w:r>
      <w:r>
        <w:rPr>
          <w:spacing w:val="-2"/>
          <w:w w:val="105"/>
        </w:rPr>
        <w:t>World</w:t>
      </w:r>
      <w:r>
        <w:rPr>
          <w:spacing w:val="-16"/>
          <w:w w:val="105"/>
        </w:rPr>
        <w:t> </w:t>
      </w:r>
      <w:r>
        <w:rPr>
          <w:spacing w:val="-2"/>
          <w:w w:val="105"/>
        </w:rPr>
        <w:t>Bank’s </w:t>
      </w:r>
      <w:r>
        <w:rPr>
          <w:w w:val="105"/>
        </w:rPr>
        <w:t>IDS,</w:t>
      </w:r>
      <w:r>
        <w:rPr>
          <w:spacing w:val="-18"/>
          <w:w w:val="105"/>
        </w:rPr>
        <w:t> </w:t>
      </w:r>
      <w:r>
        <w:rPr>
          <w:w w:val="105"/>
        </w:rPr>
        <w:t>and</w:t>
      </w:r>
      <w:r>
        <w:rPr>
          <w:spacing w:val="-17"/>
          <w:w w:val="105"/>
        </w:rPr>
        <w:t> </w:t>
      </w:r>
      <w:r>
        <w:rPr>
          <w:w w:val="105"/>
        </w:rPr>
        <w:t>the</w:t>
      </w:r>
      <w:r>
        <w:rPr>
          <w:spacing w:val="-18"/>
          <w:w w:val="105"/>
        </w:rPr>
        <w:t> </w:t>
      </w:r>
      <w:r>
        <w:rPr>
          <w:w w:val="105"/>
        </w:rPr>
        <w:t>CODF</w:t>
      </w:r>
      <w:r>
        <w:rPr>
          <w:spacing w:val="-18"/>
          <w:w w:val="105"/>
        </w:rPr>
        <w:t> </w:t>
      </w:r>
      <w:r>
        <w:rPr>
          <w:w w:val="105"/>
        </w:rPr>
        <w:t>database</w:t>
      </w:r>
      <w:r>
        <w:rPr>
          <w:spacing w:val="-17"/>
          <w:w w:val="105"/>
        </w:rPr>
        <w:t> </w:t>
      </w:r>
      <w:r>
        <w:rPr>
          <w:w w:val="105"/>
        </w:rPr>
        <w:t>produced</w:t>
      </w:r>
      <w:r>
        <w:rPr>
          <w:spacing w:val="-18"/>
          <w:w w:val="105"/>
        </w:rPr>
        <w:t> </w:t>
      </w:r>
      <w:r>
        <w:rPr>
          <w:w w:val="105"/>
        </w:rPr>
        <w:t>by</w:t>
      </w:r>
      <w:r>
        <w:rPr>
          <w:spacing w:val="-17"/>
          <w:w w:val="105"/>
        </w:rPr>
        <w:t> </w:t>
      </w:r>
      <w:r>
        <w:rPr>
          <w:w w:val="105"/>
        </w:rPr>
        <w:t>Boston</w:t>
      </w:r>
      <w:r>
        <w:rPr>
          <w:spacing w:val="-18"/>
          <w:w w:val="105"/>
        </w:rPr>
        <w:t> </w:t>
      </w:r>
      <w:r>
        <w:rPr>
          <w:w w:val="105"/>
        </w:rPr>
        <w:t>University's</w:t>
      </w:r>
      <w:r>
        <w:rPr>
          <w:spacing w:val="-17"/>
          <w:w w:val="105"/>
        </w:rPr>
        <w:t> </w:t>
      </w:r>
      <w:r>
        <w:rPr>
          <w:w w:val="105"/>
        </w:rPr>
        <w:t>Global Development</w:t>
      </w:r>
      <w:r>
        <w:rPr>
          <w:spacing w:val="-18"/>
          <w:w w:val="105"/>
        </w:rPr>
        <w:t> </w:t>
      </w:r>
      <w:r>
        <w:rPr>
          <w:w w:val="105"/>
        </w:rPr>
        <w:t>Policy</w:t>
      </w:r>
      <w:r>
        <w:rPr>
          <w:spacing w:val="-17"/>
          <w:w w:val="105"/>
        </w:rPr>
        <w:t> </w:t>
      </w:r>
      <w:r>
        <w:rPr>
          <w:w w:val="105"/>
        </w:rPr>
        <w:t>Center.</w:t>
      </w:r>
      <w:r>
        <w:rPr>
          <w:w w:val="105"/>
          <w:vertAlign w:val="superscript"/>
        </w:rPr>
        <w:t>79</w:t>
      </w:r>
      <w:r>
        <w:rPr>
          <w:spacing w:val="-18"/>
          <w:w w:val="105"/>
          <w:vertAlign w:val="baseline"/>
        </w:rPr>
        <w:t> </w:t>
      </w:r>
      <w:r>
        <w:rPr>
          <w:w w:val="105"/>
          <w:vertAlign w:val="baseline"/>
        </w:rPr>
        <w:t>AidData</w:t>
      </w:r>
      <w:r>
        <w:rPr>
          <w:spacing w:val="-18"/>
          <w:w w:val="105"/>
          <w:vertAlign w:val="baseline"/>
        </w:rPr>
        <w:t> </w:t>
      </w:r>
      <w:r>
        <w:rPr>
          <w:w w:val="105"/>
          <w:vertAlign w:val="baseline"/>
        </w:rPr>
        <w:t>captures</w:t>
      </w:r>
      <w:r>
        <w:rPr>
          <w:spacing w:val="-17"/>
          <w:w w:val="105"/>
          <w:vertAlign w:val="baseline"/>
        </w:rPr>
        <w:t> </w:t>
      </w:r>
      <w:r>
        <w:rPr>
          <w:w w:val="105"/>
          <w:vertAlign w:val="baseline"/>
        </w:rPr>
        <w:t>lending</w:t>
      </w:r>
      <w:r>
        <w:rPr>
          <w:spacing w:val="-18"/>
          <w:w w:val="105"/>
          <w:vertAlign w:val="baseline"/>
        </w:rPr>
        <w:t> </w:t>
      </w:r>
      <w:r>
        <w:rPr>
          <w:w w:val="105"/>
          <w:vertAlign w:val="baseline"/>
        </w:rPr>
        <w:t>commitments</w:t>
      </w:r>
      <w:r>
        <w:rPr>
          <w:spacing w:val="-17"/>
          <w:w w:val="105"/>
          <w:vertAlign w:val="baseline"/>
        </w:rPr>
        <w:t> </w:t>
      </w:r>
      <w:r>
        <w:rPr>
          <w:w w:val="105"/>
          <w:vertAlign w:val="baseline"/>
        </w:rPr>
        <w:t>worth</w:t>
      </w:r>
    </w:p>
    <w:p>
      <w:pPr>
        <w:spacing w:before="113"/>
        <w:ind w:left="760" w:right="0" w:firstLine="0"/>
        <w:jc w:val="left"/>
        <w:rPr>
          <w:sz w:val="16"/>
        </w:rPr>
      </w:pPr>
      <w:r>
        <w:rPr>
          <w:sz w:val="16"/>
          <w:vertAlign w:val="superscript"/>
        </w:rPr>
        <w:t>79</w:t>
      </w:r>
      <w:r>
        <w:rPr>
          <w:spacing w:val="-7"/>
          <w:sz w:val="16"/>
          <w:vertAlign w:val="baseline"/>
        </w:rPr>
        <w:t> </w:t>
      </w:r>
      <w:r>
        <w:rPr>
          <w:sz w:val="16"/>
          <w:vertAlign w:val="baseline"/>
        </w:rPr>
        <w:t>To</w:t>
      </w:r>
      <w:r>
        <w:rPr>
          <w:spacing w:val="-7"/>
          <w:sz w:val="16"/>
          <w:vertAlign w:val="baseline"/>
        </w:rPr>
        <w:t> </w:t>
      </w:r>
      <w:r>
        <w:rPr>
          <w:sz w:val="16"/>
          <w:vertAlign w:val="baseline"/>
        </w:rPr>
        <w:t>ensure</w:t>
      </w:r>
      <w:r>
        <w:rPr>
          <w:spacing w:val="-7"/>
          <w:sz w:val="16"/>
          <w:vertAlign w:val="baseline"/>
        </w:rPr>
        <w:t> </w:t>
      </w:r>
      <w:r>
        <w:rPr>
          <w:sz w:val="16"/>
          <w:vertAlign w:val="baseline"/>
        </w:rPr>
        <w:t>comparability,</w:t>
      </w:r>
      <w:r>
        <w:rPr>
          <w:spacing w:val="-7"/>
          <w:sz w:val="16"/>
          <w:vertAlign w:val="baseline"/>
        </w:rPr>
        <w:t> </w:t>
      </w:r>
      <w:r>
        <w:rPr>
          <w:sz w:val="16"/>
          <w:vertAlign w:val="baseline"/>
        </w:rPr>
        <w:t>we</w:t>
      </w:r>
      <w:r>
        <w:rPr>
          <w:spacing w:val="-7"/>
          <w:sz w:val="16"/>
          <w:vertAlign w:val="baseline"/>
        </w:rPr>
        <w:t> </w:t>
      </w:r>
      <w:r>
        <w:rPr>
          <w:sz w:val="16"/>
          <w:vertAlign w:val="baseline"/>
        </w:rPr>
        <w:t>convert</w:t>
      </w:r>
      <w:r>
        <w:rPr>
          <w:spacing w:val="-7"/>
          <w:sz w:val="16"/>
          <w:vertAlign w:val="baseline"/>
        </w:rPr>
        <w:t> </w:t>
      </w:r>
      <w:r>
        <w:rPr>
          <w:sz w:val="16"/>
          <w:vertAlign w:val="baseline"/>
        </w:rPr>
        <w:t>the</w:t>
      </w:r>
      <w:r>
        <w:rPr>
          <w:spacing w:val="-7"/>
          <w:sz w:val="16"/>
          <w:vertAlign w:val="baseline"/>
        </w:rPr>
        <w:t> </w:t>
      </w:r>
      <w:r>
        <w:rPr>
          <w:sz w:val="16"/>
          <w:vertAlign w:val="baseline"/>
        </w:rPr>
        <w:t>IDS</w:t>
      </w:r>
      <w:r>
        <w:rPr>
          <w:spacing w:val="-7"/>
          <w:sz w:val="16"/>
          <w:vertAlign w:val="baseline"/>
        </w:rPr>
        <w:t> </w:t>
      </w:r>
      <w:r>
        <w:rPr>
          <w:sz w:val="16"/>
          <w:vertAlign w:val="baseline"/>
        </w:rPr>
        <w:t>data</w:t>
      </w:r>
      <w:r>
        <w:rPr>
          <w:spacing w:val="-7"/>
          <w:sz w:val="16"/>
          <w:vertAlign w:val="baseline"/>
        </w:rPr>
        <w:t> </w:t>
      </w:r>
      <w:r>
        <w:rPr>
          <w:sz w:val="16"/>
          <w:vertAlign w:val="baseline"/>
        </w:rPr>
        <w:t>series</w:t>
      </w:r>
      <w:r>
        <w:rPr>
          <w:spacing w:val="-7"/>
          <w:sz w:val="16"/>
          <w:vertAlign w:val="baseline"/>
        </w:rPr>
        <w:t> </w:t>
      </w:r>
      <w:r>
        <w:rPr>
          <w:sz w:val="16"/>
          <w:vertAlign w:val="baseline"/>
        </w:rPr>
        <w:t>and</w:t>
      </w:r>
      <w:r>
        <w:rPr>
          <w:spacing w:val="-7"/>
          <w:sz w:val="16"/>
          <w:vertAlign w:val="baseline"/>
        </w:rPr>
        <w:t> </w:t>
      </w:r>
      <w:r>
        <w:rPr>
          <w:sz w:val="16"/>
          <w:vertAlign w:val="baseline"/>
        </w:rPr>
        <w:t>the</w:t>
      </w:r>
      <w:r>
        <w:rPr>
          <w:spacing w:val="-7"/>
          <w:sz w:val="16"/>
          <w:vertAlign w:val="baseline"/>
        </w:rPr>
        <w:t> </w:t>
      </w:r>
      <w:r>
        <w:rPr>
          <w:sz w:val="16"/>
          <w:vertAlign w:val="baseline"/>
        </w:rPr>
        <w:t>CODF</w:t>
      </w:r>
      <w:r>
        <w:rPr>
          <w:spacing w:val="-6"/>
          <w:sz w:val="16"/>
          <w:vertAlign w:val="baseline"/>
        </w:rPr>
        <w:t> </w:t>
      </w:r>
      <w:r>
        <w:rPr>
          <w:sz w:val="16"/>
          <w:vertAlign w:val="baseline"/>
        </w:rPr>
        <w:t>data</w:t>
      </w:r>
      <w:r>
        <w:rPr>
          <w:spacing w:val="-7"/>
          <w:sz w:val="16"/>
          <w:vertAlign w:val="baseline"/>
        </w:rPr>
        <w:t> </w:t>
      </w:r>
      <w:r>
        <w:rPr>
          <w:sz w:val="16"/>
          <w:vertAlign w:val="baseline"/>
        </w:rPr>
        <w:t>series</w:t>
      </w:r>
      <w:r>
        <w:rPr>
          <w:spacing w:val="-7"/>
          <w:sz w:val="16"/>
          <w:vertAlign w:val="baseline"/>
        </w:rPr>
        <w:t> </w:t>
      </w:r>
      <w:r>
        <w:rPr>
          <w:sz w:val="16"/>
          <w:vertAlign w:val="baseline"/>
        </w:rPr>
        <w:t>into</w:t>
      </w:r>
      <w:r>
        <w:rPr>
          <w:spacing w:val="-7"/>
          <w:sz w:val="16"/>
          <w:vertAlign w:val="baseline"/>
        </w:rPr>
        <w:t> </w:t>
      </w:r>
      <w:r>
        <w:rPr>
          <w:sz w:val="16"/>
          <w:vertAlign w:val="baseline"/>
        </w:rPr>
        <w:t>constant</w:t>
      </w:r>
      <w:r>
        <w:rPr>
          <w:spacing w:val="-7"/>
          <w:sz w:val="16"/>
          <w:vertAlign w:val="baseline"/>
        </w:rPr>
        <w:t> </w:t>
      </w:r>
      <w:r>
        <w:rPr>
          <w:sz w:val="16"/>
          <w:vertAlign w:val="baseline"/>
        </w:rPr>
        <w:t>2021</w:t>
      </w:r>
      <w:r>
        <w:rPr>
          <w:spacing w:val="-7"/>
          <w:sz w:val="16"/>
          <w:vertAlign w:val="baseline"/>
        </w:rPr>
        <w:t> </w:t>
      </w:r>
      <w:r>
        <w:rPr>
          <w:spacing w:val="-4"/>
          <w:sz w:val="16"/>
          <w:vertAlign w:val="baseline"/>
        </w:rPr>
        <w:t>USD.</w:t>
      </w:r>
    </w:p>
    <w:p>
      <w:pPr>
        <w:spacing w:after="0"/>
        <w:jc w:val="left"/>
        <w:rPr>
          <w:sz w:val="16"/>
        </w:rPr>
        <w:sectPr>
          <w:pgSz w:w="12240" w:h="15840"/>
          <w:pgMar w:header="0" w:footer="720" w:top="1400" w:bottom="920" w:left="1040" w:right="1040"/>
        </w:sectPr>
      </w:pPr>
    </w:p>
    <w:p>
      <w:pPr>
        <w:pStyle w:val="BodyText"/>
        <w:spacing w:line="333" w:lineRule="auto" w:before="27"/>
        <w:ind w:left="760" w:right="898"/>
      </w:pPr>
      <w:r>
        <w:rPr/>
        <w:t>$1.28 trillion between 2000 and 2021, while CODF and IDS capture lending commitments worth $605 billion and $378 billion, respectively.</w:t>
      </w:r>
      <w:r>
        <w:rPr>
          <w:vertAlign w:val="superscript"/>
        </w:rPr>
        <w:t>80</w:t>
      </w:r>
      <w:r>
        <w:rPr>
          <w:vertAlign w:val="baseline"/>
        </w:rPr>
        <w:t> Whereas AidData records a 45% decline in lending commitments between 2016 and 2021, CODF and IDS record substantially larger declines—96% and 78%, respectively. CODF and IDS record $3.7 billion and $7.1 billion, respectively, </w:t>
      </w:r>
      <w:r>
        <w:rPr>
          <w:vertAlign w:val="baseline"/>
        </w:rPr>
        <w:t>in new ofﬁcial lending commitments from China in 2021. AidData captures $75.5 billion in new ofﬁcial lending commitments from China in the same year.</w:t>
      </w:r>
    </w:p>
    <w:p>
      <w:pPr>
        <w:pStyle w:val="BodyText"/>
        <w:spacing w:before="5"/>
        <w:rPr>
          <w:sz w:val="27"/>
        </w:rPr>
      </w:pPr>
    </w:p>
    <w:p>
      <w:pPr>
        <w:pStyle w:val="BodyText"/>
        <w:spacing w:line="333" w:lineRule="auto" w:before="1"/>
        <w:ind w:left="760" w:right="804"/>
      </w:pPr>
      <w:r>
        <w:rPr/>
        <w:t>There</w:t>
      </w:r>
      <w:r>
        <w:rPr>
          <w:spacing w:val="-11"/>
        </w:rPr>
        <w:t> </w:t>
      </w:r>
      <w:r>
        <w:rPr/>
        <w:t>are</w:t>
      </w:r>
      <w:r>
        <w:rPr>
          <w:spacing w:val="-11"/>
        </w:rPr>
        <w:t> </w:t>
      </w:r>
      <w:r>
        <w:rPr/>
        <w:t>several</w:t>
      </w:r>
      <w:r>
        <w:rPr>
          <w:spacing w:val="-11"/>
        </w:rPr>
        <w:t> </w:t>
      </w:r>
      <w:r>
        <w:rPr/>
        <w:t>reasons</w:t>
      </w:r>
      <w:r>
        <w:rPr>
          <w:spacing w:val="-11"/>
        </w:rPr>
        <w:t> </w:t>
      </w:r>
      <w:r>
        <w:rPr/>
        <w:t>why</w:t>
      </w:r>
      <w:r>
        <w:rPr>
          <w:spacing w:val="-11"/>
        </w:rPr>
        <w:t> </w:t>
      </w:r>
      <w:r>
        <w:rPr/>
        <w:t>the</w:t>
      </w:r>
      <w:r>
        <w:rPr>
          <w:spacing w:val="-11"/>
        </w:rPr>
        <w:t> </w:t>
      </w:r>
      <w:r>
        <w:rPr/>
        <w:t>estimates</w:t>
      </w:r>
      <w:r>
        <w:rPr>
          <w:spacing w:val="-11"/>
        </w:rPr>
        <w:t> </w:t>
      </w:r>
      <w:r>
        <w:rPr/>
        <w:t>from</w:t>
      </w:r>
      <w:r>
        <w:rPr>
          <w:spacing w:val="-11"/>
        </w:rPr>
        <w:t> </w:t>
      </w:r>
      <w:r>
        <w:rPr/>
        <w:t>AidData’s</w:t>
      </w:r>
      <w:r>
        <w:rPr>
          <w:spacing w:val="-11"/>
        </w:rPr>
        <w:t> </w:t>
      </w:r>
      <w:r>
        <w:rPr/>
        <w:t>GCDF</w:t>
      </w:r>
      <w:r>
        <w:rPr>
          <w:spacing w:val="-11"/>
        </w:rPr>
        <w:t> </w:t>
      </w:r>
      <w:r>
        <w:rPr/>
        <w:t>dataset,</w:t>
      </w:r>
      <w:r>
        <w:rPr>
          <w:spacing w:val="-11"/>
        </w:rPr>
        <w:t> </w:t>
      </w:r>
      <w:r>
        <w:rPr/>
        <w:t>BU’s CODF</w:t>
      </w:r>
      <w:r>
        <w:rPr>
          <w:spacing w:val="-2"/>
        </w:rPr>
        <w:t> </w:t>
      </w:r>
      <w:r>
        <w:rPr/>
        <w:t>dataset,</w:t>
      </w:r>
      <w:r>
        <w:rPr>
          <w:spacing w:val="-2"/>
        </w:rPr>
        <w:t> </w:t>
      </w:r>
      <w:r>
        <w:rPr/>
        <w:t>and</w:t>
      </w:r>
      <w:r>
        <w:rPr>
          <w:spacing w:val="-2"/>
        </w:rPr>
        <w:t> </w:t>
      </w:r>
      <w:r>
        <w:rPr/>
        <w:t>the</w:t>
      </w:r>
      <w:r>
        <w:rPr>
          <w:spacing w:val="-2"/>
        </w:rPr>
        <w:t> </w:t>
      </w:r>
      <w:r>
        <w:rPr/>
        <w:t>World</w:t>
      </w:r>
      <w:r>
        <w:rPr>
          <w:spacing w:val="-2"/>
        </w:rPr>
        <w:t> </w:t>
      </w:r>
      <w:r>
        <w:rPr/>
        <w:t>Bank’s</w:t>
      </w:r>
      <w:r>
        <w:rPr>
          <w:spacing w:val="-2"/>
        </w:rPr>
        <w:t> </w:t>
      </w:r>
      <w:r>
        <w:rPr/>
        <w:t>IDS</w:t>
      </w:r>
      <w:r>
        <w:rPr>
          <w:spacing w:val="-2"/>
        </w:rPr>
        <w:t> </w:t>
      </w:r>
      <w:r>
        <w:rPr/>
        <w:t>are</w:t>
      </w:r>
      <w:r>
        <w:rPr>
          <w:spacing w:val="-2"/>
        </w:rPr>
        <w:t> </w:t>
      </w:r>
      <w:r>
        <w:rPr/>
        <w:t>widely</w:t>
      </w:r>
      <w:r>
        <w:rPr>
          <w:spacing w:val="-2"/>
        </w:rPr>
        <w:t> </w:t>
      </w:r>
      <w:r>
        <w:rPr/>
        <w:t>divergent.</w:t>
      </w:r>
      <w:r>
        <w:rPr>
          <w:spacing w:val="-2"/>
        </w:rPr>
        <w:t> </w:t>
      </w:r>
      <w:r>
        <w:rPr/>
        <w:t>First,</w:t>
      </w:r>
      <w:r>
        <w:rPr>
          <w:spacing w:val="-2"/>
        </w:rPr>
        <w:t> </w:t>
      </w:r>
      <w:r>
        <w:rPr/>
        <w:t>although</w:t>
      </w:r>
      <w:r>
        <w:rPr>
          <w:spacing w:val="-2"/>
        </w:rPr>
        <w:t> </w:t>
      </w:r>
      <w:r>
        <w:rPr/>
        <w:t>all three sources provide data on public and publicly guaranteed debt (PPG) debt from Chinese state-owned creditors,</w:t>
      </w:r>
      <w:r>
        <w:rPr>
          <w:vertAlign w:val="superscript"/>
        </w:rPr>
        <w:t>81</w:t>
      </w:r>
      <w:r>
        <w:rPr>
          <w:vertAlign w:val="baseline"/>
        </w:rPr>
        <w:t> they provide different levels of geographical coverage.</w:t>
      </w:r>
      <w:r>
        <w:rPr>
          <w:vertAlign w:val="superscript"/>
        </w:rPr>
        <w:t>82</w:t>
      </w:r>
      <w:r>
        <w:rPr>
          <w:vertAlign w:val="baseline"/>
        </w:rPr>
        <w:t> AidData’s GCDF dataset covers 126 countries, while BU’s CODF dataset covers 96 countries and the World Bank’s IDS covers 89 countries.</w:t>
      </w:r>
      <w:r>
        <w:rPr>
          <w:vertAlign w:val="superscript"/>
        </w:rPr>
        <w:t>83</w:t>
      </w:r>
      <w:r>
        <w:rPr>
          <w:spacing w:val="-10"/>
          <w:vertAlign w:val="baseline"/>
        </w:rPr>
        <w:t> </w:t>
      </w:r>
      <w:r>
        <w:rPr>
          <w:vertAlign w:val="baseline"/>
        </w:rPr>
        <w:t>Second,</w:t>
      </w:r>
      <w:r>
        <w:rPr>
          <w:spacing w:val="-9"/>
          <w:vertAlign w:val="baseline"/>
        </w:rPr>
        <w:t> </w:t>
      </w:r>
      <w:r>
        <w:rPr>
          <w:vertAlign w:val="baseline"/>
        </w:rPr>
        <w:t>there</w:t>
      </w:r>
      <w:r>
        <w:rPr>
          <w:spacing w:val="-9"/>
          <w:vertAlign w:val="baseline"/>
        </w:rPr>
        <w:t> </w:t>
      </w:r>
      <w:r>
        <w:rPr>
          <w:vertAlign w:val="baseline"/>
        </w:rPr>
        <w:t>are</w:t>
      </w:r>
      <w:r>
        <w:rPr>
          <w:spacing w:val="-9"/>
          <w:vertAlign w:val="baseline"/>
        </w:rPr>
        <w:t> </w:t>
      </w:r>
      <w:r>
        <w:rPr>
          <w:vertAlign w:val="baseline"/>
        </w:rPr>
        <w:t>temporal</w:t>
      </w:r>
      <w:r>
        <w:rPr>
          <w:spacing w:val="-9"/>
          <w:vertAlign w:val="baseline"/>
        </w:rPr>
        <w:t> </w:t>
      </w:r>
      <w:r>
        <w:rPr>
          <w:vertAlign w:val="baseline"/>
        </w:rPr>
        <w:t>coverage</w:t>
      </w:r>
      <w:r>
        <w:rPr>
          <w:spacing w:val="-9"/>
          <w:vertAlign w:val="baseline"/>
        </w:rPr>
        <w:t> </w:t>
      </w:r>
      <w:r>
        <w:rPr>
          <w:vertAlign w:val="baseline"/>
        </w:rPr>
        <w:t>differences:</w:t>
      </w:r>
      <w:r>
        <w:rPr>
          <w:spacing w:val="-9"/>
          <w:vertAlign w:val="baseline"/>
        </w:rPr>
        <w:t> </w:t>
      </w:r>
      <w:r>
        <w:rPr>
          <w:vertAlign w:val="baseline"/>
        </w:rPr>
        <w:t>whereas</w:t>
      </w:r>
      <w:r>
        <w:rPr>
          <w:spacing w:val="-9"/>
          <w:vertAlign w:val="baseline"/>
        </w:rPr>
        <w:t> </w:t>
      </w:r>
      <w:r>
        <w:rPr>
          <w:vertAlign w:val="baseline"/>
        </w:rPr>
        <w:t>AidData’s GCDF dataset and the World Bank’s IDS provide data for 22 commitment years (2000-2021), BU’s CODF dataset provides data for 14 commitment years</w:t>
      </w:r>
    </w:p>
    <w:p>
      <w:pPr>
        <w:pStyle w:val="BodyText"/>
        <w:spacing w:line="333" w:lineRule="auto"/>
        <w:ind w:left="760" w:right="767"/>
      </w:pPr>
      <w:r>
        <w:rPr/>
        <w:t>(2008-2021). Third, in the subset of LICs and MICs for which CODF, IDS, and GCDF data are available, there are differences in how much PPG debt from Chinese state-owned creditors is captured. Table A15 demonstrates that, in </w:t>
      </w:r>
      <w:r>
        <w:rPr/>
        <w:t>the subset of LICs and MICs for which CODF or IDS data are available, AidData’s GCDF dataset captures $947 billion of lending commitments</w:t>
      </w:r>
      <w:r>
        <w:rPr>
          <w:vertAlign w:val="superscript"/>
        </w:rPr>
        <w:t>84</w:t>
      </w:r>
      <w:r>
        <w:rPr>
          <w:vertAlign w:val="baseline"/>
        </w:rPr>
        <w:t> from ofﬁcial</w:t>
      </w:r>
    </w:p>
    <w:p>
      <w:pPr>
        <w:pStyle w:val="BodyText"/>
        <w:rPr>
          <w:sz w:val="20"/>
        </w:rPr>
      </w:pPr>
    </w:p>
    <w:p>
      <w:pPr>
        <w:pStyle w:val="BodyText"/>
        <w:spacing w:before="7"/>
        <w:rPr>
          <w:sz w:val="23"/>
        </w:rPr>
      </w:pPr>
      <w:r>
        <w:rPr/>
        <w:pict>
          <v:shape style="position:absolute;margin-left:90pt;margin-top:14.81294pt;width:144pt;height:.1pt;mso-position-horizontal-relative:page;mso-position-vertical-relative:paragraph;z-index:-15725568;mso-wrap-distance-left:0;mso-wrap-distance-right:0" id="docshape6" coordorigin="1800,296" coordsize="2880,0" path="m1800,296l4680,296e" filled="false" stroked="true" strokeweight=".75pt" strokecolor="#000000">
            <v:path arrowok="t"/>
            <v:stroke dashstyle="solid"/>
            <w10:wrap type="topAndBottom"/>
          </v:shape>
        </w:pict>
      </w:r>
    </w:p>
    <w:p>
      <w:pPr>
        <w:spacing w:before="110"/>
        <w:ind w:left="760" w:right="0" w:firstLine="0"/>
        <w:jc w:val="left"/>
        <w:rPr>
          <w:sz w:val="18"/>
        </w:rPr>
      </w:pPr>
      <w:r>
        <w:rPr>
          <w:sz w:val="18"/>
          <w:vertAlign w:val="superscript"/>
        </w:rPr>
        <w:t>80</w:t>
      </w:r>
      <w:r>
        <w:rPr>
          <w:spacing w:val="8"/>
          <w:sz w:val="18"/>
          <w:vertAlign w:val="baseline"/>
        </w:rPr>
        <w:t> </w:t>
      </w:r>
      <w:r>
        <w:rPr>
          <w:sz w:val="18"/>
          <w:vertAlign w:val="baseline"/>
        </w:rPr>
        <w:t>The</w:t>
      </w:r>
      <w:r>
        <w:rPr>
          <w:spacing w:val="9"/>
          <w:sz w:val="18"/>
          <w:vertAlign w:val="baseline"/>
        </w:rPr>
        <w:t> </w:t>
      </w:r>
      <w:r>
        <w:rPr>
          <w:sz w:val="18"/>
          <w:vertAlign w:val="baseline"/>
        </w:rPr>
        <w:t>$1.28</w:t>
      </w:r>
      <w:r>
        <w:rPr>
          <w:spacing w:val="10"/>
          <w:sz w:val="18"/>
          <w:vertAlign w:val="baseline"/>
        </w:rPr>
        <w:t> </w:t>
      </w:r>
      <w:r>
        <w:rPr>
          <w:sz w:val="18"/>
          <w:vertAlign w:val="baseline"/>
        </w:rPr>
        <w:t>trillion</w:t>
      </w:r>
      <w:r>
        <w:rPr>
          <w:spacing w:val="10"/>
          <w:sz w:val="18"/>
          <w:vertAlign w:val="baseline"/>
        </w:rPr>
        <w:t> </w:t>
      </w:r>
      <w:r>
        <w:rPr>
          <w:sz w:val="18"/>
          <w:vertAlign w:val="baseline"/>
        </w:rPr>
        <w:t>ﬁgure</w:t>
      </w:r>
      <w:r>
        <w:rPr>
          <w:spacing w:val="9"/>
          <w:sz w:val="18"/>
          <w:vertAlign w:val="baseline"/>
        </w:rPr>
        <w:t> </w:t>
      </w:r>
      <w:r>
        <w:rPr>
          <w:sz w:val="18"/>
          <w:vertAlign w:val="baseline"/>
        </w:rPr>
        <w:t>excludes</w:t>
      </w:r>
      <w:r>
        <w:rPr>
          <w:spacing w:val="10"/>
          <w:sz w:val="18"/>
          <w:vertAlign w:val="baseline"/>
        </w:rPr>
        <w:t> </w:t>
      </w:r>
      <w:r>
        <w:rPr>
          <w:sz w:val="18"/>
          <w:vertAlign w:val="baseline"/>
        </w:rPr>
        <w:t>short-term</w:t>
      </w:r>
      <w:r>
        <w:rPr>
          <w:spacing w:val="9"/>
          <w:sz w:val="18"/>
          <w:vertAlign w:val="baseline"/>
        </w:rPr>
        <w:t> </w:t>
      </w:r>
      <w:r>
        <w:rPr>
          <w:sz w:val="18"/>
          <w:vertAlign w:val="baseline"/>
        </w:rPr>
        <w:t>“rollover”</w:t>
      </w:r>
      <w:r>
        <w:rPr>
          <w:spacing w:val="10"/>
          <w:sz w:val="18"/>
          <w:vertAlign w:val="baseline"/>
        </w:rPr>
        <w:t> </w:t>
      </w:r>
      <w:r>
        <w:rPr>
          <w:sz w:val="18"/>
          <w:vertAlign w:val="baseline"/>
        </w:rPr>
        <w:t>facilities</w:t>
      </w:r>
      <w:r>
        <w:rPr>
          <w:spacing w:val="10"/>
          <w:sz w:val="18"/>
          <w:vertAlign w:val="baseline"/>
        </w:rPr>
        <w:t> </w:t>
      </w:r>
      <w:r>
        <w:rPr>
          <w:sz w:val="18"/>
          <w:vertAlign w:val="baseline"/>
        </w:rPr>
        <w:t>to</w:t>
      </w:r>
      <w:r>
        <w:rPr>
          <w:spacing w:val="9"/>
          <w:sz w:val="18"/>
          <w:vertAlign w:val="baseline"/>
        </w:rPr>
        <w:t> </w:t>
      </w:r>
      <w:r>
        <w:rPr>
          <w:sz w:val="18"/>
          <w:vertAlign w:val="baseline"/>
        </w:rPr>
        <w:t>reﬁnance</w:t>
      </w:r>
      <w:r>
        <w:rPr>
          <w:spacing w:val="10"/>
          <w:sz w:val="18"/>
          <w:vertAlign w:val="baseline"/>
        </w:rPr>
        <w:t> </w:t>
      </w:r>
      <w:r>
        <w:rPr>
          <w:sz w:val="18"/>
          <w:vertAlign w:val="baseline"/>
        </w:rPr>
        <w:t>maturing</w:t>
      </w:r>
      <w:r>
        <w:rPr>
          <w:spacing w:val="9"/>
          <w:sz w:val="18"/>
          <w:vertAlign w:val="baseline"/>
        </w:rPr>
        <w:t> </w:t>
      </w:r>
      <w:r>
        <w:rPr>
          <w:sz w:val="18"/>
          <w:vertAlign w:val="baseline"/>
        </w:rPr>
        <w:t>debts.</w:t>
      </w:r>
      <w:r>
        <w:rPr>
          <w:spacing w:val="10"/>
          <w:sz w:val="18"/>
          <w:vertAlign w:val="baseline"/>
        </w:rPr>
        <w:t> </w:t>
      </w:r>
      <w:r>
        <w:rPr>
          <w:spacing w:val="-4"/>
          <w:sz w:val="18"/>
          <w:vertAlign w:val="baseline"/>
        </w:rPr>
        <w:t>When</w:t>
      </w:r>
    </w:p>
    <w:p>
      <w:pPr>
        <w:spacing w:line="249" w:lineRule="auto" w:before="9"/>
        <w:ind w:left="760" w:right="767" w:firstLine="0"/>
        <w:jc w:val="left"/>
        <w:rPr>
          <w:sz w:val="18"/>
        </w:rPr>
      </w:pPr>
      <w:r>
        <w:rPr>
          <w:sz w:val="18"/>
        </w:rPr>
        <w:t>short-term “rollover” facilities are included in the tally, AidData captures lending commitments from </w:t>
      </w:r>
      <w:r>
        <w:rPr>
          <w:sz w:val="18"/>
        </w:rPr>
        <w:t>China </w:t>
      </w:r>
      <w:r>
        <w:rPr>
          <w:w w:val="105"/>
          <w:sz w:val="18"/>
        </w:rPr>
        <w:t>worth $1.44 trillion between 2000 and 2021.</w:t>
      </w:r>
    </w:p>
    <w:p>
      <w:pPr>
        <w:spacing w:line="249" w:lineRule="auto" w:before="2"/>
        <w:ind w:left="760" w:right="1222" w:firstLine="0"/>
        <w:jc w:val="left"/>
        <w:rPr>
          <w:sz w:val="18"/>
        </w:rPr>
      </w:pPr>
      <w:r>
        <w:rPr>
          <w:sz w:val="18"/>
          <w:vertAlign w:val="superscript"/>
        </w:rPr>
        <w:t>81</w:t>
      </w:r>
      <w:r>
        <w:rPr>
          <w:sz w:val="18"/>
          <w:vertAlign w:val="baseline"/>
        </w:rPr>
        <w:t> PPG debt consists of (a) long-term external obligations of public debtors, including the national government, a political subdivision (or an agency of either), and autonomous public bodies; and (b) long-term external obligations of private debtors that are guaranteed for repayment by a public </w:t>
      </w:r>
      <w:r>
        <w:rPr>
          <w:sz w:val="18"/>
          <w:vertAlign w:val="baseline"/>
        </w:rPr>
        <w:t>entity (World Bank 2000).</w:t>
      </w:r>
    </w:p>
    <w:p>
      <w:pPr>
        <w:spacing w:line="249" w:lineRule="auto" w:before="2"/>
        <w:ind w:left="760" w:right="818" w:firstLine="0"/>
        <w:jc w:val="left"/>
        <w:rPr>
          <w:sz w:val="18"/>
        </w:rPr>
      </w:pPr>
      <w:r>
        <w:rPr>
          <w:sz w:val="18"/>
          <w:vertAlign w:val="superscript"/>
        </w:rPr>
        <w:t>82</w:t>
      </w:r>
      <w:r>
        <w:rPr>
          <w:spacing w:val="-4"/>
          <w:sz w:val="18"/>
          <w:vertAlign w:val="baseline"/>
        </w:rPr>
        <w:t> </w:t>
      </w:r>
      <w:r>
        <w:rPr>
          <w:sz w:val="18"/>
          <w:vertAlign w:val="baseline"/>
        </w:rPr>
        <w:t>The</w:t>
      </w:r>
      <w:r>
        <w:rPr>
          <w:spacing w:val="-3"/>
          <w:sz w:val="18"/>
          <w:vertAlign w:val="baseline"/>
        </w:rPr>
        <w:t> </w:t>
      </w:r>
      <w:r>
        <w:rPr>
          <w:sz w:val="18"/>
          <w:vertAlign w:val="baseline"/>
        </w:rPr>
        <w:t>3.0</w:t>
      </w:r>
      <w:r>
        <w:rPr>
          <w:spacing w:val="-3"/>
          <w:sz w:val="18"/>
          <w:vertAlign w:val="baseline"/>
        </w:rPr>
        <w:t> </w:t>
      </w:r>
      <w:r>
        <w:rPr>
          <w:sz w:val="18"/>
          <w:vertAlign w:val="baseline"/>
        </w:rPr>
        <w:t>version</w:t>
      </w:r>
      <w:r>
        <w:rPr>
          <w:spacing w:val="-3"/>
          <w:sz w:val="18"/>
          <w:vertAlign w:val="baseline"/>
        </w:rPr>
        <w:t> </w:t>
      </w:r>
      <w:r>
        <w:rPr>
          <w:sz w:val="18"/>
          <w:vertAlign w:val="baseline"/>
        </w:rPr>
        <w:t>of</w:t>
      </w:r>
      <w:r>
        <w:rPr>
          <w:spacing w:val="-3"/>
          <w:sz w:val="18"/>
          <w:vertAlign w:val="baseline"/>
        </w:rPr>
        <w:t> </w:t>
      </w:r>
      <w:r>
        <w:rPr>
          <w:sz w:val="18"/>
          <w:vertAlign w:val="baseline"/>
        </w:rPr>
        <w:t>AidData’s</w:t>
      </w:r>
      <w:r>
        <w:rPr>
          <w:spacing w:val="-3"/>
          <w:sz w:val="18"/>
          <w:vertAlign w:val="baseline"/>
        </w:rPr>
        <w:t> </w:t>
      </w:r>
      <w:r>
        <w:rPr>
          <w:sz w:val="18"/>
          <w:vertAlign w:val="baseline"/>
        </w:rPr>
        <w:t>GCDF</w:t>
      </w:r>
      <w:r>
        <w:rPr>
          <w:spacing w:val="-3"/>
          <w:sz w:val="18"/>
          <w:vertAlign w:val="baseline"/>
        </w:rPr>
        <w:t> </w:t>
      </w:r>
      <w:r>
        <w:rPr>
          <w:sz w:val="18"/>
          <w:vertAlign w:val="baseline"/>
        </w:rPr>
        <w:t>dataset</w:t>
      </w:r>
      <w:r>
        <w:rPr>
          <w:spacing w:val="-3"/>
          <w:sz w:val="18"/>
          <w:vertAlign w:val="baseline"/>
        </w:rPr>
        <w:t> </w:t>
      </w:r>
      <w:r>
        <w:rPr>
          <w:sz w:val="18"/>
          <w:vertAlign w:val="baseline"/>
        </w:rPr>
        <w:t>provides</w:t>
      </w:r>
      <w:r>
        <w:rPr>
          <w:spacing w:val="-3"/>
          <w:sz w:val="18"/>
          <w:vertAlign w:val="baseline"/>
        </w:rPr>
        <w:t> </w:t>
      </w:r>
      <w:r>
        <w:rPr>
          <w:sz w:val="18"/>
          <w:vertAlign w:val="baseline"/>
        </w:rPr>
        <w:t>comprehensive</w:t>
      </w:r>
      <w:r>
        <w:rPr>
          <w:spacing w:val="-3"/>
          <w:sz w:val="18"/>
          <w:vertAlign w:val="baseline"/>
        </w:rPr>
        <w:t> </w:t>
      </w:r>
      <w:r>
        <w:rPr>
          <w:sz w:val="18"/>
          <w:vertAlign w:val="baseline"/>
        </w:rPr>
        <w:t>coverage</w:t>
      </w:r>
      <w:r>
        <w:rPr>
          <w:spacing w:val="-3"/>
          <w:sz w:val="18"/>
          <w:vertAlign w:val="baseline"/>
        </w:rPr>
        <w:t> </w:t>
      </w:r>
      <w:r>
        <w:rPr>
          <w:sz w:val="18"/>
          <w:vertAlign w:val="baseline"/>
        </w:rPr>
        <w:t>of</w:t>
      </w:r>
      <w:r>
        <w:rPr>
          <w:spacing w:val="-3"/>
          <w:sz w:val="18"/>
          <w:vertAlign w:val="baseline"/>
        </w:rPr>
        <w:t> </w:t>
      </w:r>
      <w:r>
        <w:rPr>
          <w:sz w:val="18"/>
          <w:vertAlign w:val="baseline"/>
        </w:rPr>
        <w:t>Chinese</w:t>
      </w:r>
      <w:r>
        <w:rPr>
          <w:spacing w:val="-3"/>
          <w:sz w:val="18"/>
          <w:vertAlign w:val="baseline"/>
        </w:rPr>
        <w:t> </w:t>
      </w:r>
      <w:r>
        <w:rPr>
          <w:sz w:val="18"/>
          <w:vertAlign w:val="baseline"/>
        </w:rPr>
        <w:t>ODA</w:t>
      </w:r>
      <w:r>
        <w:rPr>
          <w:spacing w:val="-3"/>
          <w:sz w:val="18"/>
          <w:vertAlign w:val="baseline"/>
        </w:rPr>
        <w:t> </w:t>
      </w:r>
      <w:r>
        <w:rPr>
          <w:sz w:val="18"/>
          <w:vertAlign w:val="baseline"/>
        </w:rPr>
        <w:t>and</w:t>
      </w:r>
      <w:r>
        <w:rPr>
          <w:spacing w:val="-3"/>
          <w:sz w:val="18"/>
          <w:vertAlign w:val="baseline"/>
        </w:rPr>
        <w:t> </w:t>
      </w:r>
      <w:r>
        <w:rPr>
          <w:sz w:val="18"/>
          <w:vertAlign w:val="baseline"/>
        </w:rPr>
        <w:t>OOF commitments across 165 LICs and MICs between 2000 and 2021. However, only 134 of these countries secured loan commitments from ofﬁcial sector creditors in China over the same time period. An even smaller subset (126 countries) secured loan commitments between 2000 and 2021 from ofﬁcial sector creditors in China that qualify as PPG debt.</w:t>
      </w:r>
    </w:p>
    <w:p>
      <w:pPr>
        <w:spacing w:before="4"/>
        <w:ind w:left="760" w:right="0" w:firstLine="0"/>
        <w:jc w:val="left"/>
        <w:rPr>
          <w:sz w:val="18"/>
        </w:rPr>
      </w:pPr>
      <w:r>
        <w:rPr>
          <w:sz w:val="18"/>
          <w:vertAlign w:val="superscript"/>
        </w:rPr>
        <w:t>83</w:t>
      </w:r>
      <w:r>
        <w:rPr>
          <w:spacing w:val="1"/>
          <w:sz w:val="18"/>
          <w:vertAlign w:val="baseline"/>
        </w:rPr>
        <w:t> </w:t>
      </w:r>
      <w:r>
        <w:rPr>
          <w:sz w:val="18"/>
          <w:vertAlign w:val="baseline"/>
        </w:rPr>
        <w:t>The</w:t>
      </w:r>
      <w:r>
        <w:rPr>
          <w:spacing w:val="3"/>
          <w:sz w:val="18"/>
          <w:vertAlign w:val="baseline"/>
        </w:rPr>
        <w:t> </w:t>
      </w:r>
      <w:r>
        <w:rPr>
          <w:sz w:val="18"/>
          <w:vertAlign w:val="baseline"/>
        </w:rPr>
        <w:t>IDS</w:t>
      </w:r>
      <w:r>
        <w:rPr>
          <w:spacing w:val="3"/>
          <w:sz w:val="18"/>
          <w:vertAlign w:val="baseline"/>
        </w:rPr>
        <w:t> </w:t>
      </w:r>
      <w:r>
        <w:rPr>
          <w:sz w:val="18"/>
          <w:vertAlign w:val="baseline"/>
        </w:rPr>
        <w:t>data</w:t>
      </w:r>
      <w:r>
        <w:rPr>
          <w:spacing w:val="3"/>
          <w:sz w:val="18"/>
          <w:vertAlign w:val="baseline"/>
        </w:rPr>
        <w:t> </w:t>
      </w:r>
      <w:r>
        <w:rPr>
          <w:sz w:val="18"/>
          <w:vertAlign w:val="baseline"/>
        </w:rPr>
        <w:t>capture</w:t>
      </w:r>
      <w:r>
        <w:rPr>
          <w:spacing w:val="3"/>
          <w:sz w:val="18"/>
          <w:vertAlign w:val="baseline"/>
        </w:rPr>
        <w:t> </w:t>
      </w:r>
      <w:r>
        <w:rPr>
          <w:sz w:val="18"/>
          <w:vertAlign w:val="baseline"/>
        </w:rPr>
        <w:t>ofﬁcial</w:t>
      </w:r>
      <w:r>
        <w:rPr>
          <w:spacing w:val="2"/>
          <w:sz w:val="18"/>
          <w:vertAlign w:val="baseline"/>
        </w:rPr>
        <w:t> </w:t>
      </w:r>
      <w:r>
        <w:rPr>
          <w:sz w:val="18"/>
          <w:vertAlign w:val="baseline"/>
        </w:rPr>
        <w:t>sector</w:t>
      </w:r>
      <w:r>
        <w:rPr>
          <w:spacing w:val="3"/>
          <w:sz w:val="18"/>
          <w:vertAlign w:val="baseline"/>
        </w:rPr>
        <w:t> </w:t>
      </w:r>
      <w:r>
        <w:rPr>
          <w:sz w:val="18"/>
          <w:vertAlign w:val="baseline"/>
        </w:rPr>
        <w:t>lending</w:t>
      </w:r>
      <w:r>
        <w:rPr>
          <w:spacing w:val="3"/>
          <w:sz w:val="18"/>
          <w:vertAlign w:val="baseline"/>
        </w:rPr>
        <w:t> </w:t>
      </w:r>
      <w:r>
        <w:rPr>
          <w:sz w:val="18"/>
          <w:vertAlign w:val="baseline"/>
        </w:rPr>
        <w:t>commitments</w:t>
      </w:r>
      <w:r>
        <w:rPr>
          <w:spacing w:val="3"/>
          <w:sz w:val="18"/>
          <w:vertAlign w:val="baseline"/>
        </w:rPr>
        <w:t> </w:t>
      </w:r>
      <w:r>
        <w:rPr>
          <w:sz w:val="18"/>
          <w:vertAlign w:val="baseline"/>
        </w:rPr>
        <w:t>from</w:t>
      </w:r>
      <w:r>
        <w:rPr>
          <w:spacing w:val="3"/>
          <w:sz w:val="18"/>
          <w:vertAlign w:val="baseline"/>
        </w:rPr>
        <w:t> </w:t>
      </w:r>
      <w:r>
        <w:rPr>
          <w:sz w:val="18"/>
          <w:vertAlign w:val="baseline"/>
        </w:rPr>
        <w:t>China</w:t>
      </w:r>
      <w:r>
        <w:rPr>
          <w:spacing w:val="2"/>
          <w:sz w:val="18"/>
          <w:vertAlign w:val="baseline"/>
        </w:rPr>
        <w:t> </w:t>
      </w:r>
      <w:r>
        <w:rPr>
          <w:sz w:val="18"/>
          <w:vertAlign w:val="baseline"/>
        </w:rPr>
        <w:t>to</w:t>
      </w:r>
      <w:r>
        <w:rPr>
          <w:spacing w:val="3"/>
          <w:sz w:val="18"/>
          <w:vertAlign w:val="baseline"/>
        </w:rPr>
        <w:t> </w:t>
      </w:r>
      <w:r>
        <w:rPr>
          <w:sz w:val="18"/>
          <w:vertAlign w:val="baseline"/>
        </w:rPr>
        <w:t>89</w:t>
      </w:r>
      <w:r>
        <w:rPr>
          <w:spacing w:val="3"/>
          <w:sz w:val="18"/>
          <w:vertAlign w:val="baseline"/>
        </w:rPr>
        <w:t> </w:t>
      </w:r>
      <w:r>
        <w:rPr>
          <w:sz w:val="18"/>
          <w:vertAlign w:val="baseline"/>
        </w:rPr>
        <w:t>low-income</w:t>
      </w:r>
      <w:r>
        <w:rPr>
          <w:spacing w:val="3"/>
          <w:sz w:val="18"/>
          <w:vertAlign w:val="baseline"/>
        </w:rPr>
        <w:t> </w:t>
      </w:r>
      <w:r>
        <w:rPr>
          <w:spacing w:val="-5"/>
          <w:sz w:val="18"/>
          <w:vertAlign w:val="baseline"/>
        </w:rPr>
        <w:t>and</w:t>
      </w:r>
    </w:p>
    <w:p>
      <w:pPr>
        <w:spacing w:line="249" w:lineRule="auto" w:before="9"/>
        <w:ind w:left="760" w:right="767" w:firstLine="0"/>
        <w:jc w:val="left"/>
        <w:rPr>
          <w:sz w:val="18"/>
        </w:rPr>
      </w:pPr>
      <w:r>
        <w:rPr>
          <w:sz w:val="18"/>
        </w:rPr>
        <w:t>middle-income countries (excluding the People’s Republic of China) from 2000-2021. The IDS data do not </w:t>
      </w:r>
      <w:r>
        <w:rPr>
          <w:w w:val="105"/>
          <w:sz w:val="18"/>
        </w:rPr>
        <w:t>allow</w:t>
      </w:r>
      <w:r>
        <w:rPr>
          <w:spacing w:val="-12"/>
          <w:w w:val="105"/>
          <w:sz w:val="18"/>
        </w:rPr>
        <w:t> </w:t>
      </w:r>
      <w:r>
        <w:rPr>
          <w:w w:val="105"/>
          <w:sz w:val="18"/>
        </w:rPr>
        <w:t>users</w:t>
      </w:r>
      <w:r>
        <w:rPr>
          <w:spacing w:val="-12"/>
          <w:w w:val="105"/>
          <w:sz w:val="18"/>
        </w:rPr>
        <w:t> </w:t>
      </w:r>
      <w:r>
        <w:rPr>
          <w:w w:val="105"/>
          <w:sz w:val="18"/>
        </w:rPr>
        <w:t>to</w:t>
      </w:r>
      <w:r>
        <w:rPr>
          <w:spacing w:val="-12"/>
          <w:w w:val="105"/>
          <w:sz w:val="18"/>
        </w:rPr>
        <w:t> </w:t>
      </w:r>
      <w:r>
        <w:rPr>
          <w:w w:val="105"/>
          <w:sz w:val="18"/>
        </w:rPr>
        <w:t>differentiate</w:t>
      </w:r>
      <w:r>
        <w:rPr>
          <w:spacing w:val="-12"/>
          <w:w w:val="105"/>
          <w:sz w:val="18"/>
        </w:rPr>
        <w:t> </w:t>
      </w:r>
      <w:r>
        <w:rPr>
          <w:w w:val="105"/>
          <w:sz w:val="18"/>
        </w:rPr>
        <w:t>between</w:t>
      </w:r>
      <w:r>
        <w:rPr>
          <w:spacing w:val="-12"/>
          <w:w w:val="105"/>
          <w:sz w:val="18"/>
        </w:rPr>
        <w:t> </w:t>
      </w:r>
      <w:r>
        <w:rPr>
          <w:w w:val="105"/>
          <w:sz w:val="18"/>
        </w:rPr>
        <w:t>the</w:t>
      </w:r>
      <w:r>
        <w:rPr>
          <w:spacing w:val="-12"/>
          <w:w w:val="105"/>
          <w:sz w:val="18"/>
        </w:rPr>
        <w:t> </w:t>
      </w:r>
      <w:r>
        <w:rPr>
          <w:w w:val="105"/>
          <w:sz w:val="18"/>
        </w:rPr>
        <w:t>People’s</w:t>
      </w:r>
      <w:r>
        <w:rPr>
          <w:spacing w:val="-12"/>
          <w:w w:val="105"/>
          <w:sz w:val="18"/>
        </w:rPr>
        <w:t> </w:t>
      </w:r>
      <w:r>
        <w:rPr>
          <w:w w:val="105"/>
          <w:sz w:val="18"/>
        </w:rPr>
        <w:t>Republic</w:t>
      </w:r>
      <w:r>
        <w:rPr>
          <w:spacing w:val="-12"/>
          <w:w w:val="105"/>
          <w:sz w:val="18"/>
        </w:rPr>
        <w:t> </w:t>
      </w:r>
      <w:r>
        <w:rPr>
          <w:w w:val="105"/>
          <w:sz w:val="18"/>
        </w:rPr>
        <w:t>of</w:t>
      </w:r>
      <w:r>
        <w:rPr>
          <w:spacing w:val="-12"/>
          <w:w w:val="105"/>
          <w:sz w:val="18"/>
        </w:rPr>
        <w:t> </w:t>
      </w:r>
      <w:r>
        <w:rPr>
          <w:w w:val="105"/>
          <w:sz w:val="18"/>
        </w:rPr>
        <w:t>China</w:t>
      </w:r>
      <w:r>
        <w:rPr>
          <w:spacing w:val="-12"/>
          <w:w w:val="105"/>
          <w:sz w:val="18"/>
        </w:rPr>
        <w:t> </w:t>
      </w:r>
      <w:r>
        <w:rPr>
          <w:w w:val="105"/>
          <w:sz w:val="18"/>
        </w:rPr>
        <w:t>(“China”)</w:t>
      </w:r>
      <w:r>
        <w:rPr>
          <w:spacing w:val="-12"/>
          <w:w w:val="105"/>
          <w:sz w:val="18"/>
        </w:rPr>
        <w:t> </w:t>
      </w:r>
      <w:r>
        <w:rPr>
          <w:w w:val="105"/>
          <w:sz w:val="18"/>
        </w:rPr>
        <w:t>and</w:t>
      </w:r>
      <w:r>
        <w:rPr>
          <w:spacing w:val="-12"/>
          <w:w w:val="105"/>
          <w:sz w:val="18"/>
        </w:rPr>
        <w:t> </w:t>
      </w:r>
      <w:r>
        <w:rPr>
          <w:w w:val="105"/>
          <w:sz w:val="18"/>
        </w:rPr>
        <w:t>the</w:t>
      </w:r>
      <w:r>
        <w:rPr>
          <w:spacing w:val="-12"/>
          <w:w w:val="105"/>
          <w:sz w:val="18"/>
        </w:rPr>
        <w:t> </w:t>
      </w:r>
      <w:r>
        <w:rPr>
          <w:w w:val="105"/>
          <w:sz w:val="18"/>
        </w:rPr>
        <w:t>Republic</w:t>
      </w:r>
      <w:r>
        <w:rPr>
          <w:spacing w:val="-12"/>
          <w:w w:val="105"/>
          <w:sz w:val="18"/>
        </w:rPr>
        <w:t> </w:t>
      </w:r>
      <w:r>
        <w:rPr>
          <w:w w:val="105"/>
          <w:sz w:val="18"/>
        </w:rPr>
        <w:t>of</w:t>
      </w:r>
      <w:r>
        <w:rPr>
          <w:spacing w:val="-12"/>
          <w:w w:val="105"/>
          <w:sz w:val="18"/>
        </w:rPr>
        <w:t> </w:t>
      </w:r>
      <w:r>
        <w:rPr>
          <w:w w:val="105"/>
          <w:sz w:val="18"/>
        </w:rPr>
        <w:t>China </w:t>
      </w:r>
      <w:r>
        <w:rPr>
          <w:sz w:val="18"/>
        </w:rPr>
        <w:t>(“Taiwan”). As such, we exclude all loan commitments that 9 additional countries reported during the </w:t>
      </w:r>
      <w:r>
        <w:rPr>
          <w:sz w:val="18"/>
        </w:rPr>
        <w:t>years </w:t>
      </w:r>
      <w:r>
        <w:rPr>
          <w:w w:val="105"/>
          <w:sz w:val="18"/>
        </w:rPr>
        <w:t>when</w:t>
      </w:r>
      <w:r>
        <w:rPr>
          <w:spacing w:val="-4"/>
          <w:w w:val="105"/>
          <w:sz w:val="18"/>
        </w:rPr>
        <w:t> </w:t>
      </w:r>
      <w:r>
        <w:rPr>
          <w:w w:val="105"/>
          <w:sz w:val="18"/>
        </w:rPr>
        <w:t>they</w:t>
      </w:r>
      <w:r>
        <w:rPr>
          <w:spacing w:val="-4"/>
          <w:w w:val="105"/>
          <w:sz w:val="18"/>
        </w:rPr>
        <w:t> </w:t>
      </w:r>
      <w:r>
        <w:rPr>
          <w:w w:val="105"/>
          <w:sz w:val="18"/>
        </w:rPr>
        <w:t>maintained</w:t>
      </w:r>
      <w:r>
        <w:rPr>
          <w:spacing w:val="-4"/>
          <w:w w:val="105"/>
          <w:sz w:val="18"/>
        </w:rPr>
        <w:t> </w:t>
      </w:r>
      <w:r>
        <w:rPr>
          <w:w w:val="105"/>
          <w:sz w:val="18"/>
        </w:rPr>
        <w:t>diplomatic</w:t>
      </w:r>
      <w:r>
        <w:rPr>
          <w:spacing w:val="-4"/>
          <w:w w:val="105"/>
          <w:sz w:val="18"/>
        </w:rPr>
        <w:t> </w:t>
      </w:r>
      <w:r>
        <w:rPr>
          <w:w w:val="105"/>
          <w:sz w:val="18"/>
        </w:rPr>
        <w:t>relations</w:t>
      </w:r>
      <w:r>
        <w:rPr>
          <w:spacing w:val="-4"/>
          <w:w w:val="105"/>
          <w:sz w:val="18"/>
        </w:rPr>
        <w:t> </w:t>
      </w:r>
      <w:r>
        <w:rPr>
          <w:w w:val="105"/>
          <w:sz w:val="18"/>
        </w:rPr>
        <w:t>with</w:t>
      </w:r>
      <w:r>
        <w:rPr>
          <w:spacing w:val="-4"/>
          <w:w w:val="105"/>
          <w:sz w:val="18"/>
        </w:rPr>
        <w:t> </w:t>
      </w:r>
      <w:r>
        <w:rPr>
          <w:w w:val="105"/>
          <w:sz w:val="18"/>
        </w:rPr>
        <w:t>Taiwan.</w:t>
      </w:r>
    </w:p>
    <w:p>
      <w:pPr>
        <w:spacing w:line="249" w:lineRule="auto" w:before="3"/>
        <w:ind w:left="760" w:right="767" w:firstLine="0"/>
        <w:jc w:val="left"/>
        <w:rPr>
          <w:sz w:val="18"/>
        </w:rPr>
      </w:pPr>
      <w:r>
        <w:rPr>
          <w:spacing w:val="-2"/>
          <w:w w:val="105"/>
          <w:sz w:val="18"/>
          <w:vertAlign w:val="superscript"/>
        </w:rPr>
        <w:t>84</w:t>
      </w:r>
      <w:r>
        <w:rPr>
          <w:spacing w:val="-5"/>
          <w:w w:val="105"/>
          <w:sz w:val="18"/>
          <w:vertAlign w:val="baseline"/>
        </w:rPr>
        <w:t> </w:t>
      </w:r>
      <w:r>
        <w:rPr>
          <w:spacing w:val="-2"/>
          <w:w w:val="105"/>
          <w:sz w:val="18"/>
          <w:vertAlign w:val="baseline"/>
        </w:rPr>
        <w:t>The</w:t>
      </w:r>
      <w:r>
        <w:rPr>
          <w:spacing w:val="-4"/>
          <w:w w:val="105"/>
          <w:sz w:val="18"/>
          <w:vertAlign w:val="baseline"/>
        </w:rPr>
        <w:t> </w:t>
      </w:r>
      <w:r>
        <w:rPr>
          <w:spacing w:val="-2"/>
          <w:w w:val="105"/>
          <w:sz w:val="18"/>
          <w:vertAlign w:val="baseline"/>
        </w:rPr>
        <w:t>$947</w:t>
      </w:r>
      <w:r>
        <w:rPr>
          <w:spacing w:val="-4"/>
          <w:w w:val="105"/>
          <w:sz w:val="18"/>
          <w:vertAlign w:val="baseline"/>
        </w:rPr>
        <w:t> </w:t>
      </w:r>
      <w:r>
        <w:rPr>
          <w:spacing w:val="-2"/>
          <w:w w:val="105"/>
          <w:sz w:val="18"/>
          <w:vertAlign w:val="baseline"/>
        </w:rPr>
        <w:t>billion</w:t>
      </w:r>
      <w:r>
        <w:rPr>
          <w:spacing w:val="-4"/>
          <w:w w:val="105"/>
          <w:sz w:val="18"/>
          <w:vertAlign w:val="baseline"/>
        </w:rPr>
        <w:t> </w:t>
      </w:r>
      <w:r>
        <w:rPr>
          <w:spacing w:val="-2"/>
          <w:w w:val="105"/>
          <w:sz w:val="18"/>
          <w:vertAlign w:val="baseline"/>
        </w:rPr>
        <w:t>ﬁgure</w:t>
      </w:r>
      <w:r>
        <w:rPr>
          <w:spacing w:val="-4"/>
          <w:w w:val="105"/>
          <w:sz w:val="18"/>
          <w:vertAlign w:val="baseline"/>
        </w:rPr>
        <w:t> </w:t>
      </w:r>
      <w:r>
        <w:rPr>
          <w:spacing w:val="-2"/>
          <w:w w:val="105"/>
          <w:sz w:val="18"/>
          <w:vertAlign w:val="baseline"/>
        </w:rPr>
        <w:t>excludes</w:t>
      </w:r>
      <w:r>
        <w:rPr>
          <w:spacing w:val="-4"/>
          <w:w w:val="105"/>
          <w:sz w:val="18"/>
          <w:vertAlign w:val="baseline"/>
        </w:rPr>
        <w:t> </w:t>
      </w:r>
      <w:r>
        <w:rPr>
          <w:spacing w:val="-2"/>
          <w:w w:val="105"/>
          <w:sz w:val="18"/>
          <w:vertAlign w:val="baseline"/>
        </w:rPr>
        <w:t>short-term</w:t>
      </w:r>
      <w:r>
        <w:rPr>
          <w:spacing w:val="-4"/>
          <w:w w:val="105"/>
          <w:sz w:val="18"/>
          <w:vertAlign w:val="baseline"/>
        </w:rPr>
        <w:t> </w:t>
      </w:r>
      <w:r>
        <w:rPr>
          <w:spacing w:val="-2"/>
          <w:w w:val="105"/>
          <w:sz w:val="18"/>
          <w:vertAlign w:val="baseline"/>
        </w:rPr>
        <w:t>“rollover”</w:t>
      </w:r>
      <w:r>
        <w:rPr>
          <w:spacing w:val="-4"/>
          <w:w w:val="105"/>
          <w:sz w:val="18"/>
          <w:vertAlign w:val="baseline"/>
        </w:rPr>
        <w:t> </w:t>
      </w:r>
      <w:r>
        <w:rPr>
          <w:spacing w:val="-2"/>
          <w:w w:val="105"/>
          <w:sz w:val="18"/>
          <w:vertAlign w:val="baseline"/>
        </w:rPr>
        <w:t>facilities.</w:t>
      </w:r>
      <w:r>
        <w:rPr>
          <w:spacing w:val="-4"/>
          <w:w w:val="105"/>
          <w:sz w:val="18"/>
          <w:vertAlign w:val="baseline"/>
        </w:rPr>
        <w:t> </w:t>
      </w:r>
      <w:r>
        <w:rPr>
          <w:spacing w:val="-2"/>
          <w:w w:val="105"/>
          <w:sz w:val="18"/>
          <w:vertAlign w:val="baseline"/>
        </w:rPr>
        <w:t>When</w:t>
      </w:r>
      <w:r>
        <w:rPr>
          <w:spacing w:val="-4"/>
          <w:w w:val="105"/>
          <w:sz w:val="18"/>
          <w:vertAlign w:val="baseline"/>
        </w:rPr>
        <w:t> </w:t>
      </w:r>
      <w:r>
        <w:rPr>
          <w:spacing w:val="-2"/>
          <w:w w:val="105"/>
          <w:sz w:val="18"/>
          <w:vertAlign w:val="baseline"/>
        </w:rPr>
        <w:t>short-term</w:t>
      </w:r>
      <w:r>
        <w:rPr>
          <w:spacing w:val="-4"/>
          <w:w w:val="105"/>
          <w:sz w:val="18"/>
          <w:vertAlign w:val="baseline"/>
        </w:rPr>
        <w:t> </w:t>
      </w:r>
      <w:r>
        <w:rPr>
          <w:spacing w:val="-2"/>
          <w:w w:val="105"/>
          <w:sz w:val="18"/>
          <w:vertAlign w:val="baseline"/>
        </w:rPr>
        <w:t>“rollover”</w:t>
      </w:r>
      <w:r>
        <w:rPr>
          <w:spacing w:val="-4"/>
          <w:w w:val="105"/>
          <w:sz w:val="18"/>
          <w:vertAlign w:val="baseline"/>
        </w:rPr>
        <w:t> </w:t>
      </w:r>
      <w:r>
        <w:rPr>
          <w:spacing w:val="-2"/>
          <w:w w:val="105"/>
          <w:sz w:val="18"/>
          <w:vertAlign w:val="baseline"/>
        </w:rPr>
        <w:t>facilities</w:t>
      </w:r>
      <w:r>
        <w:rPr>
          <w:spacing w:val="-4"/>
          <w:w w:val="105"/>
          <w:sz w:val="18"/>
          <w:vertAlign w:val="baseline"/>
        </w:rPr>
        <w:t> </w:t>
      </w:r>
      <w:r>
        <w:rPr>
          <w:spacing w:val="-2"/>
          <w:w w:val="105"/>
          <w:sz w:val="18"/>
          <w:vertAlign w:val="baseline"/>
        </w:rPr>
        <w:t>are </w:t>
      </w:r>
      <w:r>
        <w:rPr>
          <w:w w:val="105"/>
          <w:sz w:val="18"/>
          <w:vertAlign w:val="baseline"/>
        </w:rPr>
        <w:t>included</w:t>
      </w:r>
      <w:r>
        <w:rPr>
          <w:spacing w:val="-13"/>
          <w:w w:val="105"/>
          <w:sz w:val="18"/>
          <w:vertAlign w:val="baseline"/>
        </w:rPr>
        <w:t> </w:t>
      </w:r>
      <w:r>
        <w:rPr>
          <w:w w:val="105"/>
          <w:sz w:val="18"/>
          <w:vertAlign w:val="baseline"/>
        </w:rPr>
        <w:t>in</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tally,</w:t>
      </w:r>
      <w:r>
        <w:rPr>
          <w:spacing w:val="-13"/>
          <w:w w:val="105"/>
          <w:sz w:val="18"/>
          <w:vertAlign w:val="baseline"/>
        </w:rPr>
        <w:t> </w:t>
      </w:r>
      <w:r>
        <w:rPr>
          <w:w w:val="105"/>
          <w:sz w:val="18"/>
          <w:vertAlign w:val="baseline"/>
        </w:rPr>
        <w:t>AidData</w:t>
      </w:r>
      <w:r>
        <w:rPr>
          <w:spacing w:val="-13"/>
          <w:w w:val="105"/>
          <w:sz w:val="18"/>
          <w:vertAlign w:val="baseline"/>
        </w:rPr>
        <w:t> </w:t>
      </w:r>
      <w:r>
        <w:rPr>
          <w:w w:val="105"/>
          <w:sz w:val="18"/>
          <w:vertAlign w:val="baseline"/>
        </w:rPr>
        <w:t>captures</w:t>
      </w:r>
      <w:r>
        <w:rPr>
          <w:spacing w:val="-13"/>
          <w:w w:val="105"/>
          <w:sz w:val="18"/>
          <w:vertAlign w:val="baseline"/>
        </w:rPr>
        <w:t> </w:t>
      </w:r>
      <w:r>
        <w:rPr>
          <w:w w:val="105"/>
          <w:sz w:val="18"/>
          <w:vertAlign w:val="baseline"/>
        </w:rPr>
        <w:t>lending</w:t>
      </w:r>
      <w:r>
        <w:rPr>
          <w:spacing w:val="-13"/>
          <w:w w:val="105"/>
          <w:sz w:val="18"/>
          <w:vertAlign w:val="baseline"/>
        </w:rPr>
        <w:t> </w:t>
      </w:r>
      <w:r>
        <w:rPr>
          <w:w w:val="105"/>
          <w:sz w:val="18"/>
          <w:vertAlign w:val="baseline"/>
        </w:rPr>
        <w:t>commitments</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LICs</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MICs</w:t>
      </w:r>
      <w:r>
        <w:rPr>
          <w:spacing w:val="-13"/>
          <w:w w:val="105"/>
          <w:sz w:val="18"/>
          <w:vertAlign w:val="baseline"/>
        </w:rPr>
        <w:t> </w:t>
      </w:r>
      <w:r>
        <w:rPr>
          <w:w w:val="105"/>
          <w:sz w:val="18"/>
          <w:vertAlign w:val="baseline"/>
        </w:rPr>
        <w:t>that</w:t>
      </w:r>
      <w:r>
        <w:rPr>
          <w:spacing w:val="-13"/>
          <w:w w:val="105"/>
          <w:sz w:val="18"/>
          <w:vertAlign w:val="baseline"/>
        </w:rPr>
        <w:t> </w:t>
      </w:r>
      <w:r>
        <w:rPr>
          <w:w w:val="105"/>
          <w:sz w:val="18"/>
          <w:vertAlign w:val="baseline"/>
        </w:rPr>
        <w:t>qualify</w:t>
      </w:r>
      <w:r>
        <w:rPr>
          <w:spacing w:val="-13"/>
          <w:w w:val="105"/>
          <w:sz w:val="18"/>
          <w:vertAlign w:val="baseline"/>
        </w:rPr>
        <w:t> </w:t>
      </w:r>
      <w:r>
        <w:rPr>
          <w:w w:val="105"/>
          <w:sz w:val="18"/>
          <w:vertAlign w:val="baseline"/>
        </w:rPr>
        <w:t>as</w:t>
      </w:r>
      <w:r>
        <w:rPr>
          <w:spacing w:val="-13"/>
          <w:w w:val="105"/>
          <w:sz w:val="18"/>
          <w:vertAlign w:val="baseline"/>
        </w:rPr>
        <w:t> </w:t>
      </w:r>
      <w:r>
        <w:rPr>
          <w:w w:val="105"/>
          <w:sz w:val="18"/>
          <w:vertAlign w:val="baseline"/>
        </w:rPr>
        <w:t>PPG</w:t>
      </w:r>
      <w:r>
        <w:rPr>
          <w:spacing w:val="-13"/>
          <w:w w:val="105"/>
          <w:sz w:val="18"/>
          <w:vertAlign w:val="baseline"/>
        </w:rPr>
        <w:t> </w:t>
      </w:r>
      <w:r>
        <w:rPr>
          <w:w w:val="105"/>
          <w:sz w:val="18"/>
          <w:vertAlign w:val="baseline"/>
        </w:rPr>
        <w:t>debt worth $1.09 trillion between 2000 and 2021.</w:t>
      </w:r>
    </w:p>
    <w:p>
      <w:pPr>
        <w:spacing w:after="0" w:line="249" w:lineRule="auto"/>
        <w:jc w:val="left"/>
        <w:rPr>
          <w:sz w:val="18"/>
        </w:rPr>
        <w:sectPr>
          <w:pgSz w:w="12240" w:h="15840"/>
          <w:pgMar w:header="0" w:footer="720" w:top="1400" w:bottom="920" w:left="1040" w:right="1040"/>
        </w:sectPr>
      </w:pPr>
    </w:p>
    <w:p>
      <w:pPr>
        <w:pStyle w:val="BodyText"/>
        <w:spacing w:line="333" w:lineRule="auto" w:before="67"/>
        <w:ind w:left="760" w:right="794"/>
      </w:pPr>
      <w:r>
        <w:rPr/>
        <w:t>sector</w:t>
      </w:r>
      <w:r>
        <w:rPr>
          <w:spacing w:val="-3"/>
        </w:rPr>
        <w:t> </w:t>
      </w:r>
      <w:r>
        <w:rPr/>
        <w:t>institutions</w:t>
      </w:r>
      <w:r>
        <w:rPr>
          <w:spacing w:val="-3"/>
        </w:rPr>
        <w:t> </w:t>
      </w:r>
      <w:r>
        <w:rPr/>
        <w:t>in</w:t>
      </w:r>
      <w:r>
        <w:rPr>
          <w:spacing w:val="-3"/>
        </w:rPr>
        <w:t> </w:t>
      </w:r>
      <w:r>
        <w:rPr/>
        <w:t>China</w:t>
      </w:r>
      <w:r>
        <w:rPr>
          <w:spacing w:val="-3"/>
        </w:rPr>
        <w:t> </w:t>
      </w:r>
      <w:r>
        <w:rPr/>
        <w:t>to</w:t>
      </w:r>
      <w:r>
        <w:rPr>
          <w:spacing w:val="-3"/>
        </w:rPr>
        <w:t> </w:t>
      </w:r>
      <w:r>
        <w:rPr/>
        <w:t>LICs</w:t>
      </w:r>
      <w:r>
        <w:rPr>
          <w:spacing w:val="-3"/>
        </w:rPr>
        <w:t> </w:t>
      </w:r>
      <w:r>
        <w:rPr/>
        <w:t>and</w:t>
      </w:r>
      <w:r>
        <w:rPr>
          <w:spacing w:val="-3"/>
        </w:rPr>
        <w:t> </w:t>
      </w:r>
      <w:r>
        <w:rPr/>
        <w:t>MICs</w:t>
      </w:r>
      <w:r>
        <w:rPr>
          <w:spacing w:val="-3"/>
        </w:rPr>
        <w:t> </w:t>
      </w:r>
      <w:r>
        <w:rPr/>
        <w:t>that</w:t>
      </w:r>
      <w:r>
        <w:rPr>
          <w:spacing w:val="-3"/>
        </w:rPr>
        <w:t> </w:t>
      </w:r>
      <w:r>
        <w:rPr/>
        <w:t>qualify</w:t>
      </w:r>
      <w:r>
        <w:rPr>
          <w:spacing w:val="-3"/>
        </w:rPr>
        <w:t> </w:t>
      </w:r>
      <w:r>
        <w:rPr/>
        <w:t>as</w:t>
      </w:r>
      <w:r>
        <w:rPr>
          <w:spacing w:val="-3"/>
        </w:rPr>
        <w:t> </w:t>
      </w:r>
      <w:r>
        <w:rPr/>
        <w:t>PPG</w:t>
      </w:r>
      <w:r>
        <w:rPr>
          <w:spacing w:val="-3"/>
        </w:rPr>
        <w:t> </w:t>
      </w:r>
      <w:r>
        <w:rPr/>
        <w:t>debt.</w:t>
      </w:r>
      <w:r>
        <w:rPr>
          <w:vertAlign w:val="superscript"/>
        </w:rPr>
        <w:t>85</w:t>
      </w:r>
      <w:r>
        <w:rPr>
          <w:spacing w:val="-4"/>
          <w:vertAlign w:val="baseline"/>
        </w:rPr>
        <w:t> </w:t>
      </w:r>
      <w:r>
        <w:rPr>
          <w:vertAlign w:val="baseline"/>
        </w:rPr>
        <w:t>In</w:t>
      </w:r>
      <w:r>
        <w:rPr>
          <w:spacing w:val="-3"/>
          <w:vertAlign w:val="baseline"/>
        </w:rPr>
        <w:t> </w:t>
      </w:r>
      <w:r>
        <w:rPr>
          <w:vertAlign w:val="baseline"/>
        </w:rPr>
        <w:t>total, BU’s CODF dataset captures $605 billion and the World Bank’s IDS captures</w:t>
      </w:r>
    </w:p>
    <w:p>
      <w:pPr>
        <w:pStyle w:val="BodyText"/>
        <w:spacing w:line="333" w:lineRule="auto"/>
        <w:ind w:left="760" w:right="767"/>
      </w:pPr>
      <w:r>
        <w:rPr>
          <w:w w:val="105"/>
        </w:rPr>
        <w:t>$378</w:t>
      </w:r>
      <w:r>
        <w:rPr>
          <w:spacing w:val="-11"/>
          <w:w w:val="105"/>
        </w:rPr>
        <w:t> </w:t>
      </w:r>
      <w:r>
        <w:rPr>
          <w:w w:val="105"/>
        </w:rPr>
        <w:t>billion</w:t>
      </w:r>
      <w:r>
        <w:rPr>
          <w:spacing w:val="-11"/>
          <w:w w:val="105"/>
        </w:rPr>
        <w:t> </w:t>
      </w:r>
      <w:r>
        <w:rPr>
          <w:w w:val="105"/>
        </w:rPr>
        <w:t>of</w:t>
      </w:r>
      <w:r>
        <w:rPr>
          <w:spacing w:val="-11"/>
          <w:w w:val="105"/>
        </w:rPr>
        <w:t> </w:t>
      </w:r>
      <w:r>
        <w:rPr>
          <w:w w:val="105"/>
        </w:rPr>
        <w:t>lending</w:t>
      </w:r>
      <w:r>
        <w:rPr>
          <w:spacing w:val="-11"/>
          <w:w w:val="105"/>
        </w:rPr>
        <w:t> </w:t>
      </w:r>
      <w:r>
        <w:rPr>
          <w:w w:val="105"/>
        </w:rPr>
        <w:t>from</w:t>
      </w:r>
      <w:r>
        <w:rPr>
          <w:spacing w:val="-11"/>
          <w:w w:val="105"/>
        </w:rPr>
        <w:t> </w:t>
      </w:r>
      <w:r>
        <w:rPr>
          <w:w w:val="105"/>
        </w:rPr>
        <w:t>ofﬁcial</w:t>
      </w:r>
      <w:r>
        <w:rPr>
          <w:spacing w:val="-11"/>
          <w:w w:val="105"/>
        </w:rPr>
        <w:t> </w:t>
      </w:r>
      <w:r>
        <w:rPr>
          <w:w w:val="105"/>
        </w:rPr>
        <w:t>sector</w:t>
      </w:r>
      <w:r>
        <w:rPr>
          <w:spacing w:val="-11"/>
          <w:w w:val="105"/>
        </w:rPr>
        <w:t> </w:t>
      </w:r>
      <w:r>
        <w:rPr>
          <w:w w:val="105"/>
        </w:rPr>
        <w:t>institutions</w:t>
      </w:r>
      <w:r>
        <w:rPr>
          <w:spacing w:val="-11"/>
          <w:w w:val="105"/>
        </w:rPr>
        <w:t> </w:t>
      </w:r>
      <w:r>
        <w:rPr>
          <w:w w:val="105"/>
        </w:rPr>
        <w:t>in</w:t>
      </w:r>
      <w:r>
        <w:rPr>
          <w:spacing w:val="-11"/>
          <w:w w:val="105"/>
        </w:rPr>
        <w:t> </w:t>
      </w:r>
      <w:r>
        <w:rPr>
          <w:w w:val="105"/>
        </w:rPr>
        <w:t>China</w:t>
      </w:r>
      <w:r>
        <w:rPr>
          <w:spacing w:val="-11"/>
          <w:w w:val="105"/>
        </w:rPr>
        <w:t> </w:t>
      </w:r>
      <w:r>
        <w:rPr>
          <w:w w:val="105"/>
        </w:rPr>
        <w:t>that</w:t>
      </w:r>
      <w:r>
        <w:rPr>
          <w:spacing w:val="-11"/>
          <w:w w:val="105"/>
        </w:rPr>
        <w:t> </w:t>
      </w:r>
      <w:r>
        <w:rPr>
          <w:w w:val="105"/>
        </w:rPr>
        <w:t>qualiﬁes</w:t>
      </w:r>
      <w:r>
        <w:rPr>
          <w:spacing w:val="-11"/>
          <w:w w:val="105"/>
        </w:rPr>
        <w:t> </w:t>
      </w:r>
      <w:r>
        <w:rPr>
          <w:w w:val="105"/>
        </w:rPr>
        <w:t>as PPG</w:t>
      </w:r>
      <w:r>
        <w:rPr>
          <w:spacing w:val="-18"/>
          <w:w w:val="105"/>
        </w:rPr>
        <w:t> </w:t>
      </w:r>
      <w:r>
        <w:rPr>
          <w:w w:val="105"/>
        </w:rPr>
        <w:t>debt.</w:t>
      </w:r>
      <w:r>
        <w:rPr>
          <w:w w:val="105"/>
          <w:vertAlign w:val="superscript"/>
        </w:rPr>
        <w:t>86</w:t>
      </w:r>
      <w:r>
        <w:rPr>
          <w:spacing w:val="-17"/>
          <w:w w:val="105"/>
          <w:vertAlign w:val="baseline"/>
        </w:rPr>
        <w:t> </w:t>
      </w:r>
      <w:r>
        <w:rPr>
          <w:w w:val="105"/>
          <w:vertAlign w:val="baseline"/>
        </w:rPr>
        <w:t>These</w:t>
      </w:r>
      <w:r>
        <w:rPr>
          <w:spacing w:val="-18"/>
          <w:w w:val="105"/>
          <w:vertAlign w:val="baseline"/>
        </w:rPr>
        <w:t> </w:t>
      </w:r>
      <w:r>
        <w:rPr>
          <w:w w:val="105"/>
          <w:vertAlign w:val="baseline"/>
        </w:rPr>
        <w:t>topline</w:t>
      </w:r>
      <w:r>
        <w:rPr>
          <w:spacing w:val="-18"/>
          <w:w w:val="105"/>
          <w:vertAlign w:val="baseline"/>
        </w:rPr>
        <w:t> </w:t>
      </w:r>
      <w:r>
        <w:rPr>
          <w:w w:val="105"/>
          <w:vertAlign w:val="baseline"/>
        </w:rPr>
        <w:t>differences</w:t>
      </w:r>
      <w:r>
        <w:rPr>
          <w:spacing w:val="-17"/>
          <w:w w:val="105"/>
          <w:vertAlign w:val="baseline"/>
        </w:rPr>
        <w:t> </w:t>
      </w:r>
      <w:r>
        <w:rPr>
          <w:w w:val="105"/>
          <w:vertAlign w:val="baseline"/>
        </w:rPr>
        <w:t>reﬂect</w:t>
      </w:r>
      <w:r>
        <w:rPr>
          <w:spacing w:val="-18"/>
          <w:w w:val="105"/>
          <w:vertAlign w:val="baseline"/>
        </w:rPr>
        <w:t> </w:t>
      </w:r>
      <w:r>
        <w:rPr>
          <w:w w:val="105"/>
          <w:vertAlign w:val="baseline"/>
        </w:rPr>
        <w:t>widely</w:t>
      </w:r>
      <w:r>
        <w:rPr>
          <w:spacing w:val="-17"/>
          <w:w w:val="105"/>
          <w:vertAlign w:val="baseline"/>
        </w:rPr>
        <w:t> </w:t>
      </w:r>
      <w:r>
        <w:rPr>
          <w:w w:val="105"/>
          <w:vertAlign w:val="baseline"/>
        </w:rPr>
        <w:t>varying</w:t>
      </w:r>
      <w:r>
        <w:rPr>
          <w:spacing w:val="-18"/>
          <w:w w:val="105"/>
          <w:vertAlign w:val="baseline"/>
        </w:rPr>
        <w:t> </w:t>
      </w:r>
      <w:r>
        <w:rPr>
          <w:w w:val="105"/>
          <w:vertAlign w:val="baseline"/>
        </w:rPr>
        <w:t>levels</w:t>
      </w:r>
      <w:r>
        <w:rPr>
          <w:spacing w:val="-17"/>
          <w:w w:val="105"/>
          <w:vertAlign w:val="baseline"/>
        </w:rPr>
        <w:t> </w:t>
      </w:r>
      <w:r>
        <w:rPr>
          <w:w w:val="105"/>
          <w:vertAlign w:val="baseline"/>
        </w:rPr>
        <w:t>of</w:t>
      </w:r>
      <w:r>
        <w:rPr>
          <w:spacing w:val="-18"/>
          <w:w w:val="105"/>
          <w:vertAlign w:val="baseline"/>
        </w:rPr>
        <w:t> </w:t>
      </w:r>
      <w:r>
        <w:rPr>
          <w:w w:val="105"/>
          <w:vertAlign w:val="baseline"/>
        </w:rPr>
        <w:t>lending institution,</w:t>
      </w:r>
      <w:r>
        <w:rPr>
          <w:spacing w:val="-7"/>
          <w:w w:val="105"/>
          <w:vertAlign w:val="baseline"/>
        </w:rPr>
        <w:t> </w:t>
      </w:r>
      <w:r>
        <w:rPr>
          <w:w w:val="105"/>
          <w:vertAlign w:val="baseline"/>
        </w:rPr>
        <w:t>borrowing</w:t>
      </w:r>
      <w:r>
        <w:rPr>
          <w:spacing w:val="-7"/>
          <w:w w:val="105"/>
          <w:vertAlign w:val="baseline"/>
        </w:rPr>
        <w:t> </w:t>
      </w:r>
      <w:r>
        <w:rPr>
          <w:w w:val="105"/>
          <w:vertAlign w:val="baseline"/>
        </w:rPr>
        <w:t>institution,</w:t>
      </w:r>
      <w:r>
        <w:rPr>
          <w:spacing w:val="-7"/>
          <w:w w:val="105"/>
          <w:vertAlign w:val="baseline"/>
        </w:rPr>
        <w:t> </w:t>
      </w:r>
      <w:r>
        <w:rPr>
          <w:w w:val="105"/>
          <w:vertAlign w:val="baseline"/>
        </w:rPr>
        <w:t>and</w:t>
      </w:r>
      <w:r>
        <w:rPr>
          <w:spacing w:val="-7"/>
          <w:w w:val="105"/>
          <w:vertAlign w:val="baseline"/>
        </w:rPr>
        <w:t> </w:t>
      </w:r>
      <w:r>
        <w:rPr>
          <w:w w:val="105"/>
          <w:vertAlign w:val="baseline"/>
        </w:rPr>
        <w:t>debt</w:t>
      </w:r>
      <w:r>
        <w:rPr>
          <w:spacing w:val="-7"/>
          <w:w w:val="105"/>
          <w:vertAlign w:val="baseline"/>
        </w:rPr>
        <w:t> </w:t>
      </w:r>
      <w:r>
        <w:rPr>
          <w:w w:val="105"/>
          <w:vertAlign w:val="baseline"/>
        </w:rPr>
        <w:t>instrument</w:t>
      </w:r>
      <w:r>
        <w:rPr>
          <w:spacing w:val="-7"/>
          <w:w w:val="105"/>
          <w:vertAlign w:val="baseline"/>
        </w:rPr>
        <w:t> </w:t>
      </w:r>
      <w:r>
        <w:rPr>
          <w:w w:val="105"/>
          <w:vertAlign w:val="baseline"/>
        </w:rPr>
        <w:t>coverage</w:t>
      </w:r>
      <w:r>
        <w:rPr>
          <w:spacing w:val="-7"/>
          <w:w w:val="105"/>
          <w:vertAlign w:val="baseline"/>
        </w:rPr>
        <w:t> </w:t>
      </w:r>
      <w:r>
        <w:rPr>
          <w:w w:val="105"/>
          <w:vertAlign w:val="baseline"/>
        </w:rPr>
        <w:t>(which</w:t>
      </w:r>
      <w:r>
        <w:rPr>
          <w:spacing w:val="-7"/>
          <w:w w:val="105"/>
          <w:vertAlign w:val="baseline"/>
        </w:rPr>
        <w:t> </w:t>
      </w:r>
      <w:r>
        <w:rPr>
          <w:w w:val="105"/>
          <w:vertAlign w:val="baseline"/>
        </w:rPr>
        <w:t>we </w:t>
      </w:r>
      <w:r>
        <w:rPr>
          <w:vertAlign w:val="baseline"/>
        </w:rPr>
        <w:t>discuss at greater length below). Table A15 calls attention to the fourth and </w:t>
      </w:r>
      <w:r>
        <w:rPr>
          <w:vertAlign w:val="baseline"/>
        </w:rPr>
        <w:t>ﬁnal difference: neither BU’s CODF dataset nor the World Bank’s IDS provide any </w:t>
      </w:r>
      <w:r>
        <w:rPr>
          <w:w w:val="105"/>
          <w:vertAlign w:val="baseline"/>
        </w:rPr>
        <w:t>coverage</w:t>
      </w:r>
      <w:r>
        <w:rPr>
          <w:spacing w:val="-10"/>
          <w:w w:val="105"/>
          <w:vertAlign w:val="baseline"/>
        </w:rPr>
        <w:t> </w:t>
      </w:r>
      <w:r>
        <w:rPr>
          <w:w w:val="105"/>
          <w:vertAlign w:val="baseline"/>
        </w:rPr>
        <w:t>of</w:t>
      </w:r>
      <w:r>
        <w:rPr>
          <w:spacing w:val="-10"/>
          <w:w w:val="105"/>
          <w:vertAlign w:val="baseline"/>
        </w:rPr>
        <w:t> </w:t>
      </w:r>
      <w:r>
        <w:rPr>
          <w:w w:val="105"/>
          <w:vertAlign w:val="baseline"/>
        </w:rPr>
        <w:t>lending</w:t>
      </w:r>
      <w:r>
        <w:rPr>
          <w:spacing w:val="-10"/>
          <w:w w:val="105"/>
          <w:vertAlign w:val="baseline"/>
        </w:rPr>
        <w:t> </w:t>
      </w:r>
      <w:r>
        <w:rPr>
          <w:w w:val="105"/>
          <w:vertAlign w:val="baseline"/>
        </w:rPr>
        <w:t>commitments</w:t>
      </w:r>
      <w:r>
        <w:rPr>
          <w:spacing w:val="-10"/>
          <w:w w:val="105"/>
          <w:vertAlign w:val="baseline"/>
        </w:rPr>
        <w:t> </w:t>
      </w:r>
      <w:r>
        <w:rPr>
          <w:w w:val="105"/>
          <w:vertAlign w:val="baseline"/>
        </w:rPr>
        <w:t>from</w:t>
      </w:r>
      <w:r>
        <w:rPr>
          <w:spacing w:val="-10"/>
          <w:w w:val="105"/>
          <w:vertAlign w:val="baseline"/>
        </w:rPr>
        <w:t> </w:t>
      </w:r>
      <w:r>
        <w:rPr>
          <w:w w:val="105"/>
          <w:vertAlign w:val="baseline"/>
        </w:rPr>
        <w:t>ofﬁcial</w:t>
      </w:r>
      <w:r>
        <w:rPr>
          <w:spacing w:val="-10"/>
          <w:w w:val="105"/>
          <w:vertAlign w:val="baseline"/>
        </w:rPr>
        <w:t> </w:t>
      </w:r>
      <w:r>
        <w:rPr>
          <w:w w:val="105"/>
          <w:vertAlign w:val="baseline"/>
        </w:rPr>
        <w:t>sector</w:t>
      </w:r>
      <w:r>
        <w:rPr>
          <w:spacing w:val="-10"/>
          <w:w w:val="105"/>
          <w:vertAlign w:val="baseline"/>
        </w:rPr>
        <w:t> </w:t>
      </w:r>
      <w:r>
        <w:rPr>
          <w:w w:val="105"/>
          <w:vertAlign w:val="baseline"/>
        </w:rPr>
        <w:t>institutions</w:t>
      </w:r>
      <w:r>
        <w:rPr>
          <w:spacing w:val="-10"/>
          <w:w w:val="105"/>
          <w:vertAlign w:val="baseline"/>
        </w:rPr>
        <w:t> </w:t>
      </w:r>
      <w:r>
        <w:rPr>
          <w:w w:val="105"/>
          <w:vertAlign w:val="baseline"/>
        </w:rPr>
        <w:t>in</w:t>
      </w:r>
      <w:r>
        <w:rPr>
          <w:spacing w:val="-10"/>
          <w:w w:val="105"/>
          <w:vertAlign w:val="baseline"/>
        </w:rPr>
        <w:t> </w:t>
      </w:r>
      <w:r>
        <w:rPr>
          <w:w w:val="105"/>
          <w:vertAlign w:val="baseline"/>
        </w:rPr>
        <w:t>China</w:t>
      </w:r>
      <w:r>
        <w:rPr>
          <w:spacing w:val="-10"/>
          <w:w w:val="105"/>
          <w:vertAlign w:val="baseline"/>
        </w:rPr>
        <w:t> </w:t>
      </w:r>
      <w:r>
        <w:rPr>
          <w:w w:val="105"/>
          <w:vertAlign w:val="baseline"/>
        </w:rPr>
        <w:t>to </w:t>
      </w:r>
      <w:r>
        <w:rPr>
          <w:vertAlign w:val="baseline"/>
        </w:rPr>
        <w:t>LICs and MICs that qualify as non-PPG debt. AidData’s GCDF dataset, by </w:t>
      </w:r>
      <w:r>
        <w:rPr>
          <w:spacing w:val="-2"/>
          <w:w w:val="105"/>
          <w:vertAlign w:val="baseline"/>
        </w:rPr>
        <w:t>contrast,</w:t>
      </w:r>
      <w:r>
        <w:rPr>
          <w:spacing w:val="-9"/>
          <w:w w:val="105"/>
          <w:vertAlign w:val="baseline"/>
        </w:rPr>
        <w:t> </w:t>
      </w:r>
      <w:r>
        <w:rPr>
          <w:spacing w:val="-2"/>
          <w:w w:val="105"/>
          <w:vertAlign w:val="baseline"/>
        </w:rPr>
        <w:t>captures</w:t>
      </w:r>
      <w:r>
        <w:rPr>
          <w:spacing w:val="-9"/>
          <w:w w:val="105"/>
          <w:vertAlign w:val="baseline"/>
        </w:rPr>
        <w:t> </w:t>
      </w:r>
      <w:r>
        <w:rPr>
          <w:spacing w:val="-2"/>
          <w:w w:val="105"/>
          <w:vertAlign w:val="baseline"/>
        </w:rPr>
        <w:t>$333</w:t>
      </w:r>
      <w:r>
        <w:rPr>
          <w:spacing w:val="-9"/>
          <w:w w:val="105"/>
          <w:vertAlign w:val="baseline"/>
        </w:rPr>
        <w:t> </w:t>
      </w:r>
      <w:r>
        <w:rPr>
          <w:spacing w:val="-2"/>
          <w:w w:val="105"/>
          <w:vertAlign w:val="baseline"/>
        </w:rPr>
        <w:t>billion</w:t>
      </w:r>
      <w:r>
        <w:rPr>
          <w:spacing w:val="-9"/>
          <w:w w:val="105"/>
          <w:vertAlign w:val="baseline"/>
        </w:rPr>
        <w:t> </w:t>
      </w:r>
      <w:r>
        <w:rPr>
          <w:spacing w:val="-2"/>
          <w:w w:val="105"/>
          <w:vertAlign w:val="baseline"/>
        </w:rPr>
        <w:t>that</w:t>
      </w:r>
      <w:r>
        <w:rPr>
          <w:spacing w:val="-9"/>
          <w:w w:val="105"/>
          <w:vertAlign w:val="baseline"/>
        </w:rPr>
        <w:t> </w:t>
      </w:r>
      <w:r>
        <w:rPr>
          <w:spacing w:val="-2"/>
          <w:w w:val="105"/>
          <w:vertAlign w:val="baseline"/>
        </w:rPr>
        <w:t>does</w:t>
      </w:r>
      <w:r>
        <w:rPr>
          <w:spacing w:val="-9"/>
          <w:w w:val="105"/>
          <w:vertAlign w:val="baseline"/>
        </w:rPr>
        <w:t> </w:t>
      </w:r>
      <w:r>
        <w:rPr>
          <w:spacing w:val="-2"/>
          <w:w w:val="105"/>
          <w:vertAlign w:val="baseline"/>
        </w:rPr>
        <w:t>not</w:t>
      </w:r>
      <w:r>
        <w:rPr>
          <w:spacing w:val="-9"/>
          <w:w w:val="105"/>
          <w:vertAlign w:val="baseline"/>
        </w:rPr>
        <w:t> </w:t>
      </w:r>
      <w:r>
        <w:rPr>
          <w:spacing w:val="-2"/>
          <w:w w:val="105"/>
          <w:vertAlign w:val="baseline"/>
        </w:rPr>
        <w:t>(clearly)</w:t>
      </w:r>
      <w:r>
        <w:rPr>
          <w:spacing w:val="-9"/>
          <w:w w:val="105"/>
          <w:vertAlign w:val="baseline"/>
        </w:rPr>
        <w:t> </w:t>
      </w:r>
      <w:r>
        <w:rPr>
          <w:spacing w:val="-2"/>
          <w:w w:val="105"/>
          <w:vertAlign w:val="baseline"/>
        </w:rPr>
        <w:t>qualify</w:t>
      </w:r>
      <w:r>
        <w:rPr>
          <w:spacing w:val="-9"/>
          <w:w w:val="105"/>
          <w:vertAlign w:val="baseline"/>
        </w:rPr>
        <w:t> </w:t>
      </w:r>
      <w:r>
        <w:rPr>
          <w:spacing w:val="-2"/>
          <w:w w:val="105"/>
          <w:vertAlign w:val="baseline"/>
        </w:rPr>
        <w:t>as</w:t>
      </w:r>
      <w:r>
        <w:rPr>
          <w:spacing w:val="-9"/>
          <w:w w:val="105"/>
          <w:vertAlign w:val="baseline"/>
        </w:rPr>
        <w:t> </w:t>
      </w:r>
      <w:r>
        <w:rPr>
          <w:spacing w:val="-2"/>
          <w:w w:val="105"/>
          <w:vertAlign w:val="baseline"/>
        </w:rPr>
        <w:t>PPG</w:t>
      </w:r>
      <w:r>
        <w:rPr>
          <w:spacing w:val="-9"/>
          <w:w w:val="105"/>
          <w:vertAlign w:val="baseline"/>
        </w:rPr>
        <w:t> </w:t>
      </w:r>
      <w:r>
        <w:rPr>
          <w:spacing w:val="-2"/>
          <w:w w:val="105"/>
          <w:vertAlign w:val="baseline"/>
        </w:rPr>
        <w:t>debt:</w:t>
      </w:r>
      <w:r>
        <w:rPr>
          <w:spacing w:val="-9"/>
          <w:w w:val="105"/>
          <w:vertAlign w:val="baseline"/>
        </w:rPr>
        <w:t> </w:t>
      </w:r>
      <w:r>
        <w:rPr>
          <w:spacing w:val="-2"/>
          <w:w w:val="105"/>
          <w:vertAlign w:val="baseline"/>
        </w:rPr>
        <w:t>$67 </w:t>
      </w:r>
      <w:r>
        <w:rPr>
          <w:w w:val="105"/>
          <w:vertAlign w:val="baseline"/>
        </w:rPr>
        <w:t>billion of potential public sector debt (i.e., debt contracted by a minority</w:t>
      </w:r>
    </w:p>
    <w:p>
      <w:pPr>
        <w:pStyle w:val="BodyText"/>
        <w:spacing w:line="333" w:lineRule="auto"/>
        <w:ind w:left="760" w:right="767"/>
      </w:pPr>
      <w:r>
        <w:rPr>
          <w:w w:val="105"/>
        </w:rPr>
        <w:t>state-owned</w:t>
      </w:r>
      <w:r>
        <w:rPr>
          <w:spacing w:val="-2"/>
          <w:w w:val="105"/>
        </w:rPr>
        <w:t> </w:t>
      </w:r>
      <w:r>
        <w:rPr>
          <w:w w:val="105"/>
        </w:rPr>
        <w:t>institution</w:t>
      </w:r>
      <w:r>
        <w:rPr>
          <w:spacing w:val="-2"/>
          <w:w w:val="105"/>
        </w:rPr>
        <w:t> </w:t>
      </w:r>
      <w:r>
        <w:rPr>
          <w:w w:val="105"/>
        </w:rPr>
        <w:t>in</w:t>
      </w:r>
      <w:r>
        <w:rPr>
          <w:spacing w:val="-2"/>
          <w:w w:val="105"/>
        </w:rPr>
        <w:t> </w:t>
      </w:r>
      <w:r>
        <w:rPr>
          <w:w w:val="105"/>
        </w:rPr>
        <w:t>the</w:t>
      </w:r>
      <w:r>
        <w:rPr>
          <w:spacing w:val="-2"/>
          <w:w w:val="105"/>
        </w:rPr>
        <w:t> </w:t>
      </w:r>
      <w:r>
        <w:rPr>
          <w:w w:val="105"/>
        </w:rPr>
        <w:t>borrowing</w:t>
      </w:r>
      <w:r>
        <w:rPr>
          <w:spacing w:val="-2"/>
          <w:w w:val="105"/>
        </w:rPr>
        <w:t> </w:t>
      </w:r>
      <w:r>
        <w:rPr>
          <w:w w:val="105"/>
        </w:rPr>
        <w:t>country</w:t>
      </w:r>
      <w:r>
        <w:rPr>
          <w:spacing w:val="-2"/>
          <w:w w:val="105"/>
        </w:rPr>
        <w:t> </w:t>
      </w:r>
      <w:r>
        <w:rPr>
          <w:w w:val="105"/>
        </w:rPr>
        <w:t>without</w:t>
      </w:r>
      <w:r>
        <w:rPr>
          <w:spacing w:val="-2"/>
          <w:w w:val="105"/>
        </w:rPr>
        <w:t> </w:t>
      </w:r>
      <w:r>
        <w:rPr>
          <w:w w:val="105"/>
        </w:rPr>
        <w:t>a</w:t>
      </w:r>
      <w:r>
        <w:rPr>
          <w:spacing w:val="-2"/>
          <w:w w:val="105"/>
        </w:rPr>
        <w:t> </w:t>
      </w:r>
      <w:r>
        <w:rPr>
          <w:w w:val="105"/>
        </w:rPr>
        <w:t>public</w:t>
      </w:r>
      <w:r>
        <w:rPr>
          <w:spacing w:val="-2"/>
          <w:w w:val="105"/>
        </w:rPr>
        <w:t> </w:t>
      </w:r>
      <w:r>
        <w:rPr>
          <w:w w:val="105"/>
        </w:rPr>
        <w:t>sector </w:t>
      </w:r>
      <w:r>
        <w:rPr/>
        <w:t>repayment guarantee), $216 billion of private sector debt, and $50 billion that </w:t>
      </w:r>
      <w:r>
        <w:rPr/>
        <w:t>is </w:t>
      </w:r>
      <w:r>
        <w:rPr>
          <w:w w:val="105"/>
        </w:rPr>
        <w:t>not</w:t>
      </w:r>
      <w:r>
        <w:rPr>
          <w:spacing w:val="-6"/>
          <w:w w:val="105"/>
        </w:rPr>
        <w:t> </w:t>
      </w:r>
      <w:r>
        <w:rPr>
          <w:w w:val="105"/>
        </w:rPr>
        <w:t>allocable</w:t>
      </w:r>
      <w:r>
        <w:rPr>
          <w:spacing w:val="-6"/>
          <w:w w:val="105"/>
        </w:rPr>
        <w:t> </w:t>
      </w:r>
      <w:r>
        <w:rPr>
          <w:w w:val="105"/>
        </w:rPr>
        <w:t>due</w:t>
      </w:r>
      <w:r>
        <w:rPr>
          <w:spacing w:val="-6"/>
          <w:w w:val="105"/>
        </w:rPr>
        <w:t> </w:t>
      </w:r>
      <w:r>
        <w:rPr>
          <w:w w:val="105"/>
        </w:rPr>
        <w:t>to</w:t>
      </w:r>
      <w:r>
        <w:rPr>
          <w:spacing w:val="-6"/>
          <w:w w:val="105"/>
        </w:rPr>
        <w:t> </w:t>
      </w:r>
      <w:r>
        <w:rPr>
          <w:w w:val="105"/>
        </w:rPr>
        <w:t>a</w:t>
      </w:r>
      <w:r>
        <w:rPr>
          <w:spacing w:val="-6"/>
          <w:w w:val="105"/>
        </w:rPr>
        <w:t> </w:t>
      </w:r>
      <w:r>
        <w:rPr>
          <w:w w:val="105"/>
        </w:rPr>
        <w:t>lack</w:t>
      </w:r>
      <w:r>
        <w:rPr>
          <w:spacing w:val="-6"/>
          <w:w w:val="105"/>
        </w:rPr>
        <w:t> </w:t>
      </w:r>
      <w:r>
        <w:rPr>
          <w:w w:val="105"/>
        </w:rPr>
        <w:t>of</w:t>
      </w:r>
      <w:r>
        <w:rPr>
          <w:spacing w:val="-6"/>
          <w:w w:val="105"/>
        </w:rPr>
        <w:t> </w:t>
      </w:r>
      <w:r>
        <w:rPr>
          <w:w w:val="105"/>
        </w:rPr>
        <w:t>sufﬁcient</w:t>
      </w:r>
      <w:r>
        <w:rPr>
          <w:spacing w:val="-6"/>
          <w:w w:val="105"/>
        </w:rPr>
        <w:t> </w:t>
      </w:r>
      <w:r>
        <w:rPr>
          <w:w w:val="105"/>
        </w:rPr>
        <w:t>information</w:t>
      </w:r>
      <w:r>
        <w:rPr>
          <w:spacing w:val="-6"/>
          <w:w w:val="105"/>
        </w:rPr>
        <w:t> </w:t>
      </w:r>
      <w:r>
        <w:rPr>
          <w:w w:val="105"/>
        </w:rPr>
        <w:t>for</w:t>
      </w:r>
      <w:r>
        <w:rPr>
          <w:spacing w:val="-6"/>
          <w:w w:val="105"/>
        </w:rPr>
        <w:t> </w:t>
      </w:r>
      <w:r>
        <w:rPr>
          <w:w w:val="105"/>
        </w:rPr>
        <w:t>categorization </w:t>
      </w:r>
      <w:r>
        <w:rPr>
          <w:spacing w:val="-2"/>
          <w:w w:val="105"/>
        </w:rPr>
        <w:t>purposes.</w:t>
      </w:r>
      <w:r>
        <w:rPr>
          <w:spacing w:val="-2"/>
          <w:w w:val="105"/>
          <w:vertAlign w:val="superscript"/>
        </w:rPr>
        <w:t>87</w:t>
      </w:r>
    </w:p>
    <w:p>
      <w:pPr>
        <w:pStyle w:val="BodyText"/>
        <w:spacing w:before="1"/>
        <w:rPr>
          <w:sz w:val="27"/>
        </w:rPr>
      </w:pPr>
    </w:p>
    <w:p>
      <w:pPr>
        <w:pStyle w:val="BodyText"/>
        <w:spacing w:line="333" w:lineRule="auto"/>
        <w:ind w:left="760" w:right="759"/>
      </w:pPr>
      <w:r>
        <w:rPr/>
        <w:t>One additional source of information is worth considering: newly published data from the Bank of International Settlements (BIS) on total outstanding credit from Chinese</w:t>
      </w:r>
      <w:r>
        <w:rPr>
          <w:spacing w:val="-9"/>
        </w:rPr>
        <w:t> </w:t>
      </w:r>
      <w:r>
        <w:rPr/>
        <w:t>banks</w:t>
      </w:r>
      <w:r>
        <w:rPr>
          <w:spacing w:val="-9"/>
        </w:rPr>
        <w:t> </w:t>
      </w:r>
      <w:r>
        <w:rPr/>
        <w:t>to</w:t>
      </w:r>
      <w:r>
        <w:rPr>
          <w:spacing w:val="-9"/>
        </w:rPr>
        <w:t> </w:t>
      </w:r>
      <w:r>
        <w:rPr/>
        <w:t>LICs</w:t>
      </w:r>
      <w:r>
        <w:rPr>
          <w:spacing w:val="-9"/>
        </w:rPr>
        <w:t> </w:t>
      </w:r>
      <w:r>
        <w:rPr/>
        <w:t>and</w:t>
      </w:r>
      <w:r>
        <w:rPr>
          <w:spacing w:val="-9"/>
        </w:rPr>
        <w:t> </w:t>
      </w:r>
      <w:r>
        <w:rPr/>
        <w:t>MICs</w:t>
      </w:r>
      <w:r>
        <w:rPr>
          <w:spacing w:val="-9"/>
        </w:rPr>
        <w:t> </w:t>
      </w:r>
      <w:r>
        <w:rPr/>
        <w:t>from</w:t>
      </w:r>
      <w:r>
        <w:rPr>
          <w:spacing w:val="-9"/>
        </w:rPr>
        <w:t> </w:t>
      </w:r>
      <w:r>
        <w:rPr/>
        <w:t>2015</w:t>
      </w:r>
      <w:r>
        <w:rPr>
          <w:spacing w:val="-9"/>
        </w:rPr>
        <w:t> </w:t>
      </w:r>
      <w:r>
        <w:rPr/>
        <w:t>to</w:t>
      </w:r>
      <w:r>
        <w:rPr>
          <w:spacing w:val="-9"/>
        </w:rPr>
        <w:t> </w:t>
      </w:r>
      <w:r>
        <w:rPr/>
        <w:t>2021</w:t>
      </w:r>
      <w:r>
        <w:rPr>
          <w:spacing w:val="-9"/>
        </w:rPr>
        <w:t> </w:t>
      </w:r>
      <w:r>
        <w:rPr/>
        <w:t>(see</w:t>
      </w:r>
      <w:r>
        <w:rPr>
          <w:spacing w:val="-9"/>
        </w:rPr>
        <w:t> </w:t>
      </w:r>
      <w:r>
        <w:rPr/>
        <w:t>Box</w:t>
      </w:r>
      <w:r>
        <w:rPr>
          <w:spacing w:val="-9"/>
        </w:rPr>
        <w:t> </w:t>
      </w:r>
      <w:r>
        <w:rPr/>
        <w:t>2a).</w:t>
      </w:r>
      <w:r>
        <w:rPr>
          <w:spacing w:val="-9"/>
        </w:rPr>
        <w:t> </w:t>
      </w:r>
      <w:r>
        <w:rPr/>
        <w:t>These</w:t>
      </w:r>
      <w:r>
        <w:rPr>
          <w:spacing w:val="-9"/>
        </w:rPr>
        <w:t> </w:t>
      </w:r>
      <w:r>
        <w:rPr/>
        <w:t>data</w:t>
      </w:r>
      <w:r>
        <w:rPr>
          <w:spacing w:val="-9"/>
        </w:rPr>
        <w:t> </w:t>
      </w:r>
      <w:r>
        <w:rPr/>
        <w:t>are </w:t>
      </w:r>
      <w:r>
        <w:rPr>
          <w:w w:val="105"/>
        </w:rPr>
        <w:t>particularly</w:t>
      </w:r>
      <w:r>
        <w:rPr>
          <w:spacing w:val="-18"/>
          <w:w w:val="105"/>
        </w:rPr>
        <w:t> </w:t>
      </w:r>
      <w:r>
        <w:rPr>
          <w:w w:val="105"/>
        </w:rPr>
        <w:t>valuable</w:t>
      </w:r>
      <w:r>
        <w:rPr>
          <w:spacing w:val="-17"/>
          <w:w w:val="105"/>
        </w:rPr>
        <w:t> </w:t>
      </w:r>
      <w:r>
        <w:rPr>
          <w:w w:val="105"/>
        </w:rPr>
        <w:t>because</w:t>
      </w:r>
      <w:r>
        <w:rPr>
          <w:spacing w:val="-18"/>
          <w:w w:val="105"/>
        </w:rPr>
        <w:t> </w:t>
      </w:r>
      <w:r>
        <w:rPr>
          <w:w w:val="105"/>
        </w:rPr>
        <w:t>they</w:t>
      </w:r>
      <w:r>
        <w:rPr>
          <w:spacing w:val="-18"/>
          <w:w w:val="105"/>
        </w:rPr>
        <w:t> </w:t>
      </w:r>
      <w:r>
        <w:rPr>
          <w:w w:val="105"/>
        </w:rPr>
        <w:t>are</w:t>
      </w:r>
      <w:r>
        <w:rPr>
          <w:spacing w:val="-17"/>
          <w:w w:val="105"/>
        </w:rPr>
        <w:t> </w:t>
      </w:r>
      <w:r>
        <w:rPr>
          <w:w w:val="105"/>
        </w:rPr>
        <w:t>based</w:t>
      </w:r>
      <w:r>
        <w:rPr>
          <w:spacing w:val="-18"/>
          <w:w w:val="105"/>
        </w:rPr>
        <w:t> </w:t>
      </w:r>
      <w:r>
        <w:rPr>
          <w:w w:val="105"/>
        </w:rPr>
        <w:t>on</w:t>
      </w:r>
      <w:r>
        <w:rPr>
          <w:spacing w:val="-17"/>
          <w:w w:val="105"/>
        </w:rPr>
        <w:t> </w:t>
      </w:r>
      <w:r>
        <w:rPr>
          <w:w w:val="105"/>
        </w:rPr>
        <w:t>direct</w:t>
      </w:r>
      <w:r>
        <w:rPr>
          <w:spacing w:val="-18"/>
          <w:w w:val="105"/>
        </w:rPr>
        <w:t> </w:t>
      </w:r>
      <w:r>
        <w:rPr>
          <w:w w:val="105"/>
        </w:rPr>
        <w:t>reporting</w:t>
      </w:r>
      <w:r>
        <w:rPr>
          <w:spacing w:val="-17"/>
          <w:w w:val="105"/>
        </w:rPr>
        <w:t> </w:t>
      </w:r>
      <w:r>
        <w:rPr>
          <w:w w:val="105"/>
        </w:rPr>
        <w:t>from</w:t>
      </w:r>
      <w:r>
        <w:rPr>
          <w:spacing w:val="-18"/>
          <w:w w:val="105"/>
        </w:rPr>
        <w:t> </w:t>
      </w:r>
      <w:r>
        <w:rPr>
          <w:w w:val="105"/>
        </w:rPr>
        <w:t>Chinese </w:t>
      </w:r>
      <w:r>
        <w:rPr/>
        <w:t>banks about their cross-border claims. Although the BIS does not currently allow for its Chinese lending data to be disaggregated by borrower countries, one </w:t>
      </w:r>
      <w:r>
        <w:rPr/>
        <w:t>can </w:t>
      </w:r>
      <w:r>
        <w:rPr>
          <w:w w:val="105"/>
        </w:rPr>
        <w:t>derive</w:t>
      </w:r>
      <w:r>
        <w:rPr>
          <w:spacing w:val="-18"/>
          <w:w w:val="105"/>
        </w:rPr>
        <w:t> </w:t>
      </w:r>
      <w:r>
        <w:rPr>
          <w:w w:val="105"/>
        </w:rPr>
        <w:t>lower-bound</w:t>
      </w:r>
      <w:r>
        <w:rPr>
          <w:spacing w:val="-17"/>
          <w:w w:val="105"/>
        </w:rPr>
        <w:t> </w:t>
      </w:r>
      <w:r>
        <w:rPr>
          <w:w w:val="105"/>
        </w:rPr>
        <w:t>and</w:t>
      </w:r>
      <w:r>
        <w:rPr>
          <w:spacing w:val="-18"/>
          <w:w w:val="105"/>
        </w:rPr>
        <w:t> </w:t>
      </w:r>
      <w:r>
        <w:rPr>
          <w:w w:val="105"/>
        </w:rPr>
        <w:t>upper-bound</w:t>
      </w:r>
      <w:r>
        <w:rPr>
          <w:spacing w:val="-18"/>
          <w:w w:val="105"/>
        </w:rPr>
        <w:t> </w:t>
      </w:r>
      <w:r>
        <w:rPr>
          <w:w w:val="105"/>
        </w:rPr>
        <w:t>estimates</w:t>
      </w:r>
      <w:r>
        <w:rPr>
          <w:spacing w:val="-17"/>
          <w:w w:val="105"/>
        </w:rPr>
        <w:t> </w:t>
      </w:r>
      <w:r>
        <w:rPr>
          <w:w w:val="105"/>
        </w:rPr>
        <w:t>of</w:t>
      </w:r>
      <w:r>
        <w:rPr>
          <w:spacing w:val="-18"/>
          <w:w w:val="105"/>
        </w:rPr>
        <w:t> </w:t>
      </w:r>
      <w:r>
        <w:rPr>
          <w:w w:val="105"/>
        </w:rPr>
        <w:t>total</w:t>
      </w:r>
      <w:r>
        <w:rPr>
          <w:spacing w:val="-17"/>
          <w:w w:val="105"/>
        </w:rPr>
        <w:t> </w:t>
      </w:r>
      <w:r>
        <w:rPr>
          <w:w w:val="105"/>
        </w:rPr>
        <w:t>outstanding</w:t>
      </w:r>
      <w:r>
        <w:rPr>
          <w:spacing w:val="-18"/>
          <w:w w:val="105"/>
        </w:rPr>
        <w:t> </w:t>
      </w:r>
      <w:r>
        <w:rPr>
          <w:w w:val="105"/>
        </w:rPr>
        <w:t>credit</w:t>
      </w:r>
      <w:r>
        <w:rPr>
          <w:spacing w:val="-17"/>
          <w:w w:val="105"/>
        </w:rPr>
        <w:t> </w:t>
      </w:r>
      <w:r>
        <w:rPr>
          <w:w w:val="105"/>
        </w:rPr>
        <w:t>from </w:t>
      </w:r>
      <w:r>
        <w:rPr/>
        <w:t>Chinese</w:t>
      </w:r>
      <w:r>
        <w:rPr>
          <w:spacing w:val="-1"/>
        </w:rPr>
        <w:t> </w:t>
      </w:r>
      <w:r>
        <w:rPr/>
        <w:t>banks</w:t>
      </w:r>
      <w:r>
        <w:rPr>
          <w:spacing w:val="-1"/>
        </w:rPr>
        <w:t> </w:t>
      </w:r>
      <w:r>
        <w:rPr/>
        <w:t>to</w:t>
      </w:r>
      <w:r>
        <w:rPr>
          <w:spacing w:val="-1"/>
        </w:rPr>
        <w:t> </w:t>
      </w:r>
      <w:r>
        <w:rPr/>
        <w:t>LICs</w:t>
      </w:r>
      <w:r>
        <w:rPr>
          <w:spacing w:val="-1"/>
        </w:rPr>
        <w:t> </w:t>
      </w:r>
      <w:r>
        <w:rPr/>
        <w:t>and</w:t>
      </w:r>
      <w:r>
        <w:rPr>
          <w:spacing w:val="-1"/>
        </w:rPr>
        <w:t> </w:t>
      </w:r>
      <w:r>
        <w:rPr/>
        <w:t>MICs</w:t>
      </w:r>
      <w:r>
        <w:rPr>
          <w:spacing w:val="-1"/>
        </w:rPr>
        <w:t> </w:t>
      </w:r>
      <w:r>
        <w:rPr/>
        <w:t>based</w:t>
      </w:r>
      <w:r>
        <w:rPr>
          <w:spacing w:val="-1"/>
        </w:rPr>
        <w:t> </w:t>
      </w:r>
      <w:r>
        <w:rPr/>
        <w:t>on</w:t>
      </w:r>
      <w:r>
        <w:rPr>
          <w:spacing w:val="-1"/>
        </w:rPr>
        <w:t> </w:t>
      </w:r>
      <w:r>
        <w:rPr/>
        <w:t>new</w:t>
      </w:r>
      <w:r>
        <w:rPr>
          <w:spacing w:val="-1"/>
        </w:rPr>
        <w:t> </w:t>
      </w:r>
      <w:r>
        <w:rPr/>
        <w:t>research</w:t>
      </w:r>
      <w:r>
        <w:rPr>
          <w:spacing w:val="-1"/>
        </w:rPr>
        <w:t> </w:t>
      </w:r>
      <w:r>
        <w:rPr/>
        <w:t>by</w:t>
      </w:r>
      <w:r>
        <w:rPr>
          <w:spacing w:val="-1"/>
        </w:rPr>
        <w:t> </w:t>
      </w:r>
      <w:r>
        <w:rPr/>
        <w:t>Cerutti</w:t>
      </w:r>
      <w:r>
        <w:rPr>
          <w:spacing w:val="-1"/>
        </w:rPr>
        <w:t> </w:t>
      </w:r>
      <w:r>
        <w:rPr/>
        <w:t>et</w:t>
      </w:r>
      <w:r>
        <w:rPr>
          <w:spacing w:val="-1"/>
        </w:rPr>
        <w:t> </w:t>
      </w:r>
      <w:r>
        <w:rPr/>
        <w:t>al.</w:t>
      </w:r>
      <w:r>
        <w:rPr>
          <w:spacing w:val="-1"/>
        </w:rPr>
        <w:t> </w:t>
      </w:r>
      <w:r>
        <w:rPr/>
        <w:t>(2023). As we describe at greater length in Box 2a, lower-bound estimates based on the </w:t>
      </w:r>
      <w:r>
        <w:rPr>
          <w:w w:val="105"/>
        </w:rPr>
        <w:t>BIS</w:t>
      </w:r>
      <w:r>
        <w:rPr>
          <w:spacing w:val="-16"/>
          <w:w w:val="105"/>
        </w:rPr>
        <w:t> </w:t>
      </w:r>
      <w:r>
        <w:rPr>
          <w:w w:val="105"/>
        </w:rPr>
        <w:t>data</w:t>
      </w:r>
      <w:r>
        <w:rPr>
          <w:spacing w:val="-16"/>
          <w:w w:val="105"/>
        </w:rPr>
        <w:t> </w:t>
      </w:r>
      <w:r>
        <w:rPr>
          <w:w w:val="105"/>
        </w:rPr>
        <w:t>indicate</w:t>
      </w:r>
      <w:r>
        <w:rPr>
          <w:spacing w:val="-16"/>
          <w:w w:val="105"/>
        </w:rPr>
        <w:t> </w:t>
      </w:r>
      <w:r>
        <w:rPr>
          <w:w w:val="105"/>
        </w:rPr>
        <w:t>that</w:t>
      </w:r>
      <w:r>
        <w:rPr>
          <w:spacing w:val="-16"/>
          <w:w w:val="105"/>
        </w:rPr>
        <w:t> </w:t>
      </w:r>
      <w:r>
        <w:rPr>
          <w:w w:val="105"/>
        </w:rPr>
        <w:t>total</w:t>
      </w:r>
      <w:r>
        <w:rPr>
          <w:spacing w:val="-16"/>
          <w:w w:val="105"/>
        </w:rPr>
        <w:t> </w:t>
      </w:r>
      <w:r>
        <w:rPr>
          <w:w w:val="105"/>
        </w:rPr>
        <w:t>outstanding</w:t>
      </w:r>
      <w:r>
        <w:rPr>
          <w:spacing w:val="-16"/>
          <w:w w:val="105"/>
        </w:rPr>
        <w:t> </w:t>
      </w:r>
      <w:r>
        <w:rPr>
          <w:w w:val="105"/>
        </w:rPr>
        <w:t>credit</w:t>
      </w:r>
      <w:r>
        <w:rPr>
          <w:spacing w:val="-16"/>
          <w:w w:val="105"/>
        </w:rPr>
        <w:t> </w:t>
      </w:r>
      <w:r>
        <w:rPr>
          <w:w w:val="105"/>
        </w:rPr>
        <w:t>from</w:t>
      </w:r>
      <w:r>
        <w:rPr>
          <w:spacing w:val="-16"/>
          <w:w w:val="105"/>
        </w:rPr>
        <w:t> </w:t>
      </w:r>
      <w:r>
        <w:rPr>
          <w:w w:val="105"/>
        </w:rPr>
        <w:t>Chinese</w:t>
      </w:r>
      <w:r>
        <w:rPr>
          <w:spacing w:val="-16"/>
          <w:w w:val="105"/>
        </w:rPr>
        <w:t> </w:t>
      </w:r>
      <w:r>
        <w:rPr>
          <w:w w:val="105"/>
        </w:rPr>
        <w:t>banks</w:t>
      </w:r>
      <w:r>
        <w:rPr>
          <w:spacing w:val="-16"/>
          <w:w w:val="105"/>
        </w:rPr>
        <w:t> </w:t>
      </w:r>
      <w:r>
        <w:rPr>
          <w:w w:val="105"/>
        </w:rPr>
        <w:t>to</w:t>
      </w:r>
      <w:r>
        <w:rPr>
          <w:spacing w:val="-16"/>
          <w:w w:val="105"/>
        </w:rPr>
        <w:t> </w:t>
      </w:r>
      <w:r>
        <w:rPr>
          <w:w w:val="105"/>
        </w:rPr>
        <w:t>LICs</w:t>
      </w:r>
      <w:r>
        <w:rPr>
          <w:spacing w:val="-16"/>
          <w:w w:val="105"/>
        </w:rPr>
        <w:t> </w:t>
      </w:r>
      <w:r>
        <w:rPr>
          <w:w w:val="105"/>
        </w:rPr>
        <w:t>and</w:t>
      </w:r>
    </w:p>
    <w:p>
      <w:pPr>
        <w:pStyle w:val="BodyText"/>
        <w:spacing w:before="6"/>
        <w:rPr>
          <w:sz w:val="4"/>
        </w:rPr>
      </w:pPr>
      <w:r>
        <w:rPr/>
        <w:pict>
          <v:shape style="position:absolute;margin-left:90pt;margin-top:3.840479pt;width:144pt;height:.1pt;mso-position-horizontal-relative:page;mso-position-vertical-relative:paragraph;z-index:-15725056;mso-wrap-distance-left:0;mso-wrap-distance-right:0" id="docshape7" coordorigin="1800,77" coordsize="2880,0" path="m1800,77l4680,77e" filled="false" stroked="true" strokeweight=".75pt" strokecolor="#000000">
            <v:path arrowok="t"/>
            <v:stroke dashstyle="solid"/>
            <w10:wrap type="topAndBottom"/>
          </v:shape>
        </w:pict>
      </w:r>
    </w:p>
    <w:p>
      <w:pPr>
        <w:spacing w:before="110"/>
        <w:ind w:left="760" w:right="0" w:firstLine="0"/>
        <w:jc w:val="left"/>
        <w:rPr>
          <w:sz w:val="18"/>
        </w:rPr>
      </w:pPr>
      <w:r>
        <w:rPr>
          <w:sz w:val="18"/>
          <w:vertAlign w:val="superscript"/>
        </w:rPr>
        <w:t>85</w:t>
      </w:r>
      <w:r>
        <w:rPr>
          <w:spacing w:val="-1"/>
          <w:sz w:val="18"/>
          <w:vertAlign w:val="baseline"/>
        </w:rPr>
        <w:t> </w:t>
      </w:r>
      <w:r>
        <w:rPr>
          <w:sz w:val="18"/>
          <w:vertAlign w:val="baseline"/>
        </w:rPr>
        <w:t>In</w:t>
      </w:r>
      <w:r>
        <w:rPr>
          <w:spacing w:val="1"/>
          <w:sz w:val="18"/>
          <w:vertAlign w:val="baseline"/>
        </w:rPr>
        <w:t> </w:t>
      </w:r>
      <w:r>
        <w:rPr>
          <w:sz w:val="18"/>
          <w:vertAlign w:val="baseline"/>
        </w:rPr>
        <w:t>the</w:t>
      </w:r>
      <w:r>
        <w:rPr>
          <w:spacing w:val="1"/>
          <w:sz w:val="18"/>
          <w:vertAlign w:val="baseline"/>
        </w:rPr>
        <w:t> </w:t>
      </w:r>
      <w:r>
        <w:rPr>
          <w:sz w:val="18"/>
          <w:vertAlign w:val="baseline"/>
        </w:rPr>
        <w:t>96</w:t>
      </w:r>
      <w:r>
        <w:rPr>
          <w:spacing w:val="1"/>
          <w:sz w:val="18"/>
          <w:vertAlign w:val="baseline"/>
        </w:rPr>
        <w:t> </w:t>
      </w:r>
      <w:r>
        <w:rPr>
          <w:sz w:val="18"/>
          <w:vertAlign w:val="baseline"/>
        </w:rPr>
        <w:t>countries</w:t>
      </w:r>
      <w:r>
        <w:rPr>
          <w:spacing w:val="1"/>
          <w:sz w:val="18"/>
          <w:vertAlign w:val="baseline"/>
        </w:rPr>
        <w:t> </w:t>
      </w:r>
      <w:r>
        <w:rPr>
          <w:sz w:val="18"/>
          <w:vertAlign w:val="baseline"/>
        </w:rPr>
        <w:t>that are</w:t>
      </w:r>
      <w:r>
        <w:rPr>
          <w:spacing w:val="1"/>
          <w:sz w:val="18"/>
          <w:vertAlign w:val="baseline"/>
        </w:rPr>
        <w:t> </w:t>
      </w:r>
      <w:r>
        <w:rPr>
          <w:sz w:val="18"/>
          <w:vertAlign w:val="baseline"/>
        </w:rPr>
        <w:t>covered</w:t>
      </w:r>
      <w:r>
        <w:rPr>
          <w:spacing w:val="1"/>
          <w:sz w:val="18"/>
          <w:vertAlign w:val="baseline"/>
        </w:rPr>
        <w:t> </w:t>
      </w:r>
      <w:r>
        <w:rPr>
          <w:sz w:val="18"/>
          <w:vertAlign w:val="baseline"/>
        </w:rPr>
        <w:t>by</w:t>
      </w:r>
      <w:r>
        <w:rPr>
          <w:spacing w:val="1"/>
          <w:sz w:val="18"/>
          <w:vertAlign w:val="baseline"/>
        </w:rPr>
        <w:t> </w:t>
      </w:r>
      <w:r>
        <w:rPr>
          <w:sz w:val="18"/>
          <w:vertAlign w:val="baseline"/>
        </w:rPr>
        <w:t>the</w:t>
      </w:r>
      <w:r>
        <w:rPr>
          <w:spacing w:val="1"/>
          <w:sz w:val="18"/>
          <w:vertAlign w:val="baseline"/>
        </w:rPr>
        <w:t> </w:t>
      </w:r>
      <w:r>
        <w:rPr>
          <w:sz w:val="18"/>
          <w:vertAlign w:val="baseline"/>
        </w:rPr>
        <w:t>CODF</w:t>
      </w:r>
      <w:r>
        <w:rPr>
          <w:spacing w:val="1"/>
          <w:sz w:val="18"/>
          <w:vertAlign w:val="baseline"/>
        </w:rPr>
        <w:t> </w:t>
      </w:r>
      <w:r>
        <w:rPr>
          <w:sz w:val="18"/>
          <w:vertAlign w:val="baseline"/>
        </w:rPr>
        <w:t>dataset, BU</w:t>
      </w:r>
      <w:r>
        <w:rPr>
          <w:spacing w:val="1"/>
          <w:sz w:val="18"/>
          <w:vertAlign w:val="baseline"/>
        </w:rPr>
        <w:t> </w:t>
      </w:r>
      <w:r>
        <w:rPr>
          <w:sz w:val="18"/>
          <w:vertAlign w:val="baseline"/>
        </w:rPr>
        <w:t>captures</w:t>
      </w:r>
      <w:r>
        <w:rPr>
          <w:spacing w:val="1"/>
          <w:sz w:val="18"/>
          <w:vertAlign w:val="baseline"/>
        </w:rPr>
        <w:t> </w:t>
      </w:r>
      <w:r>
        <w:rPr>
          <w:sz w:val="18"/>
          <w:vertAlign w:val="baseline"/>
        </w:rPr>
        <w:t>$605</w:t>
      </w:r>
      <w:r>
        <w:rPr>
          <w:spacing w:val="1"/>
          <w:sz w:val="18"/>
          <w:vertAlign w:val="baseline"/>
        </w:rPr>
        <w:t> </w:t>
      </w:r>
      <w:r>
        <w:rPr>
          <w:sz w:val="18"/>
          <w:vertAlign w:val="baseline"/>
        </w:rPr>
        <w:t>billion</w:t>
      </w:r>
      <w:r>
        <w:rPr>
          <w:spacing w:val="1"/>
          <w:sz w:val="18"/>
          <w:vertAlign w:val="baseline"/>
        </w:rPr>
        <w:t> </w:t>
      </w:r>
      <w:r>
        <w:rPr>
          <w:sz w:val="18"/>
          <w:vertAlign w:val="baseline"/>
        </w:rPr>
        <w:t>and</w:t>
      </w:r>
      <w:r>
        <w:rPr>
          <w:spacing w:val="1"/>
          <w:sz w:val="18"/>
          <w:vertAlign w:val="baseline"/>
        </w:rPr>
        <w:t> </w:t>
      </w:r>
      <w:r>
        <w:rPr>
          <w:sz w:val="18"/>
          <w:vertAlign w:val="baseline"/>
        </w:rPr>
        <w:t>AidData </w:t>
      </w:r>
      <w:r>
        <w:rPr>
          <w:spacing w:val="-2"/>
          <w:sz w:val="18"/>
          <w:vertAlign w:val="baseline"/>
        </w:rPr>
        <w:t>captures</w:t>
      </w:r>
    </w:p>
    <w:p>
      <w:pPr>
        <w:spacing w:line="249" w:lineRule="auto" w:before="9"/>
        <w:ind w:left="760" w:right="767" w:firstLine="0"/>
        <w:jc w:val="left"/>
        <w:rPr>
          <w:sz w:val="18"/>
        </w:rPr>
      </w:pPr>
      <w:r>
        <w:rPr>
          <w:w w:val="105"/>
          <w:sz w:val="18"/>
        </w:rPr>
        <w:t>$824</w:t>
      </w:r>
      <w:r>
        <w:rPr>
          <w:spacing w:val="-6"/>
          <w:w w:val="105"/>
          <w:sz w:val="18"/>
        </w:rPr>
        <w:t> </w:t>
      </w:r>
      <w:r>
        <w:rPr>
          <w:w w:val="105"/>
          <w:sz w:val="18"/>
        </w:rPr>
        <w:t>million</w:t>
      </w:r>
      <w:r>
        <w:rPr>
          <w:spacing w:val="-6"/>
          <w:w w:val="105"/>
          <w:sz w:val="18"/>
        </w:rPr>
        <w:t> </w:t>
      </w:r>
      <w:r>
        <w:rPr>
          <w:w w:val="105"/>
          <w:sz w:val="18"/>
        </w:rPr>
        <w:t>of</w:t>
      </w:r>
      <w:r>
        <w:rPr>
          <w:spacing w:val="-6"/>
          <w:w w:val="105"/>
          <w:sz w:val="18"/>
        </w:rPr>
        <w:t> </w:t>
      </w:r>
      <w:r>
        <w:rPr>
          <w:w w:val="105"/>
          <w:sz w:val="18"/>
        </w:rPr>
        <w:t>lending</w:t>
      </w:r>
      <w:r>
        <w:rPr>
          <w:spacing w:val="-6"/>
          <w:w w:val="105"/>
          <w:sz w:val="18"/>
        </w:rPr>
        <w:t> </w:t>
      </w:r>
      <w:r>
        <w:rPr>
          <w:w w:val="105"/>
          <w:sz w:val="18"/>
        </w:rPr>
        <w:t>commitments</w:t>
      </w:r>
      <w:r>
        <w:rPr>
          <w:spacing w:val="-6"/>
          <w:w w:val="105"/>
          <w:sz w:val="18"/>
        </w:rPr>
        <w:t> </w:t>
      </w:r>
      <w:r>
        <w:rPr>
          <w:w w:val="105"/>
          <w:sz w:val="18"/>
        </w:rPr>
        <w:t>(excluding</w:t>
      </w:r>
      <w:r>
        <w:rPr>
          <w:spacing w:val="-6"/>
          <w:w w:val="105"/>
          <w:sz w:val="18"/>
        </w:rPr>
        <w:t> </w:t>
      </w:r>
      <w:r>
        <w:rPr>
          <w:w w:val="105"/>
          <w:sz w:val="18"/>
        </w:rPr>
        <w:t>short-term</w:t>
      </w:r>
      <w:r>
        <w:rPr>
          <w:spacing w:val="-6"/>
          <w:w w:val="105"/>
          <w:sz w:val="18"/>
        </w:rPr>
        <w:t> </w:t>
      </w:r>
      <w:r>
        <w:rPr>
          <w:w w:val="105"/>
          <w:sz w:val="18"/>
        </w:rPr>
        <w:t>“rollover”</w:t>
      </w:r>
      <w:r>
        <w:rPr>
          <w:spacing w:val="-6"/>
          <w:w w:val="105"/>
          <w:sz w:val="18"/>
        </w:rPr>
        <w:t> </w:t>
      </w:r>
      <w:r>
        <w:rPr>
          <w:w w:val="105"/>
          <w:sz w:val="18"/>
        </w:rPr>
        <w:t>facilities)</w:t>
      </w:r>
      <w:r>
        <w:rPr>
          <w:spacing w:val="-6"/>
          <w:w w:val="105"/>
          <w:sz w:val="18"/>
        </w:rPr>
        <w:t> </w:t>
      </w:r>
      <w:r>
        <w:rPr>
          <w:w w:val="105"/>
          <w:sz w:val="18"/>
        </w:rPr>
        <w:t>between</w:t>
      </w:r>
      <w:r>
        <w:rPr>
          <w:spacing w:val="-6"/>
          <w:w w:val="105"/>
          <w:sz w:val="18"/>
        </w:rPr>
        <w:t> </w:t>
      </w:r>
      <w:r>
        <w:rPr>
          <w:w w:val="105"/>
          <w:sz w:val="18"/>
        </w:rPr>
        <w:t>2008</w:t>
      </w:r>
      <w:r>
        <w:rPr>
          <w:spacing w:val="-6"/>
          <w:w w:val="105"/>
          <w:sz w:val="18"/>
        </w:rPr>
        <w:t> </w:t>
      </w:r>
      <w:r>
        <w:rPr>
          <w:w w:val="105"/>
          <w:sz w:val="18"/>
        </w:rPr>
        <w:t>and</w:t>
      </w:r>
      <w:r>
        <w:rPr>
          <w:spacing w:val="-6"/>
          <w:w w:val="105"/>
          <w:sz w:val="18"/>
        </w:rPr>
        <w:t> </w:t>
      </w:r>
      <w:r>
        <w:rPr>
          <w:w w:val="105"/>
          <w:sz w:val="18"/>
        </w:rPr>
        <w:t>2021 </w:t>
      </w:r>
      <w:r>
        <w:rPr>
          <w:sz w:val="18"/>
        </w:rPr>
        <w:t>from ofﬁcial sector institutions in China that qualiﬁes as PPG debt. When short-term “rollover” facilities </w:t>
      </w:r>
      <w:r>
        <w:rPr>
          <w:sz w:val="18"/>
        </w:rPr>
        <w:t>are </w:t>
      </w:r>
      <w:r>
        <w:rPr>
          <w:w w:val="105"/>
          <w:sz w:val="18"/>
        </w:rPr>
        <w:t>included</w:t>
      </w:r>
      <w:r>
        <w:rPr>
          <w:spacing w:val="-7"/>
          <w:w w:val="105"/>
          <w:sz w:val="18"/>
        </w:rPr>
        <w:t> </w:t>
      </w:r>
      <w:r>
        <w:rPr>
          <w:w w:val="105"/>
          <w:sz w:val="18"/>
        </w:rPr>
        <w:t>in</w:t>
      </w:r>
      <w:r>
        <w:rPr>
          <w:spacing w:val="-7"/>
          <w:w w:val="105"/>
          <w:sz w:val="18"/>
        </w:rPr>
        <w:t> </w:t>
      </w:r>
      <w:r>
        <w:rPr>
          <w:w w:val="105"/>
          <w:sz w:val="18"/>
        </w:rPr>
        <w:t>its</w:t>
      </w:r>
      <w:r>
        <w:rPr>
          <w:spacing w:val="-7"/>
          <w:w w:val="105"/>
          <w:sz w:val="18"/>
        </w:rPr>
        <w:t> </w:t>
      </w:r>
      <w:r>
        <w:rPr>
          <w:w w:val="105"/>
          <w:sz w:val="18"/>
        </w:rPr>
        <w:t>tally,</w:t>
      </w:r>
      <w:r>
        <w:rPr>
          <w:spacing w:val="-7"/>
          <w:w w:val="105"/>
          <w:sz w:val="18"/>
        </w:rPr>
        <w:t> </w:t>
      </w:r>
      <w:r>
        <w:rPr>
          <w:w w:val="105"/>
          <w:sz w:val="18"/>
        </w:rPr>
        <w:t>AidData</w:t>
      </w:r>
      <w:r>
        <w:rPr>
          <w:spacing w:val="-7"/>
          <w:w w:val="105"/>
          <w:sz w:val="18"/>
        </w:rPr>
        <w:t> </w:t>
      </w:r>
      <w:r>
        <w:rPr>
          <w:w w:val="105"/>
          <w:sz w:val="18"/>
        </w:rPr>
        <w:t>captures</w:t>
      </w:r>
      <w:r>
        <w:rPr>
          <w:spacing w:val="-7"/>
          <w:w w:val="105"/>
          <w:sz w:val="18"/>
        </w:rPr>
        <w:t> </w:t>
      </w:r>
      <w:r>
        <w:rPr>
          <w:w w:val="105"/>
          <w:sz w:val="18"/>
        </w:rPr>
        <w:t>$987</w:t>
      </w:r>
      <w:r>
        <w:rPr>
          <w:spacing w:val="-7"/>
          <w:w w:val="105"/>
          <w:sz w:val="18"/>
        </w:rPr>
        <w:t> </w:t>
      </w:r>
      <w:r>
        <w:rPr>
          <w:w w:val="105"/>
          <w:sz w:val="18"/>
        </w:rPr>
        <w:t>million</w:t>
      </w:r>
      <w:r>
        <w:rPr>
          <w:spacing w:val="-7"/>
          <w:w w:val="105"/>
          <w:sz w:val="18"/>
        </w:rPr>
        <w:t> </w:t>
      </w:r>
      <w:r>
        <w:rPr>
          <w:w w:val="105"/>
          <w:sz w:val="18"/>
        </w:rPr>
        <w:t>in</w:t>
      </w:r>
      <w:r>
        <w:rPr>
          <w:spacing w:val="-7"/>
          <w:w w:val="105"/>
          <w:sz w:val="18"/>
        </w:rPr>
        <w:t> </w:t>
      </w:r>
      <w:r>
        <w:rPr>
          <w:w w:val="105"/>
          <w:sz w:val="18"/>
        </w:rPr>
        <w:t>the</w:t>
      </w:r>
      <w:r>
        <w:rPr>
          <w:spacing w:val="-7"/>
          <w:w w:val="105"/>
          <w:sz w:val="18"/>
        </w:rPr>
        <w:t> </w:t>
      </w:r>
      <w:r>
        <w:rPr>
          <w:w w:val="105"/>
          <w:sz w:val="18"/>
        </w:rPr>
        <w:t>same</w:t>
      </w:r>
      <w:r>
        <w:rPr>
          <w:spacing w:val="-7"/>
          <w:w w:val="105"/>
          <w:sz w:val="18"/>
        </w:rPr>
        <w:t> </w:t>
      </w:r>
      <w:r>
        <w:rPr>
          <w:w w:val="105"/>
          <w:sz w:val="18"/>
        </w:rPr>
        <w:t>set</w:t>
      </w:r>
      <w:r>
        <w:rPr>
          <w:spacing w:val="-7"/>
          <w:w w:val="105"/>
          <w:sz w:val="18"/>
        </w:rPr>
        <w:t> </w:t>
      </w:r>
      <w:r>
        <w:rPr>
          <w:w w:val="105"/>
          <w:sz w:val="18"/>
        </w:rPr>
        <w:t>of</w:t>
      </w:r>
      <w:r>
        <w:rPr>
          <w:spacing w:val="-7"/>
          <w:w w:val="105"/>
          <w:sz w:val="18"/>
        </w:rPr>
        <w:t> </w:t>
      </w:r>
      <w:r>
        <w:rPr>
          <w:w w:val="105"/>
          <w:sz w:val="18"/>
        </w:rPr>
        <w:t>countries.</w:t>
      </w:r>
    </w:p>
    <w:p>
      <w:pPr>
        <w:spacing w:line="249" w:lineRule="auto" w:before="2"/>
        <w:ind w:left="760" w:right="767" w:firstLine="0"/>
        <w:jc w:val="left"/>
        <w:rPr>
          <w:sz w:val="18"/>
        </w:rPr>
      </w:pPr>
      <w:r>
        <w:rPr>
          <w:sz w:val="18"/>
          <w:vertAlign w:val="superscript"/>
        </w:rPr>
        <w:t>86</w:t>
      </w:r>
      <w:r>
        <w:rPr>
          <w:spacing w:val="-4"/>
          <w:sz w:val="18"/>
          <w:vertAlign w:val="baseline"/>
        </w:rPr>
        <w:t> </w:t>
      </w:r>
      <w:r>
        <w:rPr>
          <w:sz w:val="18"/>
          <w:vertAlign w:val="baseline"/>
        </w:rPr>
        <w:t>For</w:t>
      </w:r>
      <w:r>
        <w:rPr>
          <w:spacing w:val="-3"/>
          <w:sz w:val="18"/>
          <w:vertAlign w:val="baseline"/>
        </w:rPr>
        <w:t> </w:t>
      </w:r>
      <w:r>
        <w:rPr>
          <w:sz w:val="18"/>
          <w:vertAlign w:val="baseline"/>
        </w:rPr>
        <w:t>a</w:t>
      </w:r>
      <w:r>
        <w:rPr>
          <w:spacing w:val="-3"/>
          <w:sz w:val="18"/>
          <w:vertAlign w:val="baseline"/>
        </w:rPr>
        <w:t> </w:t>
      </w:r>
      <w:r>
        <w:rPr>
          <w:sz w:val="18"/>
          <w:vertAlign w:val="baseline"/>
        </w:rPr>
        <w:t>country-by-country</w:t>
      </w:r>
      <w:r>
        <w:rPr>
          <w:spacing w:val="-3"/>
          <w:sz w:val="18"/>
          <w:vertAlign w:val="baseline"/>
        </w:rPr>
        <w:t> </w:t>
      </w:r>
      <w:r>
        <w:rPr>
          <w:sz w:val="18"/>
          <w:vertAlign w:val="baseline"/>
        </w:rPr>
        <w:t>comparison</w:t>
      </w:r>
      <w:r>
        <w:rPr>
          <w:spacing w:val="-3"/>
          <w:sz w:val="18"/>
          <w:vertAlign w:val="baseline"/>
        </w:rPr>
        <w:t> </w:t>
      </w:r>
      <w:r>
        <w:rPr>
          <w:sz w:val="18"/>
          <w:vertAlign w:val="baseline"/>
        </w:rPr>
        <w:t>of</w:t>
      </w:r>
      <w:r>
        <w:rPr>
          <w:spacing w:val="-3"/>
          <w:sz w:val="18"/>
          <w:vertAlign w:val="baseline"/>
        </w:rPr>
        <w:t> </w:t>
      </w:r>
      <w:r>
        <w:rPr>
          <w:sz w:val="18"/>
          <w:vertAlign w:val="baseline"/>
        </w:rPr>
        <w:t>AidData</w:t>
      </w:r>
      <w:r>
        <w:rPr>
          <w:spacing w:val="-3"/>
          <w:sz w:val="18"/>
          <w:vertAlign w:val="baseline"/>
        </w:rPr>
        <w:t> </w:t>
      </w:r>
      <w:r>
        <w:rPr>
          <w:sz w:val="18"/>
          <w:vertAlign w:val="baseline"/>
        </w:rPr>
        <w:t>and</w:t>
      </w:r>
      <w:r>
        <w:rPr>
          <w:spacing w:val="-3"/>
          <w:sz w:val="18"/>
          <w:vertAlign w:val="baseline"/>
        </w:rPr>
        <w:t> </w:t>
      </w:r>
      <w:r>
        <w:rPr>
          <w:sz w:val="18"/>
          <w:vertAlign w:val="baseline"/>
        </w:rPr>
        <w:t>IDS</w:t>
      </w:r>
      <w:r>
        <w:rPr>
          <w:spacing w:val="-3"/>
          <w:sz w:val="18"/>
          <w:vertAlign w:val="baseline"/>
        </w:rPr>
        <w:t> </w:t>
      </w:r>
      <w:r>
        <w:rPr>
          <w:sz w:val="18"/>
          <w:vertAlign w:val="baseline"/>
        </w:rPr>
        <w:t>measures</w:t>
      </w:r>
      <w:r>
        <w:rPr>
          <w:spacing w:val="-3"/>
          <w:sz w:val="18"/>
          <w:vertAlign w:val="baseline"/>
        </w:rPr>
        <w:t> </w:t>
      </w:r>
      <w:r>
        <w:rPr>
          <w:sz w:val="18"/>
          <w:vertAlign w:val="baseline"/>
        </w:rPr>
        <w:t>of</w:t>
      </w:r>
      <w:r>
        <w:rPr>
          <w:spacing w:val="-3"/>
          <w:sz w:val="18"/>
          <w:vertAlign w:val="baseline"/>
        </w:rPr>
        <w:t> </w:t>
      </w:r>
      <w:r>
        <w:rPr>
          <w:sz w:val="18"/>
          <w:vertAlign w:val="baseline"/>
        </w:rPr>
        <w:t>PPG</w:t>
      </w:r>
      <w:r>
        <w:rPr>
          <w:spacing w:val="-3"/>
          <w:sz w:val="18"/>
          <w:vertAlign w:val="baseline"/>
        </w:rPr>
        <w:t> </w:t>
      </w:r>
      <w:r>
        <w:rPr>
          <w:sz w:val="18"/>
          <w:vertAlign w:val="baseline"/>
        </w:rPr>
        <w:t>debt</w:t>
      </w:r>
      <w:r>
        <w:rPr>
          <w:spacing w:val="-3"/>
          <w:sz w:val="18"/>
          <w:vertAlign w:val="baseline"/>
        </w:rPr>
        <w:t> </w:t>
      </w:r>
      <w:r>
        <w:rPr>
          <w:sz w:val="18"/>
          <w:vertAlign w:val="baseline"/>
        </w:rPr>
        <w:t>exposure</w:t>
      </w:r>
      <w:r>
        <w:rPr>
          <w:spacing w:val="-3"/>
          <w:sz w:val="18"/>
          <w:vertAlign w:val="baseline"/>
        </w:rPr>
        <w:t> </w:t>
      </w:r>
      <w:r>
        <w:rPr>
          <w:sz w:val="18"/>
          <w:vertAlign w:val="baseline"/>
        </w:rPr>
        <w:t>to</w:t>
      </w:r>
      <w:r>
        <w:rPr>
          <w:spacing w:val="-3"/>
          <w:sz w:val="18"/>
          <w:vertAlign w:val="baseline"/>
        </w:rPr>
        <w:t> </w:t>
      </w:r>
      <w:r>
        <w:rPr>
          <w:sz w:val="18"/>
          <w:vertAlign w:val="baseline"/>
        </w:rPr>
        <w:t>China</w:t>
      </w:r>
      <w:r>
        <w:rPr>
          <w:spacing w:val="-3"/>
          <w:sz w:val="18"/>
          <w:vertAlign w:val="baseline"/>
        </w:rPr>
        <w:t> </w:t>
      </w:r>
      <w:r>
        <w:rPr>
          <w:sz w:val="18"/>
          <w:vertAlign w:val="baseline"/>
        </w:rPr>
        <w:t>(that are normalized by host country GDP), see Table A16.</w:t>
      </w:r>
    </w:p>
    <w:p>
      <w:pPr>
        <w:spacing w:line="249" w:lineRule="auto" w:before="2"/>
        <w:ind w:left="760" w:right="862" w:firstLine="0"/>
        <w:jc w:val="left"/>
        <w:rPr>
          <w:sz w:val="18"/>
        </w:rPr>
      </w:pPr>
      <w:r>
        <w:rPr>
          <w:sz w:val="18"/>
          <w:vertAlign w:val="superscript"/>
        </w:rPr>
        <w:t>87</w:t>
      </w:r>
      <w:r>
        <w:rPr>
          <w:sz w:val="18"/>
          <w:vertAlign w:val="baseline"/>
        </w:rPr>
        <w:t> The “Level of Public Liability” variable in the 3.0 version of AidData’s GCDF dataset captures the extent</w:t>
      </w:r>
      <w:r>
        <w:rPr>
          <w:spacing w:val="80"/>
          <w:sz w:val="18"/>
          <w:vertAlign w:val="baseline"/>
        </w:rPr>
        <w:t> </w:t>
      </w:r>
      <w:r>
        <w:rPr>
          <w:sz w:val="18"/>
          <w:vertAlign w:val="baseline"/>
        </w:rPr>
        <w:t>to which the host government may eventually be liable for debt repayment. Each loan record is assigned to one of six categories: (1) Central government debt, (2) Central government-guaranteed debt, (3) Other public sector debt, (4) Potential public sector debt, (5) Private debt, or (6) Unallocable. The sum of the ﬁrst three categories is equivalent to PPG debt. The fourth category captures loans to special purpose vehicles (SPV) or joint ventures (JV) that are minority-owned by one or more public sector institutions in the host country and that do not beneﬁt from a central government repayment guarantee or a repayment </w:t>
      </w:r>
      <w:r>
        <w:rPr>
          <w:sz w:val="18"/>
          <w:vertAlign w:val="baseline"/>
        </w:rPr>
        <w:t>guarantee from</w:t>
      </w:r>
      <w:r>
        <w:rPr>
          <w:spacing w:val="21"/>
          <w:sz w:val="18"/>
          <w:vertAlign w:val="baseline"/>
        </w:rPr>
        <w:t> </w:t>
      </w:r>
      <w:r>
        <w:rPr>
          <w:sz w:val="18"/>
          <w:vertAlign w:val="baseline"/>
        </w:rPr>
        <w:t>a</w:t>
      </w:r>
      <w:r>
        <w:rPr>
          <w:spacing w:val="21"/>
          <w:sz w:val="18"/>
          <w:vertAlign w:val="baseline"/>
        </w:rPr>
        <w:t> </w:t>
      </w:r>
      <w:r>
        <w:rPr>
          <w:sz w:val="18"/>
          <w:vertAlign w:val="baseline"/>
        </w:rPr>
        <w:t>state-owned</w:t>
      </w:r>
      <w:r>
        <w:rPr>
          <w:spacing w:val="21"/>
          <w:sz w:val="18"/>
          <w:vertAlign w:val="baseline"/>
        </w:rPr>
        <w:t> </w:t>
      </w:r>
      <w:r>
        <w:rPr>
          <w:sz w:val="18"/>
          <w:vertAlign w:val="baseline"/>
        </w:rPr>
        <w:t>entity</w:t>
      </w:r>
      <w:r>
        <w:rPr>
          <w:spacing w:val="21"/>
          <w:sz w:val="18"/>
          <w:vertAlign w:val="baseline"/>
        </w:rPr>
        <w:t> </w:t>
      </w:r>
      <w:r>
        <w:rPr>
          <w:sz w:val="18"/>
          <w:vertAlign w:val="baseline"/>
        </w:rPr>
        <w:t>other</w:t>
      </w:r>
      <w:r>
        <w:rPr>
          <w:spacing w:val="21"/>
          <w:sz w:val="18"/>
          <w:vertAlign w:val="baseline"/>
        </w:rPr>
        <w:t> </w:t>
      </w:r>
      <w:r>
        <w:rPr>
          <w:sz w:val="18"/>
          <w:vertAlign w:val="baseline"/>
        </w:rPr>
        <w:t>than</w:t>
      </w:r>
      <w:r>
        <w:rPr>
          <w:spacing w:val="21"/>
          <w:sz w:val="18"/>
          <w:vertAlign w:val="baseline"/>
        </w:rPr>
        <w:t> </w:t>
      </w:r>
      <w:r>
        <w:rPr>
          <w:sz w:val="18"/>
          <w:vertAlign w:val="baseline"/>
        </w:rPr>
        <w:t>the</w:t>
      </w:r>
      <w:r>
        <w:rPr>
          <w:spacing w:val="21"/>
          <w:sz w:val="18"/>
          <w:vertAlign w:val="baseline"/>
        </w:rPr>
        <w:t> </w:t>
      </w:r>
      <w:r>
        <w:rPr>
          <w:sz w:val="18"/>
          <w:vertAlign w:val="baseline"/>
        </w:rPr>
        <w:t>central</w:t>
      </w:r>
      <w:r>
        <w:rPr>
          <w:spacing w:val="21"/>
          <w:sz w:val="18"/>
          <w:vertAlign w:val="baseline"/>
        </w:rPr>
        <w:t> </w:t>
      </w:r>
      <w:r>
        <w:rPr>
          <w:sz w:val="18"/>
          <w:vertAlign w:val="baseline"/>
        </w:rPr>
        <w:t>government</w:t>
      </w:r>
      <w:r>
        <w:rPr>
          <w:spacing w:val="21"/>
          <w:sz w:val="18"/>
          <w:vertAlign w:val="baseline"/>
        </w:rPr>
        <w:t> </w:t>
      </w:r>
      <w:r>
        <w:rPr>
          <w:sz w:val="18"/>
          <w:vertAlign w:val="baseline"/>
        </w:rPr>
        <w:t>in</w:t>
      </w:r>
      <w:r>
        <w:rPr>
          <w:spacing w:val="21"/>
          <w:sz w:val="18"/>
          <w:vertAlign w:val="baseline"/>
        </w:rPr>
        <w:t> </w:t>
      </w:r>
      <w:r>
        <w:rPr>
          <w:sz w:val="18"/>
          <w:vertAlign w:val="baseline"/>
        </w:rPr>
        <w:t>the</w:t>
      </w:r>
      <w:r>
        <w:rPr>
          <w:spacing w:val="21"/>
          <w:sz w:val="18"/>
          <w:vertAlign w:val="baseline"/>
        </w:rPr>
        <w:t> </w:t>
      </w:r>
      <w:r>
        <w:rPr>
          <w:sz w:val="18"/>
          <w:vertAlign w:val="baseline"/>
        </w:rPr>
        <w:t>host</w:t>
      </w:r>
      <w:r>
        <w:rPr>
          <w:spacing w:val="21"/>
          <w:sz w:val="18"/>
          <w:vertAlign w:val="baseline"/>
        </w:rPr>
        <w:t> </w:t>
      </w:r>
      <w:r>
        <w:rPr>
          <w:sz w:val="18"/>
          <w:vertAlign w:val="baseline"/>
        </w:rPr>
        <w:t>country.</w:t>
      </w:r>
      <w:r>
        <w:rPr>
          <w:spacing w:val="21"/>
          <w:sz w:val="18"/>
          <w:vertAlign w:val="baseline"/>
        </w:rPr>
        <w:t> </w:t>
      </w:r>
      <w:r>
        <w:rPr>
          <w:sz w:val="18"/>
          <w:vertAlign w:val="baseline"/>
        </w:rPr>
        <w:t>For</w:t>
      </w:r>
      <w:r>
        <w:rPr>
          <w:spacing w:val="21"/>
          <w:sz w:val="18"/>
          <w:vertAlign w:val="baseline"/>
        </w:rPr>
        <w:t> </w:t>
      </w:r>
      <w:r>
        <w:rPr>
          <w:sz w:val="18"/>
          <w:vertAlign w:val="baseline"/>
        </w:rPr>
        <w:t>more</w:t>
      </w:r>
      <w:r>
        <w:rPr>
          <w:spacing w:val="21"/>
          <w:sz w:val="18"/>
          <w:vertAlign w:val="baseline"/>
        </w:rPr>
        <w:t> </w:t>
      </w:r>
      <w:r>
        <w:rPr>
          <w:sz w:val="18"/>
          <w:vertAlign w:val="baseline"/>
        </w:rPr>
        <w:t>information about the “Level of Public Liability” variable, see Section A-5 in the Appendix.</w:t>
      </w:r>
    </w:p>
    <w:p>
      <w:pPr>
        <w:spacing w:after="0" w:line="249" w:lineRule="auto"/>
        <w:jc w:val="left"/>
        <w:rPr>
          <w:sz w:val="18"/>
        </w:rPr>
        <w:sectPr>
          <w:pgSz w:w="12240" w:h="15840"/>
          <w:pgMar w:header="0" w:footer="720" w:top="1360" w:bottom="920" w:left="1040" w:right="1040"/>
        </w:sectPr>
      </w:pPr>
    </w:p>
    <w:p>
      <w:pPr>
        <w:pStyle w:val="BodyText"/>
        <w:spacing w:line="333" w:lineRule="auto" w:before="27"/>
        <w:ind w:left="760" w:right="964"/>
      </w:pPr>
      <w:r>
        <w:rPr/>
        <w:t>MICs increased in nominal terms from $644 billion in 2015 to $1.16 trillion in 2021. Upper-bound estimates based on the BIS data indicate that total outstanding credit from Chinese banks to LICs and MICs increased in nominal terms from $878 billion in 2015 to $1.58 trillion in 2021. AidData’s estimates of the cumulative size of China’s overseas lending program in LICs and MICs are consistent with the more conservative (lower-bound) BIS-based estimates.</w:t>
      </w:r>
      <w:r>
        <w:rPr>
          <w:vertAlign w:val="superscript"/>
        </w:rPr>
        <w:t>88</w:t>
      </w:r>
      <w:r>
        <w:rPr>
          <w:vertAlign w:val="baseline"/>
        </w:rPr>
        <w:t> According</w:t>
      </w:r>
      <w:r>
        <w:rPr>
          <w:spacing w:val="-4"/>
          <w:vertAlign w:val="baseline"/>
        </w:rPr>
        <w:t> </w:t>
      </w:r>
      <w:r>
        <w:rPr>
          <w:vertAlign w:val="baseline"/>
        </w:rPr>
        <w:t>to</w:t>
      </w:r>
      <w:r>
        <w:rPr>
          <w:spacing w:val="-4"/>
          <w:vertAlign w:val="baseline"/>
        </w:rPr>
        <w:t> </w:t>
      </w:r>
      <w:r>
        <w:rPr>
          <w:vertAlign w:val="baseline"/>
        </w:rPr>
        <w:t>the</w:t>
      </w:r>
      <w:r>
        <w:rPr>
          <w:spacing w:val="-4"/>
          <w:vertAlign w:val="baseline"/>
        </w:rPr>
        <w:t> </w:t>
      </w:r>
      <w:r>
        <w:rPr>
          <w:vertAlign w:val="baseline"/>
        </w:rPr>
        <w:t>3.0</w:t>
      </w:r>
      <w:r>
        <w:rPr>
          <w:spacing w:val="-4"/>
          <w:vertAlign w:val="baseline"/>
        </w:rPr>
        <w:t> </w:t>
      </w:r>
      <w:r>
        <w:rPr>
          <w:vertAlign w:val="baseline"/>
        </w:rPr>
        <w:t>version</w:t>
      </w:r>
      <w:r>
        <w:rPr>
          <w:spacing w:val="-4"/>
          <w:vertAlign w:val="baseline"/>
        </w:rPr>
        <w:t> </w:t>
      </w:r>
      <w:r>
        <w:rPr>
          <w:vertAlign w:val="baseline"/>
        </w:rPr>
        <w:t>of</w:t>
      </w:r>
      <w:r>
        <w:rPr>
          <w:spacing w:val="-4"/>
          <w:vertAlign w:val="baseline"/>
        </w:rPr>
        <w:t> </w:t>
      </w:r>
      <w:r>
        <w:rPr>
          <w:vertAlign w:val="baseline"/>
        </w:rPr>
        <w:t>the</w:t>
      </w:r>
      <w:r>
        <w:rPr>
          <w:spacing w:val="-4"/>
          <w:vertAlign w:val="baseline"/>
        </w:rPr>
        <w:t> </w:t>
      </w:r>
      <w:r>
        <w:rPr>
          <w:vertAlign w:val="baseline"/>
        </w:rPr>
        <w:t>GCDF</w:t>
      </w:r>
      <w:r>
        <w:rPr>
          <w:spacing w:val="-4"/>
          <w:vertAlign w:val="baseline"/>
        </w:rPr>
        <w:t> </w:t>
      </w:r>
      <w:r>
        <w:rPr>
          <w:vertAlign w:val="baseline"/>
        </w:rPr>
        <w:t>dataset,</w:t>
      </w:r>
      <w:r>
        <w:rPr>
          <w:spacing w:val="-4"/>
          <w:vertAlign w:val="baseline"/>
        </w:rPr>
        <w:t> </w:t>
      </w:r>
      <w:r>
        <w:rPr>
          <w:vertAlign w:val="baseline"/>
        </w:rPr>
        <w:t>China’s</w:t>
      </w:r>
      <w:r>
        <w:rPr>
          <w:spacing w:val="-4"/>
          <w:vertAlign w:val="baseline"/>
        </w:rPr>
        <w:t> </w:t>
      </w:r>
      <w:r>
        <w:rPr>
          <w:vertAlign w:val="baseline"/>
        </w:rPr>
        <w:t>cumulative</w:t>
      </w:r>
      <w:r>
        <w:rPr>
          <w:spacing w:val="-4"/>
          <w:vertAlign w:val="baseline"/>
        </w:rPr>
        <w:t> </w:t>
      </w:r>
      <w:r>
        <w:rPr>
          <w:vertAlign w:val="baseline"/>
        </w:rPr>
        <w:t>overseas lending commitments increased from $620 billion in 2015 to $1.03 trillion in 2021 (in nominal USD).</w:t>
      </w:r>
      <w:r>
        <w:rPr>
          <w:vertAlign w:val="superscript"/>
        </w:rPr>
        <w:t>89</w:t>
      </w:r>
      <w:r>
        <w:rPr>
          <w:vertAlign w:val="baseline"/>
        </w:rPr>
        <w:t> Neither AidData’s GCDF dataset nor the BIS-based estimates support the argument that China’s overseas lending program has experienced a total collapse.</w:t>
      </w:r>
    </w:p>
    <w:p>
      <w:pPr>
        <w:pStyle w:val="BodyText"/>
        <w:spacing w:before="1"/>
        <w:rPr>
          <w:sz w:val="25"/>
        </w:rPr>
      </w:pPr>
      <w:r>
        <w:rPr/>
        <w:pict>
          <v:shape style="position:absolute;margin-left:84pt;margin-top:15.670048pt;width:444pt;height:240pt;mso-position-horizontal-relative:page;mso-position-vertical-relative:paragraph;z-index:-15724544;mso-wrap-distance-left:0;mso-wrap-distance-right:0" type="#_x0000_t202" id="docshape8" filled="true" fillcolor="#f0f2f4" stroked="false">
            <v:textbox inset="0,0,0,0">
              <w:txbxContent>
                <w:p>
                  <w:pPr>
                    <w:spacing w:before="121"/>
                    <w:ind w:left="120" w:right="0" w:firstLine="0"/>
                    <w:jc w:val="left"/>
                    <w:rPr>
                      <w:b/>
                      <w:color w:val="000000"/>
                      <w:sz w:val="24"/>
                    </w:rPr>
                  </w:pPr>
                  <w:r>
                    <w:rPr>
                      <w:b/>
                      <w:color w:val="000000"/>
                      <w:spacing w:val="-10"/>
                      <w:sz w:val="24"/>
                    </w:rPr>
                    <w:t>Box</w:t>
                  </w:r>
                  <w:r>
                    <w:rPr>
                      <w:b/>
                      <w:color w:val="000000"/>
                      <w:spacing w:val="-1"/>
                      <w:sz w:val="24"/>
                    </w:rPr>
                    <w:t> </w:t>
                  </w:r>
                  <w:r>
                    <w:rPr>
                      <w:b/>
                      <w:color w:val="000000"/>
                      <w:spacing w:val="-10"/>
                      <w:sz w:val="24"/>
                    </w:rPr>
                    <w:t>2a:</w:t>
                  </w:r>
                  <w:r>
                    <w:rPr>
                      <w:b/>
                      <w:color w:val="000000"/>
                      <w:spacing w:val="-1"/>
                      <w:sz w:val="24"/>
                    </w:rPr>
                    <w:t> </w:t>
                  </w:r>
                  <w:r>
                    <w:rPr>
                      <w:b/>
                      <w:color w:val="000000"/>
                      <w:spacing w:val="-10"/>
                      <w:sz w:val="24"/>
                    </w:rPr>
                    <w:t>What</w:t>
                  </w:r>
                  <w:r>
                    <w:rPr>
                      <w:b/>
                      <w:color w:val="000000"/>
                      <w:sz w:val="24"/>
                    </w:rPr>
                    <w:t> </w:t>
                  </w:r>
                  <w:r>
                    <w:rPr>
                      <w:b/>
                      <w:color w:val="000000"/>
                      <w:spacing w:val="-10"/>
                      <w:sz w:val="24"/>
                    </w:rPr>
                    <w:t>is</w:t>
                  </w:r>
                  <w:r>
                    <w:rPr>
                      <w:b/>
                      <w:color w:val="000000"/>
                      <w:spacing w:val="-1"/>
                      <w:sz w:val="24"/>
                    </w:rPr>
                    <w:t> </w:t>
                  </w:r>
                  <w:r>
                    <w:rPr>
                      <w:b/>
                      <w:color w:val="000000"/>
                      <w:spacing w:val="-10"/>
                      <w:sz w:val="24"/>
                    </w:rPr>
                    <w:t>the</w:t>
                  </w:r>
                  <w:r>
                    <w:rPr>
                      <w:b/>
                      <w:color w:val="000000"/>
                      <w:spacing w:val="-1"/>
                      <w:sz w:val="24"/>
                    </w:rPr>
                    <w:t> </w:t>
                  </w:r>
                  <w:r>
                    <w:rPr>
                      <w:b/>
                      <w:color w:val="000000"/>
                      <w:spacing w:val="-10"/>
                      <w:sz w:val="24"/>
                    </w:rPr>
                    <w:t>true</w:t>
                  </w:r>
                  <w:r>
                    <w:rPr>
                      <w:b/>
                      <w:color w:val="000000"/>
                      <w:sz w:val="24"/>
                    </w:rPr>
                    <w:t> </w:t>
                  </w:r>
                  <w:r>
                    <w:rPr>
                      <w:b/>
                      <w:color w:val="000000"/>
                      <w:spacing w:val="-10"/>
                      <w:sz w:val="24"/>
                    </w:rPr>
                    <w:t>scale</w:t>
                  </w:r>
                  <w:r>
                    <w:rPr>
                      <w:b/>
                      <w:color w:val="000000"/>
                      <w:spacing w:val="-1"/>
                      <w:sz w:val="24"/>
                    </w:rPr>
                    <w:t> </w:t>
                  </w:r>
                  <w:r>
                    <w:rPr>
                      <w:b/>
                      <w:color w:val="000000"/>
                      <w:spacing w:val="-10"/>
                      <w:sz w:val="24"/>
                    </w:rPr>
                    <w:t>of</w:t>
                  </w:r>
                  <w:r>
                    <w:rPr>
                      <w:b/>
                      <w:color w:val="000000"/>
                      <w:sz w:val="24"/>
                    </w:rPr>
                    <w:t> </w:t>
                  </w:r>
                  <w:r>
                    <w:rPr>
                      <w:b/>
                      <w:color w:val="000000"/>
                      <w:spacing w:val="-10"/>
                      <w:sz w:val="24"/>
                    </w:rPr>
                    <w:t>China’s</w:t>
                  </w:r>
                  <w:r>
                    <w:rPr>
                      <w:b/>
                      <w:color w:val="000000"/>
                      <w:spacing w:val="-1"/>
                      <w:sz w:val="24"/>
                    </w:rPr>
                    <w:t> </w:t>
                  </w:r>
                  <w:r>
                    <w:rPr>
                      <w:b/>
                      <w:color w:val="000000"/>
                      <w:spacing w:val="-10"/>
                      <w:sz w:val="24"/>
                    </w:rPr>
                    <w:t>overseas</w:t>
                  </w:r>
                  <w:r>
                    <w:rPr>
                      <w:b/>
                      <w:color w:val="000000"/>
                      <w:spacing w:val="-1"/>
                      <w:sz w:val="24"/>
                    </w:rPr>
                    <w:t> </w:t>
                  </w:r>
                  <w:r>
                    <w:rPr>
                      <w:b/>
                      <w:color w:val="000000"/>
                      <w:spacing w:val="-10"/>
                      <w:sz w:val="24"/>
                    </w:rPr>
                    <w:t>lending</w:t>
                  </w:r>
                  <w:r>
                    <w:rPr>
                      <w:b/>
                      <w:color w:val="000000"/>
                      <w:sz w:val="24"/>
                    </w:rPr>
                    <w:t> </w:t>
                  </w:r>
                  <w:r>
                    <w:rPr>
                      <w:b/>
                      <w:color w:val="000000"/>
                      <w:spacing w:val="-10"/>
                      <w:sz w:val="24"/>
                    </w:rPr>
                    <w:t>program?</w:t>
                  </w:r>
                </w:p>
                <w:p>
                  <w:pPr>
                    <w:spacing w:line="300" w:lineRule="auto" w:before="106"/>
                    <w:ind w:left="120" w:right="199" w:firstLine="0"/>
                    <w:jc w:val="left"/>
                    <w:rPr>
                      <w:color w:val="000000"/>
                      <w:sz w:val="20"/>
                    </w:rPr>
                  </w:pPr>
                  <w:r>
                    <w:rPr>
                      <w:color w:val="000000"/>
                      <w:sz w:val="20"/>
                    </w:rPr>
                    <w:t>The overall size of China’s overseas lending program is a subject of ongoing debate and controversy. Horn et al. (2019) conducted pioneering work, producing a $393 billion estimate of total outstanding cross-border credit from Chinese banks to LICs and MIC borrowers in 2017. At the time, their estimate was criticized by the IMF as being exaggerated (IMF 2020). Bräutigam and Acker (2020) also published a critique, concluding that they “agree[d] with the IMF.” Horn et al. (2020a) then issued a response to their critics, arguing that “our numbers are substantially below comparison ﬁgures [from the PBOC and other ofﬁcial sources] and likely a lower bound estimate of the true extent of Chinese overseas lending.”</w:t>
                  </w:r>
                  <w:r>
                    <w:rPr>
                      <w:color w:val="000000"/>
                      <w:sz w:val="20"/>
                      <w:vertAlign w:val="superscript"/>
                    </w:rPr>
                    <w:t>90</w:t>
                  </w:r>
                  <w:r>
                    <w:rPr>
                      <w:color w:val="000000"/>
                      <w:sz w:val="20"/>
                      <w:vertAlign w:val="baseline"/>
                    </w:rPr>
                    <w:t> They explained that “[d]espite our</w:t>
                  </w:r>
                  <w:r>
                    <w:rPr>
                      <w:color w:val="000000"/>
                      <w:spacing w:val="40"/>
                      <w:sz w:val="20"/>
                      <w:vertAlign w:val="baseline"/>
                    </w:rPr>
                    <w:t> </w:t>
                  </w:r>
                  <w:r>
                    <w:rPr>
                      <w:color w:val="000000"/>
                      <w:sz w:val="20"/>
                      <w:vertAlign w:val="baseline"/>
                    </w:rPr>
                    <w:t>best efforts to merge data from multiple sources, we still miss substantial amounts of Chinese overseas lending.”</w:t>
                  </w:r>
                </w:p>
                <w:p>
                  <w:pPr>
                    <w:pStyle w:val="BodyText"/>
                    <w:spacing w:before="3"/>
                    <w:rPr>
                      <w:color w:val="000000"/>
                      <w:sz w:val="21"/>
                    </w:rPr>
                  </w:pPr>
                </w:p>
                <w:p>
                  <w:pPr>
                    <w:spacing w:line="300" w:lineRule="auto" w:before="1"/>
                    <w:ind w:left="120" w:right="0" w:firstLine="0"/>
                    <w:jc w:val="left"/>
                    <w:rPr>
                      <w:color w:val="000000"/>
                      <w:sz w:val="20"/>
                    </w:rPr>
                  </w:pPr>
                  <w:r>
                    <w:rPr>
                      <w:color w:val="000000"/>
                      <w:sz w:val="20"/>
                    </w:rPr>
                    <w:t>There was also an important development around the time that the Horn et al. (2019) study was </w:t>
                  </w:r>
                  <w:r>
                    <w:rPr>
                      <w:color w:val="000000"/>
                      <w:spacing w:val="-2"/>
                      <w:w w:val="105"/>
                      <w:sz w:val="20"/>
                    </w:rPr>
                    <w:t>published:</w:t>
                  </w:r>
                  <w:r>
                    <w:rPr>
                      <w:color w:val="000000"/>
                      <w:spacing w:val="-6"/>
                      <w:w w:val="105"/>
                      <w:sz w:val="20"/>
                    </w:rPr>
                    <w:t> </w:t>
                  </w:r>
                  <w:r>
                    <w:rPr>
                      <w:color w:val="000000"/>
                      <w:spacing w:val="-2"/>
                      <w:w w:val="105"/>
                      <w:sz w:val="20"/>
                    </w:rPr>
                    <w:t>China</w:t>
                  </w:r>
                  <w:r>
                    <w:rPr>
                      <w:color w:val="000000"/>
                      <w:spacing w:val="-6"/>
                      <w:w w:val="105"/>
                      <w:sz w:val="20"/>
                    </w:rPr>
                    <w:t> </w:t>
                  </w:r>
                  <w:r>
                    <w:rPr>
                      <w:color w:val="000000"/>
                      <w:spacing w:val="-2"/>
                      <w:w w:val="105"/>
                      <w:sz w:val="20"/>
                    </w:rPr>
                    <w:t>began</w:t>
                  </w:r>
                  <w:r>
                    <w:rPr>
                      <w:color w:val="000000"/>
                      <w:spacing w:val="-6"/>
                      <w:w w:val="105"/>
                      <w:sz w:val="20"/>
                    </w:rPr>
                    <w:t> </w:t>
                  </w:r>
                  <w:r>
                    <w:rPr>
                      <w:color w:val="000000"/>
                      <w:spacing w:val="-2"/>
                      <w:w w:val="105"/>
                      <w:sz w:val="20"/>
                    </w:rPr>
                    <w:t>reporting</w:t>
                  </w:r>
                  <w:r>
                    <w:rPr>
                      <w:color w:val="000000"/>
                      <w:spacing w:val="-6"/>
                      <w:w w:val="105"/>
                      <w:sz w:val="20"/>
                    </w:rPr>
                    <w:t> </w:t>
                  </w:r>
                  <w:r>
                    <w:rPr>
                      <w:color w:val="000000"/>
                      <w:spacing w:val="-2"/>
                      <w:w w:val="105"/>
                      <w:sz w:val="20"/>
                    </w:rPr>
                    <w:t>to</w:t>
                  </w:r>
                  <w:r>
                    <w:rPr>
                      <w:color w:val="000000"/>
                      <w:spacing w:val="-6"/>
                      <w:w w:val="105"/>
                      <w:sz w:val="20"/>
                    </w:rPr>
                    <w:t> </w:t>
                  </w:r>
                  <w:r>
                    <w:rPr>
                      <w:color w:val="000000"/>
                      <w:spacing w:val="-2"/>
                      <w:w w:val="105"/>
                      <w:sz w:val="20"/>
                    </w:rPr>
                    <w:t>the</w:t>
                  </w:r>
                  <w:r>
                    <w:rPr>
                      <w:color w:val="000000"/>
                      <w:spacing w:val="-6"/>
                      <w:w w:val="105"/>
                      <w:sz w:val="20"/>
                    </w:rPr>
                    <w:t> </w:t>
                  </w:r>
                  <w:r>
                    <w:rPr>
                      <w:color w:val="000000"/>
                      <w:spacing w:val="-2"/>
                      <w:w w:val="105"/>
                      <w:sz w:val="20"/>
                    </w:rPr>
                    <w:t>Bank</w:t>
                  </w:r>
                  <w:r>
                    <w:rPr>
                      <w:color w:val="000000"/>
                      <w:spacing w:val="-6"/>
                      <w:w w:val="105"/>
                      <w:sz w:val="20"/>
                    </w:rPr>
                    <w:t> </w:t>
                  </w:r>
                  <w:r>
                    <w:rPr>
                      <w:color w:val="000000"/>
                      <w:spacing w:val="-2"/>
                      <w:w w:val="105"/>
                      <w:sz w:val="20"/>
                    </w:rPr>
                    <w:t>of</w:t>
                  </w:r>
                  <w:r>
                    <w:rPr>
                      <w:color w:val="000000"/>
                      <w:spacing w:val="-6"/>
                      <w:w w:val="105"/>
                      <w:sz w:val="20"/>
                    </w:rPr>
                    <w:t> </w:t>
                  </w:r>
                  <w:r>
                    <w:rPr>
                      <w:color w:val="000000"/>
                      <w:spacing w:val="-2"/>
                      <w:w w:val="105"/>
                      <w:sz w:val="20"/>
                    </w:rPr>
                    <w:t>International</w:t>
                  </w:r>
                  <w:r>
                    <w:rPr>
                      <w:color w:val="000000"/>
                      <w:spacing w:val="-5"/>
                      <w:w w:val="105"/>
                      <w:sz w:val="20"/>
                    </w:rPr>
                    <w:t> </w:t>
                  </w:r>
                  <w:r>
                    <w:rPr>
                      <w:color w:val="000000"/>
                      <w:spacing w:val="-2"/>
                      <w:w w:val="105"/>
                      <w:sz w:val="20"/>
                    </w:rPr>
                    <w:t>Settlements</w:t>
                  </w:r>
                  <w:r>
                    <w:rPr>
                      <w:color w:val="000000"/>
                      <w:spacing w:val="-6"/>
                      <w:w w:val="105"/>
                      <w:sz w:val="20"/>
                    </w:rPr>
                    <w:t> </w:t>
                  </w:r>
                  <w:r>
                    <w:rPr>
                      <w:color w:val="000000"/>
                      <w:spacing w:val="-2"/>
                      <w:w w:val="105"/>
                      <w:sz w:val="20"/>
                    </w:rPr>
                    <w:t>(BIS)</w:t>
                  </w:r>
                  <w:r>
                    <w:rPr>
                      <w:color w:val="000000"/>
                      <w:spacing w:val="-5"/>
                      <w:w w:val="105"/>
                      <w:sz w:val="20"/>
                    </w:rPr>
                    <w:t> </w:t>
                  </w:r>
                  <w:r>
                    <w:rPr>
                      <w:color w:val="000000"/>
                      <w:spacing w:val="-2"/>
                      <w:w w:val="105"/>
                      <w:sz w:val="20"/>
                    </w:rPr>
                    <w:t>on</w:t>
                  </w:r>
                  <w:r>
                    <w:rPr>
                      <w:color w:val="000000"/>
                      <w:spacing w:val="-6"/>
                      <w:w w:val="105"/>
                      <w:sz w:val="20"/>
                    </w:rPr>
                    <w:t> </w:t>
                  </w:r>
                  <w:r>
                    <w:rPr>
                      <w:color w:val="000000"/>
                      <w:spacing w:val="-2"/>
                      <w:w w:val="105"/>
                      <w:sz w:val="20"/>
                    </w:rPr>
                    <w:t>the</w:t>
                  </w:r>
                </w:p>
                <w:p>
                  <w:pPr>
                    <w:spacing w:line="300" w:lineRule="auto" w:before="1"/>
                    <w:ind w:left="120" w:right="199" w:firstLine="0"/>
                    <w:jc w:val="left"/>
                    <w:rPr>
                      <w:color w:val="000000"/>
                      <w:sz w:val="20"/>
                    </w:rPr>
                  </w:pPr>
                  <w:r>
                    <w:rPr>
                      <w:color w:val="000000"/>
                      <w:sz w:val="20"/>
                    </w:rPr>
                    <w:t>cross-border claims of its banks.</w:t>
                  </w:r>
                  <w:r>
                    <w:rPr>
                      <w:color w:val="000000"/>
                      <w:sz w:val="20"/>
                      <w:vertAlign w:val="superscript"/>
                    </w:rPr>
                    <w:t>91</w:t>
                  </w:r>
                  <w:r>
                    <w:rPr>
                      <w:color w:val="000000"/>
                      <w:sz w:val="20"/>
                      <w:vertAlign w:val="baseline"/>
                    </w:rPr>
                    <w:t> At the time, the Locational Banking Statistics (LBS) published by the BIS indicated that total outstanding credit from Chinese banks to overseas borrowers was</w:t>
                  </w:r>
                </w:p>
              </w:txbxContent>
            </v:textbox>
            <v:fill type="solid"/>
            <w10:wrap type="topAndBottom"/>
          </v:shape>
        </w:pict>
      </w:r>
    </w:p>
    <w:p>
      <w:pPr>
        <w:pStyle w:val="BodyText"/>
        <w:rPr>
          <w:sz w:val="20"/>
        </w:rPr>
      </w:pPr>
    </w:p>
    <w:p>
      <w:pPr>
        <w:pStyle w:val="BodyText"/>
        <w:spacing w:before="9"/>
        <w:rPr>
          <w:sz w:val="15"/>
        </w:rPr>
      </w:pPr>
      <w:r>
        <w:rPr/>
        <w:pict>
          <v:shape style="position:absolute;margin-left:90pt;margin-top:10.274634pt;width:144pt;height:.1pt;mso-position-horizontal-relative:page;mso-position-vertical-relative:paragraph;z-index:-15724032;mso-wrap-distance-left:0;mso-wrap-distance-right:0" id="docshape9" coordorigin="1800,205" coordsize="2880,0" path="m1800,205l4680,205e" filled="false" stroked="true" strokeweight=".75pt" strokecolor="#000000">
            <v:path arrowok="t"/>
            <v:stroke dashstyle="solid"/>
            <w10:wrap type="topAndBottom"/>
          </v:shape>
        </w:pict>
      </w:r>
    </w:p>
    <w:p>
      <w:pPr>
        <w:spacing w:line="249" w:lineRule="auto" w:before="103"/>
        <w:ind w:left="760" w:right="767" w:firstLine="0"/>
        <w:jc w:val="left"/>
        <w:rPr>
          <w:sz w:val="18"/>
        </w:rPr>
      </w:pPr>
      <w:r>
        <w:rPr>
          <w:sz w:val="18"/>
          <w:vertAlign w:val="superscript"/>
        </w:rPr>
        <w:t>88</w:t>
      </w:r>
      <w:r>
        <w:rPr>
          <w:sz w:val="18"/>
          <w:vertAlign w:val="baseline"/>
        </w:rPr>
        <w:t> A key caveat, as we explain in Section A-4, is that the BIS data are represented as amounts outstanding, which</w:t>
      </w:r>
      <w:r>
        <w:rPr>
          <w:spacing w:val="-2"/>
          <w:sz w:val="18"/>
          <w:vertAlign w:val="baseline"/>
        </w:rPr>
        <w:t> </w:t>
      </w:r>
      <w:r>
        <w:rPr>
          <w:sz w:val="18"/>
          <w:vertAlign w:val="baseline"/>
        </w:rPr>
        <w:t>is</w:t>
      </w:r>
      <w:r>
        <w:rPr>
          <w:spacing w:val="-2"/>
          <w:sz w:val="18"/>
          <w:vertAlign w:val="baseline"/>
        </w:rPr>
        <w:t> </w:t>
      </w:r>
      <w:r>
        <w:rPr>
          <w:sz w:val="18"/>
          <w:vertAlign w:val="baseline"/>
        </w:rPr>
        <w:t>effectively</w:t>
      </w:r>
      <w:r>
        <w:rPr>
          <w:spacing w:val="-2"/>
          <w:sz w:val="18"/>
          <w:vertAlign w:val="baseline"/>
        </w:rPr>
        <w:t> </w:t>
      </w:r>
      <w:r>
        <w:rPr>
          <w:sz w:val="18"/>
          <w:vertAlign w:val="baseline"/>
        </w:rPr>
        <w:t>equivalent</w:t>
      </w:r>
      <w:r>
        <w:rPr>
          <w:spacing w:val="-2"/>
          <w:sz w:val="18"/>
          <w:vertAlign w:val="baseline"/>
        </w:rPr>
        <w:t> </w:t>
      </w:r>
      <w:r>
        <w:rPr>
          <w:sz w:val="18"/>
          <w:vertAlign w:val="baseline"/>
        </w:rPr>
        <w:t>to</w:t>
      </w:r>
      <w:r>
        <w:rPr>
          <w:spacing w:val="-2"/>
          <w:sz w:val="18"/>
          <w:vertAlign w:val="baseline"/>
        </w:rPr>
        <w:t> </w:t>
      </w:r>
      <w:r>
        <w:rPr>
          <w:sz w:val="18"/>
          <w:vertAlign w:val="baseline"/>
        </w:rPr>
        <w:t>cumulative</w:t>
      </w:r>
      <w:r>
        <w:rPr>
          <w:spacing w:val="-2"/>
          <w:sz w:val="18"/>
          <w:vertAlign w:val="baseline"/>
        </w:rPr>
        <w:t> </w:t>
      </w:r>
      <w:r>
        <w:rPr>
          <w:sz w:val="18"/>
          <w:vertAlign w:val="baseline"/>
        </w:rPr>
        <w:t>disbursements</w:t>
      </w:r>
      <w:r>
        <w:rPr>
          <w:spacing w:val="-2"/>
          <w:sz w:val="18"/>
          <w:vertAlign w:val="baseline"/>
        </w:rPr>
        <w:t> </w:t>
      </w:r>
      <w:r>
        <w:rPr>
          <w:sz w:val="18"/>
          <w:vertAlign w:val="baseline"/>
        </w:rPr>
        <w:t>minus</w:t>
      </w:r>
      <w:r>
        <w:rPr>
          <w:spacing w:val="-2"/>
          <w:sz w:val="18"/>
          <w:vertAlign w:val="baseline"/>
        </w:rPr>
        <w:t> </w:t>
      </w:r>
      <w:r>
        <w:rPr>
          <w:sz w:val="18"/>
          <w:vertAlign w:val="baseline"/>
        </w:rPr>
        <w:t>cumulative</w:t>
      </w:r>
      <w:r>
        <w:rPr>
          <w:spacing w:val="-2"/>
          <w:sz w:val="18"/>
          <w:vertAlign w:val="baseline"/>
        </w:rPr>
        <w:t> </w:t>
      </w:r>
      <w:r>
        <w:rPr>
          <w:sz w:val="18"/>
          <w:vertAlign w:val="baseline"/>
        </w:rPr>
        <w:t>repayments</w:t>
      </w:r>
      <w:r>
        <w:rPr>
          <w:spacing w:val="-2"/>
          <w:sz w:val="18"/>
          <w:vertAlign w:val="baseline"/>
        </w:rPr>
        <w:t> </w:t>
      </w:r>
      <w:r>
        <w:rPr>
          <w:sz w:val="18"/>
          <w:vertAlign w:val="baseline"/>
        </w:rPr>
        <w:t>(i.e.,</w:t>
      </w:r>
      <w:r>
        <w:rPr>
          <w:spacing w:val="-2"/>
          <w:sz w:val="18"/>
          <w:vertAlign w:val="baseline"/>
        </w:rPr>
        <w:t> </w:t>
      </w:r>
      <w:r>
        <w:rPr>
          <w:sz w:val="18"/>
          <w:vertAlign w:val="baseline"/>
        </w:rPr>
        <w:t>credit</w:t>
      </w:r>
      <w:r>
        <w:rPr>
          <w:spacing w:val="-2"/>
          <w:sz w:val="18"/>
          <w:vertAlign w:val="baseline"/>
        </w:rPr>
        <w:t> </w:t>
      </w:r>
      <w:r>
        <w:rPr>
          <w:sz w:val="18"/>
          <w:vertAlign w:val="baseline"/>
        </w:rPr>
        <w:t>stocks rather than credit ﬂows). Consequently, cumulative lending commitments usually </w:t>
      </w:r>
      <w:r>
        <w:rPr>
          <w:i/>
          <w:sz w:val="18"/>
          <w:vertAlign w:val="baseline"/>
        </w:rPr>
        <w:t>exceed </w:t>
      </w:r>
      <w:r>
        <w:rPr>
          <w:sz w:val="18"/>
          <w:vertAlign w:val="baseline"/>
        </w:rPr>
        <w:t>amounts </w:t>
      </w:r>
      <w:r>
        <w:rPr>
          <w:spacing w:val="-2"/>
          <w:sz w:val="18"/>
          <w:vertAlign w:val="baseline"/>
        </w:rPr>
        <w:t>outstanding.</w:t>
      </w:r>
    </w:p>
    <w:p>
      <w:pPr>
        <w:spacing w:before="4"/>
        <w:ind w:left="760" w:right="0" w:firstLine="0"/>
        <w:jc w:val="left"/>
        <w:rPr>
          <w:sz w:val="18"/>
        </w:rPr>
      </w:pPr>
      <w:r>
        <w:rPr>
          <w:sz w:val="18"/>
          <w:vertAlign w:val="superscript"/>
        </w:rPr>
        <w:t>89</w:t>
      </w:r>
      <w:r>
        <w:rPr>
          <w:spacing w:val="4"/>
          <w:sz w:val="18"/>
          <w:vertAlign w:val="baseline"/>
        </w:rPr>
        <w:t> </w:t>
      </w:r>
      <w:r>
        <w:rPr>
          <w:sz w:val="18"/>
          <w:vertAlign w:val="baseline"/>
        </w:rPr>
        <w:t>These</w:t>
      </w:r>
      <w:r>
        <w:rPr>
          <w:spacing w:val="5"/>
          <w:sz w:val="18"/>
          <w:vertAlign w:val="baseline"/>
        </w:rPr>
        <w:t> </w:t>
      </w:r>
      <w:r>
        <w:rPr>
          <w:sz w:val="18"/>
          <w:vertAlign w:val="baseline"/>
        </w:rPr>
        <w:t>nominal</w:t>
      </w:r>
      <w:r>
        <w:rPr>
          <w:spacing w:val="5"/>
          <w:sz w:val="18"/>
          <w:vertAlign w:val="baseline"/>
        </w:rPr>
        <w:t> </w:t>
      </w:r>
      <w:r>
        <w:rPr>
          <w:sz w:val="18"/>
          <w:vertAlign w:val="baseline"/>
        </w:rPr>
        <w:t>USD</w:t>
      </w:r>
      <w:r>
        <w:rPr>
          <w:spacing w:val="5"/>
          <w:sz w:val="18"/>
          <w:vertAlign w:val="baseline"/>
        </w:rPr>
        <w:t> </w:t>
      </w:r>
      <w:r>
        <w:rPr>
          <w:sz w:val="18"/>
          <w:vertAlign w:val="baseline"/>
        </w:rPr>
        <w:t>ﬁgures</w:t>
      </w:r>
      <w:r>
        <w:rPr>
          <w:spacing w:val="6"/>
          <w:sz w:val="18"/>
          <w:vertAlign w:val="baseline"/>
        </w:rPr>
        <w:t> </w:t>
      </w:r>
      <w:r>
        <w:rPr>
          <w:sz w:val="18"/>
          <w:vertAlign w:val="baseline"/>
        </w:rPr>
        <w:t>exclude</w:t>
      </w:r>
      <w:r>
        <w:rPr>
          <w:spacing w:val="5"/>
          <w:sz w:val="18"/>
          <w:vertAlign w:val="baseline"/>
        </w:rPr>
        <w:t> </w:t>
      </w:r>
      <w:r>
        <w:rPr>
          <w:sz w:val="18"/>
          <w:vertAlign w:val="baseline"/>
        </w:rPr>
        <w:t>short-term</w:t>
      </w:r>
      <w:r>
        <w:rPr>
          <w:spacing w:val="5"/>
          <w:sz w:val="18"/>
          <w:vertAlign w:val="baseline"/>
        </w:rPr>
        <w:t> </w:t>
      </w:r>
      <w:r>
        <w:rPr>
          <w:sz w:val="18"/>
          <w:vertAlign w:val="baseline"/>
        </w:rPr>
        <w:t>“rollover”</w:t>
      </w:r>
      <w:r>
        <w:rPr>
          <w:spacing w:val="5"/>
          <w:sz w:val="18"/>
          <w:vertAlign w:val="baseline"/>
        </w:rPr>
        <w:t> </w:t>
      </w:r>
      <w:r>
        <w:rPr>
          <w:sz w:val="18"/>
          <w:vertAlign w:val="baseline"/>
        </w:rPr>
        <w:t>facilities</w:t>
      </w:r>
      <w:r>
        <w:rPr>
          <w:spacing w:val="6"/>
          <w:sz w:val="18"/>
          <w:vertAlign w:val="baseline"/>
        </w:rPr>
        <w:t> </w:t>
      </w:r>
      <w:r>
        <w:rPr>
          <w:sz w:val="18"/>
          <w:vertAlign w:val="baseline"/>
        </w:rPr>
        <w:t>to</w:t>
      </w:r>
      <w:r>
        <w:rPr>
          <w:spacing w:val="5"/>
          <w:sz w:val="18"/>
          <w:vertAlign w:val="baseline"/>
        </w:rPr>
        <w:t> </w:t>
      </w:r>
      <w:r>
        <w:rPr>
          <w:sz w:val="18"/>
          <w:vertAlign w:val="baseline"/>
        </w:rPr>
        <w:t>reﬁnance</w:t>
      </w:r>
      <w:r>
        <w:rPr>
          <w:spacing w:val="5"/>
          <w:sz w:val="18"/>
          <w:vertAlign w:val="baseline"/>
        </w:rPr>
        <w:t> </w:t>
      </w:r>
      <w:r>
        <w:rPr>
          <w:sz w:val="18"/>
          <w:vertAlign w:val="baseline"/>
        </w:rPr>
        <w:t>maturing</w:t>
      </w:r>
      <w:r>
        <w:rPr>
          <w:spacing w:val="5"/>
          <w:sz w:val="18"/>
          <w:vertAlign w:val="baseline"/>
        </w:rPr>
        <w:t> </w:t>
      </w:r>
      <w:r>
        <w:rPr>
          <w:sz w:val="18"/>
          <w:vertAlign w:val="baseline"/>
        </w:rPr>
        <w:t>debts.</w:t>
      </w:r>
      <w:r>
        <w:rPr>
          <w:spacing w:val="5"/>
          <w:sz w:val="18"/>
          <w:vertAlign w:val="baseline"/>
        </w:rPr>
        <w:t> </w:t>
      </w:r>
      <w:r>
        <w:rPr>
          <w:spacing w:val="-5"/>
          <w:sz w:val="18"/>
          <w:vertAlign w:val="baseline"/>
        </w:rPr>
        <w:t>If</w:t>
      </w:r>
    </w:p>
    <w:p>
      <w:pPr>
        <w:spacing w:line="249" w:lineRule="auto" w:before="9"/>
        <w:ind w:left="760" w:right="759" w:firstLine="0"/>
        <w:jc w:val="left"/>
        <w:rPr>
          <w:sz w:val="18"/>
        </w:rPr>
      </w:pPr>
      <w:r>
        <w:rPr>
          <w:w w:val="105"/>
          <w:sz w:val="18"/>
        </w:rPr>
        <w:t>short-term</w:t>
      </w:r>
      <w:r>
        <w:rPr>
          <w:spacing w:val="-11"/>
          <w:w w:val="105"/>
          <w:sz w:val="18"/>
        </w:rPr>
        <w:t> </w:t>
      </w:r>
      <w:r>
        <w:rPr>
          <w:w w:val="105"/>
          <w:sz w:val="18"/>
        </w:rPr>
        <w:t>“rollover”</w:t>
      </w:r>
      <w:r>
        <w:rPr>
          <w:spacing w:val="-11"/>
          <w:w w:val="105"/>
          <w:sz w:val="18"/>
        </w:rPr>
        <w:t> </w:t>
      </w:r>
      <w:r>
        <w:rPr>
          <w:w w:val="105"/>
          <w:sz w:val="18"/>
        </w:rPr>
        <w:t>facilities</w:t>
      </w:r>
      <w:r>
        <w:rPr>
          <w:spacing w:val="-11"/>
          <w:w w:val="105"/>
          <w:sz w:val="18"/>
        </w:rPr>
        <w:t> </w:t>
      </w:r>
      <w:r>
        <w:rPr>
          <w:w w:val="105"/>
          <w:sz w:val="18"/>
        </w:rPr>
        <w:t>are</w:t>
      </w:r>
      <w:r>
        <w:rPr>
          <w:spacing w:val="-11"/>
          <w:w w:val="105"/>
          <w:sz w:val="18"/>
        </w:rPr>
        <w:t> </w:t>
      </w:r>
      <w:r>
        <w:rPr>
          <w:w w:val="105"/>
          <w:sz w:val="18"/>
        </w:rPr>
        <w:t>included</w:t>
      </w:r>
      <w:r>
        <w:rPr>
          <w:spacing w:val="-11"/>
          <w:w w:val="105"/>
          <w:sz w:val="18"/>
        </w:rPr>
        <w:t> </w:t>
      </w:r>
      <w:r>
        <w:rPr>
          <w:w w:val="105"/>
          <w:sz w:val="18"/>
        </w:rPr>
        <w:t>in</w:t>
      </w:r>
      <w:r>
        <w:rPr>
          <w:spacing w:val="-11"/>
          <w:w w:val="105"/>
          <w:sz w:val="18"/>
        </w:rPr>
        <w:t> </w:t>
      </w:r>
      <w:r>
        <w:rPr>
          <w:w w:val="105"/>
          <w:sz w:val="18"/>
        </w:rPr>
        <w:t>the</w:t>
      </w:r>
      <w:r>
        <w:rPr>
          <w:spacing w:val="-11"/>
          <w:w w:val="105"/>
          <w:sz w:val="18"/>
        </w:rPr>
        <w:t> </w:t>
      </w:r>
      <w:r>
        <w:rPr>
          <w:w w:val="105"/>
          <w:sz w:val="18"/>
        </w:rPr>
        <w:t>tally,</w:t>
      </w:r>
      <w:r>
        <w:rPr>
          <w:spacing w:val="-11"/>
          <w:w w:val="105"/>
          <w:sz w:val="18"/>
        </w:rPr>
        <w:t> </w:t>
      </w:r>
      <w:r>
        <w:rPr>
          <w:w w:val="105"/>
          <w:sz w:val="18"/>
        </w:rPr>
        <w:t>China’s</w:t>
      </w:r>
      <w:r>
        <w:rPr>
          <w:spacing w:val="-11"/>
          <w:w w:val="105"/>
          <w:sz w:val="18"/>
        </w:rPr>
        <w:t> </w:t>
      </w:r>
      <w:r>
        <w:rPr>
          <w:w w:val="105"/>
          <w:sz w:val="18"/>
        </w:rPr>
        <w:t>cumulative</w:t>
      </w:r>
      <w:r>
        <w:rPr>
          <w:spacing w:val="-11"/>
          <w:w w:val="105"/>
          <w:sz w:val="18"/>
        </w:rPr>
        <w:t> </w:t>
      </w:r>
      <w:r>
        <w:rPr>
          <w:w w:val="105"/>
          <w:sz w:val="18"/>
        </w:rPr>
        <w:t>overseas</w:t>
      </w:r>
      <w:r>
        <w:rPr>
          <w:spacing w:val="-11"/>
          <w:w w:val="105"/>
          <w:sz w:val="18"/>
        </w:rPr>
        <w:t> </w:t>
      </w:r>
      <w:r>
        <w:rPr>
          <w:w w:val="105"/>
          <w:sz w:val="18"/>
        </w:rPr>
        <w:t>lending</w:t>
      </w:r>
      <w:r>
        <w:rPr>
          <w:spacing w:val="-11"/>
          <w:w w:val="105"/>
          <w:sz w:val="18"/>
        </w:rPr>
        <w:t> </w:t>
      </w:r>
      <w:r>
        <w:rPr>
          <w:w w:val="105"/>
          <w:sz w:val="18"/>
        </w:rPr>
        <w:t>commitments </w:t>
      </w:r>
      <w:r>
        <w:rPr>
          <w:sz w:val="18"/>
        </w:rPr>
        <w:t>increased from $630 billion in 2015 to $1.17 trillion in 2021 (in nominal USD). In general, we prefer to </w:t>
      </w:r>
      <w:r>
        <w:rPr>
          <w:sz w:val="18"/>
        </w:rPr>
        <w:t>report China’s overseas lending commitments in constant 2021 USD. However, since the BIS data are recorded in nominal USD, an apples-to-apples comparison with the 3.0 version of AidData’s GCDF dataset requires use </w:t>
      </w:r>
      <w:r>
        <w:rPr>
          <w:spacing w:val="-2"/>
          <w:w w:val="105"/>
          <w:sz w:val="18"/>
        </w:rPr>
        <w:t>of</w:t>
      </w:r>
      <w:r>
        <w:rPr>
          <w:spacing w:val="-8"/>
          <w:w w:val="105"/>
          <w:sz w:val="18"/>
        </w:rPr>
        <w:t> </w:t>
      </w:r>
      <w:r>
        <w:rPr>
          <w:spacing w:val="-2"/>
          <w:w w:val="105"/>
          <w:sz w:val="18"/>
        </w:rPr>
        <w:t>nominal</w:t>
      </w:r>
      <w:r>
        <w:rPr>
          <w:spacing w:val="-8"/>
          <w:w w:val="105"/>
          <w:sz w:val="18"/>
        </w:rPr>
        <w:t> </w:t>
      </w:r>
      <w:r>
        <w:rPr>
          <w:spacing w:val="-2"/>
          <w:w w:val="105"/>
          <w:sz w:val="18"/>
        </w:rPr>
        <w:t>USD.</w:t>
      </w:r>
      <w:r>
        <w:rPr>
          <w:spacing w:val="-8"/>
          <w:w w:val="105"/>
          <w:sz w:val="18"/>
        </w:rPr>
        <w:t> </w:t>
      </w:r>
      <w:r>
        <w:rPr>
          <w:spacing w:val="-2"/>
          <w:w w:val="105"/>
          <w:sz w:val="18"/>
        </w:rPr>
        <w:t>In</w:t>
      </w:r>
      <w:r>
        <w:rPr>
          <w:spacing w:val="-8"/>
          <w:w w:val="105"/>
          <w:sz w:val="18"/>
        </w:rPr>
        <w:t> </w:t>
      </w:r>
      <w:r>
        <w:rPr>
          <w:spacing w:val="-2"/>
          <w:w w:val="105"/>
          <w:sz w:val="18"/>
        </w:rPr>
        <w:t>Table</w:t>
      </w:r>
      <w:r>
        <w:rPr>
          <w:spacing w:val="-8"/>
          <w:w w:val="105"/>
          <w:sz w:val="18"/>
        </w:rPr>
        <w:t> </w:t>
      </w:r>
      <w:r>
        <w:rPr>
          <w:spacing w:val="-2"/>
          <w:w w:val="105"/>
          <w:sz w:val="18"/>
        </w:rPr>
        <w:t>2.1,</w:t>
      </w:r>
      <w:r>
        <w:rPr>
          <w:spacing w:val="-8"/>
          <w:w w:val="105"/>
          <w:sz w:val="18"/>
        </w:rPr>
        <w:t> </w:t>
      </w:r>
      <w:r>
        <w:rPr>
          <w:spacing w:val="-2"/>
          <w:w w:val="105"/>
          <w:sz w:val="18"/>
        </w:rPr>
        <w:t>we</w:t>
      </w:r>
      <w:r>
        <w:rPr>
          <w:spacing w:val="-8"/>
          <w:w w:val="105"/>
          <w:sz w:val="18"/>
        </w:rPr>
        <w:t> </w:t>
      </w:r>
      <w:r>
        <w:rPr>
          <w:spacing w:val="-2"/>
          <w:w w:val="105"/>
          <w:sz w:val="18"/>
        </w:rPr>
        <w:t>report</w:t>
      </w:r>
      <w:r>
        <w:rPr>
          <w:spacing w:val="-8"/>
          <w:w w:val="105"/>
          <w:sz w:val="18"/>
        </w:rPr>
        <w:t> </w:t>
      </w:r>
      <w:r>
        <w:rPr>
          <w:spacing w:val="-2"/>
          <w:w w:val="105"/>
          <w:sz w:val="18"/>
        </w:rPr>
        <w:t>China’s</w:t>
      </w:r>
      <w:r>
        <w:rPr>
          <w:spacing w:val="-8"/>
          <w:w w:val="105"/>
          <w:sz w:val="18"/>
        </w:rPr>
        <w:t> </w:t>
      </w:r>
      <w:r>
        <w:rPr>
          <w:spacing w:val="-2"/>
          <w:w w:val="105"/>
          <w:sz w:val="18"/>
        </w:rPr>
        <w:t>cumulative</w:t>
      </w:r>
      <w:r>
        <w:rPr>
          <w:spacing w:val="-8"/>
          <w:w w:val="105"/>
          <w:sz w:val="18"/>
        </w:rPr>
        <w:t> </w:t>
      </w:r>
      <w:r>
        <w:rPr>
          <w:spacing w:val="-2"/>
          <w:w w:val="105"/>
          <w:sz w:val="18"/>
        </w:rPr>
        <w:t>overseas</w:t>
      </w:r>
      <w:r>
        <w:rPr>
          <w:spacing w:val="-8"/>
          <w:w w:val="105"/>
          <w:sz w:val="18"/>
        </w:rPr>
        <w:t> </w:t>
      </w:r>
      <w:r>
        <w:rPr>
          <w:spacing w:val="-2"/>
          <w:w w:val="105"/>
          <w:sz w:val="18"/>
        </w:rPr>
        <w:t>lending</w:t>
      </w:r>
      <w:r>
        <w:rPr>
          <w:spacing w:val="-8"/>
          <w:w w:val="105"/>
          <w:sz w:val="18"/>
        </w:rPr>
        <w:t> </w:t>
      </w:r>
      <w:r>
        <w:rPr>
          <w:spacing w:val="-2"/>
          <w:w w:val="105"/>
          <w:sz w:val="18"/>
        </w:rPr>
        <w:t>commitments</w:t>
      </w:r>
      <w:r>
        <w:rPr>
          <w:spacing w:val="-8"/>
          <w:w w:val="105"/>
          <w:sz w:val="18"/>
        </w:rPr>
        <w:t> </w:t>
      </w:r>
      <w:r>
        <w:rPr>
          <w:spacing w:val="-2"/>
          <w:w w:val="105"/>
          <w:sz w:val="18"/>
        </w:rPr>
        <w:t>to</w:t>
      </w:r>
      <w:r>
        <w:rPr>
          <w:spacing w:val="-8"/>
          <w:w w:val="105"/>
          <w:sz w:val="18"/>
        </w:rPr>
        <w:t> </w:t>
      </w:r>
      <w:r>
        <w:rPr>
          <w:spacing w:val="-2"/>
          <w:w w:val="105"/>
          <w:sz w:val="18"/>
        </w:rPr>
        <w:t>LICs</w:t>
      </w:r>
      <w:r>
        <w:rPr>
          <w:spacing w:val="-8"/>
          <w:w w:val="105"/>
          <w:sz w:val="18"/>
        </w:rPr>
        <w:t> </w:t>
      </w:r>
      <w:r>
        <w:rPr>
          <w:spacing w:val="-2"/>
          <w:w w:val="105"/>
          <w:sz w:val="18"/>
        </w:rPr>
        <w:t>and </w:t>
      </w:r>
      <w:r>
        <w:rPr>
          <w:w w:val="105"/>
          <w:sz w:val="18"/>
        </w:rPr>
        <w:t>MICs</w:t>
      </w:r>
      <w:r>
        <w:rPr>
          <w:spacing w:val="-8"/>
          <w:w w:val="105"/>
          <w:sz w:val="18"/>
        </w:rPr>
        <w:t> </w:t>
      </w:r>
      <w:r>
        <w:rPr>
          <w:w w:val="105"/>
          <w:sz w:val="18"/>
        </w:rPr>
        <w:t>from</w:t>
      </w:r>
      <w:r>
        <w:rPr>
          <w:spacing w:val="-8"/>
          <w:w w:val="105"/>
          <w:sz w:val="18"/>
        </w:rPr>
        <w:t> </w:t>
      </w:r>
      <w:r>
        <w:rPr>
          <w:w w:val="105"/>
          <w:sz w:val="18"/>
        </w:rPr>
        <w:t>2015-2021</w:t>
      </w:r>
      <w:r>
        <w:rPr>
          <w:spacing w:val="-8"/>
          <w:w w:val="105"/>
          <w:sz w:val="18"/>
        </w:rPr>
        <w:t> </w:t>
      </w:r>
      <w:r>
        <w:rPr>
          <w:w w:val="105"/>
          <w:sz w:val="18"/>
        </w:rPr>
        <w:t>in</w:t>
      </w:r>
      <w:r>
        <w:rPr>
          <w:spacing w:val="-8"/>
          <w:w w:val="105"/>
          <w:sz w:val="18"/>
        </w:rPr>
        <w:t> </w:t>
      </w:r>
      <w:r>
        <w:rPr>
          <w:w w:val="105"/>
          <w:sz w:val="18"/>
        </w:rPr>
        <w:t>both</w:t>
      </w:r>
      <w:r>
        <w:rPr>
          <w:spacing w:val="-8"/>
          <w:w w:val="105"/>
          <w:sz w:val="18"/>
        </w:rPr>
        <w:t> </w:t>
      </w:r>
      <w:r>
        <w:rPr>
          <w:w w:val="105"/>
          <w:sz w:val="18"/>
        </w:rPr>
        <w:t>nominal</w:t>
      </w:r>
      <w:r>
        <w:rPr>
          <w:spacing w:val="-8"/>
          <w:w w:val="105"/>
          <w:sz w:val="18"/>
        </w:rPr>
        <w:t> </w:t>
      </w:r>
      <w:r>
        <w:rPr>
          <w:w w:val="105"/>
          <w:sz w:val="18"/>
        </w:rPr>
        <w:t>and</w:t>
      </w:r>
      <w:r>
        <w:rPr>
          <w:spacing w:val="-8"/>
          <w:w w:val="105"/>
          <w:sz w:val="18"/>
        </w:rPr>
        <w:t> </w:t>
      </w:r>
      <w:r>
        <w:rPr>
          <w:w w:val="105"/>
          <w:sz w:val="18"/>
        </w:rPr>
        <w:t>constant</w:t>
      </w:r>
      <w:r>
        <w:rPr>
          <w:spacing w:val="-8"/>
          <w:w w:val="105"/>
          <w:sz w:val="18"/>
        </w:rPr>
        <w:t> </w:t>
      </w:r>
      <w:r>
        <w:rPr>
          <w:w w:val="105"/>
          <w:sz w:val="18"/>
        </w:rPr>
        <w:t>2021</w:t>
      </w:r>
      <w:r>
        <w:rPr>
          <w:spacing w:val="-8"/>
          <w:w w:val="105"/>
          <w:sz w:val="18"/>
        </w:rPr>
        <w:t> </w:t>
      </w:r>
      <w:r>
        <w:rPr>
          <w:w w:val="105"/>
          <w:sz w:val="18"/>
        </w:rPr>
        <w:t>USD.</w:t>
      </w:r>
    </w:p>
    <w:p>
      <w:pPr>
        <w:spacing w:line="249" w:lineRule="auto" w:before="4"/>
        <w:ind w:left="760" w:right="838" w:firstLine="0"/>
        <w:jc w:val="left"/>
        <w:rPr>
          <w:sz w:val="18"/>
        </w:rPr>
      </w:pPr>
      <w:r>
        <w:rPr>
          <w:sz w:val="18"/>
          <w:vertAlign w:val="superscript"/>
        </w:rPr>
        <w:t>90</w:t>
      </w:r>
      <w:r>
        <w:rPr>
          <w:sz w:val="18"/>
          <w:vertAlign w:val="baseline"/>
        </w:rPr>
        <w:t> At the time, China’s State Administration of Foreign Exchange (SAFE) had published (2017) data on “China’s International Investment Position” that identiﬁed $637 billion of total outstanding </w:t>
      </w:r>
      <w:r>
        <w:rPr>
          <w:sz w:val="18"/>
          <w:vertAlign w:val="baseline"/>
        </w:rPr>
        <w:t>cross-border </w:t>
      </w:r>
      <w:r>
        <w:rPr>
          <w:spacing w:val="-2"/>
          <w:w w:val="105"/>
          <w:sz w:val="18"/>
          <w:vertAlign w:val="baseline"/>
        </w:rPr>
        <w:t>credit. By 2021, this ﬁgure rose to $988 billion. See </w:t>
      </w:r>
      <w:hyperlink r:id="rId8">
        <w:r>
          <w:rPr>
            <w:color w:val="1154CC"/>
            <w:spacing w:val="-2"/>
            <w:w w:val="105"/>
            <w:sz w:val="18"/>
            <w:u w:val="thick" w:color="1154CC"/>
            <w:vertAlign w:val="baseline"/>
          </w:rPr>
          <w:t>https://www.safe.gov.cn/en/2018/0928/1459.html</w:t>
        </w:r>
      </w:hyperlink>
      <w:r>
        <w:rPr>
          <w:spacing w:val="-2"/>
          <w:w w:val="105"/>
          <w:sz w:val="18"/>
          <w:vertAlign w:val="baseline"/>
        </w:rPr>
        <w:t>.</w:t>
      </w:r>
    </w:p>
    <w:p>
      <w:pPr>
        <w:spacing w:line="249" w:lineRule="auto" w:before="3"/>
        <w:ind w:left="760" w:right="767" w:firstLine="0"/>
        <w:jc w:val="left"/>
        <w:rPr>
          <w:sz w:val="18"/>
        </w:rPr>
      </w:pPr>
      <w:r>
        <w:rPr>
          <w:sz w:val="18"/>
          <w:vertAlign w:val="superscript"/>
        </w:rPr>
        <w:t>91</w:t>
      </w:r>
      <w:r>
        <w:rPr>
          <w:sz w:val="18"/>
          <w:vertAlign w:val="baseline"/>
        </w:rPr>
        <w:t> Although China has joined the list of countries reporting to the BIS, its data (unlike the data of many </w:t>
      </w:r>
      <w:r>
        <w:rPr>
          <w:sz w:val="18"/>
          <w:vertAlign w:val="baseline"/>
        </w:rPr>
        <w:t>of other BIS reporting countries) are not made publicly available on a bilateral basis.</w:t>
      </w:r>
    </w:p>
    <w:p>
      <w:pPr>
        <w:spacing w:after="0" w:line="249" w:lineRule="auto"/>
        <w:jc w:val="left"/>
        <w:rPr>
          <w:sz w:val="18"/>
        </w:rPr>
        <w:sectPr>
          <w:pgSz w:w="12240" w:h="15840"/>
          <w:pgMar w:header="0" w:footer="720" w:top="1400" w:bottom="920" w:left="1040" w:right="1040"/>
        </w:sectPr>
      </w:pPr>
    </w:p>
    <w:p>
      <w:pPr>
        <w:spacing w:line="300" w:lineRule="auto" w:before="66"/>
        <w:ind w:left="760" w:right="838" w:firstLine="0"/>
        <w:jc w:val="left"/>
        <w:rPr>
          <w:sz w:val="20"/>
        </w:rPr>
      </w:pPr>
      <w:r>
        <w:rPr/>
        <w:pict>
          <v:shape style="position:absolute;margin-left:84.000008pt;margin-top:2.968414pt;width:444pt;height:518.0500pt;mso-position-horizontal-relative:page;mso-position-vertical-relative:paragraph;z-index:-17142784" id="docshape10" coordorigin="1680,59" coordsize="8880,10361" path="m10560,59l1680,59,1680,359,1680,379,1680,10419,10560,10419,10560,359,10560,59xe" filled="true" fillcolor="#f0f2f4" stroked="false">
            <v:path arrowok="t"/>
            <v:fill type="solid"/>
            <w10:wrap type="none"/>
          </v:shape>
        </w:pict>
      </w:r>
      <w:r>
        <w:rPr>
          <w:sz w:val="20"/>
        </w:rPr>
        <w:t>more than double ($919 million) the size of the Horn et al. (2019) estimate.</w:t>
      </w:r>
      <w:r>
        <w:rPr>
          <w:sz w:val="20"/>
          <w:vertAlign w:val="superscript"/>
        </w:rPr>
        <w:t>92</w:t>
      </w:r>
      <w:r>
        <w:rPr>
          <w:sz w:val="20"/>
          <w:vertAlign w:val="baseline"/>
        </w:rPr>
        <w:t> Since then, additional</w:t>
      </w:r>
      <w:r>
        <w:rPr>
          <w:spacing w:val="-1"/>
          <w:sz w:val="20"/>
          <w:vertAlign w:val="baseline"/>
        </w:rPr>
        <w:t> </w:t>
      </w:r>
      <w:r>
        <w:rPr>
          <w:sz w:val="20"/>
          <w:vertAlign w:val="baseline"/>
        </w:rPr>
        <w:t>BIS</w:t>
      </w:r>
      <w:r>
        <w:rPr>
          <w:spacing w:val="-2"/>
          <w:sz w:val="20"/>
          <w:vertAlign w:val="baseline"/>
        </w:rPr>
        <w:t> </w:t>
      </w:r>
      <w:r>
        <w:rPr>
          <w:sz w:val="20"/>
          <w:vertAlign w:val="baseline"/>
        </w:rPr>
        <w:t>reporting</w:t>
      </w:r>
      <w:r>
        <w:rPr>
          <w:spacing w:val="-2"/>
          <w:sz w:val="20"/>
          <w:vertAlign w:val="baseline"/>
        </w:rPr>
        <w:t> </w:t>
      </w:r>
      <w:r>
        <w:rPr>
          <w:sz w:val="20"/>
          <w:vertAlign w:val="baseline"/>
        </w:rPr>
        <w:t>by</w:t>
      </w:r>
      <w:r>
        <w:rPr>
          <w:spacing w:val="-2"/>
          <w:sz w:val="20"/>
          <w:vertAlign w:val="baseline"/>
        </w:rPr>
        <w:t> </w:t>
      </w:r>
      <w:r>
        <w:rPr>
          <w:sz w:val="20"/>
          <w:vertAlign w:val="baseline"/>
        </w:rPr>
        <w:t>China</w:t>
      </w:r>
      <w:r>
        <w:rPr>
          <w:spacing w:val="-2"/>
          <w:sz w:val="20"/>
          <w:vertAlign w:val="baseline"/>
        </w:rPr>
        <w:t> </w:t>
      </w:r>
      <w:r>
        <w:rPr>
          <w:sz w:val="20"/>
          <w:vertAlign w:val="baseline"/>
        </w:rPr>
        <w:t>and</w:t>
      </w:r>
      <w:r>
        <w:rPr>
          <w:spacing w:val="-2"/>
          <w:sz w:val="20"/>
          <w:vertAlign w:val="baseline"/>
        </w:rPr>
        <w:t> </w:t>
      </w:r>
      <w:r>
        <w:rPr>
          <w:sz w:val="20"/>
          <w:vertAlign w:val="baseline"/>
        </w:rPr>
        <w:t>new</w:t>
      </w:r>
      <w:r>
        <w:rPr>
          <w:spacing w:val="-2"/>
          <w:sz w:val="20"/>
          <w:vertAlign w:val="baseline"/>
        </w:rPr>
        <w:t> </w:t>
      </w:r>
      <w:r>
        <w:rPr>
          <w:sz w:val="20"/>
          <w:vertAlign w:val="baseline"/>
        </w:rPr>
        <w:t>research</w:t>
      </w:r>
      <w:r>
        <w:rPr>
          <w:spacing w:val="-2"/>
          <w:sz w:val="20"/>
          <w:vertAlign w:val="baseline"/>
        </w:rPr>
        <w:t> </w:t>
      </w:r>
      <w:r>
        <w:rPr>
          <w:sz w:val="20"/>
          <w:vertAlign w:val="baseline"/>
        </w:rPr>
        <w:t>by</w:t>
      </w:r>
      <w:r>
        <w:rPr>
          <w:spacing w:val="-2"/>
          <w:sz w:val="20"/>
          <w:vertAlign w:val="baseline"/>
        </w:rPr>
        <w:t> </w:t>
      </w:r>
      <w:r>
        <w:rPr>
          <w:sz w:val="20"/>
          <w:vertAlign w:val="baseline"/>
        </w:rPr>
        <w:t>Cerutti</w:t>
      </w:r>
      <w:r>
        <w:rPr>
          <w:spacing w:val="-1"/>
          <w:sz w:val="20"/>
          <w:vertAlign w:val="baseline"/>
        </w:rPr>
        <w:t> </w:t>
      </w:r>
      <w:r>
        <w:rPr>
          <w:sz w:val="20"/>
          <w:vertAlign w:val="baseline"/>
        </w:rPr>
        <w:t>et</w:t>
      </w:r>
      <w:r>
        <w:rPr>
          <w:spacing w:val="-2"/>
          <w:sz w:val="20"/>
          <w:vertAlign w:val="baseline"/>
        </w:rPr>
        <w:t> </w:t>
      </w:r>
      <w:r>
        <w:rPr>
          <w:sz w:val="20"/>
          <w:vertAlign w:val="baseline"/>
        </w:rPr>
        <w:t>al.</w:t>
      </w:r>
      <w:r>
        <w:rPr>
          <w:spacing w:val="-2"/>
          <w:sz w:val="20"/>
          <w:vertAlign w:val="baseline"/>
        </w:rPr>
        <w:t> </w:t>
      </w:r>
      <w:r>
        <w:rPr>
          <w:sz w:val="20"/>
          <w:vertAlign w:val="baseline"/>
        </w:rPr>
        <w:t>(2023)</w:t>
      </w:r>
      <w:r>
        <w:rPr>
          <w:spacing w:val="-1"/>
          <w:sz w:val="20"/>
          <w:vertAlign w:val="baseline"/>
        </w:rPr>
        <w:t> </w:t>
      </w:r>
      <w:r>
        <w:rPr>
          <w:sz w:val="20"/>
          <w:vertAlign w:val="baseline"/>
        </w:rPr>
        <w:t>has</w:t>
      </w:r>
      <w:r>
        <w:rPr>
          <w:spacing w:val="-2"/>
          <w:sz w:val="20"/>
          <w:vertAlign w:val="baseline"/>
        </w:rPr>
        <w:t> </w:t>
      </w:r>
      <w:r>
        <w:rPr>
          <w:sz w:val="20"/>
          <w:vertAlign w:val="baseline"/>
        </w:rPr>
        <w:t>made</w:t>
      </w:r>
      <w:r>
        <w:rPr>
          <w:spacing w:val="-2"/>
          <w:sz w:val="20"/>
          <w:vertAlign w:val="baseline"/>
        </w:rPr>
        <w:t> </w:t>
      </w:r>
      <w:r>
        <w:rPr>
          <w:sz w:val="20"/>
          <w:vertAlign w:val="baseline"/>
        </w:rPr>
        <w:t>it</w:t>
      </w:r>
      <w:r>
        <w:rPr>
          <w:spacing w:val="-2"/>
          <w:sz w:val="20"/>
          <w:vertAlign w:val="baseline"/>
        </w:rPr>
        <w:t> </w:t>
      </w:r>
      <w:r>
        <w:rPr>
          <w:sz w:val="20"/>
          <w:vertAlign w:val="baseline"/>
        </w:rPr>
        <w:t>possible to generate updated estimates of total outstanding credit from Chinese banks to borrowers in LICs,</w:t>
      </w:r>
      <w:r>
        <w:rPr>
          <w:spacing w:val="-3"/>
          <w:sz w:val="20"/>
          <w:vertAlign w:val="baseline"/>
        </w:rPr>
        <w:t> </w:t>
      </w:r>
      <w:r>
        <w:rPr>
          <w:sz w:val="20"/>
          <w:vertAlign w:val="baseline"/>
        </w:rPr>
        <w:t>MICs,</w:t>
      </w:r>
      <w:r>
        <w:rPr>
          <w:spacing w:val="-3"/>
          <w:sz w:val="20"/>
          <w:vertAlign w:val="baseline"/>
        </w:rPr>
        <w:t> </w:t>
      </w:r>
      <w:r>
        <w:rPr>
          <w:sz w:val="20"/>
          <w:vertAlign w:val="baseline"/>
        </w:rPr>
        <w:t>high-income</w:t>
      </w:r>
      <w:r>
        <w:rPr>
          <w:spacing w:val="-3"/>
          <w:sz w:val="20"/>
          <w:vertAlign w:val="baseline"/>
        </w:rPr>
        <w:t> </w:t>
      </w:r>
      <w:r>
        <w:rPr>
          <w:sz w:val="20"/>
          <w:vertAlign w:val="baseline"/>
        </w:rPr>
        <w:t>countries</w:t>
      </w:r>
      <w:r>
        <w:rPr>
          <w:spacing w:val="-3"/>
          <w:sz w:val="20"/>
          <w:vertAlign w:val="baseline"/>
        </w:rPr>
        <w:t> </w:t>
      </w:r>
      <w:r>
        <w:rPr>
          <w:sz w:val="20"/>
          <w:vertAlign w:val="baseline"/>
        </w:rPr>
        <w:t>(HICs),</w:t>
      </w:r>
      <w:r>
        <w:rPr>
          <w:spacing w:val="-3"/>
          <w:sz w:val="20"/>
          <w:vertAlign w:val="baseline"/>
        </w:rPr>
        <w:t> </w:t>
      </w:r>
      <w:r>
        <w:rPr>
          <w:sz w:val="20"/>
          <w:vertAlign w:val="baseline"/>
        </w:rPr>
        <w:t>and</w:t>
      </w:r>
      <w:r>
        <w:rPr>
          <w:spacing w:val="-3"/>
          <w:sz w:val="20"/>
          <w:vertAlign w:val="baseline"/>
        </w:rPr>
        <w:t> </w:t>
      </w:r>
      <w:r>
        <w:rPr>
          <w:sz w:val="20"/>
          <w:vertAlign w:val="baseline"/>
        </w:rPr>
        <w:t>other</w:t>
      </w:r>
      <w:r>
        <w:rPr>
          <w:spacing w:val="-3"/>
          <w:sz w:val="20"/>
          <w:vertAlign w:val="baseline"/>
        </w:rPr>
        <w:t> </w:t>
      </w:r>
      <w:r>
        <w:rPr>
          <w:sz w:val="20"/>
          <w:vertAlign w:val="baseline"/>
        </w:rPr>
        <w:t>overseas</w:t>
      </w:r>
      <w:r>
        <w:rPr>
          <w:spacing w:val="-3"/>
          <w:sz w:val="20"/>
          <w:vertAlign w:val="baseline"/>
        </w:rPr>
        <w:t> </w:t>
      </w:r>
      <w:r>
        <w:rPr>
          <w:sz w:val="20"/>
          <w:vertAlign w:val="baseline"/>
        </w:rPr>
        <w:t>jurisdictions.</w:t>
      </w:r>
      <w:r>
        <w:rPr>
          <w:sz w:val="20"/>
          <w:vertAlign w:val="superscript"/>
        </w:rPr>
        <w:t>93</w:t>
      </w:r>
      <w:r>
        <w:rPr>
          <w:spacing w:val="-2"/>
          <w:sz w:val="20"/>
          <w:vertAlign w:val="baseline"/>
        </w:rPr>
        <w:t> </w:t>
      </w:r>
      <w:r>
        <w:rPr>
          <w:sz w:val="20"/>
          <w:vertAlign w:val="baseline"/>
        </w:rPr>
        <w:t>In</w:t>
      </w:r>
      <w:r>
        <w:rPr>
          <w:spacing w:val="-3"/>
          <w:sz w:val="20"/>
          <w:vertAlign w:val="baseline"/>
        </w:rPr>
        <w:t> </w:t>
      </w:r>
      <w:r>
        <w:rPr>
          <w:sz w:val="20"/>
          <w:vertAlign w:val="baseline"/>
        </w:rPr>
        <w:t>Section</w:t>
      </w:r>
      <w:r>
        <w:rPr>
          <w:spacing w:val="-3"/>
          <w:sz w:val="20"/>
          <w:vertAlign w:val="baseline"/>
        </w:rPr>
        <w:t> </w:t>
      </w:r>
      <w:r>
        <w:rPr>
          <w:sz w:val="20"/>
          <w:vertAlign w:val="baseline"/>
        </w:rPr>
        <w:t>A-4,</w:t>
      </w:r>
      <w:r>
        <w:rPr>
          <w:spacing w:val="-2"/>
          <w:sz w:val="20"/>
          <w:vertAlign w:val="baseline"/>
        </w:rPr>
        <w:t> </w:t>
      </w:r>
      <w:r>
        <w:rPr>
          <w:sz w:val="20"/>
          <w:vertAlign w:val="baseline"/>
        </w:rPr>
        <w:t>we provide a step-by-step description of how these BIS-based measures of total outstanding credit from Chinese banks to overseas borrowers are derived. We also discuss a number of important caveats and considerations regarding the BIS cross-border lending data.</w:t>
      </w:r>
    </w:p>
    <w:p>
      <w:pPr>
        <w:pStyle w:val="BodyText"/>
        <w:spacing w:before="2"/>
        <w:rPr>
          <w:sz w:val="21"/>
        </w:rPr>
      </w:pPr>
    </w:p>
    <w:p>
      <w:pPr>
        <w:spacing w:line="300" w:lineRule="auto" w:before="0"/>
        <w:ind w:left="760" w:right="767" w:firstLine="0"/>
        <w:jc w:val="left"/>
        <w:rPr>
          <w:sz w:val="20"/>
        </w:rPr>
      </w:pPr>
      <w:r>
        <w:rPr>
          <w:sz w:val="20"/>
        </w:rPr>
        <w:t>The estimates, which we report in Table 2.1, demonstrate that China’s total outstanding credit—measured</w:t>
      </w:r>
      <w:r>
        <w:rPr>
          <w:spacing w:val="-6"/>
          <w:sz w:val="20"/>
        </w:rPr>
        <w:t> </w:t>
      </w:r>
      <w:r>
        <w:rPr>
          <w:sz w:val="20"/>
        </w:rPr>
        <w:t>in</w:t>
      </w:r>
      <w:r>
        <w:rPr>
          <w:spacing w:val="-6"/>
          <w:sz w:val="20"/>
        </w:rPr>
        <w:t> </w:t>
      </w:r>
      <w:r>
        <w:rPr>
          <w:sz w:val="20"/>
        </w:rPr>
        <w:t>nominal</w:t>
      </w:r>
      <w:r>
        <w:rPr>
          <w:spacing w:val="-5"/>
          <w:sz w:val="20"/>
        </w:rPr>
        <w:t> </w:t>
      </w:r>
      <w:r>
        <w:rPr>
          <w:sz w:val="20"/>
        </w:rPr>
        <w:t>terms—to</w:t>
      </w:r>
      <w:r>
        <w:rPr>
          <w:spacing w:val="-6"/>
          <w:sz w:val="20"/>
        </w:rPr>
        <w:t> </w:t>
      </w:r>
      <w:r>
        <w:rPr>
          <w:sz w:val="20"/>
        </w:rPr>
        <w:t>borrowers</w:t>
      </w:r>
      <w:r>
        <w:rPr>
          <w:spacing w:val="-6"/>
          <w:sz w:val="20"/>
        </w:rPr>
        <w:t> </w:t>
      </w:r>
      <w:r>
        <w:rPr>
          <w:sz w:val="20"/>
        </w:rPr>
        <w:t>in</w:t>
      </w:r>
      <w:r>
        <w:rPr>
          <w:spacing w:val="-6"/>
          <w:sz w:val="20"/>
        </w:rPr>
        <w:t> </w:t>
      </w:r>
      <w:r>
        <w:rPr>
          <w:sz w:val="20"/>
        </w:rPr>
        <w:t>LICs,</w:t>
      </w:r>
      <w:r>
        <w:rPr>
          <w:spacing w:val="-6"/>
          <w:sz w:val="20"/>
        </w:rPr>
        <w:t> </w:t>
      </w:r>
      <w:r>
        <w:rPr>
          <w:sz w:val="20"/>
        </w:rPr>
        <w:t>MICs,</w:t>
      </w:r>
      <w:r>
        <w:rPr>
          <w:spacing w:val="-6"/>
          <w:sz w:val="20"/>
        </w:rPr>
        <w:t> </w:t>
      </w:r>
      <w:r>
        <w:rPr>
          <w:sz w:val="20"/>
        </w:rPr>
        <w:t>HICs,</w:t>
      </w:r>
      <w:r>
        <w:rPr>
          <w:spacing w:val="-6"/>
          <w:sz w:val="20"/>
        </w:rPr>
        <w:t> </w:t>
      </w:r>
      <w:r>
        <w:rPr>
          <w:sz w:val="20"/>
        </w:rPr>
        <w:t>and</w:t>
      </w:r>
      <w:r>
        <w:rPr>
          <w:spacing w:val="-6"/>
          <w:sz w:val="20"/>
        </w:rPr>
        <w:t> </w:t>
      </w:r>
      <w:r>
        <w:rPr>
          <w:sz w:val="20"/>
        </w:rPr>
        <w:t>other</w:t>
      </w:r>
      <w:r>
        <w:rPr>
          <w:spacing w:val="-6"/>
          <w:sz w:val="20"/>
        </w:rPr>
        <w:t> </w:t>
      </w:r>
      <w:r>
        <w:rPr>
          <w:sz w:val="20"/>
        </w:rPr>
        <w:t>overseas jurisdictions soared from $1.45 trillion in 2015 to $2.63 trillion in 2021. Conservative,</w:t>
      </w:r>
    </w:p>
    <w:p>
      <w:pPr>
        <w:spacing w:line="300" w:lineRule="auto" w:before="3"/>
        <w:ind w:left="760" w:right="767" w:firstLine="0"/>
        <w:jc w:val="left"/>
        <w:rPr>
          <w:sz w:val="20"/>
        </w:rPr>
      </w:pPr>
      <w:r>
        <w:rPr>
          <w:w w:val="105"/>
          <w:sz w:val="20"/>
        </w:rPr>
        <w:t>lower-bound</w:t>
      </w:r>
      <w:r>
        <w:rPr>
          <w:spacing w:val="-15"/>
          <w:w w:val="105"/>
          <w:sz w:val="20"/>
        </w:rPr>
        <w:t> </w:t>
      </w:r>
      <w:r>
        <w:rPr>
          <w:w w:val="105"/>
          <w:sz w:val="20"/>
        </w:rPr>
        <w:t>estimates</w:t>
      </w:r>
      <w:r>
        <w:rPr>
          <w:spacing w:val="-15"/>
          <w:w w:val="105"/>
          <w:sz w:val="20"/>
        </w:rPr>
        <w:t> </w:t>
      </w:r>
      <w:r>
        <w:rPr>
          <w:w w:val="105"/>
          <w:sz w:val="20"/>
        </w:rPr>
        <w:t>based</w:t>
      </w:r>
      <w:r>
        <w:rPr>
          <w:spacing w:val="-14"/>
          <w:w w:val="105"/>
          <w:sz w:val="20"/>
        </w:rPr>
        <w:t> </w:t>
      </w:r>
      <w:r>
        <w:rPr>
          <w:w w:val="105"/>
          <w:sz w:val="20"/>
        </w:rPr>
        <w:t>on</w:t>
      </w:r>
      <w:r>
        <w:rPr>
          <w:spacing w:val="-15"/>
          <w:w w:val="105"/>
          <w:sz w:val="20"/>
        </w:rPr>
        <w:t> </w:t>
      </w:r>
      <w:r>
        <w:rPr>
          <w:w w:val="105"/>
          <w:sz w:val="20"/>
        </w:rPr>
        <w:t>BIS</w:t>
      </w:r>
      <w:r>
        <w:rPr>
          <w:spacing w:val="-14"/>
          <w:w w:val="105"/>
          <w:sz w:val="20"/>
        </w:rPr>
        <w:t> </w:t>
      </w:r>
      <w:r>
        <w:rPr>
          <w:w w:val="105"/>
          <w:sz w:val="20"/>
        </w:rPr>
        <w:t>reporting</w:t>
      </w:r>
      <w:r>
        <w:rPr>
          <w:spacing w:val="-15"/>
          <w:w w:val="105"/>
          <w:sz w:val="20"/>
        </w:rPr>
        <w:t> </w:t>
      </w:r>
      <w:r>
        <w:rPr>
          <w:w w:val="105"/>
          <w:sz w:val="20"/>
        </w:rPr>
        <w:t>also</w:t>
      </w:r>
      <w:r>
        <w:rPr>
          <w:spacing w:val="-15"/>
          <w:w w:val="105"/>
          <w:sz w:val="20"/>
        </w:rPr>
        <w:t> </w:t>
      </w:r>
      <w:r>
        <w:rPr>
          <w:w w:val="105"/>
          <w:sz w:val="20"/>
        </w:rPr>
        <w:t>indicate</w:t>
      </w:r>
      <w:r>
        <w:rPr>
          <w:spacing w:val="-14"/>
          <w:w w:val="105"/>
          <w:sz w:val="20"/>
        </w:rPr>
        <w:t> </w:t>
      </w:r>
      <w:r>
        <w:rPr>
          <w:w w:val="105"/>
          <w:sz w:val="20"/>
        </w:rPr>
        <w:t>that</w:t>
      </w:r>
      <w:r>
        <w:rPr>
          <w:spacing w:val="-15"/>
          <w:w w:val="105"/>
          <w:sz w:val="20"/>
        </w:rPr>
        <w:t> </w:t>
      </w:r>
      <w:r>
        <w:rPr>
          <w:i/>
          <w:w w:val="105"/>
          <w:sz w:val="20"/>
        </w:rPr>
        <w:t>total</w:t>
      </w:r>
      <w:r>
        <w:rPr>
          <w:i/>
          <w:spacing w:val="-14"/>
          <w:w w:val="105"/>
          <w:sz w:val="20"/>
        </w:rPr>
        <w:t> </w:t>
      </w:r>
      <w:r>
        <w:rPr>
          <w:i/>
          <w:w w:val="105"/>
          <w:sz w:val="20"/>
        </w:rPr>
        <w:t>outstanding</w:t>
      </w:r>
      <w:r>
        <w:rPr>
          <w:i/>
          <w:spacing w:val="-15"/>
          <w:w w:val="105"/>
          <w:sz w:val="20"/>
        </w:rPr>
        <w:t> </w:t>
      </w:r>
      <w:r>
        <w:rPr>
          <w:i/>
          <w:w w:val="105"/>
          <w:sz w:val="20"/>
        </w:rPr>
        <w:t>credit</w:t>
      </w:r>
      <w:r>
        <w:rPr>
          <w:i/>
          <w:spacing w:val="-15"/>
          <w:w w:val="105"/>
          <w:sz w:val="20"/>
        </w:rPr>
        <w:t> </w:t>
      </w:r>
      <w:r>
        <w:rPr>
          <w:i/>
          <w:w w:val="105"/>
          <w:sz w:val="20"/>
        </w:rPr>
        <w:t>from</w:t>
      </w:r>
      <w:r>
        <w:rPr>
          <w:i/>
          <w:w w:val="105"/>
          <w:sz w:val="20"/>
        </w:rPr>
        <w:t> </w:t>
      </w:r>
      <w:r>
        <w:rPr>
          <w:i/>
          <w:spacing w:val="-2"/>
          <w:w w:val="105"/>
          <w:sz w:val="20"/>
        </w:rPr>
        <w:t>Chinese</w:t>
      </w:r>
      <w:r>
        <w:rPr>
          <w:i/>
          <w:spacing w:val="-8"/>
          <w:w w:val="105"/>
          <w:sz w:val="20"/>
        </w:rPr>
        <w:t> </w:t>
      </w:r>
      <w:r>
        <w:rPr>
          <w:i/>
          <w:spacing w:val="-2"/>
          <w:w w:val="105"/>
          <w:sz w:val="20"/>
        </w:rPr>
        <w:t>banks</w:t>
      </w:r>
      <w:r>
        <w:rPr>
          <w:i/>
          <w:spacing w:val="-8"/>
          <w:w w:val="105"/>
          <w:sz w:val="20"/>
        </w:rPr>
        <w:t> </w:t>
      </w:r>
      <w:r>
        <w:rPr>
          <w:i/>
          <w:spacing w:val="-2"/>
          <w:w w:val="105"/>
          <w:sz w:val="20"/>
        </w:rPr>
        <w:t>to</w:t>
      </w:r>
      <w:r>
        <w:rPr>
          <w:i/>
          <w:spacing w:val="-8"/>
          <w:w w:val="105"/>
          <w:sz w:val="20"/>
        </w:rPr>
        <w:t> </w:t>
      </w:r>
      <w:r>
        <w:rPr>
          <w:i/>
          <w:spacing w:val="-2"/>
          <w:w w:val="105"/>
          <w:sz w:val="20"/>
        </w:rPr>
        <w:t>LIC</w:t>
      </w:r>
      <w:r>
        <w:rPr>
          <w:i/>
          <w:spacing w:val="-8"/>
          <w:w w:val="105"/>
          <w:sz w:val="20"/>
        </w:rPr>
        <w:t> </w:t>
      </w:r>
      <w:r>
        <w:rPr>
          <w:i/>
          <w:spacing w:val="-2"/>
          <w:w w:val="105"/>
          <w:sz w:val="20"/>
        </w:rPr>
        <w:t>and</w:t>
      </w:r>
      <w:r>
        <w:rPr>
          <w:i/>
          <w:spacing w:val="-8"/>
          <w:w w:val="105"/>
          <w:sz w:val="20"/>
        </w:rPr>
        <w:t> </w:t>
      </w:r>
      <w:r>
        <w:rPr>
          <w:i/>
          <w:spacing w:val="-2"/>
          <w:w w:val="105"/>
          <w:sz w:val="20"/>
        </w:rPr>
        <w:t>MIC</w:t>
      </w:r>
      <w:r>
        <w:rPr>
          <w:i/>
          <w:spacing w:val="-8"/>
          <w:w w:val="105"/>
          <w:sz w:val="20"/>
        </w:rPr>
        <w:t> </w:t>
      </w:r>
      <w:r>
        <w:rPr>
          <w:i/>
          <w:spacing w:val="-2"/>
          <w:w w:val="105"/>
          <w:sz w:val="20"/>
        </w:rPr>
        <w:t>borrowers</w:t>
      </w:r>
      <w:r>
        <w:rPr>
          <w:i/>
          <w:spacing w:val="-8"/>
          <w:w w:val="105"/>
          <w:sz w:val="20"/>
        </w:rPr>
        <w:t> </w:t>
      </w:r>
      <w:r>
        <w:rPr>
          <w:i/>
          <w:spacing w:val="-2"/>
          <w:w w:val="105"/>
          <w:sz w:val="20"/>
        </w:rPr>
        <w:t>effectively</w:t>
      </w:r>
      <w:r>
        <w:rPr>
          <w:i/>
          <w:spacing w:val="-8"/>
          <w:w w:val="105"/>
          <w:sz w:val="20"/>
        </w:rPr>
        <w:t> </w:t>
      </w:r>
      <w:r>
        <w:rPr>
          <w:i/>
          <w:spacing w:val="-2"/>
          <w:w w:val="105"/>
          <w:sz w:val="20"/>
        </w:rPr>
        <w:t>doubled</w:t>
      </w:r>
      <w:r>
        <w:rPr>
          <w:i/>
          <w:spacing w:val="-8"/>
          <w:w w:val="105"/>
          <w:sz w:val="20"/>
        </w:rPr>
        <w:t> </w:t>
      </w:r>
      <w:r>
        <w:rPr>
          <w:i/>
          <w:spacing w:val="-2"/>
          <w:w w:val="105"/>
          <w:sz w:val="20"/>
        </w:rPr>
        <w:t>in</w:t>
      </w:r>
      <w:r>
        <w:rPr>
          <w:i/>
          <w:spacing w:val="-8"/>
          <w:w w:val="105"/>
          <w:sz w:val="20"/>
        </w:rPr>
        <w:t> </w:t>
      </w:r>
      <w:r>
        <w:rPr>
          <w:i/>
          <w:spacing w:val="-2"/>
          <w:w w:val="105"/>
          <w:sz w:val="20"/>
        </w:rPr>
        <w:t>nominal</w:t>
      </w:r>
      <w:r>
        <w:rPr>
          <w:i/>
          <w:spacing w:val="-7"/>
          <w:w w:val="105"/>
          <w:sz w:val="20"/>
        </w:rPr>
        <w:t> </w:t>
      </w:r>
      <w:r>
        <w:rPr>
          <w:i/>
          <w:spacing w:val="-2"/>
          <w:w w:val="105"/>
          <w:sz w:val="20"/>
        </w:rPr>
        <w:t>terms</w:t>
      </w:r>
      <w:r>
        <w:rPr>
          <w:i/>
          <w:spacing w:val="-8"/>
          <w:w w:val="105"/>
          <w:sz w:val="20"/>
        </w:rPr>
        <w:t> </w:t>
      </w:r>
      <w:r>
        <w:rPr>
          <w:i/>
          <w:spacing w:val="-2"/>
          <w:w w:val="105"/>
          <w:sz w:val="20"/>
        </w:rPr>
        <w:t>between</w:t>
      </w:r>
      <w:r>
        <w:rPr>
          <w:i/>
          <w:spacing w:val="-8"/>
          <w:w w:val="105"/>
          <w:sz w:val="20"/>
        </w:rPr>
        <w:t> </w:t>
      </w:r>
      <w:r>
        <w:rPr>
          <w:i/>
          <w:spacing w:val="-2"/>
          <w:w w:val="105"/>
          <w:sz w:val="20"/>
        </w:rPr>
        <w:t>2015 and</w:t>
      </w:r>
      <w:r>
        <w:rPr>
          <w:i/>
          <w:spacing w:val="-8"/>
          <w:w w:val="105"/>
          <w:sz w:val="20"/>
        </w:rPr>
        <w:t> </w:t>
      </w:r>
      <w:r>
        <w:rPr>
          <w:i/>
          <w:spacing w:val="-2"/>
          <w:w w:val="105"/>
          <w:sz w:val="20"/>
        </w:rPr>
        <w:t>2021—from</w:t>
      </w:r>
      <w:r>
        <w:rPr>
          <w:i/>
          <w:spacing w:val="-8"/>
          <w:w w:val="105"/>
          <w:sz w:val="20"/>
        </w:rPr>
        <w:t> </w:t>
      </w:r>
      <w:r>
        <w:rPr>
          <w:i/>
          <w:spacing w:val="-2"/>
          <w:w w:val="105"/>
          <w:sz w:val="20"/>
        </w:rPr>
        <w:t>$644</w:t>
      </w:r>
      <w:r>
        <w:rPr>
          <w:i/>
          <w:spacing w:val="-8"/>
          <w:w w:val="105"/>
          <w:sz w:val="20"/>
        </w:rPr>
        <w:t> </w:t>
      </w:r>
      <w:r>
        <w:rPr>
          <w:i/>
          <w:spacing w:val="-2"/>
          <w:w w:val="105"/>
          <w:sz w:val="20"/>
        </w:rPr>
        <w:t>billion</w:t>
      </w:r>
      <w:r>
        <w:rPr>
          <w:i/>
          <w:spacing w:val="-8"/>
          <w:w w:val="105"/>
          <w:sz w:val="20"/>
        </w:rPr>
        <w:t> </w:t>
      </w:r>
      <w:r>
        <w:rPr>
          <w:i/>
          <w:spacing w:val="-2"/>
          <w:w w:val="105"/>
          <w:sz w:val="20"/>
        </w:rPr>
        <w:t>to</w:t>
      </w:r>
      <w:r>
        <w:rPr>
          <w:i/>
          <w:spacing w:val="-8"/>
          <w:w w:val="105"/>
          <w:sz w:val="20"/>
        </w:rPr>
        <w:t> </w:t>
      </w:r>
      <w:r>
        <w:rPr>
          <w:i/>
          <w:spacing w:val="-2"/>
          <w:w w:val="105"/>
          <w:sz w:val="20"/>
        </w:rPr>
        <w:t>$1.16</w:t>
      </w:r>
      <w:r>
        <w:rPr>
          <w:i/>
          <w:spacing w:val="-8"/>
          <w:w w:val="105"/>
          <w:sz w:val="20"/>
        </w:rPr>
        <w:t> </w:t>
      </w:r>
      <w:r>
        <w:rPr>
          <w:i/>
          <w:spacing w:val="-2"/>
          <w:w w:val="105"/>
          <w:sz w:val="20"/>
        </w:rPr>
        <w:t>trillion.</w:t>
      </w:r>
      <w:r>
        <w:rPr>
          <w:i/>
          <w:spacing w:val="-8"/>
          <w:w w:val="105"/>
          <w:sz w:val="20"/>
        </w:rPr>
        <w:t> </w:t>
      </w:r>
      <w:r>
        <w:rPr>
          <w:spacing w:val="-2"/>
          <w:w w:val="105"/>
          <w:sz w:val="20"/>
        </w:rPr>
        <w:t>This</w:t>
      </w:r>
      <w:r>
        <w:rPr>
          <w:spacing w:val="-8"/>
          <w:w w:val="105"/>
          <w:sz w:val="20"/>
        </w:rPr>
        <w:t> </w:t>
      </w:r>
      <w:r>
        <w:rPr>
          <w:spacing w:val="-2"/>
          <w:w w:val="105"/>
          <w:sz w:val="20"/>
        </w:rPr>
        <w:t>measure</w:t>
      </w:r>
      <w:r>
        <w:rPr>
          <w:spacing w:val="-8"/>
          <w:w w:val="105"/>
          <w:sz w:val="20"/>
        </w:rPr>
        <w:t> </w:t>
      </w:r>
      <w:r>
        <w:rPr>
          <w:spacing w:val="-2"/>
          <w:w w:val="105"/>
          <w:sz w:val="20"/>
        </w:rPr>
        <w:t>of</w:t>
      </w:r>
      <w:r>
        <w:rPr>
          <w:spacing w:val="-8"/>
          <w:w w:val="105"/>
          <w:sz w:val="20"/>
        </w:rPr>
        <w:t> </w:t>
      </w:r>
      <w:r>
        <w:rPr>
          <w:spacing w:val="-2"/>
          <w:w w:val="105"/>
          <w:sz w:val="20"/>
        </w:rPr>
        <w:t>the</w:t>
      </w:r>
      <w:r>
        <w:rPr>
          <w:spacing w:val="-8"/>
          <w:w w:val="105"/>
          <w:sz w:val="20"/>
        </w:rPr>
        <w:t> </w:t>
      </w:r>
      <w:r>
        <w:rPr>
          <w:spacing w:val="-2"/>
          <w:w w:val="105"/>
          <w:sz w:val="20"/>
        </w:rPr>
        <w:t>stock</w:t>
      </w:r>
      <w:r>
        <w:rPr>
          <w:spacing w:val="-8"/>
          <w:w w:val="105"/>
          <w:sz w:val="20"/>
        </w:rPr>
        <w:t> </w:t>
      </w:r>
      <w:r>
        <w:rPr>
          <w:spacing w:val="-2"/>
          <w:w w:val="105"/>
          <w:sz w:val="20"/>
        </w:rPr>
        <w:t>of</w:t>
      </w:r>
      <w:r>
        <w:rPr>
          <w:spacing w:val="-8"/>
          <w:w w:val="105"/>
          <w:sz w:val="20"/>
        </w:rPr>
        <w:t> </w:t>
      </w:r>
      <w:r>
        <w:rPr>
          <w:spacing w:val="-2"/>
          <w:w w:val="105"/>
          <w:sz w:val="20"/>
        </w:rPr>
        <w:t>LIC</w:t>
      </w:r>
      <w:r>
        <w:rPr>
          <w:spacing w:val="-8"/>
          <w:w w:val="105"/>
          <w:sz w:val="20"/>
        </w:rPr>
        <w:t> </w:t>
      </w:r>
      <w:r>
        <w:rPr>
          <w:spacing w:val="-2"/>
          <w:w w:val="105"/>
          <w:sz w:val="20"/>
        </w:rPr>
        <w:t>and</w:t>
      </w:r>
      <w:r>
        <w:rPr>
          <w:spacing w:val="-8"/>
          <w:w w:val="105"/>
          <w:sz w:val="20"/>
        </w:rPr>
        <w:t> </w:t>
      </w:r>
      <w:r>
        <w:rPr>
          <w:spacing w:val="-2"/>
          <w:w w:val="105"/>
          <w:sz w:val="20"/>
        </w:rPr>
        <w:t>MIC</w:t>
      </w:r>
      <w:r>
        <w:rPr>
          <w:spacing w:val="-8"/>
          <w:w w:val="105"/>
          <w:sz w:val="20"/>
        </w:rPr>
        <w:t> </w:t>
      </w:r>
      <w:r>
        <w:rPr>
          <w:spacing w:val="-2"/>
          <w:w w:val="105"/>
          <w:sz w:val="20"/>
        </w:rPr>
        <w:t>debt</w:t>
      </w:r>
      <w:r>
        <w:rPr>
          <w:spacing w:val="-8"/>
          <w:w w:val="105"/>
          <w:sz w:val="20"/>
        </w:rPr>
        <w:t> </w:t>
      </w:r>
      <w:r>
        <w:rPr>
          <w:spacing w:val="-2"/>
          <w:w w:val="105"/>
          <w:sz w:val="20"/>
        </w:rPr>
        <w:t>to Chinese</w:t>
      </w:r>
      <w:r>
        <w:rPr>
          <w:spacing w:val="-9"/>
          <w:w w:val="105"/>
          <w:sz w:val="20"/>
        </w:rPr>
        <w:t> </w:t>
      </w:r>
      <w:r>
        <w:rPr>
          <w:spacing w:val="-2"/>
          <w:w w:val="105"/>
          <w:sz w:val="20"/>
        </w:rPr>
        <w:t>banks</w:t>
      </w:r>
      <w:r>
        <w:rPr>
          <w:spacing w:val="-9"/>
          <w:w w:val="105"/>
          <w:sz w:val="20"/>
        </w:rPr>
        <w:t> </w:t>
      </w:r>
      <w:r>
        <w:rPr>
          <w:spacing w:val="-2"/>
          <w:w w:val="105"/>
          <w:sz w:val="20"/>
        </w:rPr>
        <w:t>is</w:t>
      </w:r>
      <w:r>
        <w:rPr>
          <w:spacing w:val="-9"/>
          <w:w w:val="105"/>
          <w:sz w:val="20"/>
        </w:rPr>
        <w:t> </w:t>
      </w:r>
      <w:r>
        <w:rPr>
          <w:spacing w:val="-2"/>
          <w:w w:val="105"/>
          <w:sz w:val="20"/>
        </w:rPr>
        <w:t>remarkably</w:t>
      </w:r>
      <w:r>
        <w:rPr>
          <w:spacing w:val="-9"/>
          <w:w w:val="105"/>
          <w:sz w:val="20"/>
        </w:rPr>
        <w:t> </w:t>
      </w:r>
      <w:r>
        <w:rPr>
          <w:spacing w:val="-2"/>
          <w:w w:val="105"/>
          <w:sz w:val="20"/>
        </w:rPr>
        <w:t>similar</w:t>
      </w:r>
      <w:r>
        <w:rPr>
          <w:spacing w:val="-9"/>
          <w:w w:val="105"/>
          <w:sz w:val="20"/>
        </w:rPr>
        <w:t> </w:t>
      </w:r>
      <w:r>
        <w:rPr>
          <w:spacing w:val="-2"/>
          <w:w w:val="105"/>
          <w:sz w:val="20"/>
        </w:rPr>
        <w:t>to</w:t>
      </w:r>
      <w:r>
        <w:rPr>
          <w:spacing w:val="-9"/>
          <w:w w:val="105"/>
          <w:sz w:val="20"/>
        </w:rPr>
        <w:t> </w:t>
      </w:r>
      <w:r>
        <w:rPr>
          <w:spacing w:val="-2"/>
          <w:w w:val="105"/>
          <w:sz w:val="20"/>
        </w:rPr>
        <w:t>our</w:t>
      </w:r>
      <w:r>
        <w:rPr>
          <w:spacing w:val="-9"/>
          <w:w w:val="105"/>
          <w:sz w:val="20"/>
        </w:rPr>
        <w:t> </w:t>
      </w:r>
      <w:r>
        <w:rPr>
          <w:spacing w:val="-2"/>
          <w:w w:val="105"/>
          <w:sz w:val="20"/>
        </w:rPr>
        <w:t>own</w:t>
      </w:r>
      <w:r>
        <w:rPr>
          <w:spacing w:val="-9"/>
          <w:w w:val="105"/>
          <w:sz w:val="20"/>
        </w:rPr>
        <w:t> </w:t>
      </w:r>
      <w:r>
        <w:rPr>
          <w:spacing w:val="-2"/>
          <w:w w:val="105"/>
          <w:sz w:val="20"/>
        </w:rPr>
        <w:t>measure</w:t>
      </w:r>
      <w:r>
        <w:rPr>
          <w:spacing w:val="-9"/>
          <w:w w:val="105"/>
          <w:sz w:val="20"/>
        </w:rPr>
        <w:t> </w:t>
      </w:r>
      <w:r>
        <w:rPr>
          <w:spacing w:val="-2"/>
          <w:w w:val="105"/>
          <w:sz w:val="20"/>
        </w:rPr>
        <w:t>of</w:t>
      </w:r>
      <w:r>
        <w:rPr>
          <w:spacing w:val="-9"/>
          <w:w w:val="105"/>
          <w:sz w:val="20"/>
        </w:rPr>
        <w:t> </w:t>
      </w:r>
      <w:r>
        <w:rPr>
          <w:spacing w:val="-2"/>
          <w:w w:val="105"/>
          <w:sz w:val="20"/>
        </w:rPr>
        <w:t>the</w:t>
      </w:r>
      <w:r>
        <w:rPr>
          <w:spacing w:val="-9"/>
          <w:w w:val="105"/>
          <w:sz w:val="20"/>
        </w:rPr>
        <w:t> </w:t>
      </w:r>
      <w:r>
        <w:rPr>
          <w:spacing w:val="-2"/>
          <w:w w:val="105"/>
          <w:sz w:val="20"/>
        </w:rPr>
        <w:t>stock</w:t>
      </w:r>
      <w:r>
        <w:rPr>
          <w:spacing w:val="-9"/>
          <w:w w:val="105"/>
          <w:sz w:val="20"/>
        </w:rPr>
        <w:t> </w:t>
      </w:r>
      <w:r>
        <w:rPr>
          <w:spacing w:val="-2"/>
          <w:w w:val="105"/>
          <w:sz w:val="20"/>
        </w:rPr>
        <w:t>of</w:t>
      </w:r>
      <w:r>
        <w:rPr>
          <w:spacing w:val="-9"/>
          <w:w w:val="105"/>
          <w:sz w:val="20"/>
        </w:rPr>
        <w:t> </w:t>
      </w:r>
      <w:r>
        <w:rPr>
          <w:spacing w:val="-2"/>
          <w:w w:val="105"/>
          <w:sz w:val="20"/>
        </w:rPr>
        <w:t>LIC</w:t>
      </w:r>
      <w:r>
        <w:rPr>
          <w:spacing w:val="-9"/>
          <w:w w:val="105"/>
          <w:sz w:val="20"/>
        </w:rPr>
        <w:t> </w:t>
      </w:r>
      <w:r>
        <w:rPr>
          <w:spacing w:val="-2"/>
          <w:w w:val="105"/>
          <w:sz w:val="20"/>
        </w:rPr>
        <w:t>and</w:t>
      </w:r>
      <w:r>
        <w:rPr>
          <w:spacing w:val="-9"/>
          <w:w w:val="105"/>
          <w:sz w:val="20"/>
        </w:rPr>
        <w:t> </w:t>
      </w:r>
      <w:r>
        <w:rPr>
          <w:spacing w:val="-2"/>
          <w:w w:val="105"/>
          <w:sz w:val="20"/>
        </w:rPr>
        <w:t>MIC</w:t>
      </w:r>
      <w:r>
        <w:rPr>
          <w:spacing w:val="-9"/>
          <w:w w:val="105"/>
          <w:sz w:val="20"/>
        </w:rPr>
        <w:t> </w:t>
      </w:r>
      <w:r>
        <w:rPr>
          <w:spacing w:val="-2"/>
          <w:w w:val="105"/>
          <w:sz w:val="20"/>
        </w:rPr>
        <w:t>debt</w:t>
      </w:r>
      <w:r>
        <w:rPr>
          <w:spacing w:val="-9"/>
          <w:w w:val="105"/>
          <w:sz w:val="20"/>
        </w:rPr>
        <w:t> </w:t>
      </w:r>
      <w:r>
        <w:rPr>
          <w:spacing w:val="-2"/>
          <w:w w:val="105"/>
          <w:sz w:val="20"/>
        </w:rPr>
        <w:t>to </w:t>
      </w:r>
      <w:r>
        <w:rPr>
          <w:sz w:val="20"/>
        </w:rPr>
        <w:t>Chinese banks.</w:t>
      </w:r>
      <w:r>
        <w:rPr>
          <w:sz w:val="20"/>
          <w:vertAlign w:val="superscript"/>
        </w:rPr>
        <w:t>94</w:t>
      </w:r>
      <w:r>
        <w:rPr>
          <w:sz w:val="20"/>
          <w:vertAlign w:val="baseline"/>
        </w:rPr>
        <w:t> According to the 3.0 version of AidData’s GCDF dataset, China’s cumulative overseas lending commitments to LIC and MICs increased in nominal terms from $620 billion in </w:t>
      </w:r>
      <w:r>
        <w:rPr>
          <w:w w:val="105"/>
          <w:sz w:val="20"/>
          <w:vertAlign w:val="baseline"/>
        </w:rPr>
        <w:t>2015 to $1.03 trillion in 2021.</w:t>
      </w:r>
      <w:r>
        <w:rPr>
          <w:w w:val="105"/>
          <w:sz w:val="20"/>
          <w:vertAlign w:val="superscript"/>
        </w:rPr>
        <w:t>95</w:t>
      </w:r>
    </w:p>
    <w:p>
      <w:pPr>
        <w:pStyle w:val="BodyText"/>
        <w:spacing w:before="3"/>
        <w:rPr>
          <w:sz w:val="21"/>
        </w:rPr>
      </w:pPr>
    </w:p>
    <w:p>
      <w:pPr>
        <w:spacing w:line="300" w:lineRule="auto" w:before="0"/>
        <w:ind w:left="760" w:right="826" w:firstLine="0"/>
        <w:jc w:val="left"/>
        <w:rPr>
          <w:sz w:val="20"/>
        </w:rPr>
      </w:pPr>
      <w:r>
        <w:rPr>
          <w:spacing w:val="-2"/>
          <w:w w:val="105"/>
          <w:sz w:val="20"/>
        </w:rPr>
        <w:t>Table</w:t>
      </w:r>
      <w:r>
        <w:rPr>
          <w:spacing w:val="-7"/>
          <w:w w:val="105"/>
          <w:sz w:val="20"/>
        </w:rPr>
        <w:t> </w:t>
      </w:r>
      <w:r>
        <w:rPr>
          <w:spacing w:val="-2"/>
          <w:w w:val="105"/>
          <w:sz w:val="20"/>
        </w:rPr>
        <w:t>2.1</w:t>
      </w:r>
      <w:r>
        <w:rPr>
          <w:spacing w:val="-7"/>
          <w:w w:val="105"/>
          <w:sz w:val="20"/>
        </w:rPr>
        <w:t> </w:t>
      </w:r>
      <w:r>
        <w:rPr>
          <w:spacing w:val="-2"/>
          <w:w w:val="105"/>
          <w:sz w:val="20"/>
        </w:rPr>
        <w:t>provides</w:t>
      </w:r>
      <w:r>
        <w:rPr>
          <w:spacing w:val="-7"/>
          <w:w w:val="105"/>
          <w:sz w:val="20"/>
        </w:rPr>
        <w:t> </w:t>
      </w:r>
      <w:r>
        <w:rPr>
          <w:spacing w:val="-2"/>
          <w:w w:val="105"/>
          <w:sz w:val="20"/>
        </w:rPr>
        <w:t>several</w:t>
      </w:r>
      <w:r>
        <w:rPr>
          <w:spacing w:val="-6"/>
          <w:w w:val="105"/>
          <w:sz w:val="20"/>
        </w:rPr>
        <w:t> </w:t>
      </w:r>
      <w:r>
        <w:rPr>
          <w:spacing w:val="-2"/>
          <w:w w:val="105"/>
          <w:sz w:val="20"/>
        </w:rPr>
        <w:t>additional</w:t>
      </w:r>
      <w:r>
        <w:rPr>
          <w:spacing w:val="-6"/>
          <w:w w:val="105"/>
          <w:sz w:val="20"/>
        </w:rPr>
        <w:t> </w:t>
      </w:r>
      <w:r>
        <w:rPr>
          <w:spacing w:val="-2"/>
          <w:w w:val="105"/>
          <w:sz w:val="20"/>
        </w:rPr>
        <w:t>insights.</w:t>
      </w:r>
      <w:r>
        <w:rPr>
          <w:spacing w:val="-7"/>
          <w:w w:val="105"/>
          <w:sz w:val="20"/>
        </w:rPr>
        <w:t> </w:t>
      </w:r>
      <w:r>
        <w:rPr>
          <w:spacing w:val="-2"/>
          <w:w w:val="105"/>
          <w:sz w:val="20"/>
        </w:rPr>
        <w:t>One</w:t>
      </w:r>
      <w:r>
        <w:rPr>
          <w:spacing w:val="-7"/>
          <w:w w:val="105"/>
          <w:sz w:val="20"/>
        </w:rPr>
        <w:t> </w:t>
      </w:r>
      <w:r>
        <w:rPr>
          <w:spacing w:val="-2"/>
          <w:w w:val="105"/>
          <w:sz w:val="20"/>
        </w:rPr>
        <w:t>is</w:t>
      </w:r>
      <w:r>
        <w:rPr>
          <w:spacing w:val="-7"/>
          <w:w w:val="105"/>
          <w:sz w:val="20"/>
        </w:rPr>
        <w:t> </w:t>
      </w:r>
      <w:r>
        <w:rPr>
          <w:spacing w:val="-2"/>
          <w:w w:val="105"/>
          <w:sz w:val="20"/>
        </w:rPr>
        <w:t>that</w:t>
      </w:r>
      <w:r>
        <w:rPr>
          <w:spacing w:val="-7"/>
          <w:w w:val="105"/>
          <w:sz w:val="20"/>
        </w:rPr>
        <w:t> </w:t>
      </w:r>
      <w:r>
        <w:rPr>
          <w:spacing w:val="-2"/>
          <w:w w:val="105"/>
          <w:sz w:val="20"/>
        </w:rPr>
        <w:t>China’s</w:t>
      </w:r>
      <w:r>
        <w:rPr>
          <w:spacing w:val="-7"/>
          <w:w w:val="105"/>
          <w:sz w:val="20"/>
        </w:rPr>
        <w:t> </w:t>
      </w:r>
      <w:r>
        <w:rPr>
          <w:spacing w:val="-2"/>
          <w:w w:val="105"/>
          <w:sz w:val="20"/>
        </w:rPr>
        <w:t>total</w:t>
      </w:r>
      <w:r>
        <w:rPr>
          <w:spacing w:val="-6"/>
          <w:w w:val="105"/>
          <w:sz w:val="20"/>
        </w:rPr>
        <w:t> </w:t>
      </w:r>
      <w:r>
        <w:rPr>
          <w:spacing w:val="-2"/>
          <w:w w:val="105"/>
          <w:sz w:val="20"/>
        </w:rPr>
        <w:t>outstanding</w:t>
      </w:r>
      <w:r>
        <w:rPr>
          <w:spacing w:val="-7"/>
          <w:w w:val="105"/>
          <w:sz w:val="20"/>
        </w:rPr>
        <w:t> </w:t>
      </w:r>
      <w:r>
        <w:rPr>
          <w:spacing w:val="-2"/>
          <w:w w:val="105"/>
          <w:sz w:val="20"/>
        </w:rPr>
        <w:t>credit</w:t>
      </w:r>
      <w:r>
        <w:rPr>
          <w:spacing w:val="-7"/>
          <w:w w:val="105"/>
          <w:sz w:val="20"/>
        </w:rPr>
        <w:t> </w:t>
      </w:r>
      <w:r>
        <w:rPr>
          <w:spacing w:val="-2"/>
          <w:w w:val="105"/>
          <w:sz w:val="20"/>
        </w:rPr>
        <w:t>to</w:t>
      </w:r>
      <w:r>
        <w:rPr>
          <w:spacing w:val="-2"/>
          <w:w w:val="105"/>
          <w:sz w:val="20"/>
        </w:rPr>
        <w:t> </w:t>
      </w:r>
      <w:r>
        <w:rPr>
          <w:w w:val="105"/>
          <w:sz w:val="20"/>
        </w:rPr>
        <w:t>LICs,</w:t>
      </w:r>
      <w:r>
        <w:rPr>
          <w:spacing w:val="-15"/>
          <w:w w:val="105"/>
          <w:sz w:val="20"/>
        </w:rPr>
        <w:t> </w:t>
      </w:r>
      <w:r>
        <w:rPr>
          <w:w w:val="105"/>
          <w:sz w:val="20"/>
        </w:rPr>
        <w:t>MICs,</w:t>
      </w:r>
      <w:r>
        <w:rPr>
          <w:spacing w:val="-15"/>
          <w:w w:val="105"/>
          <w:sz w:val="20"/>
        </w:rPr>
        <w:t> </w:t>
      </w:r>
      <w:r>
        <w:rPr>
          <w:w w:val="105"/>
          <w:sz w:val="20"/>
        </w:rPr>
        <w:t>and</w:t>
      </w:r>
      <w:r>
        <w:rPr>
          <w:spacing w:val="-14"/>
          <w:w w:val="105"/>
          <w:sz w:val="20"/>
        </w:rPr>
        <w:t> </w:t>
      </w:r>
      <w:r>
        <w:rPr>
          <w:w w:val="105"/>
          <w:sz w:val="20"/>
        </w:rPr>
        <w:t>HICs</w:t>
      </w:r>
      <w:r>
        <w:rPr>
          <w:spacing w:val="-15"/>
          <w:w w:val="105"/>
          <w:sz w:val="20"/>
        </w:rPr>
        <w:t> </w:t>
      </w:r>
      <w:r>
        <w:rPr>
          <w:w w:val="105"/>
          <w:sz w:val="20"/>
        </w:rPr>
        <w:t>soared</w:t>
      </w:r>
      <w:r>
        <w:rPr>
          <w:spacing w:val="-14"/>
          <w:w w:val="105"/>
          <w:sz w:val="20"/>
        </w:rPr>
        <w:t> </w:t>
      </w:r>
      <w:r>
        <w:rPr>
          <w:w w:val="105"/>
          <w:sz w:val="20"/>
        </w:rPr>
        <w:t>from</w:t>
      </w:r>
      <w:r>
        <w:rPr>
          <w:spacing w:val="-15"/>
          <w:w w:val="105"/>
          <w:sz w:val="20"/>
        </w:rPr>
        <w:t> </w:t>
      </w:r>
      <w:r>
        <w:rPr>
          <w:w w:val="105"/>
          <w:sz w:val="20"/>
        </w:rPr>
        <w:t>$1.45</w:t>
      </w:r>
      <w:r>
        <w:rPr>
          <w:spacing w:val="-15"/>
          <w:w w:val="105"/>
          <w:sz w:val="20"/>
        </w:rPr>
        <w:t> </w:t>
      </w:r>
      <w:r>
        <w:rPr>
          <w:w w:val="105"/>
          <w:sz w:val="20"/>
        </w:rPr>
        <w:t>trillion</w:t>
      </w:r>
      <w:r>
        <w:rPr>
          <w:spacing w:val="-14"/>
          <w:w w:val="105"/>
          <w:sz w:val="20"/>
        </w:rPr>
        <w:t> </w:t>
      </w:r>
      <w:r>
        <w:rPr>
          <w:w w:val="105"/>
          <w:sz w:val="20"/>
        </w:rPr>
        <w:t>in</w:t>
      </w:r>
      <w:r>
        <w:rPr>
          <w:spacing w:val="-15"/>
          <w:w w:val="105"/>
          <w:sz w:val="20"/>
        </w:rPr>
        <w:t> </w:t>
      </w:r>
      <w:r>
        <w:rPr>
          <w:w w:val="105"/>
          <w:sz w:val="20"/>
        </w:rPr>
        <w:t>2015</w:t>
      </w:r>
      <w:r>
        <w:rPr>
          <w:spacing w:val="-14"/>
          <w:w w:val="105"/>
          <w:sz w:val="20"/>
        </w:rPr>
        <w:t> </w:t>
      </w:r>
      <w:r>
        <w:rPr>
          <w:w w:val="105"/>
          <w:sz w:val="20"/>
        </w:rPr>
        <w:t>to</w:t>
      </w:r>
      <w:r>
        <w:rPr>
          <w:spacing w:val="-15"/>
          <w:w w:val="105"/>
          <w:sz w:val="20"/>
        </w:rPr>
        <w:t> </w:t>
      </w:r>
      <w:r>
        <w:rPr>
          <w:w w:val="105"/>
          <w:sz w:val="20"/>
        </w:rPr>
        <w:t>$2.63</w:t>
      </w:r>
      <w:r>
        <w:rPr>
          <w:spacing w:val="-15"/>
          <w:w w:val="105"/>
          <w:sz w:val="20"/>
        </w:rPr>
        <w:t> </w:t>
      </w:r>
      <w:r>
        <w:rPr>
          <w:w w:val="105"/>
          <w:sz w:val="20"/>
        </w:rPr>
        <w:t>trillion</w:t>
      </w:r>
      <w:r>
        <w:rPr>
          <w:spacing w:val="-14"/>
          <w:w w:val="105"/>
          <w:sz w:val="20"/>
        </w:rPr>
        <w:t> </w:t>
      </w:r>
      <w:r>
        <w:rPr>
          <w:w w:val="105"/>
          <w:sz w:val="20"/>
        </w:rPr>
        <w:t>in</w:t>
      </w:r>
      <w:r>
        <w:rPr>
          <w:spacing w:val="-15"/>
          <w:w w:val="105"/>
          <w:sz w:val="20"/>
        </w:rPr>
        <w:t> </w:t>
      </w:r>
      <w:r>
        <w:rPr>
          <w:w w:val="105"/>
          <w:sz w:val="20"/>
        </w:rPr>
        <w:t>2021.</w:t>
      </w:r>
      <w:r>
        <w:rPr>
          <w:spacing w:val="-14"/>
          <w:w w:val="105"/>
          <w:sz w:val="20"/>
        </w:rPr>
        <w:t> </w:t>
      </w:r>
      <w:r>
        <w:rPr>
          <w:w w:val="105"/>
          <w:sz w:val="20"/>
        </w:rPr>
        <w:t>Another</w:t>
      </w:r>
      <w:r>
        <w:rPr>
          <w:spacing w:val="-15"/>
          <w:w w:val="105"/>
          <w:sz w:val="20"/>
        </w:rPr>
        <w:t> </w:t>
      </w:r>
      <w:r>
        <w:rPr>
          <w:w w:val="105"/>
          <w:sz w:val="20"/>
        </w:rPr>
        <w:t>is</w:t>
      </w:r>
      <w:r>
        <w:rPr>
          <w:spacing w:val="-14"/>
          <w:w w:val="105"/>
          <w:sz w:val="20"/>
        </w:rPr>
        <w:t> </w:t>
      </w:r>
      <w:r>
        <w:rPr>
          <w:w w:val="105"/>
          <w:sz w:val="20"/>
        </w:rPr>
        <w:t>that </w:t>
      </w:r>
      <w:r>
        <w:rPr>
          <w:sz w:val="20"/>
        </w:rPr>
        <w:t>total outstanding credit from Chinese banks to HIC borrowers effectively doubled over the same </w:t>
      </w:r>
      <w:r>
        <w:rPr>
          <w:w w:val="105"/>
          <w:sz w:val="20"/>
        </w:rPr>
        <w:t>six-year</w:t>
      </w:r>
      <w:r>
        <w:rPr>
          <w:spacing w:val="-15"/>
          <w:w w:val="105"/>
          <w:sz w:val="20"/>
        </w:rPr>
        <w:t> </w:t>
      </w:r>
      <w:r>
        <w:rPr>
          <w:w w:val="105"/>
          <w:sz w:val="20"/>
        </w:rPr>
        <w:t>period.</w:t>
      </w:r>
      <w:r>
        <w:rPr>
          <w:spacing w:val="-15"/>
          <w:w w:val="105"/>
          <w:sz w:val="20"/>
        </w:rPr>
        <w:t> </w:t>
      </w:r>
      <w:r>
        <w:rPr>
          <w:w w:val="105"/>
          <w:sz w:val="20"/>
        </w:rPr>
        <w:t>Between</w:t>
      </w:r>
      <w:r>
        <w:rPr>
          <w:spacing w:val="-14"/>
          <w:w w:val="105"/>
          <w:sz w:val="20"/>
        </w:rPr>
        <w:t> </w:t>
      </w:r>
      <w:r>
        <w:rPr>
          <w:w w:val="105"/>
          <w:sz w:val="20"/>
        </w:rPr>
        <w:t>2015</w:t>
      </w:r>
      <w:r>
        <w:rPr>
          <w:spacing w:val="-15"/>
          <w:w w:val="105"/>
          <w:sz w:val="20"/>
        </w:rPr>
        <w:t> </w:t>
      </w:r>
      <w:r>
        <w:rPr>
          <w:w w:val="105"/>
          <w:sz w:val="20"/>
        </w:rPr>
        <w:t>and</w:t>
      </w:r>
      <w:r>
        <w:rPr>
          <w:spacing w:val="-14"/>
          <w:w w:val="105"/>
          <w:sz w:val="20"/>
        </w:rPr>
        <w:t> </w:t>
      </w:r>
      <w:r>
        <w:rPr>
          <w:w w:val="105"/>
          <w:sz w:val="20"/>
        </w:rPr>
        <w:t>2021,</w:t>
      </w:r>
      <w:r>
        <w:rPr>
          <w:spacing w:val="-15"/>
          <w:w w:val="105"/>
          <w:sz w:val="20"/>
        </w:rPr>
        <w:t> </w:t>
      </w:r>
      <w:r>
        <w:rPr>
          <w:w w:val="105"/>
          <w:sz w:val="20"/>
        </w:rPr>
        <w:t>this</w:t>
      </w:r>
      <w:r>
        <w:rPr>
          <w:spacing w:val="-15"/>
          <w:w w:val="105"/>
          <w:sz w:val="20"/>
        </w:rPr>
        <w:t> </w:t>
      </w:r>
      <w:r>
        <w:rPr>
          <w:w w:val="105"/>
          <w:sz w:val="20"/>
        </w:rPr>
        <w:t>ﬁgure</w:t>
      </w:r>
      <w:r>
        <w:rPr>
          <w:spacing w:val="-14"/>
          <w:w w:val="105"/>
          <w:sz w:val="20"/>
        </w:rPr>
        <w:t> </w:t>
      </w:r>
      <w:r>
        <w:rPr>
          <w:w w:val="105"/>
          <w:sz w:val="20"/>
        </w:rPr>
        <w:t>rose</w:t>
      </w:r>
      <w:r>
        <w:rPr>
          <w:spacing w:val="-15"/>
          <w:w w:val="105"/>
          <w:sz w:val="20"/>
        </w:rPr>
        <w:t> </w:t>
      </w:r>
      <w:r>
        <w:rPr>
          <w:w w:val="105"/>
          <w:sz w:val="20"/>
        </w:rPr>
        <w:t>from</w:t>
      </w:r>
      <w:r>
        <w:rPr>
          <w:spacing w:val="-14"/>
          <w:w w:val="105"/>
          <w:sz w:val="20"/>
        </w:rPr>
        <w:t> </w:t>
      </w:r>
      <w:r>
        <w:rPr>
          <w:w w:val="105"/>
          <w:sz w:val="20"/>
        </w:rPr>
        <w:t>approximately</w:t>
      </w:r>
      <w:r>
        <w:rPr>
          <w:spacing w:val="-15"/>
          <w:w w:val="105"/>
          <w:sz w:val="20"/>
        </w:rPr>
        <w:t> </w:t>
      </w:r>
      <w:r>
        <w:rPr>
          <w:w w:val="105"/>
          <w:sz w:val="20"/>
        </w:rPr>
        <w:t>$330</w:t>
      </w:r>
      <w:r>
        <w:rPr>
          <w:spacing w:val="-15"/>
          <w:w w:val="105"/>
          <w:sz w:val="20"/>
        </w:rPr>
        <w:t> </w:t>
      </w:r>
      <w:r>
        <w:rPr>
          <w:w w:val="105"/>
          <w:sz w:val="20"/>
        </w:rPr>
        <w:t>billion</w:t>
      </w:r>
      <w:r>
        <w:rPr>
          <w:spacing w:val="-14"/>
          <w:w w:val="105"/>
          <w:sz w:val="20"/>
        </w:rPr>
        <w:t> </w:t>
      </w:r>
      <w:r>
        <w:rPr>
          <w:w w:val="105"/>
          <w:sz w:val="20"/>
        </w:rPr>
        <w:t>to</w:t>
      </w:r>
    </w:p>
    <w:p>
      <w:pPr>
        <w:spacing w:line="300" w:lineRule="auto" w:before="2"/>
        <w:ind w:left="760" w:right="767" w:firstLine="0"/>
        <w:jc w:val="left"/>
        <w:rPr>
          <w:sz w:val="20"/>
        </w:rPr>
      </w:pPr>
      <w:r>
        <w:rPr>
          <w:w w:val="105"/>
          <w:sz w:val="20"/>
        </w:rPr>
        <w:t>$600</w:t>
      </w:r>
      <w:r>
        <w:rPr>
          <w:spacing w:val="-15"/>
          <w:w w:val="105"/>
          <w:sz w:val="20"/>
        </w:rPr>
        <w:t> </w:t>
      </w:r>
      <w:r>
        <w:rPr>
          <w:w w:val="105"/>
          <w:sz w:val="20"/>
        </w:rPr>
        <w:t>billion.</w:t>
      </w:r>
      <w:r>
        <w:rPr>
          <w:spacing w:val="-15"/>
          <w:w w:val="105"/>
          <w:sz w:val="20"/>
        </w:rPr>
        <w:t> </w:t>
      </w:r>
      <w:r>
        <w:rPr>
          <w:w w:val="105"/>
          <w:sz w:val="20"/>
        </w:rPr>
        <w:t>A</w:t>
      </w:r>
      <w:r>
        <w:rPr>
          <w:spacing w:val="-14"/>
          <w:w w:val="105"/>
          <w:sz w:val="20"/>
        </w:rPr>
        <w:t> </w:t>
      </w:r>
      <w:r>
        <w:rPr>
          <w:w w:val="105"/>
          <w:sz w:val="20"/>
        </w:rPr>
        <w:t>third</w:t>
      </w:r>
      <w:r>
        <w:rPr>
          <w:spacing w:val="-15"/>
          <w:w w:val="105"/>
          <w:sz w:val="20"/>
        </w:rPr>
        <w:t> </w:t>
      </w:r>
      <w:r>
        <w:rPr>
          <w:w w:val="105"/>
          <w:sz w:val="20"/>
        </w:rPr>
        <w:t>is</w:t>
      </w:r>
      <w:r>
        <w:rPr>
          <w:spacing w:val="-14"/>
          <w:w w:val="105"/>
          <w:sz w:val="20"/>
        </w:rPr>
        <w:t> </w:t>
      </w:r>
      <w:r>
        <w:rPr>
          <w:w w:val="105"/>
          <w:sz w:val="20"/>
        </w:rPr>
        <w:t>that</w:t>
      </w:r>
      <w:r>
        <w:rPr>
          <w:spacing w:val="-15"/>
          <w:w w:val="105"/>
          <w:sz w:val="20"/>
        </w:rPr>
        <w:t> </w:t>
      </w:r>
      <w:r>
        <w:rPr>
          <w:w w:val="105"/>
          <w:sz w:val="20"/>
        </w:rPr>
        <w:t>total</w:t>
      </w:r>
      <w:r>
        <w:rPr>
          <w:spacing w:val="-15"/>
          <w:w w:val="105"/>
          <w:sz w:val="20"/>
        </w:rPr>
        <w:t> </w:t>
      </w:r>
      <w:r>
        <w:rPr>
          <w:w w:val="105"/>
          <w:sz w:val="20"/>
        </w:rPr>
        <w:t>outstanding</w:t>
      </w:r>
      <w:r>
        <w:rPr>
          <w:spacing w:val="-14"/>
          <w:w w:val="105"/>
          <w:sz w:val="20"/>
        </w:rPr>
        <w:t> </w:t>
      </w:r>
      <w:r>
        <w:rPr>
          <w:w w:val="105"/>
          <w:sz w:val="20"/>
        </w:rPr>
        <w:t>credit</w:t>
      </w:r>
      <w:r>
        <w:rPr>
          <w:spacing w:val="-15"/>
          <w:w w:val="105"/>
          <w:sz w:val="20"/>
        </w:rPr>
        <w:t> </w:t>
      </w:r>
      <w:r>
        <w:rPr>
          <w:w w:val="105"/>
          <w:sz w:val="20"/>
        </w:rPr>
        <w:t>from</w:t>
      </w:r>
      <w:r>
        <w:rPr>
          <w:spacing w:val="-14"/>
          <w:w w:val="105"/>
          <w:sz w:val="20"/>
        </w:rPr>
        <w:t> </w:t>
      </w:r>
      <w:r>
        <w:rPr>
          <w:w w:val="105"/>
          <w:sz w:val="20"/>
        </w:rPr>
        <w:t>Chinese</w:t>
      </w:r>
      <w:r>
        <w:rPr>
          <w:spacing w:val="-15"/>
          <w:w w:val="105"/>
          <w:sz w:val="20"/>
        </w:rPr>
        <w:t> </w:t>
      </w:r>
      <w:r>
        <w:rPr>
          <w:w w:val="105"/>
          <w:sz w:val="20"/>
        </w:rPr>
        <w:t>banks</w:t>
      </w:r>
      <w:r>
        <w:rPr>
          <w:spacing w:val="-15"/>
          <w:w w:val="105"/>
          <w:sz w:val="20"/>
        </w:rPr>
        <w:t> </w:t>
      </w:r>
      <w:r>
        <w:rPr>
          <w:w w:val="105"/>
          <w:sz w:val="20"/>
        </w:rPr>
        <w:t>to</w:t>
      </w:r>
      <w:r>
        <w:rPr>
          <w:spacing w:val="-14"/>
          <w:w w:val="105"/>
          <w:sz w:val="20"/>
        </w:rPr>
        <w:t> </w:t>
      </w:r>
      <w:r>
        <w:rPr>
          <w:w w:val="105"/>
          <w:sz w:val="20"/>
        </w:rPr>
        <w:t>“other”</w:t>
      </w:r>
      <w:r>
        <w:rPr>
          <w:spacing w:val="-15"/>
          <w:w w:val="105"/>
          <w:sz w:val="20"/>
        </w:rPr>
        <w:t> </w:t>
      </w:r>
      <w:r>
        <w:rPr>
          <w:w w:val="105"/>
          <w:sz w:val="20"/>
        </w:rPr>
        <w:t>borrowers increased</w:t>
      </w:r>
      <w:r>
        <w:rPr>
          <w:spacing w:val="-8"/>
          <w:w w:val="105"/>
          <w:sz w:val="20"/>
        </w:rPr>
        <w:t> </w:t>
      </w:r>
      <w:r>
        <w:rPr>
          <w:w w:val="105"/>
          <w:sz w:val="20"/>
        </w:rPr>
        <w:t>from</w:t>
      </w:r>
      <w:r>
        <w:rPr>
          <w:spacing w:val="-8"/>
          <w:w w:val="105"/>
          <w:sz w:val="20"/>
        </w:rPr>
        <w:t> </w:t>
      </w:r>
      <w:r>
        <w:rPr>
          <w:w w:val="105"/>
          <w:sz w:val="20"/>
        </w:rPr>
        <w:t>$314.3</w:t>
      </w:r>
      <w:r>
        <w:rPr>
          <w:spacing w:val="-8"/>
          <w:w w:val="105"/>
          <w:sz w:val="20"/>
        </w:rPr>
        <w:t> </w:t>
      </w:r>
      <w:r>
        <w:rPr>
          <w:w w:val="105"/>
          <w:sz w:val="20"/>
        </w:rPr>
        <w:t>billion</w:t>
      </w:r>
      <w:r>
        <w:rPr>
          <w:spacing w:val="-8"/>
          <w:w w:val="105"/>
          <w:sz w:val="20"/>
        </w:rPr>
        <w:t> </w:t>
      </w:r>
      <w:r>
        <w:rPr>
          <w:w w:val="105"/>
          <w:sz w:val="20"/>
        </w:rPr>
        <w:t>in</w:t>
      </w:r>
      <w:r>
        <w:rPr>
          <w:spacing w:val="-8"/>
          <w:w w:val="105"/>
          <w:sz w:val="20"/>
        </w:rPr>
        <w:t> </w:t>
      </w:r>
      <w:r>
        <w:rPr>
          <w:w w:val="105"/>
          <w:sz w:val="20"/>
        </w:rPr>
        <w:t>2015</w:t>
      </w:r>
      <w:r>
        <w:rPr>
          <w:spacing w:val="-8"/>
          <w:w w:val="105"/>
          <w:sz w:val="20"/>
        </w:rPr>
        <w:t> </w:t>
      </w:r>
      <w:r>
        <w:rPr>
          <w:w w:val="105"/>
          <w:sz w:val="20"/>
        </w:rPr>
        <w:t>to</w:t>
      </w:r>
      <w:r>
        <w:rPr>
          <w:spacing w:val="-8"/>
          <w:w w:val="105"/>
          <w:sz w:val="20"/>
        </w:rPr>
        <w:t> </w:t>
      </w:r>
      <w:r>
        <w:rPr>
          <w:w w:val="105"/>
          <w:sz w:val="20"/>
        </w:rPr>
        <w:t>$568.3</w:t>
      </w:r>
      <w:r>
        <w:rPr>
          <w:spacing w:val="-8"/>
          <w:w w:val="105"/>
          <w:sz w:val="20"/>
        </w:rPr>
        <w:t> </w:t>
      </w:r>
      <w:r>
        <w:rPr>
          <w:w w:val="105"/>
          <w:sz w:val="20"/>
        </w:rPr>
        <w:t>billion</w:t>
      </w:r>
      <w:r>
        <w:rPr>
          <w:spacing w:val="-8"/>
          <w:w w:val="105"/>
          <w:sz w:val="20"/>
        </w:rPr>
        <w:t> </w:t>
      </w:r>
      <w:r>
        <w:rPr>
          <w:w w:val="105"/>
          <w:sz w:val="20"/>
        </w:rPr>
        <w:t>in</w:t>
      </w:r>
      <w:r>
        <w:rPr>
          <w:spacing w:val="-8"/>
          <w:w w:val="105"/>
          <w:sz w:val="20"/>
        </w:rPr>
        <w:t> </w:t>
      </w:r>
      <w:r>
        <w:rPr>
          <w:w w:val="105"/>
          <w:sz w:val="20"/>
        </w:rPr>
        <w:t>2021.</w:t>
      </w:r>
    </w:p>
    <w:p>
      <w:pPr>
        <w:pStyle w:val="BodyText"/>
        <w:rPr>
          <w:sz w:val="21"/>
        </w:rPr>
      </w:pPr>
    </w:p>
    <w:p>
      <w:pPr>
        <w:spacing w:line="300" w:lineRule="auto" w:before="0"/>
        <w:ind w:left="760" w:right="826" w:firstLine="0"/>
        <w:jc w:val="left"/>
        <w:rPr>
          <w:sz w:val="20"/>
        </w:rPr>
      </w:pPr>
      <w:r>
        <w:rPr>
          <w:sz w:val="20"/>
        </w:rPr>
        <w:t>While</w:t>
      </w:r>
      <w:r>
        <w:rPr>
          <w:spacing w:val="-2"/>
          <w:sz w:val="20"/>
        </w:rPr>
        <w:t> </w:t>
      </w:r>
      <w:r>
        <w:rPr>
          <w:sz w:val="20"/>
        </w:rPr>
        <w:t>the</w:t>
      </w:r>
      <w:r>
        <w:rPr>
          <w:spacing w:val="-2"/>
          <w:sz w:val="20"/>
        </w:rPr>
        <w:t> </w:t>
      </w:r>
      <w:r>
        <w:rPr>
          <w:sz w:val="20"/>
        </w:rPr>
        <w:t>LBS</w:t>
      </w:r>
      <w:r>
        <w:rPr>
          <w:spacing w:val="-2"/>
          <w:sz w:val="20"/>
        </w:rPr>
        <w:t> </w:t>
      </w:r>
      <w:r>
        <w:rPr>
          <w:sz w:val="20"/>
        </w:rPr>
        <w:t>data</w:t>
      </w:r>
      <w:r>
        <w:rPr>
          <w:spacing w:val="-2"/>
          <w:sz w:val="20"/>
        </w:rPr>
        <w:t> </w:t>
      </w:r>
      <w:r>
        <w:rPr>
          <w:sz w:val="20"/>
        </w:rPr>
        <w:t>from</w:t>
      </w:r>
      <w:r>
        <w:rPr>
          <w:spacing w:val="-2"/>
          <w:sz w:val="20"/>
        </w:rPr>
        <w:t> </w:t>
      </w:r>
      <w:r>
        <w:rPr>
          <w:sz w:val="20"/>
        </w:rPr>
        <w:t>the</w:t>
      </w:r>
      <w:r>
        <w:rPr>
          <w:spacing w:val="-2"/>
          <w:sz w:val="20"/>
        </w:rPr>
        <w:t> </w:t>
      </w:r>
      <w:r>
        <w:rPr>
          <w:sz w:val="20"/>
        </w:rPr>
        <w:t>BIS</w:t>
      </w:r>
      <w:r>
        <w:rPr>
          <w:spacing w:val="-2"/>
          <w:sz w:val="20"/>
        </w:rPr>
        <w:t> </w:t>
      </w:r>
      <w:r>
        <w:rPr>
          <w:sz w:val="20"/>
        </w:rPr>
        <w:t>are</w:t>
      </w:r>
      <w:r>
        <w:rPr>
          <w:spacing w:val="-2"/>
          <w:sz w:val="20"/>
        </w:rPr>
        <w:t> </w:t>
      </w:r>
      <w:r>
        <w:rPr>
          <w:sz w:val="20"/>
        </w:rPr>
        <w:t>extremely</w:t>
      </w:r>
      <w:r>
        <w:rPr>
          <w:spacing w:val="-2"/>
          <w:sz w:val="20"/>
        </w:rPr>
        <w:t> </w:t>
      </w:r>
      <w:r>
        <w:rPr>
          <w:sz w:val="20"/>
        </w:rPr>
        <w:t>valuable</w:t>
      </w:r>
      <w:r>
        <w:rPr>
          <w:spacing w:val="-2"/>
          <w:sz w:val="20"/>
        </w:rPr>
        <w:t> </w:t>
      </w:r>
      <w:r>
        <w:rPr>
          <w:sz w:val="20"/>
        </w:rPr>
        <w:t>for</w:t>
      </w:r>
      <w:r>
        <w:rPr>
          <w:spacing w:val="-2"/>
          <w:sz w:val="20"/>
        </w:rPr>
        <w:t> </w:t>
      </w:r>
      <w:r>
        <w:rPr>
          <w:sz w:val="20"/>
        </w:rPr>
        <w:t>cross-validation</w:t>
      </w:r>
      <w:r>
        <w:rPr>
          <w:spacing w:val="-2"/>
          <w:sz w:val="20"/>
        </w:rPr>
        <w:t> </w:t>
      </w:r>
      <w:r>
        <w:rPr>
          <w:sz w:val="20"/>
        </w:rPr>
        <w:t>purposes</w:t>
      </w:r>
      <w:r>
        <w:rPr>
          <w:spacing w:val="-2"/>
          <w:sz w:val="20"/>
        </w:rPr>
        <w:t> </w:t>
      </w:r>
      <w:r>
        <w:rPr>
          <w:sz w:val="20"/>
        </w:rPr>
        <w:t>(since</w:t>
      </w:r>
      <w:r>
        <w:rPr>
          <w:spacing w:val="-2"/>
          <w:sz w:val="20"/>
        </w:rPr>
        <w:t> </w:t>
      </w:r>
      <w:r>
        <w:rPr>
          <w:sz w:val="20"/>
        </w:rPr>
        <w:t>they provide credible estimates of total outstanding credit from Chinese banks to LIC, MICs, and HICs), they do not make it possible to track disbursements, repayments, and amounts outstanding on a loan-by-loan basis. AidData recently launched a new data collection initiative and research program to address this major evidentiary gap. For the time being, in the 3.0 version of the GCDF dataset, we have documented disbursements, repayments, and amounts outstanding in the “description” ﬁeld for a subset of countries. However, in the future, we intend</w:t>
      </w:r>
      <w:r>
        <w:rPr>
          <w:spacing w:val="40"/>
          <w:sz w:val="20"/>
        </w:rPr>
        <w:t> </w:t>
      </w:r>
      <w:r>
        <w:rPr>
          <w:sz w:val="20"/>
        </w:rPr>
        <w:t>to publish loan-level data on disbursements, repayments, and amounts outstanding for a more complete set of countries. We also intend to make these data available in a more user-friendly </w:t>
      </w:r>
      <w:r>
        <w:rPr>
          <w:spacing w:val="-2"/>
          <w:sz w:val="20"/>
        </w:rPr>
        <w:t>format.</w:t>
      </w:r>
    </w:p>
    <w:p>
      <w:pPr>
        <w:pStyle w:val="BodyText"/>
        <w:rPr>
          <w:sz w:val="20"/>
        </w:rPr>
      </w:pPr>
    </w:p>
    <w:p>
      <w:pPr>
        <w:pStyle w:val="BodyText"/>
        <w:rPr>
          <w:sz w:val="20"/>
        </w:rPr>
      </w:pPr>
    </w:p>
    <w:p>
      <w:pPr>
        <w:pStyle w:val="BodyText"/>
        <w:spacing w:before="6"/>
        <w:rPr>
          <w:sz w:val="12"/>
        </w:rPr>
      </w:pPr>
      <w:r>
        <w:rPr/>
        <w:pict>
          <v:shape style="position:absolute;margin-left:90pt;margin-top:8.418751pt;width:144pt;height:.1pt;mso-position-horizontal-relative:page;mso-position-vertical-relative:paragraph;z-index:-15723520;mso-wrap-distance-left:0;mso-wrap-distance-right:0" id="docshape11" coordorigin="1800,168" coordsize="2880,0" path="m1800,168l4680,168e" filled="false" stroked="true" strokeweight=".75pt" strokecolor="#000000">
            <v:path arrowok="t"/>
            <v:stroke dashstyle="solid"/>
            <w10:wrap type="topAndBottom"/>
          </v:shape>
        </w:pict>
      </w:r>
    </w:p>
    <w:p>
      <w:pPr>
        <w:spacing w:before="104"/>
        <w:ind w:left="760" w:right="0" w:firstLine="0"/>
        <w:jc w:val="left"/>
        <w:rPr>
          <w:sz w:val="18"/>
        </w:rPr>
      </w:pPr>
      <w:r>
        <w:rPr>
          <w:sz w:val="18"/>
          <w:vertAlign w:val="superscript"/>
        </w:rPr>
        <w:t>92</w:t>
      </w:r>
      <w:r>
        <w:rPr>
          <w:spacing w:val="1"/>
          <w:sz w:val="18"/>
          <w:vertAlign w:val="baseline"/>
        </w:rPr>
        <w:t> </w:t>
      </w:r>
      <w:r>
        <w:rPr>
          <w:sz w:val="18"/>
          <w:vertAlign w:val="baseline"/>
        </w:rPr>
        <w:t>On</w:t>
      </w:r>
      <w:r>
        <w:rPr>
          <w:spacing w:val="3"/>
          <w:sz w:val="18"/>
          <w:vertAlign w:val="baseline"/>
        </w:rPr>
        <w:t> </w:t>
      </w:r>
      <w:r>
        <w:rPr>
          <w:sz w:val="18"/>
          <w:vertAlign w:val="baseline"/>
        </w:rPr>
        <w:t>this</w:t>
      </w:r>
      <w:r>
        <w:rPr>
          <w:spacing w:val="3"/>
          <w:sz w:val="18"/>
          <w:vertAlign w:val="baseline"/>
        </w:rPr>
        <w:t> </w:t>
      </w:r>
      <w:r>
        <w:rPr>
          <w:sz w:val="18"/>
          <w:vertAlign w:val="baseline"/>
        </w:rPr>
        <w:t>point,</w:t>
      </w:r>
      <w:r>
        <w:rPr>
          <w:spacing w:val="3"/>
          <w:sz w:val="18"/>
          <w:vertAlign w:val="baseline"/>
        </w:rPr>
        <w:t> </w:t>
      </w:r>
      <w:r>
        <w:rPr>
          <w:sz w:val="18"/>
          <w:vertAlign w:val="baseline"/>
        </w:rPr>
        <w:t>see</w:t>
      </w:r>
      <w:r>
        <w:rPr>
          <w:spacing w:val="4"/>
          <w:sz w:val="18"/>
          <w:vertAlign w:val="baseline"/>
        </w:rPr>
        <w:t> </w:t>
      </w:r>
      <w:r>
        <w:rPr>
          <w:sz w:val="18"/>
          <w:vertAlign w:val="baseline"/>
        </w:rPr>
        <w:t>Zhou</w:t>
      </w:r>
      <w:r>
        <w:rPr>
          <w:spacing w:val="3"/>
          <w:sz w:val="18"/>
          <w:vertAlign w:val="baseline"/>
        </w:rPr>
        <w:t> </w:t>
      </w:r>
      <w:r>
        <w:rPr>
          <w:sz w:val="18"/>
          <w:vertAlign w:val="baseline"/>
        </w:rPr>
        <w:t>and</w:t>
      </w:r>
      <w:r>
        <w:rPr>
          <w:spacing w:val="3"/>
          <w:sz w:val="18"/>
          <w:vertAlign w:val="baseline"/>
        </w:rPr>
        <w:t> </w:t>
      </w:r>
      <w:r>
        <w:rPr>
          <w:sz w:val="18"/>
          <w:vertAlign w:val="baseline"/>
        </w:rPr>
        <w:t>Cerutti</w:t>
      </w:r>
      <w:r>
        <w:rPr>
          <w:spacing w:val="3"/>
          <w:sz w:val="18"/>
          <w:vertAlign w:val="baseline"/>
        </w:rPr>
        <w:t> </w:t>
      </w:r>
      <w:r>
        <w:rPr>
          <w:spacing w:val="-2"/>
          <w:sz w:val="18"/>
          <w:vertAlign w:val="baseline"/>
        </w:rPr>
        <w:t>2018.</w:t>
      </w:r>
    </w:p>
    <w:p>
      <w:pPr>
        <w:spacing w:line="249" w:lineRule="auto" w:before="9"/>
        <w:ind w:left="760" w:right="767" w:firstLine="0"/>
        <w:jc w:val="left"/>
        <w:rPr>
          <w:sz w:val="18"/>
        </w:rPr>
      </w:pPr>
      <w:r>
        <w:rPr>
          <w:sz w:val="18"/>
          <w:vertAlign w:val="superscript"/>
        </w:rPr>
        <w:t>93</w:t>
      </w:r>
      <w:r>
        <w:rPr>
          <w:sz w:val="18"/>
          <w:vertAlign w:val="baseline"/>
        </w:rPr>
        <w:t> BIS classiﬁes most HICs as “Advanced Economies” (AEs) and most LICs and MICs as Emerging Market and</w:t>
      </w:r>
      <w:r>
        <w:rPr>
          <w:spacing w:val="-6"/>
          <w:sz w:val="18"/>
          <w:vertAlign w:val="baseline"/>
        </w:rPr>
        <w:t> </w:t>
      </w:r>
      <w:r>
        <w:rPr>
          <w:sz w:val="18"/>
          <w:vertAlign w:val="baseline"/>
        </w:rPr>
        <w:t>Developing</w:t>
      </w:r>
      <w:r>
        <w:rPr>
          <w:spacing w:val="-6"/>
          <w:sz w:val="18"/>
          <w:vertAlign w:val="baseline"/>
        </w:rPr>
        <w:t> </w:t>
      </w:r>
      <w:r>
        <w:rPr>
          <w:sz w:val="18"/>
          <w:vertAlign w:val="baseline"/>
        </w:rPr>
        <w:t>Economies</w:t>
      </w:r>
      <w:r>
        <w:rPr>
          <w:spacing w:val="-6"/>
          <w:sz w:val="18"/>
          <w:vertAlign w:val="baseline"/>
        </w:rPr>
        <w:t> </w:t>
      </w:r>
      <w:r>
        <w:rPr>
          <w:sz w:val="18"/>
          <w:vertAlign w:val="baseline"/>
        </w:rPr>
        <w:t>(EMDEs).</w:t>
      </w:r>
      <w:r>
        <w:rPr>
          <w:spacing w:val="-6"/>
          <w:sz w:val="18"/>
          <w:vertAlign w:val="baseline"/>
        </w:rPr>
        <w:t> </w:t>
      </w:r>
      <w:r>
        <w:rPr>
          <w:sz w:val="18"/>
          <w:vertAlign w:val="baseline"/>
        </w:rPr>
        <w:t>For</w:t>
      </w:r>
      <w:r>
        <w:rPr>
          <w:spacing w:val="-6"/>
          <w:sz w:val="18"/>
          <w:vertAlign w:val="baseline"/>
        </w:rPr>
        <w:t> </w:t>
      </w:r>
      <w:r>
        <w:rPr>
          <w:sz w:val="18"/>
          <w:vertAlign w:val="baseline"/>
        </w:rPr>
        <w:t>the</w:t>
      </w:r>
      <w:r>
        <w:rPr>
          <w:spacing w:val="-6"/>
          <w:sz w:val="18"/>
          <w:vertAlign w:val="baseline"/>
        </w:rPr>
        <w:t> </w:t>
      </w:r>
      <w:r>
        <w:rPr>
          <w:sz w:val="18"/>
          <w:vertAlign w:val="baseline"/>
        </w:rPr>
        <w:t>sake</w:t>
      </w:r>
      <w:r>
        <w:rPr>
          <w:spacing w:val="-6"/>
          <w:sz w:val="18"/>
          <w:vertAlign w:val="baseline"/>
        </w:rPr>
        <w:t> </w:t>
      </w:r>
      <w:r>
        <w:rPr>
          <w:sz w:val="18"/>
          <w:vertAlign w:val="baseline"/>
        </w:rPr>
        <w:t>of</w:t>
      </w:r>
      <w:r>
        <w:rPr>
          <w:spacing w:val="-6"/>
          <w:sz w:val="18"/>
          <w:vertAlign w:val="baseline"/>
        </w:rPr>
        <w:t> </w:t>
      </w:r>
      <w:r>
        <w:rPr>
          <w:sz w:val="18"/>
          <w:vertAlign w:val="baseline"/>
        </w:rPr>
        <w:t>clarity</w:t>
      </w:r>
      <w:r>
        <w:rPr>
          <w:spacing w:val="-6"/>
          <w:sz w:val="18"/>
          <w:vertAlign w:val="baseline"/>
        </w:rPr>
        <w:t> </w:t>
      </w:r>
      <w:r>
        <w:rPr>
          <w:sz w:val="18"/>
          <w:vertAlign w:val="baseline"/>
        </w:rPr>
        <w:t>and</w:t>
      </w:r>
      <w:r>
        <w:rPr>
          <w:spacing w:val="-6"/>
          <w:sz w:val="18"/>
          <w:vertAlign w:val="baseline"/>
        </w:rPr>
        <w:t> </w:t>
      </w:r>
      <w:r>
        <w:rPr>
          <w:sz w:val="18"/>
          <w:vertAlign w:val="baseline"/>
        </w:rPr>
        <w:t>consistency,</w:t>
      </w:r>
      <w:r>
        <w:rPr>
          <w:spacing w:val="-6"/>
          <w:sz w:val="18"/>
          <w:vertAlign w:val="baseline"/>
        </w:rPr>
        <w:t> </w:t>
      </w:r>
      <w:r>
        <w:rPr>
          <w:sz w:val="18"/>
          <w:vertAlign w:val="baseline"/>
        </w:rPr>
        <w:t>we</w:t>
      </w:r>
      <w:r>
        <w:rPr>
          <w:spacing w:val="-6"/>
          <w:sz w:val="18"/>
          <w:vertAlign w:val="baseline"/>
        </w:rPr>
        <w:t> </w:t>
      </w:r>
      <w:r>
        <w:rPr>
          <w:sz w:val="18"/>
          <w:vertAlign w:val="baseline"/>
        </w:rPr>
        <w:t>use</w:t>
      </w:r>
      <w:r>
        <w:rPr>
          <w:spacing w:val="-6"/>
          <w:sz w:val="18"/>
          <w:vertAlign w:val="baseline"/>
        </w:rPr>
        <w:t> </w:t>
      </w:r>
      <w:r>
        <w:rPr>
          <w:sz w:val="18"/>
          <w:vertAlign w:val="baseline"/>
        </w:rPr>
        <w:t>the</w:t>
      </w:r>
      <w:r>
        <w:rPr>
          <w:spacing w:val="-6"/>
          <w:sz w:val="18"/>
          <w:vertAlign w:val="baseline"/>
        </w:rPr>
        <w:t> </w:t>
      </w:r>
      <w:r>
        <w:rPr>
          <w:sz w:val="18"/>
          <w:vertAlign w:val="baseline"/>
        </w:rPr>
        <w:t>LIC,</w:t>
      </w:r>
      <w:r>
        <w:rPr>
          <w:spacing w:val="-6"/>
          <w:sz w:val="18"/>
          <w:vertAlign w:val="baseline"/>
        </w:rPr>
        <w:t> </w:t>
      </w:r>
      <w:r>
        <w:rPr>
          <w:sz w:val="18"/>
          <w:vertAlign w:val="baseline"/>
        </w:rPr>
        <w:t>MIC,</w:t>
      </w:r>
      <w:r>
        <w:rPr>
          <w:spacing w:val="-6"/>
          <w:sz w:val="18"/>
          <w:vertAlign w:val="baseline"/>
        </w:rPr>
        <w:t> </w:t>
      </w:r>
      <w:r>
        <w:rPr>
          <w:sz w:val="18"/>
          <w:vertAlign w:val="baseline"/>
        </w:rPr>
        <w:t>and</w:t>
      </w:r>
      <w:r>
        <w:rPr>
          <w:spacing w:val="-6"/>
          <w:sz w:val="18"/>
          <w:vertAlign w:val="baseline"/>
        </w:rPr>
        <w:t> </w:t>
      </w:r>
      <w:r>
        <w:rPr>
          <w:sz w:val="18"/>
          <w:vertAlign w:val="baseline"/>
        </w:rPr>
        <w:t>HIC acronyms. For more on the BIS country classiﬁcation system, see Cerutti et al. (2023).</w:t>
      </w:r>
    </w:p>
    <w:p>
      <w:pPr>
        <w:spacing w:line="249" w:lineRule="auto" w:before="2"/>
        <w:ind w:left="760" w:right="767" w:firstLine="0"/>
        <w:jc w:val="left"/>
        <w:rPr>
          <w:sz w:val="18"/>
        </w:rPr>
      </w:pPr>
      <w:r>
        <w:rPr>
          <w:sz w:val="18"/>
          <w:vertAlign w:val="superscript"/>
        </w:rPr>
        <w:t>94</w:t>
      </w:r>
      <w:r>
        <w:rPr>
          <w:spacing w:val="-6"/>
          <w:sz w:val="18"/>
          <w:vertAlign w:val="baseline"/>
        </w:rPr>
        <w:t> </w:t>
      </w:r>
      <w:r>
        <w:rPr>
          <w:sz w:val="18"/>
          <w:vertAlign w:val="baseline"/>
        </w:rPr>
        <w:t>This</w:t>
      </w:r>
      <w:r>
        <w:rPr>
          <w:spacing w:val="-5"/>
          <w:sz w:val="18"/>
          <w:vertAlign w:val="baseline"/>
        </w:rPr>
        <w:t> </w:t>
      </w:r>
      <w:r>
        <w:rPr>
          <w:sz w:val="18"/>
          <w:vertAlign w:val="baseline"/>
        </w:rPr>
        <w:t>BIS-based</w:t>
      </w:r>
      <w:r>
        <w:rPr>
          <w:spacing w:val="-5"/>
          <w:sz w:val="18"/>
          <w:vertAlign w:val="baseline"/>
        </w:rPr>
        <w:t> </w:t>
      </w:r>
      <w:r>
        <w:rPr>
          <w:sz w:val="18"/>
          <w:vertAlign w:val="baseline"/>
        </w:rPr>
        <w:t>measure</w:t>
      </w:r>
      <w:r>
        <w:rPr>
          <w:spacing w:val="-5"/>
          <w:sz w:val="18"/>
          <w:vertAlign w:val="baseline"/>
        </w:rPr>
        <w:t> </w:t>
      </w:r>
      <w:r>
        <w:rPr>
          <w:sz w:val="18"/>
          <w:vertAlign w:val="baseline"/>
        </w:rPr>
        <w:t>of</w:t>
      </w:r>
      <w:r>
        <w:rPr>
          <w:spacing w:val="-5"/>
          <w:sz w:val="18"/>
          <w:vertAlign w:val="baseline"/>
        </w:rPr>
        <w:t> </w:t>
      </w:r>
      <w:r>
        <w:rPr>
          <w:sz w:val="18"/>
          <w:vertAlign w:val="baseline"/>
        </w:rPr>
        <w:t>China’s</w:t>
      </w:r>
      <w:r>
        <w:rPr>
          <w:spacing w:val="-5"/>
          <w:sz w:val="18"/>
          <w:vertAlign w:val="baseline"/>
        </w:rPr>
        <w:t> </w:t>
      </w:r>
      <w:r>
        <w:rPr>
          <w:sz w:val="18"/>
          <w:vertAlign w:val="baseline"/>
        </w:rPr>
        <w:t>lending</w:t>
      </w:r>
      <w:r>
        <w:rPr>
          <w:spacing w:val="-5"/>
          <w:sz w:val="18"/>
          <w:vertAlign w:val="baseline"/>
        </w:rPr>
        <w:t> </w:t>
      </w:r>
      <w:r>
        <w:rPr>
          <w:sz w:val="18"/>
          <w:vertAlign w:val="baseline"/>
        </w:rPr>
        <w:t>portfolio</w:t>
      </w:r>
      <w:r>
        <w:rPr>
          <w:spacing w:val="-5"/>
          <w:sz w:val="18"/>
          <w:vertAlign w:val="baseline"/>
        </w:rPr>
        <w:t> </w:t>
      </w:r>
      <w:r>
        <w:rPr>
          <w:sz w:val="18"/>
          <w:vertAlign w:val="baseline"/>
        </w:rPr>
        <w:t>in</w:t>
      </w:r>
      <w:r>
        <w:rPr>
          <w:spacing w:val="-5"/>
          <w:sz w:val="18"/>
          <w:vertAlign w:val="baseline"/>
        </w:rPr>
        <w:t> </w:t>
      </w:r>
      <w:r>
        <w:rPr>
          <w:sz w:val="18"/>
          <w:vertAlign w:val="baseline"/>
        </w:rPr>
        <w:t>LICs</w:t>
      </w:r>
      <w:r>
        <w:rPr>
          <w:spacing w:val="-5"/>
          <w:sz w:val="18"/>
          <w:vertAlign w:val="baseline"/>
        </w:rPr>
        <w:t> </w:t>
      </w:r>
      <w:r>
        <w:rPr>
          <w:sz w:val="18"/>
          <w:vertAlign w:val="baseline"/>
        </w:rPr>
        <w:t>and</w:t>
      </w:r>
      <w:r>
        <w:rPr>
          <w:spacing w:val="-5"/>
          <w:sz w:val="18"/>
          <w:vertAlign w:val="baseline"/>
        </w:rPr>
        <w:t> </w:t>
      </w:r>
      <w:r>
        <w:rPr>
          <w:sz w:val="18"/>
          <w:vertAlign w:val="baseline"/>
        </w:rPr>
        <w:t>MICs</w:t>
      </w:r>
      <w:r>
        <w:rPr>
          <w:spacing w:val="-5"/>
          <w:sz w:val="18"/>
          <w:vertAlign w:val="baseline"/>
        </w:rPr>
        <w:t> </w:t>
      </w:r>
      <w:r>
        <w:rPr>
          <w:sz w:val="18"/>
          <w:vertAlign w:val="baseline"/>
        </w:rPr>
        <w:t>is</w:t>
      </w:r>
      <w:r>
        <w:rPr>
          <w:spacing w:val="-5"/>
          <w:sz w:val="18"/>
          <w:vertAlign w:val="baseline"/>
        </w:rPr>
        <w:t> </w:t>
      </w:r>
      <w:r>
        <w:rPr>
          <w:sz w:val="18"/>
          <w:vertAlign w:val="baseline"/>
        </w:rPr>
        <w:t>based</w:t>
      </w:r>
      <w:r>
        <w:rPr>
          <w:spacing w:val="-5"/>
          <w:sz w:val="18"/>
          <w:vertAlign w:val="baseline"/>
        </w:rPr>
        <w:t> </w:t>
      </w:r>
      <w:r>
        <w:rPr>
          <w:sz w:val="18"/>
          <w:vertAlign w:val="baseline"/>
        </w:rPr>
        <w:t>on</w:t>
      </w:r>
      <w:r>
        <w:rPr>
          <w:spacing w:val="-5"/>
          <w:sz w:val="18"/>
          <w:vertAlign w:val="baseline"/>
        </w:rPr>
        <w:t> </w:t>
      </w:r>
      <w:r>
        <w:rPr>
          <w:sz w:val="18"/>
          <w:vertAlign w:val="baseline"/>
        </w:rPr>
        <w:t>amounts</w:t>
      </w:r>
      <w:r>
        <w:rPr>
          <w:spacing w:val="-5"/>
          <w:sz w:val="18"/>
          <w:vertAlign w:val="baseline"/>
        </w:rPr>
        <w:t> </w:t>
      </w:r>
      <w:r>
        <w:rPr>
          <w:sz w:val="18"/>
          <w:vertAlign w:val="baseline"/>
        </w:rPr>
        <w:t>outstanding. AidData’s measure of China’s lending portfolio in LICs and MICs is based on cumulative lending commitments, which usually exceed amounts outstanding. See Section A-4.</w:t>
      </w:r>
    </w:p>
    <w:p>
      <w:pPr>
        <w:spacing w:line="249" w:lineRule="auto" w:before="2"/>
        <w:ind w:left="760" w:right="767" w:firstLine="0"/>
        <w:jc w:val="left"/>
        <w:rPr>
          <w:sz w:val="18"/>
        </w:rPr>
      </w:pPr>
      <w:r>
        <w:rPr>
          <w:sz w:val="18"/>
          <w:vertAlign w:val="superscript"/>
        </w:rPr>
        <w:t>95</w:t>
      </w:r>
      <w:r>
        <w:rPr>
          <w:sz w:val="18"/>
          <w:vertAlign w:val="baseline"/>
        </w:rPr>
        <w:t> According to BU’s CODF dataset, China’s cumulative overseas lending commitments to LIC and MICs increased in nominal terms from $308 billion in 2015 to $498 billion in 2021. According to the World </w:t>
      </w:r>
      <w:r>
        <w:rPr>
          <w:sz w:val="18"/>
          <w:vertAlign w:val="baseline"/>
        </w:rPr>
        <w:t>Bank’s IDS, China’s cumulative overseas lending commitments to LIC and MICs increased in nominal terms from</w:t>
      </w:r>
    </w:p>
    <w:p>
      <w:pPr>
        <w:spacing w:before="3"/>
        <w:ind w:left="760" w:right="0" w:firstLine="0"/>
        <w:jc w:val="left"/>
        <w:rPr>
          <w:sz w:val="18"/>
        </w:rPr>
      </w:pPr>
      <w:r>
        <w:rPr>
          <w:w w:val="105"/>
          <w:sz w:val="18"/>
        </w:rPr>
        <w:t>$188</w:t>
      </w:r>
      <w:r>
        <w:rPr>
          <w:spacing w:val="-11"/>
          <w:w w:val="105"/>
          <w:sz w:val="18"/>
        </w:rPr>
        <w:t> </w:t>
      </w:r>
      <w:r>
        <w:rPr>
          <w:w w:val="105"/>
          <w:sz w:val="18"/>
        </w:rPr>
        <w:t>billion</w:t>
      </w:r>
      <w:r>
        <w:rPr>
          <w:spacing w:val="-11"/>
          <w:w w:val="105"/>
          <w:sz w:val="18"/>
        </w:rPr>
        <w:t> </w:t>
      </w:r>
      <w:r>
        <w:rPr>
          <w:w w:val="105"/>
          <w:sz w:val="18"/>
        </w:rPr>
        <w:t>in</w:t>
      </w:r>
      <w:r>
        <w:rPr>
          <w:spacing w:val="-11"/>
          <w:w w:val="105"/>
          <w:sz w:val="18"/>
        </w:rPr>
        <w:t> </w:t>
      </w:r>
      <w:r>
        <w:rPr>
          <w:w w:val="105"/>
          <w:sz w:val="18"/>
        </w:rPr>
        <w:t>2015</w:t>
      </w:r>
      <w:r>
        <w:rPr>
          <w:spacing w:val="-11"/>
          <w:w w:val="105"/>
          <w:sz w:val="18"/>
        </w:rPr>
        <w:t> </w:t>
      </w:r>
      <w:r>
        <w:rPr>
          <w:w w:val="105"/>
          <w:sz w:val="18"/>
        </w:rPr>
        <w:t>to</w:t>
      </w:r>
      <w:r>
        <w:rPr>
          <w:spacing w:val="-10"/>
          <w:w w:val="105"/>
          <w:sz w:val="18"/>
        </w:rPr>
        <w:t> </w:t>
      </w:r>
      <w:r>
        <w:rPr>
          <w:w w:val="105"/>
          <w:sz w:val="18"/>
        </w:rPr>
        <w:t>$293</w:t>
      </w:r>
      <w:r>
        <w:rPr>
          <w:spacing w:val="-11"/>
          <w:w w:val="105"/>
          <w:sz w:val="18"/>
        </w:rPr>
        <w:t> </w:t>
      </w:r>
      <w:r>
        <w:rPr>
          <w:w w:val="105"/>
          <w:sz w:val="18"/>
        </w:rPr>
        <w:t>billion</w:t>
      </w:r>
      <w:r>
        <w:rPr>
          <w:spacing w:val="-11"/>
          <w:w w:val="105"/>
          <w:sz w:val="18"/>
        </w:rPr>
        <w:t> </w:t>
      </w:r>
      <w:r>
        <w:rPr>
          <w:w w:val="105"/>
          <w:sz w:val="18"/>
        </w:rPr>
        <w:t>in</w:t>
      </w:r>
      <w:r>
        <w:rPr>
          <w:spacing w:val="-11"/>
          <w:w w:val="105"/>
          <w:sz w:val="18"/>
        </w:rPr>
        <w:t> </w:t>
      </w:r>
      <w:r>
        <w:rPr>
          <w:spacing w:val="-2"/>
          <w:w w:val="105"/>
          <w:sz w:val="18"/>
        </w:rPr>
        <w:t>2021.</w:t>
      </w:r>
    </w:p>
    <w:p>
      <w:pPr>
        <w:spacing w:after="0"/>
        <w:jc w:val="left"/>
        <w:rPr>
          <w:sz w:val="18"/>
        </w:rPr>
        <w:sectPr>
          <w:pgSz w:w="12240" w:h="15840"/>
          <w:pgMar w:header="0" w:footer="720" w:top="1360" w:bottom="920" w:left="1040" w:right="1040"/>
        </w:sectPr>
      </w:pPr>
    </w:p>
    <w:p>
      <w:pPr>
        <w:pStyle w:val="BodyText"/>
        <w:rPr>
          <w:sz w:val="20"/>
        </w:rPr>
      </w:pPr>
    </w:p>
    <w:p>
      <w:pPr>
        <w:pStyle w:val="BodyText"/>
        <w:rPr>
          <w:sz w:val="20"/>
        </w:rPr>
      </w:pPr>
    </w:p>
    <w:p>
      <w:pPr>
        <w:pStyle w:val="BodyText"/>
        <w:spacing w:before="3"/>
        <w:rPr>
          <w:sz w:val="17"/>
        </w:rPr>
      </w:pPr>
    </w:p>
    <w:p>
      <w:pPr>
        <w:pStyle w:val="Heading2"/>
        <w:spacing w:line="328" w:lineRule="auto" w:before="97"/>
        <w:ind w:left="760"/>
      </w:pPr>
      <w:r>
        <w:rPr/>
        <w:pict>
          <v:shape style="position:absolute;margin-left:84pt;margin-top:-32.914059pt;width:444pt;height:38pt;mso-position-horizontal-relative:page;mso-position-vertical-relative:paragraph;z-index:15734784" type="#_x0000_t202" id="docshape12" filled="true" fillcolor="#5b666f" stroked="false">
            <v:textbox inset="0,0,0,0">
              <w:txbxContent>
                <w:p>
                  <w:pPr>
                    <w:spacing w:before="127"/>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2.1</w:t>
                  </w:r>
                </w:p>
              </w:txbxContent>
            </v:textbox>
            <v:fill type="solid"/>
            <w10:wrap type="none"/>
          </v:shape>
        </w:pict>
      </w:r>
      <w:r>
        <w:rPr>
          <w:spacing w:val="-2"/>
        </w:rPr>
        <w:t>Comparison</w:t>
      </w:r>
      <w:r>
        <w:rPr>
          <w:spacing w:val="-17"/>
        </w:rPr>
        <w:t> </w:t>
      </w:r>
      <w:r>
        <w:rPr>
          <w:spacing w:val="-2"/>
        </w:rPr>
        <w:t>of</w:t>
      </w:r>
      <w:r>
        <w:rPr>
          <w:spacing w:val="-17"/>
        </w:rPr>
        <w:t> </w:t>
      </w:r>
      <w:r>
        <w:rPr>
          <w:spacing w:val="-2"/>
        </w:rPr>
        <w:t>AidData-</w:t>
      </w:r>
      <w:r>
        <w:rPr>
          <w:spacing w:val="-17"/>
        </w:rPr>
        <w:t> </w:t>
      </w:r>
      <w:r>
        <w:rPr>
          <w:spacing w:val="-2"/>
        </w:rPr>
        <w:t>and</w:t>
      </w:r>
      <w:r>
        <w:rPr>
          <w:spacing w:val="-17"/>
        </w:rPr>
        <w:t> </w:t>
      </w:r>
      <w:r>
        <w:rPr>
          <w:spacing w:val="-2"/>
        </w:rPr>
        <w:t>BIS-based</w:t>
      </w:r>
      <w:r>
        <w:rPr>
          <w:spacing w:val="-17"/>
        </w:rPr>
        <w:t> </w:t>
      </w:r>
      <w:r>
        <w:rPr>
          <w:spacing w:val="-2"/>
        </w:rPr>
        <w:t>estimates</w:t>
      </w:r>
      <w:r>
        <w:rPr>
          <w:spacing w:val="-17"/>
        </w:rPr>
        <w:t> </w:t>
      </w:r>
      <w:r>
        <w:rPr>
          <w:spacing w:val="-2"/>
        </w:rPr>
        <w:t>of</w:t>
      </w:r>
      <w:r>
        <w:rPr>
          <w:spacing w:val="-17"/>
        </w:rPr>
        <w:t> </w:t>
      </w:r>
      <w:r>
        <w:rPr>
          <w:spacing w:val="-2"/>
        </w:rPr>
        <w:t>China’s international</w:t>
      </w:r>
      <w:r>
        <w:rPr>
          <w:spacing w:val="-23"/>
        </w:rPr>
        <w:t> </w:t>
      </w:r>
      <w:r>
        <w:rPr>
          <w:spacing w:val="-2"/>
        </w:rPr>
        <w:t>lending</w:t>
      </w:r>
      <w:r>
        <w:rPr>
          <w:spacing w:val="-22"/>
        </w:rPr>
        <w:t> </w:t>
      </w:r>
      <w:r>
        <w:rPr>
          <w:spacing w:val="-2"/>
        </w:rPr>
        <w:t>portfolio</w:t>
      </w:r>
    </w:p>
    <w:tbl>
      <w:tblPr>
        <w:tblW w:w="0" w:type="auto"/>
        <w:jc w:val="left"/>
        <w:tblInd w:w="10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730"/>
        <w:gridCol w:w="1140"/>
        <w:gridCol w:w="1100"/>
        <w:gridCol w:w="1200"/>
        <w:gridCol w:w="1140"/>
        <w:gridCol w:w="1240"/>
        <w:gridCol w:w="1200"/>
        <w:gridCol w:w="1200"/>
        <w:gridCol w:w="1010"/>
      </w:tblGrid>
      <w:tr>
        <w:trPr>
          <w:trHeight w:val="1380" w:hRule="atLeast"/>
        </w:trPr>
        <w:tc>
          <w:tcPr>
            <w:tcW w:w="730" w:type="dxa"/>
            <w:tcBorders>
              <w:left w:val="nil"/>
              <w:bottom w:val="single" w:sz="8" w:space="0" w:color="000000"/>
              <w:right w:val="single" w:sz="8" w:space="0" w:color="B6B6B6"/>
            </w:tcBorders>
          </w:tcPr>
          <w:p>
            <w:pPr>
              <w:pStyle w:val="TableParagraph"/>
              <w:rPr>
                <w:rFonts w:ascii="Trebuchet MS"/>
                <w:b/>
                <w:sz w:val="18"/>
              </w:rPr>
            </w:pPr>
          </w:p>
          <w:p>
            <w:pPr>
              <w:pStyle w:val="TableParagraph"/>
              <w:rPr>
                <w:rFonts w:ascii="Trebuchet MS"/>
                <w:b/>
                <w:sz w:val="18"/>
              </w:rPr>
            </w:pPr>
          </w:p>
          <w:p>
            <w:pPr>
              <w:pStyle w:val="TableParagraph"/>
              <w:spacing w:before="2"/>
              <w:rPr>
                <w:rFonts w:ascii="Trebuchet MS"/>
                <w:b/>
                <w:sz w:val="14"/>
              </w:rPr>
            </w:pPr>
          </w:p>
          <w:p>
            <w:pPr>
              <w:pStyle w:val="TableParagraph"/>
              <w:ind w:left="149" w:right="145"/>
              <w:jc w:val="center"/>
              <w:rPr>
                <w:b/>
                <w:sz w:val="18"/>
              </w:rPr>
            </w:pPr>
            <w:r>
              <w:rPr>
                <w:b/>
                <w:spacing w:val="-4"/>
                <w:sz w:val="18"/>
              </w:rPr>
              <w:t>Year</w:t>
            </w:r>
          </w:p>
        </w:tc>
        <w:tc>
          <w:tcPr>
            <w:tcW w:w="1140" w:type="dxa"/>
            <w:tcBorders>
              <w:left w:val="single" w:sz="8" w:space="0" w:color="B6B6B6"/>
              <w:bottom w:val="single" w:sz="8" w:space="0" w:color="000000"/>
              <w:right w:val="single" w:sz="8" w:space="0" w:color="B6B6B6"/>
            </w:tcBorders>
          </w:tcPr>
          <w:p>
            <w:pPr>
              <w:pStyle w:val="TableParagraph"/>
              <w:spacing w:line="249" w:lineRule="auto" w:before="151"/>
              <w:ind w:right="3"/>
              <w:jc w:val="center"/>
              <w:rPr>
                <w:b/>
                <w:sz w:val="18"/>
              </w:rPr>
            </w:pPr>
            <w:r>
              <w:rPr>
                <w:b/>
                <w:sz w:val="18"/>
              </w:rPr>
              <w:t>BIS</w:t>
            </w:r>
            <w:r>
              <w:rPr>
                <w:b/>
                <w:spacing w:val="-15"/>
                <w:sz w:val="18"/>
              </w:rPr>
              <w:t> </w:t>
            </w:r>
            <w:r>
              <w:rPr>
                <w:b/>
                <w:sz w:val="18"/>
              </w:rPr>
              <w:t>Total</w:t>
            </w:r>
            <w:r>
              <w:rPr>
                <w:b/>
                <w:spacing w:val="-12"/>
                <w:sz w:val="18"/>
              </w:rPr>
              <w:t> </w:t>
            </w:r>
            <w:r>
              <w:rPr>
                <w:b/>
                <w:sz w:val="18"/>
              </w:rPr>
              <w:t>to LICs and </w:t>
            </w:r>
            <w:r>
              <w:rPr>
                <w:b/>
                <w:spacing w:val="-8"/>
                <w:sz w:val="18"/>
              </w:rPr>
              <w:t>MICs</w:t>
            </w:r>
            <w:r>
              <w:rPr>
                <w:b/>
                <w:spacing w:val="-5"/>
                <w:sz w:val="18"/>
              </w:rPr>
              <w:t> </w:t>
            </w:r>
            <w:r>
              <w:rPr>
                <w:b/>
                <w:spacing w:val="-8"/>
                <w:sz w:val="18"/>
              </w:rPr>
              <w:t>(Based </w:t>
            </w:r>
            <w:r>
              <w:rPr>
                <w:b/>
                <w:sz w:val="18"/>
              </w:rPr>
              <w:t>on 60.4%</w:t>
            </w:r>
          </w:p>
          <w:p>
            <w:pPr>
              <w:pStyle w:val="TableParagraph"/>
              <w:spacing w:before="3"/>
              <w:ind w:right="3"/>
              <w:jc w:val="center"/>
              <w:rPr>
                <w:b/>
                <w:sz w:val="18"/>
              </w:rPr>
            </w:pPr>
            <w:r>
              <w:rPr>
                <w:b/>
                <w:spacing w:val="-2"/>
                <w:sz w:val="18"/>
              </w:rPr>
              <w:t>Assumption)</w:t>
            </w:r>
          </w:p>
        </w:tc>
        <w:tc>
          <w:tcPr>
            <w:tcW w:w="1100" w:type="dxa"/>
            <w:tcBorders>
              <w:left w:val="single" w:sz="8" w:space="0" w:color="B6B6B6"/>
              <w:bottom w:val="single" w:sz="8" w:space="0" w:color="000000"/>
              <w:right w:val="single" w:sz="8" w:space="0" w:color="B6B6B6"/>
            </w:tcBorders>
          </w:tcPr>
          <w:p>
            <w:pPr>
              <w:pStyle w:val="TableParagraph"/>
              <w:spacing w:line="249" w:lineRule="auto" w:before="151"/>
              <w:ind w:right="8"/>
              <w:jc w:val="center"/>
              <w:rPr>
                <w:b/>
                <w:sz w:val="18"/>
              </w:rPr>
            </w:pPr>
            <w:r>
              <w:rPr>
                <w:b/>
                <w:sz w:val="18"/>
              </w:rPr>
              <w:t>BIS</w:t>
            </w:r>
            <w:r>
              <w:rPr>
                <w:b/>
                <w:spacing w:val="-15"/>
                <w:sz w:val="18"/>
              </w:rPr>
              <w:t> </w:t>
            </w:r>
            <w:r>
              <w:rPr>
                <w:b/>
                <w:sz w:val="18"/>
              </w:rPr>
              <w:t>Total</w:t>
            </w:r>
            <w:r>
              <w:rPr>
                <w:b/>
                <w:spacing w:val="-12"/>
                <w:sz w:val="18"/>
              </w:rPr>
              <w:t> </w:t>
            </w:r>
            <w:r>
              <w:rPr>
                <w:b/>
                <w:sz w:val="18"/>
              </w:rPr>
              <w:t>to LICs and </w:t>
            </w:r>
            <w:r>
              <w:rPr>
                <w:b/>
                <w:spacing w:val="-8"/>
                <w:sz w:val="18"/>
              </w:rPr>
              <w:t>MICs</w:t>
            </w:r>
            <w:r>
              <w:rPr>
                <w:b/>
                <w:spacing w:val="-5"/>
                <w:sz w:val="18"/>
              </w:rPr>
              <w:t> </w:t>
            </w:r>
            <w:r>
              <w:rPr>
                <w:b/>
                <w:spacing w:val="-8"/>
                <w:sz w:val="18"/>
              </w:rPr>
              <w:t>(Based </w:t>
            </w:r>
            <w:r>
              <w:rPr>
                <w:b/>
                <w:sz w:val="18"/>
              </w:rPr>
              <w:t>on 44.31%</w:t>
            </w:r>
          </w:p>
          <w:p>
            <w:pPr>
              <w:pStyle w:val="TableParagraph"/>
              <w:spacing w:before="3"/>
              <w:ind w:right="8"/>
              <w:jc w:val="center"/>
              <w:rPr>
                <w:b/>
                <w:sz w:val="18"/>
              </w:rPr>
            </w:pPr>
            <w:r>
              <w:rPr>
                <w:b/>
                <w:spacing w:val="-5"/>
                <w:sz w:val="18"/>
              </w:rPr>
              <w:t>Assumption)</w:t>
            </w:r>
          </w:p>
        </w:tc>
        <w:tc>
          <w:tcPr>
            <w:tcW w:w="1200" w:type="dxa"/>
            <w:tcBorders>
              <w:left w:val="single" w:sz="8" w:space="0" w:color="B6B6B6"/>
              <w:bottom w:val="single" w:sz="8" w:space="0" w:color="000000"/>
              <w:right w:val="single" w:sz="8" w:space="0" w:color="B6B6B6"/>
            </w:tcBorders>
          </w:tcPr>
          <w:p>
            <w:pPr>
              <w:pStyle w:val="TableParagraph"/>
              <w:spacing w:line="249" w:lineRule="auto" w:before="43"/>
              <w:ind w:left="22" w:right="20"/>
              <w:jc w:val="center"/>
              <w:rPr>
                <w:b/>
                <w:sz w:val="18"/>
              </w:rPr>
            </w:pPr>
            <w:r>
              <w:rPr>
                <w:b/>
                <w:spacing w:val="-6"/>
                <w:sz w:val="18"/>
              </w:rPr>
              <w:t>AidData</w:t>
            </w:r>
            <w:r>
              <w:rPr>
                <w:b/>
                <w:spacing w:val="-7"/>
                <w:sz w:val="18"/>
              </w:rPr>
              <w:t> </w:t>
            </w:r>
            <w:r>
              <w:rPr>
                <w:b/>
                <w:spacing w:val="-6"/>
                <w:sz w:val="18"/>
              </w:rPr>
              <w:t>Total </w:t>
            </w:r>
            <w:r>
              <w:rPr>
                <w:b/>
                <w:sz w:val="18"/>
              </w:rPr>
              <w:t>to LICs and </w:t>
            </w:r>
            <w:r>
              <w:rPr>
                <w:b/>
                <w:spacing w:val="-4"/>
                <w:sz w:val="18"/>
              </w:rPr>
              <w:t>MICs</w:t>
            </w:r>
          </w:p>
          <w:p>
            <w:pPr>
              <w:pStyle w:val="TableParagraph"/>
              <w:spacing w:line="249" w:lineRule="auto" w:before="2"/>
              <w:ind w:left="22" w:right="20"/>
              <w:jc w:val="center"/>
              <w:rPr>
                <w:b/>
                <w:sz w:val="18"/>
              </w:rPr>
            </w:pPr>
            <w:r>
              <w:rPr>
                <w:b/>
                <w:spacing w:val="-6"/>
                <w:sz w:val="18"/>
              </w:rPr>
              <w:t>Nominal</w:t>
            </w:r>
            <w:r>
              <w:rPr>
                <w:b/>
                <w:spacing w:val="-7"/>
                <w:sz w:val="18"/>
              </w:rPr>
              <w:t> </w:t>
            </w:r>
            <w:r>
              <w:rPr>
                <w:b/>
                <w:spacing w:val="-6"/>
                <w:sz w:val="18"/>
              </w:rPr>
              <w:t>USD </w:t>
            </w:r>
            <w:r>
              <w:rPr>
                <w:b/>
                <w:spacing w:val="-2"/>
                <w:sz w:val="18"/>
              </w:rPr>
              <w:t>(Constant </w:t>
            </w:r>
            <w:r>
              <w:rPr>
                <w:b/>
                <w:sz w:val="18"/>
              </w:rPr>
              <w:t>2021 USD)</w:t>
            </w:r>
          </w:p>
        </w:tc>
        <w:tc>
          <w:tcPr>
            <w:tcW w:w="1140" w:type="dxa"/>
            <w:tcBorders>
              <w:left w:val="single" w:sz="8" w:space="0" w:color="B6B6B6"/>
              <w:bottom w:val="single" w:sz="8" w:space="0" w:color="000000"/>
              <w:right w:val="single" w:sz="8" w:space="0" w:color="B6B6B6"/>
            </w:tcBorders>
          </w:tcPr>
          <w:p>
            <w:pPr>
              <w:pStyle w:val="TableParagraph"/>
              <w:spacing w:before="3"/>
              <w:rPr>
                <w:rFonts w:ascii="Trebuchet MS"/>
                <w:b/>
                <w:sz w:val="22"/>
              </w:rPr>
            </w:pPr>
          </w:p>
          <w:p>
            <w:pPr>
              <w:pStyle w:val="TableParagraph"/>
              <w:spacing w:line="249" w:lineRule="auto"/>
              <w:ind w:left="5" w:right="3"/>
              <w:jc w:val="center"/>
              <w:rPr>
                <w:b/>
                <w:sz w:val="18"/>
              </w:rPr>
            </w:pPr>
            <w:r>
              <w:rPr>
                <w:b/>
                <w:spacing w:val="-2"/>
                <w:sz w:val="18"/>
              </w:rPr>
              <w:t>BIS</w:t>
            </w:r>
            <w:r>
              <w:rPr>
                <w:b/>
                <w:spacing w:val="-13"/>
                <w:sz w:val="18"/>
              </w:rPr>
              <w:t> </w:t>
            </w:r>
            <w:r>
              <w:rPr>
                <w:b/>
                <w:spacing w:val="-2"/>
                <w:sz w:val="18"/>
              </w:rPr>
              <w:t>Total</w:t>
            </w:r>
            <w:r>
              <w:rPr>
                <w:b/>
                <w:spacing w:val="-10"/>
                <w:sz w:val="18"/>
              </w:rPr>
              <w:t> </w:t>
            </w:r>
            <w:r>
              <w:rPr>
                <w:b/>
                <w:spacing w:val="-2"/>
                <w:sz w:val="18"/>
              </w:rPr>
              <w:t>to </w:t>
            </w:r>
            <w:r>
              <w:rPr>
                <w:b/>
                <w:w w:val="90"/>
                <w:sz w:val="18"/>
              </w:rPr>
              <w:t>HICs</w:t>
            </w:r>
            <w:r>
              <w:rPr>
                <w:b/>
                <w:spacing w:val="-8"/>
                <w:w w:val="90"/>
                <w:sz w:val="18"/>
              </w:rPr>
              <w:t> </w:t>
            </w:r>
            <w:r>
              <w:rPr>
                <w:b/>
                <w:w w:val="90"/>
                <w:sz w:val="18"/>
              </w:rPr>
              <w:t>(Based </w:t>
            </w:r>
            <w:r>
              <w:rPr>
                <w:b/>
                <w:sz w:val="18"/>
              </w:rPr>
              <w:t>on 22.6%</w:t>
            </w:r>
          </w:p>
          <w:p>
            <w:pPr>
              <w:pStyle w:val="TableParagraph"/>
              <w:spacing w:before="3"/>
              <w:jc w:val="center"/>
              <w:rPr>
                <w:b/>
                <w:sz w:val="18"/>
              </w:rPr>
            </w:pPr>
            <w:r>
              <w:rPr>
                <w:b/>
                <w:spacing w:val="-2"/>
                <w:sz w:val="18"/>
              </w:rPr>
              <w:t>Assumption)</w:t>
            </w:r>
          </w:p>
        </w:tc>
        <w:tc>
          <w:tcPr>
            <w:tcW w:w="1240" w:type="dxa"/>
            <w:tcBorders>
              <w:left w:val="single" w:sz="8" w:space="0" w:color="B6B6B6"/>
              <w:bottom w:val="single" w:sz="8" w:space="0" w:color="000000"/>
              <w:right w:val="single" w:sz="8" w:space="0" w:color="B6B6B6"/>
            </w:tcBorders>
          </w:tcPr>
          <w:p>
            <w:pPr>
              <w:pStyle w:val="TableParagraph"/>
              <w:spacing w:before="3"/>
              <w:rPr>
                <w:rFonts w:ascii="Trebuchet MS"/>
                <w:b/>
                <w:sz w:val="22"/>
              </w:rPr>
            </w:pPr>
          </w:p>
          <w:p>
            <w:pPr>
              <w:pStyle w:val="TableParagraph"/>
              <w:spacing w:line="249" w:lineRule="auto"/>
              <w:ind w:left="47" w:right="55"/>
              <w:jc w:val="center"/>
              <w:rPr>
                <w:b/>
                <w:sz w:val="18"/>
              </w:rPr>
            </w:pPr>
            <w:r>
              <w:rPr>
                <w:b/>
                <w:spacing w:val="-2"/>
                <w:sz w:val="18"/>
              </w:rPr>
              <w:t>BIS</w:t>
            </w:r>
            <w:r>
              <w:rPr>
                <w:b/>
                <w:spacing w:val="-13"/>
                <w:sz w:val="18"/>
              </w:rPr>
              <w:t> </w:t>
            </w:r>
            <w:r>
              <w:rPr>
                <w:b/>
                <w:spacing w:val="-2"/>
                <w:sz w:val="18"/>
              </w:rPr>
              <w:t>Total</w:t>
            </w:r>
            <w:r>
              <w:rPr>
                <w:b/>
                <w:spacing w:val="-10"/>
                <w:sz w:val="18"/>
              </w:rPr>
              <w:t> </w:t>
            </w:r>
            <w:r>
              <w:rPr>
                <w:b/>
                <w:spacing w:val="-2"/>
                <w:sz w:val="18"/>
              </w:rPr>
              <w:t>to </w:t>
            </w:r>
            <w:r>
              <w:rPr>
                <w:b/>
                <w:w w:val="90"/>
                <w:sz w:val="18"/>
              </w:rPr>
              <w:t>HICs</w:t>
            </w:r>
            <w:r>
              <w:rPr>
                <w:b/>
                <w:spacing w:val="-8"/>
                <w:w w:val="90"/>
                <w:sz w:val="18"/>
              </w:rPr>
              <w:t> </w:t>
            </w:r>
            <w:r>
              <w:rPr>
                <w:b/>
                <w:w w:val="90"/>
                <w:sz w:val="18"/>
              </w:rPr>
              <w:t>(Based </w:t>
            </w:r>
            <w:r>
              <w:rPr>
                <w:b/>
                <w:sz w:val="18"/>
              </w:rPr>
              <w:t>on 22.8%</w:t>
            </w:r>
          </w:p>
          <w:p>
            <w:pPr>
              <w:pStyle w:val="TableParagraph"/>
              <w:spacing w:before="3"/>
              <w:ind w:left="47" w:right="55"/>
              <w:jc w:val="center"/>
              <w:rPr>
                <w:b/>
                <w:sz w:val="18"/>
              </w:rPr>
            </w:pPr>
            <w:r>
              <w:rPr>
                <w:b/>
                <w:spacing w:val="-2"/>
                <w:sz w:val="18"/>
              </w:rPr>
              <w:t>Assumption)</w:t>
            </w:r>
          </w:p>
        </w:tc>
        <w:tc>
          <w:tcPr>
            <w:tcW w:w="1200" w:type="dxa"/>
            <w:tcBorders>
              <w:left w:val="single" w:sz="8" w:space="0" w:color="B6B6B6"/>
              <w:bottom w:val="single" w:sz="8" w:space="0" w:color="000000"/>
              <w:right w:val="single" w:sz="8" w:space="0" w:color="B6B6B6"/>
            </w:tcBorders>
          </w:tcPr>
          <w:p>
            <w:pPr>
              <w:pStyle w:val="TableParagraph"/>
              <w:spacing w:line="249" w:lineRule="auto" w:before="43"/>
              <w:ind w:left="14" w:right="32"/>
              <w:jc w:val="center"/>
              <w:rPr>
                <w:b/>
                <w:sz w:val="18"/>
              </w:rPr>
            </w:pPr>
            <w:r>
              <w:rPr>
                <w:b/>
                <w:spacing w:val="-8"/>
                <w:sz w:val="18"/>
              </w:rPr>
              <w:t>BIS</w:t>
            </w:r>
            <w:r>
              <w:rPr>
                <w:b/>
                <w:spacing w:val="-7"/>
                <w:sz w:val="18"/>
              </w:rPr>
              <w:t> </w:t>
            </w:r>
            <w:r>
              <w:rPr>
                <w:b/>
                <w:spacing w:val="-8"/>
                <w:sz w:val="18"/>
              </w:rPr>
              <w:t>Total</w:t>
            </w:r>
            <w:r>
              <w:rPr>
                <w:b/>
                <w:spacing w:val="-4"/>
                <w:sz w:val="18"/>
              </w:rPr>
              <w:t> </w:t>
            </w:r>
            <w:r>
              <w:rPr>
                <w:b/>
                <w:spacing w:val="-8"/>
                <w:sz w:val="18"/>
              </w:rPr>
              <w:t>to </w:t>
            </w:r>
            <w:r>
              <w:rPr>
                <w:b/>
                <w:spacing w:val="-2"/>
                <w:sz w:val="18"/>
              </w:rPr>
              <w:t>"Other" Borrowers </w:t>
            </w:r>
            <w:r>
              <w:rPr>
                <w:b/>
                <w:sz w:val="18"/>
              </w:rPr>
              <w:t>(Based on </w:t>
            </w:r>
            <w:r>
              <w:rPr>
                <w:b/>
                <w:spacing w:val="-2"/>
                <w:sz w:val="18"/>
              </w:rPr>
              <w:t>21.6%</w:t>
            </w:r>
          </w:p>
          <w:p>
            <w:pPr>
              <w:pStyle w:val="TableParagraph"/>
              <w:spacing w:before="4"/>
              <w:ind w:left="14" w:right="32"/>
              <w:jc w:val="center"/>
              <w:rPr>
                <w:b/>
                <w:sz w:val="18"/>
              </w:rPr>
            </w:pPr>
            <w:r>
              <w:rPr>
                <w:b/>
                <w:spacing w:val="-2"/>
                <w:sz w:val="18"/>
              </w:rPr>
              <w:t>Assumption)</w:t>
            </w:r>
          </w:p>
        </w:tc>
        <w:tc>
          <w:tcPr>
            <w:tcW w:w="1200" w:type="dxa"/>
            <w:tcBorders>
              <w:left w:val="single" w:sz="8" w:space="0" w:color="B6B6B6"/>
              <w:bottom w:val="single" w:sz="8" w:space="0" w:color="000000"/>
              <w:right w:val="single" w:sz="8" w:space="0" w:color="B6B6B6"/>
            </w:tcBorders>
          </w:tcPr>
          <w:p>
            <w:pPr>
              <w:pStyle w:val="TableParagraph"/>
              <w:spacing w:line="249" w:lineRule="auto" w:before="43"/>
              <w:ind w:left="22" w:right="25"/>
              <w:jc w:val="center"/>
              <w:rPr>
                <w:b/>
                <w:sz w:val="18"/>
              </w:rPr>
            </w:pPr>
            <w:r>
              <w:rPr>
                <w:b/>
                <w:spacing w:val="-8"/>
                <w:sz w:val="18"/>
              </w:rPr>
              <w:t>BIS</w:t>
            </w:r>
            <w:r>
              <w:rPr>
                <w:b/>
                <w:spacing w:val="-7"/>
                <w:sz w:val="18"/>
              </w:rPr>
              <w:t> </w:t>
            </w:r>
            <w:r>
              <w:rPr>
                <w:b/>
                <w:spacing w:val="-8"/>
                <w:sz w:val="18"/>
              </w:rPr>
              <w:t>Total</w:t>
            </w:r>
            <w:r>
              <w:rPr>
                <w:b/>
                <w:spacing w:val="-4"/>
                <w:sz w:val="18"/>
              </w:rPr>
              <w:t> </w:t>
            </w:r>
            <w:r>
              <w:rPr>
                <w:b/>
                <w:spacing w:val="-8"/>
                <w:sz w:val="18"/>
              </w:rPr>
              <w:t>to </w:t>
            </w:r>
            <w:r>
              <w:rPr>
                <w:b/>
                <w:spacing w:val="-4"/>
                <w:sz w:val="18"/>
              </w:rPr>
              <w:t>OFC</w:t>
            </w:r>
          </w:p>
          <w:p>
            <w:pPr>
              <w:pStyle w:val="TableParagraph"/>
              <w:spacing w:line="249" w:lineRule="auto" w:before="1"/>
              <w:ind w:left="187" w:right="178" w:hanging="12"/>
              <w:jc w:val="both"/>
              <w:rPr>
                <w:b/>
                <w:sz w:val="18"/>
              </w:rPr>
            </w:pPr>
            <w:r>
              <w:rPr>
                <w:b/>
                <w:spacing w:val="-2"/>
                <w:w w:val="90"/>
                <w:sz w:val="18"/>
              </w:rPr>
              <w:t>Borrowers </w:t>
            </w:r>
            <w:r>
              <w:rPr>
                <w:b/>
                <w:w w:val="90"/>
                <w:sz w:val="18"/>
              </w:rPr>
              <w:t>(Based</w:t>
            </w:r>
            <w:r>
              <w:rPr>
                <w:b/>
                <w:spacing w:val="-8"/>
                <w:w w:val="90"/>
                <w:sz w:val="18"/>
              </w:rPr>
              <w:t> </w:t>
            </w:r>
            <w:r>
              <w:rPr>
                <w:b/>
                <w:w w:val="90"/>
                <w:sz w:val="18"/>
              </w:rPr>
              <w:t>on </w:t>
            </w:r>
            <w:r>
              <w:rPr>
                <w:b/>
                <w:spacing w:val="-2"/>
                <w:sz w:val="18"/>
              </w:rPr>
              <w:t>30.33%</w:t>
            </w:r>
          </w:p>
          <w:p>
            <w:pPr>
              <w:pStyle w:val="TableParagraph"/>
              <w:spacing w:before="3"/>
              <w:ind w:left="22" w:right="25"/>
              <w:jc w:val="center"/>
              <w:rPr>
                <w:b/>
                <w:sz w:val="18"/>
              </w:rPr>
            </w:pPr>
            <w:r>
              <w:rPr>
                <w:b/>
                <w:spacing w:val="-2"/>
                <w:sz w:val="18"/>
              </w:rPr>
              <w:t>Assumption)</w:t>
            </w:r>
          </w:p>
        </w:tc>
        <w:tc>
          <w:tcPr>
            <w:tcW w:w="1010" w:type="dxa"/>
            <w:tcBorders>
              <w:left w:val="single" w:sz="8" w:space="0" w:color="B6B6B6"/>
              <w:bottom w:val="single" w:sz="8" w:space="0" w:color="000000"/>
              <w:right w:val="nil"/>
            </w:tcBorders>
          </w:tcPr>
          <w:p>
            <w:pPr>
              <w:pStyle w:val="TableParagraph"/>
              <w:spacing w:line="249" w:lineRule="auto" w:before="43"/>
              <w:ind w:left="192" w:right="140" w:hanging="45"/>
              <w:jc w:val="both"/>
              <w:rPr>
                <w:b/>
                <w:sz w:val="18"/>
              </w:rPr>
            </w:pPr>
            <w:r>
              <w:rPr>
                <w:b/>
                <w:spacing w:val="-10"/>
                <w:sz w:val="18"/>
              </w:rPr>
              <w:t>BIS</w:t>
            </w:r>
            <w:r>
              <w:rPr>
                <w:b/>
                <w:spacing w:val="-3"/>
                <w:sz w:val="18"/>
              </w:rPr>
              <w:t> </w:t>
            </w:r>
            <w:r>
              <w:rPr>
                <w:b/>
                <w:spacing w:val="-10"/>
                <w:sz w:val="18"/>
              </w:rPr>
              <w:t>Total</w:t>
            </w:r>
            <w:r>
              <w:rPr>
                <w:b/>
                <w:sz w:val="18"/>
              </w:rPr>
              <w:t> to</w:t>
            </w:r>
            <w:r>
              <w:rPr>
                <w:b/>
                <w:spacing w:val="-13"/>
                <w:sz w:val="18"/>
              </w:rPr>
              <w:t> </w:t>
            </w:r>
            <w:r>
              <w:rPr>
                <w:b/>
                <w:sz w:val="18"/>
              </w:rPr>
              <w:t>LICs, </w:t>
            </w:r>
            <w:r>
              <w:rPr>
                <w:b/>
                <w:spacing w:val="-2"/>
                <w:sz w:val="18"/>
              </w:rPr>
              <w:t>MICs,</w:t>
            </w:r>
          </w:p>
          <w:p>
            <w:pPr>
              <w:pStyle w:val="TableParagraph"/>
              <w:spacing w:line="249" w:lineRule="auto" w:before="2"/>
              <w:ind w:left="85" w:right="78"/>
              <w:jc w:val="center"/>
              <w:rPr>
                <w:b/>
                <w:sz w:val="18"/>
              </w:rPr>
            </w:pPr>
            <w:r>
              <w:rPr>
                <w:b/>
                <w:sz w:val="18"/>
              </w:rPr>
              <w:t>HICs,</w:t>
            </w:r>
            <w:r>
              <w:rPr>
                <w:b/>
                <w:spacing w:val="-13"/>
                <w:sz w:val="18"/>
              </w:rPr>
              <w:t> </w:t>
            </w:r>
            <w:r>
              <w:rPr>
                <w:b/>
                <w:sz w:val="18"/>
              </w:rPr>
              <w:t>and </w:t>
            </w:r>
            <w:r>
              <w:rPr>
                <w:b/>
                <w:spacing w:val="-2"/>
                <w:sz w:val="18"/>
              </w:rPr>
              <w:t>“Other” </w:t>
            </w:r>
            <w:r>
              <w:rPr>
                <w:b/>
                <w:spacing w:val="-2"/>
                <w:w w:val="90"/>
                <w:sz w:val="18"/>
              </w:rPr>
              <w:t>Borrowers</w:t>
            </w:r>
          </w:p>
        </w:tc>
      </w:tr>
      <w:tr>
        <w:trPr>
          <w:trHeight w:val="640" w:hRule="atLeast"/>
        </w:trPr>
        <w:tc>
          <w:tcPr>
            <w:tcW w:w="730" w:type="dxa"/>
            <w:tcBorders>
              <w:top w:val="single" w:sz="8" w:space="0" w:color="000000"/>
              <w:left w:val="nil"/>
              <w:bottom w:val="single" w:sz="8" w:space="0" w:color="EFEFEF"/>
              <w:right w:val="single" w:sz="8" w:space="0" w:color="B6B6B6"/>
            </w:tcBorders>
          </w:tcPr>
          <w:p>
            <w:pPr>
              <w:pStyle w:val="TableParagraph"/>
              <w:spacing w:before="3"/>
              <w:rPr>
                <w:rFonts w:ascii="Trebuchet MS"/>
                <w:b/>
                <w:sz w:val="18"/>
              </w:rPr>
            </w:pPr>
          </w:p>
          <w:p>
            <w:pPr>
              <w:pStyle w:val="TableParagraph"/>
              <w:ind w:left="149" w:right="145"/>
              <w:jc w:val="center"/>
              <w:rPr>
                <w:sz w:val="18"/>
              </w:rPr>
            </w:pPr>
            <w:r>
              <w:rPr>
                <w:spacing w:val="-4"/>
                <w:sz w:val="18"/>
              </w:rPr>
              <w:t>2015</w:t>
            </w:r>
          </w:p>
        </w:tc>
        <w:tc>
          <w:tcPr>
            <w:tcW w:w="1140" w:type="dxa"/>
            <w:tcBorders>
              <w:top w:val="single" w:sz="8" w:space="0" w:color="000000"/>
              <w:left w:val="single" w:sz="8" w:space="0" w:color="B6B6B6"/>
              <w:bottom w:val="single" w:sz="8" w:space="0" w:color="EFEFEF"/>
              <w:right w:val="single" w:sz="8" w:space="0" w:color="B6B6B6"/>
            </w:tcBorders>
          </w:tcPr>
          <w:p>
            <w:pPr>
              <w:pStyle w:val="TableParagraph"/>
              <w:spacing w:before="3"/>
              <w:rPr>
                <w:rFonts w:ascii="Trebuchet MS"/>
                <w:b/>
                <w:sz w:val="18"/>
              </w:rPr>
            </w:pPr>
          </w:p>
          <w:p>
            <w:pPr>
              <w:pStyle w:val="TableParagraph"/>
              <w:ind w:right="103"/>
              <w:jc w:val="right"/>
              <w:rPr>
                <w:sz w:val="18"/>
              </w:rPr>
            </w:pPr>
            <w:r>
              <w:rPr>
                <w:spacing w:val="-2"/>
                <w:sz w:val="18"/>
              </w:rPr>
              <w:t>878.7</w:t>
            </w:r>
          </w:p>
        </w:tc>
        <w:tc>
          <w:tcPr>
            <w:tcW w:w="1100" w:type="dxa"/>
            <w:tcBorders>
              <w:top w:val="single" w:sz="8" w:space="0" w:color="000000"/>
              <w:left w:val="single" w:sz="8" w:space="0" w:color="B6B6B6"/>
              <w:bottom w:val="single" w:sz="8" w:space="0" w:color="EFEFEF"/>
              <w:right w:val="single" w:sz="8" w:space="0" w:color="B6B6B6"/>
            </w:tcBorders>
          </w:tcPr>
          <w:p>
            <w:pPr>
              <w:pStyle w:val="TableParagraph"/>
              <w:spacing w:before="3"/>
              <w:rPr>
                <w:rFonts w:ascii="Trebuchet MS"/>
                <w:b/>
                <w:sz w:val="18"/>
              </w:rPr>
            </w:pPr>
          </w:p>
          <w:p>
            <w:pPr>
              <w:pStyle w:val="TableParagraph"/>
              <w:ind w:right="93"/>
              <w:jc w:val="right"/>
              <w:rPr>
                <w:sz w:val="18"/>
              </w:rPr>
            </w:pPr>
            <w:r>
              <w:rPr>
                <w:spacing w:val="-2"/>
                <w:sz w:val="18"/>
              </w:rPr>
              <w:t>644.7</w:t>
            </w:r>
          </w:p>
        </w:tc>
        <w:tc>
          <w:tcPr>
            <w:tcW w:w="1200" w:type="dxa"/>
            <w:tcBorders>
              <w:top w:val="single" w:sz="8" w:space="0" w:color="000000"/>
              <w:left w:val="single" w:sz="8" w:space="0" w:color="B6B6B6"/>
              <w:bottom w:val="single" w:sz="8" w:space="0" w:color="EFEFEF"/>
              <w:right w:val="single" w:sz="8" w:space="0" w:color="B6B6B6"/>
            </w:tcBorders>
          </w:tcPr>
          <w:p>
            <w:pPr>
              <w:pStyle w:val="TableParagraph"/>
              <w:spacing w:before="104"/>
              <w:ind w:left="634"/>
              <w:rPr>
                <w:sz w:val="18"/>
              </w:rPr>
            </w:pPr>
            <w:r>
              <w:rPr>
                <w:spacing w:val="-2"/>
                <w:sz w:val="18"/>
              </w:rPr>
              <w:t>620.7</w:t>
            </w:r>
          </w:p>
          <w:p>
            <w:pPr>
              <w:pStyle w:val="TableParagraph"/>
              <w:spacing w:before="9"/>
              <w:ind w:left="541"/>
              <w:rPr>
                <w:sz w:val="18"/>
              </w:rPr>
            </w:pPr>
            <w:r>
              <w:rPr>
                <w:spacing w:val="-2"/>
                <w:sz w:val="18"/>
              </w:rPr>
              <w:t>(823.4)</w:t>
            </w:r>
          </w:p>
        </w:tc>
        <w:tc>
          <w:tcPr>
            <w:tcW w:w="1140" w:type="dxa"/>
            <w:tcBorders>
              <w:top w:val="single" w:sz="8" w:space="0" w:color="000000"/>
              <w:left w:val="single" w:sz="8" w:space="0" w:color="B6B6B6"/>
              <w:bottom w:val="single" w:sz="8" w:space="0" w:color="EFEFEF"/>
              <w:right w:val="single" w:sz="8" w:space="0" w:color="B6B6B6"/>
            </w:tcBorders>
          </w:tcPr>
          <w:p>
            <w:pPr>
              <w:pStyle w:val="TableParagraph"/>
              <w:spacing w:before="3"/>
              <w:rPr>
                <w:rFonts w:ascii="Trebuchet MS"/>
                <w:b/>
                <w:sz w:val="18"/>
              </w:rPr>
            </w:pPr>
          </w:p>
          <w:p>
            <w:pPr>
              <w:pStyle w:val="TableParagraph"/>
              <w:ind w:right="93"/>
              <w:jc w:val="right"/>
              <w:rPr>
                <w:sz w:val="18"/>
              </w:rPr>
            </w:pPr>
            <w:r>
              <w:rPr>
                <w:spacing w:val="-2"/>
                <w:sz w:val="18"/>
              </w:rPr>
              <w:t>328.8</w:t>
            </w:r>
          </w:p>
        </w:tc>
        <w:tc>
          <w:tcPr>
            <w:tcW w:w="1240" w:type="dxa"/>
            <w:tcBorders>
              <w:top w:val="single" w:sz="8" w:space="0" w:color="000000"/>
              <w:left w:val="single" w:sz="8" w:space="0" w:color="B6B6B6"/>
              <w:bottom w:val="single" w:sz="8" w:space="0" w:color="EFEFEF"/>
              <w:right w:val="single" w:sz="8" w:space="0" w:color="B6B6B6"/>
            </w:tcBorders>
          </w:tcPr>
          <w:p>
            <w:pPr>
              <w:pStyle w:val="TableParagraph"/>
              <w:spacing w:before="3"/>
              <w:rPr>
                <w:rFonts w:ascii="Trebuchet MS"/>
                <w:b/>
                <w:sz w:val="18"/>
              </w:rPr>
            </w:pPr>
          </w:p>
          <w:p>
            <w:pPr>
              <w:pStyle w:val="TableParagraph"/>
              <w:ind w:right="103"/>
              <w:jc w:val="right"/>
              <w:rPr>
                <w:sz w:val="18"/>
              </w:rPr>
            </w:pPr>
            <w:r>
              <w:rPr>
                <w:spacing w:val="-2"/>
                <w:sz w:val="18"/>
              </w:rPr>
              <w:t>331.7</w:t>
            </w:r>
          </w:p>
        </w:tc>
        <w:tc>
          <w:tcPr>
            <w:tcW w:w="1200" w:type="dxa"/>
            <w:tcBorders>
              <w:top w:val="single" w:sz="8" w:space="0" w:color="000000"/>
              <w:left w:val="single" w:sz="8" w:space="0" w:color="B6B6B6"/>
              <w:bottom w:val="single" w:sz="8" w:space="0" w:color="EFEFEF"/>
              <w:right w:val="single" w:sz="8" w:space="0" w:color="B6B6B6"/>
            </w:tcBorders>
          </w:tcPr>
          <w:p>
            <w:pPr>
              <w:pStyle w:val="TableParagraph"/>
              <w:spacing w:before="3"/>
              <w:rPr>
                <w:rFonts w:ascii="Trebuchet MS"/>
                <w:b/>
                <w:sz w:val="18"/>
              </w:rPr>
            </w:pPr>
          </w:p>
          <w:p>
            <w:pPr>
              <w:pStyle w:val="TableParagraph"/>
              <w:ind w:right="103"/>
              <w:jc w:val="right"/>
              <w:rPr>
                <w:sz w:val="18"/>
              </w:rPr>
            </w:pPr>
            <w:r>
              <w:rPr>
                <w:spacing w:val="-2"/>
                <w:sz w:val="18"/>
              </w:rPr>
              <w:t>314.3</w:t>
            </w:r>
          </w:p>
        </w:tc>
        <w:tc>
          <w:tcPr>
            <w:tcW w:w="1200" w:type="dxa"/>
            <w:tcBorders>
              <w:top w:val="single" w:sz="8" w:space="0" w:color="000000"/>
              <w:left w:val="single" w:sz="8" w:space="0" w:color="B6B6B6"/>
              <w:bottom w:val="single" w:sz="8" w:space="0" w:color="EFEFEF"/>
              <w:right w:val="single" w:sz="8" w:space="0" w:color="B6B6B6"/>
            </w:tcBorders>
          </w:tcPr>
          <w:p>
            <w:pPr>
              <w:pStyle w:val="TableParagraph"/>
              <w:spacing w:before="3"/>
              <w:rPr>
                <w:rFonts w:ascii="Trebuchet MS"/>
                <w:b/>
                <w:sz w:val="18"/>
              </w:rPr>
            </w:pPr>
          </w:p>
          <w:p>
            <w:pPr>
              <w:pStyle w:val="TableParagraph"/>
              <w:ind w:right="88"/>
              <w:jc w:val="right"/>
              <w:rPr>
                <w:sz w:val="18"/>
              </w:rPr>
            </w:pPr>
            <w:r>
              <w:rPr>
                <w:spacing w:val="-2"/>
                <w:sz w:val="18"/>
              </w:rPr>
              <w:t>441.3</w:t>
            </w:r>
          </w:p>
        </w:tc>
        <w:tc>
          <w:tcPr>
            <w:tcW w:w="1010" w:type="dxa"/>
            <w:tcBorders>
              <w:top w:val="single" w:sz="8" w:space="0" w:color="000000"/>
              <w:left w:val="single" w:sz="8" w:space="0" w:color="B6B6B6"/>
              <w:bottom w:val="single" w:sz="8" w:space="0" w:color="EFEFEF"/>
              <w:right w:val="nil"/>
            </w:tcBorders>
          </w:tcPr>
          <w:p>
            <w:pPr>
              <w:pStyle w:val="TableParagraph"/>
              <w:spacing w:before="3"/>
              <w:rPr>
                <w:rFonts w:ascii="Trebuchet MS"/>
                <w:b/>
                <w:sz w:val="18"/>
              </w:rPr>
            </w:pPr>
          </w:p>
          <w:p>
            <w:pPr>
              <w:pStyle w:val="TableParagraph"/>
              <w:ind w:right="93"/>
              <w:jc w:val="right"/>
              <w:rPr>
                <w:sz w:val="18"/>
              </w:rPr>
            </w:pPr>
            <w:r>
              <w:rPr>
                <w:spacing w:val="-2"/>
                <w:sz w:val="18"/>
              </w:rPr>
              <w:t>1,454.9</w:t>
            </w:r>
          </w:p>
        </w:tc>
      </w:tr>
      <w:tr>
        <w:trPr>
          <w:trHeight w:val="639" w:hRule="atLeast"/>
        </w:trPr>
        <w:tc>
          <w:tcPr>
            <w:tcW w:w="730" w:type="dxa"/>
            <w:tcBorders>
              <w:top w:val="single" w:sz="8" w:space="0" w:color="EFEFEF"/>
              <w:left w:val="nil"/>
              <w:bottom w:val="single" w:sz="8" w:space="0" w:color="EFEFEF"/>
              <w:right w:val="single" w:sz="8" w:space="0" w:color="B6B6B6"/>
            </w:tcBorders>
          </w:tcPr>
          <w:p>
            <w:pPr>
              <w:pStyle w:val="TableParagraph"/>
              <w:rPr>
                <w:rFonts w:ascii="Trebuchet MS"/>
                <w:b/>
                <w:sz w:val="18"/>
              </w:rPr>
            </w:pPr>
          </w:p>
          <w:p>
            <w:pPr>
              <w:pStyle w:val="TableParagraph"/>
              <w:ind w:left="149" w:right="145"/>
              <w:jc w:val="center"/>
              <w:rPr>
                <w:sz w:val="18"/>
              </w:rPr>
            </w:pPr>
            <w:r>
              <w:rPr>
                <w:spacing w:val="-4"/>
                <w:sz w:val="18"/>
              </w:rPr>
              <w:t>2016</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rPr>
                <w:rFonts w:ascii="Trebuchet MS"/>
                <w:b/>
                <w:sz w:val="18"/>
              </w:rPr>
            </w:pPr>
          </w:p>
          <w:p>
            <w:pPr>
              <w:pStyle w:val="TableParagraph"/>
              <w:ind w:right="103"/>
              <w:jc w:val="right"/>
              <w:rPr>
                <w:sz w:val="18"/>
              </w:rPr>
            </w:pPr>
            <w:r>
              <w:rPr>
                <w:spacing w:val="-2"/>
                <w:sz w:val="18"/>
              </w:rPr>
              <w:t>1,046.1</w:t>
            </w:r>
          </w:p>
        </w:tc>
        <w:tc>
          <w:tcPr>
            <w:tcW w:w="1100" w:type="dxa"/>
            <w:tcBorders>
              <w:top w:val="single" w:sz="8" w:space="0" w:color="EFEFEF"/>
              <w:left w:val="single" w:sz="8" w:space="0" w:color="B6B6B6"/>
              <w:bottom w:val="single" w:sz="8" w:space="0" w:color="EFEFEF"/>
              <w:right w:val="single" w:sz="8" w:space="0" w:color="B6B6B6"/>
            </w:tcBorders>
          </w:tcPr>
          <w:p>
            <w:pPr>
              <w:pStyle w:val="TableParagraph"/>
              <w:rPr>
                <w:rFonts w:ascii="Trebuchet MS"/>
                <w:b/>
                <w:sz w:val="18"/>
              </w:rPr>
            </w:pPr>
          </w:p>
          <w:p>
            <w:pPr>
              <w:pStyle w:val="TableParagraph"/>
              <w:ind w:right="93"/>
              <w:jc w:val="right"/>
              <w:rPr>
                <w:sz w:val="18"/>
              </w:rPr>
            </w:pPr>
            <w:r>
              <w:rPr>
                <w:spacing w:val="-2"/>
                <w:sz w:val="18"/>
              </w:rPr>
              <w:t>767.4</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101"/>
              <w:ind w:left="634"/>
              <w:rPr>
                <w:sz w:val="18"/>
              </w:rPr>
            </w:pPr>
            <w:r>
              <w:rPr>
                <w:spacing w:val="-2"/>
                <w:sz w:val="18"/>
              </w:rPr>
              <w:t>721.4</w:t>
            </w:r>
          </w:p>
          <w:p>
            <w:pPr>
              <w:pStyle w:val="TableParagraph"/>
              <w:spacing w:before="9"/>
              <w:ind w:left="541"/>
              <w:rPr>
                <w:sz w:val="18"/>
              </w:rPr>
            </w:pPr>
            <w:r>
              <w:rPr>
                <w:spacing w:val="-2"/>
                <w:sz w:val="18"/>
              </w:rPr>
              <w:t>(942.2)</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rPr>
                <w:rFonts w:ascii="Trebuchet MS"/>
                <w:b/>
                <w:sz w:val="18"/>
              </w:rPr>
            </w:pPr>
          </w:p>
          <w:p>
            <w:pPr>
              <w:pStyle w:val="TableParagraph"/>
              <w:ind w:right="93"/>
              <w:jc w:val="right"/>
              <w:rPr>
                <w:sz w:val="18"/>
              </w:rPr>
            </w:pPr>
            <w:r>
              <w:rPr>
                <w:spacing w:val="-2"/>
                <w:sz w:val="18"/>
              </w:rPr>
              <w:t>391.4</w:t>
            </w:r>
          </w:p>
        </w:tc>
        <w:tc>
          <w:tcPr>
            <w:tcW w:w="1240" w:type="dxa"/>
            <w:tcBorders>
              <w:top w:val="single" w:sz="8" w:space="0" w:color="EFEFEF"/>
              <w:left w:val="single" w:sz="8" w:space="0" w:color="B6B6B6"/>
              <w:bottom w:val="single" w:sz="8" w:space="0" w:color="EFEFEF"/>
              <w:right w:val="single" w:sz="8" w:space="0" w:color="B6B6B6"/>
            </w:tcBorders>
          </w:tcPr>
          <w:p>
            <w:pPr>
              <w:pStyle w:val="TableParagraph"/>
              <w:rPr>
                <w:rFonts w:ascii="Trebuchet MS"/>
                <w:b/>
                <w:sz w:val="18"/>
              </w:rPr>
            </w:pPr>
          </w:p>
          <w:p>
            <w:pPr>
              <w:pStyle w:val="TableParagraph"/>
              <w:ind w:right="103"/>
              <w:jc w:val="right"/>
              <w:rPr>
                <w:sz w:val="18"/>
              </w:rPr>
            </w:pPr>
            <w:r>
              <w:rPr>
                <w:spacing w:val="-2"/>
                <w:sz w:val="18"/>
              </w:rPr>
              <w:t>394.9</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rPr>
                <w:rFonts w:ascii="Trebuchet MS"/>
                <w:b/>
                <w:sz w:val="18"/>
              </w:rPr>
            </w:pPr>
          </w:p>
          <w:p>
            <w:pPr>
              <w:pStyle w:val="TableParagraph"/>
              <w:ind w:right="103"/>
              <w:jc w:val="right"/>
              <w:rPr>
                <w:sz w:val="18"/>
              </w:rPr>
            </w:pPr>
            <w:r>
              <w:rPr>
                <w:spacing w:val="-2"/>
                <w:sz w:val="18"/>
              </w:rPr>
              <w:t>374.1</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rPr>
                <w:rFonts w:ascii="Trebuchet MS"/>
                <w:b/>
                <w:sz w:val="18"/>
              </w:rPr>
            </w:pPr>
          </w:p>
          <w:p>
            <w:pPr>
              <w:pStyle w:val="TableParagraph"/>
              <w:ind w:right="88"/>
              <w:jc w:val="right"/>
              <w:rPr>
                <w:sz w:val="18"/>
              </w:rPr>
            </w:pPr>
            <w:r>
              <w:rPr>
                <w:spacing w:val="-2"/>
                <w:sz w:val="18"/>
              </w:rPr>
              <w:t>525.3</w:t>
            </w:r>
          </w:p>
        </w:tc>
        <w:tc>
          <w:tcPr>
            <w:tcW w:w="1010" w:type="dxa"/>
            <w:tcBorders>
              <w:top w:val="single" w:sz="8" w:space="0" w:color="EFEFEF"/>
              <w:left w:val="single" w:sz="8" w:space="0" w:color="B6B6B6"/>
              <w:bottom w:val="single" w:sz="8" w:space="0" w:color="EFEFEF"/>
              <w:right w:val="nil"/>
            </w:tcBorders>
          </w:tcPr>
          <w:p>
            <w:pPr>
              <w:pStyle w:val="TableParagraph"/>
              <w:rPr>
                <w:rFonts w:ascii="Trebuchet MS"/>
                <w:b/>
                <w:sz w:val="18"/>
              </w:rPr>
            </w:pPr>
          </w:p>
          <w:p>
            <w:pPr>
              <w:pStyle w:val="TableParagraph"/>
              <w:ind w:right="93"/>
              <w:jc w:val="right"/>
              <w:rPr>
                <w:sz w:val="18"/>
              </w:rPr>
            </w:pPr>
            <w:r>
              <w:rPr>
                <w:spacing w:val="-2"/>
                <w:sz w:val="18"/>
              </w:rPr>
              <w:t>1,731.9</w:t>
            </w:r>
          </w:p>
        </w:tc>
      </w:tr>
      <w:tr>
        <w:trPr>
          <w:trHeight w:val="640" w:hRule="atLeast"/>
        </w:trPr>
        <w:tc>
          <w:tcPr>
            <w:tcW w:w="730" w:type="dxa"/>
            <w:tcBorders>
              <w:top w:val="single" w:sz="8" w:space="0" w:color="EFEFEF"/>
              <w:left w:val="nil"/>
              <w:bottom w:val="single" w:sz="8" w:space="0" w:color="EFEFEF"/>
              <w:right w:val="single" w:sz="8" w:space="0" w:color="B6B6B6"/>
            </w:tcBorders>
          </w:tcPr>
          <w:p>
            <w:pPr>
              <w:pStyle w:val="TableParagraph"/>
              <w:spacing w:before="8"/>
              <w:rPr>
                <w:rFonts w:ascii="Trebuchet MS"/>
                <w:b/>
                <w:sz w:val="17"/>
              </w:rPr>
            </w:pPr>
          </w:p>
          <w:p>
            <w:pPr>
              <w:pStyle w:val="TableParagraph"/>
              <w:ind w:left="149" w:right="145"/>
              <w:jc w:val="center"/>
              <w:rPr>
                <w:sz w:val="18"/>
              </w:rPr>
            </w:pPr>
            <w:r>
              <w:rPr>
                <w:spacing w:val="-4"/>
                <w:sz w:val="18"/>
              </w:rPr>
              <w:t>2017</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7"/>
              </w:rPr>
            </w:pPr>
          </w:p>
          <w:p>
            <w:pPr>
              <w:pStyle w:val="TableParagraph"/>
              <w:ind w:right="103"/>
              <w:jc w:val="right"/>
              <w:rPr>
                <w:sz w:val="18"/>
              </w:rPr>
            </w:pPr>
            <w:r>
              <w:rPr>
                <w:spacing w:val="-2"/>
                <w:sz w:val="18"/>
              </w:rPr>
              <w:t>1,197.7</w:t>
            </w:r>
          </w:p>
        </w:tc>
        <w:tc>
          <w:tcPr>
            <w:tcW w:w="110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7"/>
              </w:rPr>
            </w:pPr>
          </w:p>
          <w:p>
            <w:pPr>
              <w:pStyle w:val="TableParagraph"/>
              <w:ind w:right="93"/>
              <w:jc w:val="right"/>
              <w:rPr>
                <w:sz w:val="18"/>
              </w:rPr>
            </w:pPr>
            <w:r>
              <w:rPr>
                <w:spacing w:val="-2"/>
                <w:sz w:val="18"/>
              </w:rPr>
              <w:t>878.7</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98"/>
              <w:ind w:right="93"/>
              <w:jc w:val="right"/>
              <w:rPr>
                <w:sz w:val="18"/>
              </w:rPr>
            </w:pPr>
            <w:r>
              <w:rPr>
                <w:spacing w:val="-2"/>
                <w:sz w:val="18"/>
              </w:rPr>
              <w:t>805.7</w:t>
            </w:r>
          </w:p>
          <w:p>
            <w:pPr>
              <w:pStyle w:val="TableParagraph"/>
              <w:spacing w:before="9"/>
              <w:ind w:right="93"/>
              <w:jc w:val="right"/>
              <w:rPr>
                <w:sz w:val="18"/>
              </w:rPr>
            </w:pPr>
            <w:r>
              <w:rPr>
                <w:spacing w:val="-2"/>
                <w:sz w:val="18"/>
              </w:rPr>
              <w:t>(1,039.3)</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7"/>
              </w:rPr>
            </w:pPr>
          </w:p>
          <w:p>
            <w:pPr>
              <w:pStyle w:val="TableParagraph"/>
              <w:ind w:right="93"/>
              <w:jc w:val="right"/>
              <w:rPr>
                <w:sz w:val="18"/>
              </w:rPr>
            </w:pPr>
            <w:r>
              <w:rPr>
                <w:spacing w:val="-2"/>
                <w:sz w:val="18"/>
              </w:rPr>
              <w:t>448.2</w:t>
            </w:r>
          </w:p>
        </w:tc>
        <w:tc>
          <w:tcPr>
            <w:tcW w:w="124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7"/>
              </w:rPr>
            </w:pPr>
          </w:p>
          <w:p>
            <w:pPr>
              <w:pStyle w:val="TableParagraph"/>
              <w:ind w:right="103"/>
              <w:jc w:val="right"/>
              <w:rPr>
                <w:sz w:val="18"/>
              </w:rPr>
            </w:pPr>
            <w:r>
              <w:rPr>
                <w:spacing w:val="-2"/>
                <w:sz w:val="18"/>
              </w:rPr>
              <w:t>452.1</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7"/>
              </w:rPr>
            </w:pPr>
          </w:p>
          <w:p>
            <w:pPr>
              <w:pStyle w:val="TableParagraph"/>
              <w:ind w:right="103"/>
              <w:jc w:val="right"/>
              <w:rPr>
                <w:sz w:val="18"/>
              </w:rPr>
            </w:pPr>
            <w:r>
              <w:rPr>
                <w:spacing w:val="-2"/>
                <w:sz w:val="18"/>
              </w:rPr>
              <w:t>428.3</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7"/>
              </w:rPr>
            </w:pPr>
          </w:p>
          <w:p>
            <w:pPr>
              <w:pStyle w:val="TableParagraph"/>
              <w:ind w:right="88"/>
              <w:jc w:val="right"/>
              <w:rPr>
                <w:sz w:val="18"/>
              </w:rPr>
            </w:pPr>
            <w:r>
              <w:rPr>
                <w:spacing w:val="-2"/>
                <w:sz w:val="18"/>
              </w:rPr>
              <w:t>601.4</w:t>
            </w:r>
          </w:p>
        </w:tc>
        <w:tc>
          <w:tcPr>
            <w:tcW w:w="1010" w:type="dxa"/>
            <w:tcBorders>
              <w:top w:val="single" w:sz="8" w:space="0" w:color="EFEFEF"/>
              <w:left w:val="single" w:sz="8" w:space="0" w:color="B6B6B6"/>
              <w:bottom w:val="single" w:sz="8" w:space="0" w:color="EFEFEF"/>
              <w:right w:val="nil"/>
            </w:tcBorders>
          </w:tcPr>
          <w:p>
            <w:pPr>
              <w:pStyle w:val="TableParagraph"/>
              <w:spacing w:before="8"/>
              <w:rPr>
                <w:rFonts w:ascii="Trebuchet MS"/>
                <w:b/>
                <w:sz w:val="17"/>
              </w:rPr>
            </w:pPr>
          </w:p>
          <w:p>
            <w:pPr>
              <w:pStyle w:val="TableParagraph"/>
              <w:ind w:right="93"/>
              <w:jc w:val="right"/>
              <w:rPr>
                <w:sz w:val="18"/>
              </w:rPr>
            </w:pPr>
            <w:r>
              <w:rPr>
                <w:spacing w:val="-2"/>
                <w:sz w:val="18"/>
              </w:rPr>
              <w:t>1,983.0</w:t>
            </w:r>
          </w:p>
        </w:tc>
      </w:tr>
      <w:tr>
        <w:trPr>
          <w:trHeight w:val="640" w:hRule="atLeast"/>
        </w:trPr>
        <w:tc>
          <w:tcPr>
            <w:tcW w:w="730" w:type="dxa"/>
            <w:tcBorders>
              <w:top w:val="single" w:sz="8" w:space="0" w:color="EFEFEF"/>
              <w:left w:val="nil"/>
              <w:bottom w:val="single" w:sz="8" w:space="0" w:color="EFEFEF"/>
              <w:right w:val="single" w:sz="8" w:space="0" w:color="B6B6B6"/>
            </w:tcBorders>
          </w:tcPr>
          <w:p>
            <w:pPr>
              <w:pStyle w:val="TableParagraph"/>
              <w:spacing w:before="5"/>
              <w:rPr>
                <w:rFonts w:ascii="Trebuchet MS"/>
                <w:b/>
                <w:sz w:val="17"/>
              </w:rPr>
            </w:pPr>
          </w:p>
          <w:p>
            <w:pPr>
              <w:pStyle w:val="TableParagraph"/>
              <w:ind w:left="149" w:right="145"/>
              <w:jc w:val="center"/>
              <w:rPr>
                <w:sz w:val="18"/>
              </w:rPr>
            </w:pPr>
            <w:r>
              <w:rPr>
                <w:spacing w:val="-4"/>
                <w:sz w:val="18"/>
              </w:rPr>
              <w:t>2018</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spacing w:before="5"/>
              <w:rPr>
                <w:rFonts w:ascii="Trebuchet MS"/>
                <w:b/>
                <w:sz w:val="17"/>
              </w:rPr>
            </w:pPr>
          </w:p>
          <w:p>
            <w:pPr>
              <w:pStyle w:val="TableParagraph"/>
              <w:ind w:right="103"/>
              <w:jc w:val="right"/>
              <w:rPr>
                <w:sz w:val="18"/>
              </w:rPr>
            </w:pPr>
            <w:r>
              <w:rPr>
                <w:spacing w:val="-2"/>
                <w:sz w:val="18"/>
              </w:rPr>
              <w:t>1,348.3</w:t>
            </w:r>
          </w:p>
        </w:tc>
        <w:tc>
          <w:tcPr>
            <w:tcW w:w="1100" w:type="dxa"/>
            <w:tcBorders>
              <w:top w:val="single" w:sz="8" w:space="0" w:color="EFEFEF"/>
              <w:left w:val="single" w:sz="8" w:space="0" w:color="B6B6B6"/>
              <w:bottom w:val="single" w:sz="8" w:space="0" w:color="EFEFEF"/>
              <w:right w:val="single" w:sz="8" w:space="0" w:color="B6B6B6"/>
            </w:tcBorders>
          </w:tcPr>
          <w:p>
            <w:pPr>
              <w:pStyle w:val="TableParagraph"/>
              <w:spacing w:before="5"/>
              <w:rPr>
                <w:rFonts w:ascii="Trebuchet MS"/>
                <w:b/>
                <w:sz w:val="17"/>
              </w:rPr>
            </w:pPr>
          </w:p>
          <w:p>
            <w:pPr>
              <w:pStyle w:val="TableParagraph"/>
              <w:ind w:right="93"/>
              <w:jc w:val="right"/>
              <w:rPr>
                <w:sz w:val="18"/>
              </w:rPr>
            </w:pPr>
            <w:r>
              <w:rPr>
                <w:spacing w:val="-2"/>
                <w:sz w:val="18"/>
              </w:rPr>
              <w:t>989.1</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95"/>
              <w:ind w:right="93"/>
              <w:jc w:val="right"/>
              <w:rPr>
                <w:sz w:val="18"/>
              </w:rPr>
            </w:pPr>
            <w:r>
              <w:rPr>
                <w:spacing w:val="-2"/>
                <w:sz w:val="18"/>
              </w:rPr>
              <w:t>889.4</w:t>
            </w:r>
          </w:p>
          <w:p>
            <w:pPr>
              <w:pStyle w:val="TableParagraph"/>
              <w:spacing w:before="9"/>
              <w:ind w:right="93"/>
              <w:jc w:val="right"/>
              <w:rPr>
                <w:sz w:val="18"/>
              </w:rPr>
            </w:pPr>
            <w:r>
              <w:rPr>
                <w:spacing w:val="-2"/>
                <w:sz w:val="18"/>
              </w:rPr>
              <w:t>(1,130.6)</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spacing w:before="5"/>
              <w:rPr>
                <w:rFonts w:ascii="Trebuchet MS"/>
                <w:b/>
                <w:sz w:val="17"/>
              </w:rPr>
            </w:pPr>
          </w:p>
          <w:p>
            <w:pPr>
              <w:pStyle w:val="TableParagraph"/>
              <w:ind w:right="93"/>
              <w:jc w:val="right"/>
              <w:rPr>
                <w:sz w:val="18"/>
              </w:rPr>
            </w:pPr>
            <w:r>
              <w:rPr>
                <w:spacing w:val="-2"/>
                <w:sz w:val="18"/>
              </w:rPr>
              <w:t>504.5</w:t>
            </w:r>
          </w:p>
        </w:tc>
        <w:tc>
          <w:tcPr>
            <w:tcW w:w="1240" w:type="dxa"/>
            <w:tcBorders>
              <w:top w:val="single" w:sz="8" w:space="0" w:color="EFEFEF"/>
              <w:left w:val="single" w:sz="8" w:space="0" w:color="B6B6B6"/>
              <w:bottom w:val="single" w:sz="8" w:space="0" w:color="EFEFEF"/>
              <w:right w:val="single" w:sz="8" w:space="0" w:color="B6B6B6"/>
            </w:tcBorders>
          </w:tcPr>
          <w:p>
            <w:pPr>
              <w:pStyle w:val="TableParagraph"/>
              <w:spacing w:before="5"/>
              <w:rPr>
                <w:rFonts w:ascii="Trebuchet MS"/>
                <w:b/>
                <w:sz w:val="17"/>
              </w:rPr>
            </w:pPr>
          </w:p>
          <w:p>
            <w:pPr>
              <w:pStyle w:val="TableParagraph"/>
              <w:ind w:right="103"/>
              <w:jc w:val="right"/>
              <w:rPr>
                <w:sz w:val="18"/>
              </w:rPr>
            </w:pPr>
            <w:r>
              <w:rPr>
                <w:spacing w:val="-2"/>
                <w:sz w:val="18"/>
              </w:rPr>
              <w:t>509.0</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5"/>
              <w:rPr>
                <w:rFonts w:ascii="Trebuchet MS"/>
                <w:b/>
                <w:sz w:val="17"/>
              </w:rPr>
            </w:pPr>
          </w:p>
          <w:p>
            <w:pPr>
              <w:pStyle w:val="TableParagraph"/>
              <w:ind w:right="103"/>
              <w:jc w:val="right"/>
              <w:rPr>
                <w:sz w:val="18"/>
              </w:rPr>
            </w:pPr>
            <w:r>
              <w:rPr>
                <w:spacing w:val="-2"/>
                <w:sz w:val="18"/>
              </w:rPr>
              <w:t>482.2</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5"/>
              <w:rPr>
                <w:rFonts w:ascii="Trebuchet MS"/>
                <w:b/>
                <w:sz w:val="17"/>
              </w:rPr>
            </w:pPr>
          </w:p>
          <w:p>
            <w:pPr>
              <w:pStyle w:val="TableParagraph"/>
              <w:ind w:right="88"/>
              <w:jc w:val="right"/>
              <w:rPr>
                <w:sz w:val="18"/>
              </w:rPr>
            </w:pPr>
            <w:r>
              <w:rPr>
                <w:spacing w:val="-2"/>
                <w:sz w:val="18"/>
              </w:rPr>
              <w:t>677.1</w:t>
            </w:r>
          </w:p>
        </w:tc>
        <w:tc>
          <w:tcPr>
            <w:tcW w:w="1010" w:type="dxa"/>
            <w:tcBorders>
              <w:top w:val="single" w:sz="8" w:space="0" w:color="EFEFEF"/>
              <w:left w:val="single" w:sz="8" w:space="0" w:color="B6B6B6"/>
              <w:bottom w:val="single" w:sz="8" w:space="0" w:color="EFEFEF"/>
              <w:right w:val="nil"/>
            </w:tcBorders>
          </w:tcPr>
          <w:p>
            <w:pPr>
              <w:pStyle w:val="TableParagraph"/>
              <w:spacing w:before="5"/>
              <w:rPr>
                <w:rFonts w:ascii="Trebuchet MS"/>
                <w:b/>
                <w:sz w:val="17"/>
              </w:rPr>
            </w:pPr>
          </w:p>
          <w:p>
            <w:pPr>
              <w:pStyle w:val="TableParagraph"/>
              <w:ind w:right="93"/>
              <w:jc w:val="right"/>
              <w:rPr>
                <w:sz w:val="18"/>
              </w:rPr>
            </w:pPr>
            <w:r>
              <w:rPr>
                <w:spacing w:val="-2"/>
                <w:sz w:val="18"/>
              </w:rPr>
              <w:t>2,232.3</w:t>
            </w:r>
          </w:p>
        </w:tc>
      </w:tr>
      <w:tr>
        <w:trPr>
          <w:trHeight w:val="619" w:hRule="atLeast"/>
        </w:trPr>
        <w:tc>
          <w:tcPr>
            <w:tcW w:w="730" w:type="dxa"/>
            <w:tcBorders>
              <w:top w:val="single" w:sz="8" w:space="0" w:color="EFEFEF"/>
              <w:left w:val="nil"/>
              <w:bottom w:val="single" w:sz="8" w:space="0" w:color="EFEFEF"/>
              <w:right w:val="single" w:sz="8" w:space="0" w:color="B6B6B6"/>
            </w:tcBorders>
          </w:tcPr>
          <w:p>
            <w:pPr>
              <w:pStyle w:val="TableParagraph"/>
              <w:spacing w:before="2"/>
              <w:rPr>
                <w:rFonts w:ascii="Trebuchet MS"/>
                <w:b/>
                <w:sz w:val="17"/>
              </w:rPr>
            </w:pPr>
          </w:p>
          <w:p>
            <w:pPr>
              <w:pStyle w:val="TableParagraph"/>
              <w:ind w:left="149" w:right="145"/>
              <w:jc w:val="center"/>
              <w:rPr>
                <w:sz w:val="18"/>
              </w:rPr>
            </w:pPr>
            <w:r>
              <w:rPr>
                <w:spacing w:val="-4"/>
                <w:sz w:val="18"/>
              </w:rPr>
              <w:t>2019</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spacing w:before="2"/>
              <w:rPr>
                <w:rFonts w:ascii="Trebuchet MS"/>
                <w:b/>
                <w:sz w:val="17"/>
              </w:rPr>
            </w:pPr>
          </w:p>
          <w:p>
            <w:pPr>
              <w:pStyle w:val="TableParagraph"/>
              <w:ind w:right="103"/>
              <w:jc w:val="right"/>
              <w:rPr>
                <w:sz w:val="18"/>
              </w:rPr>
            </w:pPr>
            <w:r>
              <w:rPr>
                <w:spacing w:val="-2"/>
                <w:sz w:val="18"/>
              </w:rPr>
              <w:t>1,367.0</w:t>
            </w:r>
          </w:p>
        </w:tc>
        <w:tc>
          <w:tcPr>
            <w:tcW w:w="1100" w:type="dxa"/>
            <w:tcBorders>
              <w:top w:val="single" w:sz="8" w:space="0" w:color="EFEFEF"/>
              <w:left w:val="single" w:sz="8" w:space="0" w:color="B6B6B6"/>
              <w:bottom w:val="single" w:sz="8" w:space="0" w:color="EFEFEF"/>
              <w:right w:val="single" w:sz="8" w:space="0" w:color="B6B6B6"/>
            </w:tcBorders>
          </w:tcPr>
          <w:p>
            <w:pPr>
              <w:pStyle w:val="TableParagraph"/>
              <w:spacing w:before="2"/>
              <w:rPr>
                <w:rFonts w:ascii="Trebuchet MS"/>
                <w:b/>
                <w:sz w:val="17"/>
              </w:rPr>
            </w:pPr>
          </w:p>
          <w:p>
            <w:pPr>
              <w:pStyle w:val="TableParagraph"/>
              <w:ind w:right="93"/>
              <w:jc w:val="right"/>
              <w:rPr>
                <w:sz w:val="18"/>
              </w:rPr>
            </w:pPr>
            <w:r>
              <w:rPr>
                <w:spacing w:val="-2"/>
                <w:sz w:val="18"/>
              </w:rPr>
              <w:t>1,002.8</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92"/>
              <w:ind w:right="93"/>
              <w:jc w:val="right"/>
              <w:rPr>
                <w:sz w:val="18"/>
              </w:rPr>
            </w:pPr>
            <w:r>
              <w:rPr>
                <w:spacing w:val="-2"/>
                <w:sz w:val="18"/>
              </w:rPr>
              <w:t>951.0</w:t>
            </w:r>
          </w:p>
          <w:p>
            <w:pPr>
              <w:pStyle w:val="TableParagraph"/>
              <w:spacing w:before="9"/>
              <w:ind w:right="93"/>
              <w:jc w:val="right"/>
              <w:rPr>
                <w:sz w:val="18"/>
              </w:rPr>
            </w:pPr>
            <w:r>
              <w:rPr>
                <w:spacing w:val="-2"/>
                <w:sz w:val="18"/>
              </w:rPr>
              <w:t>(1,199.8)</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spacing w:before="2"/>
              <w:rPr>
                <w:rFonts w:ascii="Trebuchet MS"/>
                <w:b/>
                <w:sz w:val="17"/>
              </w:rPr>
            </w:pPr>
          </w:p>
          <w:p>
            <w:pPr>
              <w:pStyle w:val="TableParagraph"/>
              <w:ind w:right="93"/>
              <w:jc w:val="right"/>
              <w:rPr>
                <w:sz w:val="18"/>
              </w:rPr>
            </w:pPr>
            <w:r>
              <w:rPr>
                <w:spacing w:val="-2"/>
                <w:sz w:val="18"/>
              </w:rPr>
              <w:t>511.5</w:t>
            </w:r>
          </w:p>
        </w:tc>
        <w:tc>
          <w:tcPr>
            <w:tcW w:w="1240" w:type="dxa"/>
            <w:tcBorders>
              <w:top w:val="single" w:sz="8" w:space="0" w:color="EFEFEF"/>
              <w:left w:val="single" w:sz="8" w:space="0" w:color="B6B6B6"/>
              <w:bottom w:val="single" w:sz="8" w:space="0" w:color="EFEFEF"/>
              <w:right w:val="single" w:sz="8" w:space="0" w:color="B6B6B6"/>
            </w:tcBorders>
          </w:tcPr>
          <w:p>
            <w:pPr>
              <w:pStyle w:val="TableParagraph"/>
              <w:spacing w:before="2"/>
              <w:rPr>
                <w:rFonts w:ascii="Trebuchet MS"/>
                <w:b/>
                <w:sz w:val="17"/>
              </w:rPr>
            </w:pPr>
          </w:p>
          <w:p>
            <w:pPr>
              <w:pStyle w:val="TableParagraph"/>
              <w:ind w:right="103"/>
              <w:jc w:val="right"/>
              <w:rPr>
                <w:sz w:val="18"/>
              </w:rPr>
            </w:pPr>
            <w:r>
              <w:rPr>
                <w:spacing w:val="-2"/>
                <w:sz w:val="18"/>
              </w:rPr>
              <w:t>516.0</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2"/>
              <w:rPr>
                <w:rFonts w:ascii="Trebuchet MS"/>
                <w:b/>
                <w:sz w:val="17"/>
              </w:rPr>
            </w:pPr>
          </w:p>
          <w:p>
            <w:pPr>
              <w:pStyle w:val="TableParagraph"/>
              <w:ind w:right="103"/>
              <w:jc w:val="right"/>
              <w:rPr>
                <w:sz w:val="18"/>
              </w:rPr>
            </w:pPr>
            <w:r>
              <w:rPr>
                <w:spacing w:val="-2"/>
                <w:sz w:val="18"/>
              </w:rPr>
              <w:t>488.8</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2"/>
              <w:rPr>
                <w:rFonts w:ascii="Trebuchet MS"/>
                <w:b/>
                <w:sz w:val="17"/>
              </w:rPr>
            </w:pPr>
          </w:p>
          <w:p>
            <w:pPr>
              <w:pStyle w:val="TableParagraph"/>
              <w:ind w:right="88"/>
              <w:jc w:val="right"/>
              <w:rPr>
                <w:sz w:val="18"/>
              </w:rPr>
            </w:pPr>
            <w:r>
              <w:rPr>
                <w:spacing w:val="-2"/>
                <w:sz w:val="18"/>
              </w:rPr>
              <w:t>686.4</w:t>
            </w:r>
          </w:p>
        </w:tc>
        <w:tc>
          <w:tcPr>
            <w:tcW w:w="1010" w:type="dxa"/>
            <w:tcBorders>
              <w:top w:val="single" w:sz="8" w:space="0" w:color="EFEFEF"/>
              <w:left w:val="single" w:sz="8" w:space="0" w:color="B6B6B6"/>
              <w:bottom w:val="single" w:sz="8" w:space="0" w:color="EFEFEF"/>
              <w:right w:val="nil"/>
            </w:tcBorders>
          </w:tcPr>
          <w:p>
            <w:pPr>
              <w:pStyle w:val="TableParagraph"/>
              <w:spacing w:before="2"/>
              <w:rPr>
                <w:rFonts w:ascii="Trebuchet MS"/>
                <w:b/>
                <w:sz w:val="17"/>
              </w:rPr>
            </w:pPr>
          </w:p>
          <w:p>
            <w:pPr>
              <w:pStyle w:val="TableParagraph"/>
              <w:ind w:right="93"/>
              <w:jc w:val="right"/>
              <w:rPr>
                <w:sz w:val="18"/>
              </w:rPr>
            </w:pPr>
            <w:r>
              <w:rPr>
                <w:spacing w:val="-2"/>
                <w:sz w:val="18"/>
              </w:rPr>
              <w:t>2,263.2</w:t>
            </w:r>
          </w:p>
        </w:tc>
      </w:tr>
      <w:tr>
        <w:trPr>
          <w:trHeight w:val="640" w:hRule="atLeast"/>
        </w:trPr>
        <w:tc>
          <w:tcPr>
            <w:tcW w:w="730" w:type="dxa"/>
            <w:tcBorders>
              <w:top w:val="single" w:sz="8" w:space="0" w:color="EFEFEF"/>
              <w:left w:val="nil"/>
              <w:bottom w:val="single" w:sz="8" w:space="0" w:color="EFEFEF"/>
              <w:right w:val="single" w:sz="8" w:space="0" w:color="B6B6B6"/>
            </w:tcBorders>
          </w:tcPr>
          <w:p>
            <w:pPr>
              <w:pStyle w:val="TableParagraph"/>
              <w:spacing w:before="8"/>
              <w:rPr>
                <w:rFonts w:ascii="Trebuchet MS"/>
                <w:b/>
                <w:sz w:val="18"/>
              </w:rPr>
            </w:pPr>
          </w:p>
          <w:p>
            <w:pPr>
              <w:pStyle w:val="TableParagraph"/>
              <w:ind w:left="149" w:right="145"/>
              <w:jc w:val="center"/>
              <w:rPr>
                <w:sz w:val="18"/>
              </w:rPr>
            </w:pPr>
            <w:r>
              <w:rPr>
                <w:spacing w:val="-4"/>
                <w:sz w:val="18"/>
              </w:rPr>
              <w:t>2020</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8"/>
              </w:rPr>
            </w:pPr>
          </w:p>
          <w:p>
            <w:pPr>
              <w:pStyle w:val="TableParagraph"/>
              <w:ind w:right="103"/>
              <w:jc w:val="right"/>
              <w:rPr>
                <w:sz w:val="18"/>
              </w:rPr>
            </w:pPr>
            <w:r>
              <w:rPr>
                <w:spacing w:val="-2"/>
                <w:sz w:val="18"/>
              </w:rPr>
              <w:t>1,492.7</w:t>
            </w:r>
          </w:p>
        </w:tc>
        <w:tc>
          <w:tcPr>
            <w:tcW w:w="110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8"/>
              </w:rPr>
            </w:pPr>
          </w:p>
          <w:p>
            <w:pPr>
              <w:pStyle w:val="TableParagraph"/>
              <w:ind w:right="93"/>
              <w:jc w:val="right"/>
              <w:rPr>
                <w:sz w:val="18"/>
              </w:rPr>
            </w:pPr>
            <w:r>
              <w:rPr>
                <w:spacing w:val="-2"/>
                <w:sz w:val="18"/>
              </w:rPr>
              <w:t>1,095.1</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109"/>
              <w:ind w:right="93"/>
              <w:jc w:val="right"/>
              <w:rPr>
                <w:sz w:val="18"/>
              </w:rPr>
            </w:pPr>
            <w:r>
              <w:rPr>
                <w:spacing w:val="-2"/>
                <w:sz w:val="18"/>
              </w:rPr>
              <w:t>986.8</w:t>
            </w:r>
          </w:p>
          <w:p>
            <w:pPr>
              <w:pStyle w:val="TableParagraph"/>
              <w:spacing w:before="9"/>
              <w:ind w:right="93"/>
              <w:jc w:val="right"/>
              <w:rPr>
                <w:sz w:val="18"/>
              </w:rPr>
            </w:pPr>
            <w:r>
              <w:rPr>
                <w:spacing w:val="-2"/>
                <w:sz w:val="18"/>
              </w:rPr>
              <w:t>(1,239.8)</w:t>
            </w:r>
          </w:p>
        </w:tc>
        <w:tc>
          <w:tcPr>
            <w:tcW w:w="114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8"/>
              </w:rPr>
            </w:pPr>
          </w:p>
          <w:p>
            <w:pPr>
              <w:pStyle w:val="TableParagraph"/>
              <w:ind w:right="93"/>
              <w:jc w:val="right"/>
              <w:rPr>
                <w:sz w:val="18"/>
              </w:rPr>
            </w:pPr>
            <w:r>
              <w:rPr>
                <w:spacing w:val="-2"/>
                <w:sz w:val="18"/>
              </w:rPr>
              <w:t>558.5</w:t>
            </w:r>
          </w:p>
        </w:tc>
        <w:tc>
          <w:tcPr>
            <w:tcW w:w="124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8"/>
              </w:rPr>
            </w:pPr>
          </w:p>
          <w:p>
            <w:pPr>
              <w:pStyle w:val="TableParagraph"/>
              <w:ind w:right="103"/>
              <w:jc w:val="right"/>
              <w:rPr>
                <w:sz w:val="18"/>
              </w:rPr>
            </w:pPr>
            <w:r>
              <w:rPr>
                <w:spacing w:val="-2"/>
                <w:sz w:val="18"/>
              </w:rPr>
              <w:t>563.5</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8"/>
              </w:rPr>
            </w:pPr>
          </w:p>
          <w:p>
            <w:pPr>
              <w:pStyle w:val="TableParagraph"/>
              <w:ind w:right="103"/>
              <w:jc w:val="right"/>
              <w:rPr>
                <w:sz w:val="18"/>
              </w:rPr>
            </w:pPr>
            <w:r>
              <w:rPr>
                <w:spacing w:val="-2"/>
                <w:sz w:val="18"/>
              </w:rPr>
              <w:t>533.8</w:t>
            </w:r>
          </w:p>
        </w:tc>
        <w:tc>
          <w:tcPr>
            <w:tcW w:w="1200" w:type="dxa"/>
            <w:tcBorders>
              <w:top w:val="single" w:sz="8" w:space="0" w:color="EFEFEF"/>
              <w:left w:val="single" w:sz="8" w:space="0" w:color="B6B6B6"/>
              <w:bottom w:val="single" w:sz="8" w:space="0" w:color="EFEFEF"/>
              <w:right w:val="single" w:sz="8" w:space="0" w:color="B6B6B6"/>
            </w:tcBorders>
          </w:tcPr>
          <w:p>
            <w:pPr>
              <w:pStyle w:val="TableParagraph"/>
              <w:spacing w:before="8"/>
              <w:rPr>
                <w:rFonts w:ascii="Trebuchet MS"/>
                <w:b/>
                <w:sz w:val="18"/>
              </w:rPr>
            </w:pPr>
          </w:p>
          <w:p>
            <w:pPr>
              <w:pStyle w:val="TableParagraph"/>
              <w:ind w:right="88"/>
              <w:jc w:val="right"/>
              <w:rPr>
                <w:sz w:val="18"/>
              </w:rPr>
            </w:pPr>
            <w:r>
              <w:rPr>
                <w:spacing w:val="-2"/>
                <w:sz w:val="18"/>
              </w:rPr>
              <w:t>749.6</w:t>
            </w:r>
          </w:p>
        </w:tc>
        <w:tc>
          <w:tcPr>
            <w:tcW w:w="1010" w:type="dxa"/>
            <w:tcBorders>
              <w:top w:val="single" w:sz="8" w:space="0" w:color="EFEFEF"/>
              <w:left w:val="single" w:sz="8" w:space="0" w:color="B6B6B6"/>
              <w:bottom w:val="single" w:sz="8" w:space="0" w:color="EFEFEF"/>
              <w:right w:val="nil"/>
            </w:tcBorders>
          </w:tcPr>
          <w:p>
            <w:pPr>
              <w:pStyle w:val="TableParagraph"/>
              <w:spacing w:before="8"/>
              <w:rPr>
                <w:rFonts w:ascii="Trebuchet MS"/>
                <w:b/>
                <w:sz w:val="18"/>
              </w:rPr>
            </w:pPr>
          </w:p>
          <w:p>
            <w:pPr>
              <w:pStyle w:val="TableParagraph"/>
              <w:ind w:right="93"/>
              <w:jc w:val="right"/>
              <w:rPr>
                <w:sz w:val="18"/>
              </w:rPr>
            </w:pPr>
            <w:r>
              <w:rPr>
                <w:spacing w:val="-2"/>
                <w:sz w:val="18"/>
              </w:rPr>
              <w:t>2,471.4</w:t>
            </w:r>
          </w:p>
        </w:tc>
      </w:tr>
      <w:tr>
        <w:trPr>
          <w:trHeight w:val="640" w:hRule="atLeast"/>
        </w:trPr>
        <w:tc>
          <w:tcPr>
            <w:tcW w:w="730" w:type="dxa"/>
            <w:tcBorders>
              <w:top w:val="single" w:sz="8" w:space="0" w:color="EFEFEF"/>
              <w:left w:val="nil"/>
              <w:right w:val="single" w:sz="8" w:space="0" w:color="B6B6B6"/>
            </w:tcBorders>
          </w:tcPr>
          <w:p>
            <w:pPr>
              <w:pStyle w:val="TableParagraph"/>
              <w:spacing w:before="5"/>
              <w:rPr>
                <w:rFonts w:ascii="Trebuchet MS"/>
                <w:b/>
                <w:sz w:val="18"/>
              </w:rPr>
            </w:pPr>
          </w:p>
          <w:p>
            <w:pPr>
              <w:pStyle w:val="TableParagraph"/>
              <w:ind w:left="149" w:right="145"/>
              <w:jc w:val="center"/>
              <w:rPr>
                <w:sz w:val="18"/>
              </w:rPr>
            </w:pPr>
            <w:r>
              <w:rPr>
                <w:spacing w:val="-4"/>
                <w:sz w:val="18"/>
              </w:rPr>
              <w:t>2021</w:t>
            </w:r>
          </w:p>
        </w:tc>
        <w:tc>
          <w:tcPr>
            <w:tcW w:w="1140" w:type="dxa"/>
            <w:tcBorders>
              <w:top w:val="single" w:sz="8" w:space="0" w:color="EFEFEF"/>
              <w:left w:val="single" w:sz="8" w:space="0" w:color="B6B6B6"/>
              <w:right w:val="single" w:sz="8" w:space="0" w:color="B6B6B6"/>
            </w:tcBorders>
          </w:tcPr>
          <w:p>
            <w:pPr>
              <w:pStyle w:val="TableParagraph"/>
              <w:spacing w:before="5"/>
              <w:rPr>
                <w:rFonts w:ascii="Trebuchet MS"/>
                <w:b/>
                <w:sz w:val="18"/>
              </w:rPr>
            </w:pPr>
          </w:p>
          <w:p>
            <w:pPr>
              <w:pStyle w:val="TableParagraph"/>
              <w:ind w:right="103"/>
              <w:jc w:val="right"/>
              <w:rPr>
                <w:sz w:val="18"/>
              </w:rPr>
            </w:pPr>
            <w:r>
              <w:rPr>
                <w:spacing w:val="-2"/>
                <w:sz w:val="18"/>
              </w:rPr>
              <w:t>1,589.2</w:t>
            </w:r>
          </w:p>
        </w:tc>
        <w:tc>
          <w:tcPr>
            <w:tcW w:w="1100" w:type="dxa"/>
            <w:tcBorders>
              <w:top w:val="single" w:sz="8" w:space="0" w:color="EFEFEF"/>
              <w:left w:val="single" w:sz="8" w:space="0" w:color="B6B6B6"/>
              <w:right w:val="single" w:sz="8" w:space="0" w:color="B6B6B6"/>
            </w:tcBorders>
          </w:tcPr>
          <w:p>
            <w:pPr>
              <w:pStyle w:val="TableParagraph"/>
              <w:spacing w:before="5"/>
              <w:rPr>
                <w:rFonts w:ascii="Trebuchet MS"/>
                <w:b/>
                <w:sz w:val="18"/>
              </w:rPr>
            </w:pPr>
          </w:p>
          <w:p>
            <w:pPr>
              <w:pStyle w:val="TableParagraph"/>
              <w:ind w:right="93"/>
              <w:jc w:val="right"/>
              <w:rPr>
                <w:sz w:val="18"/>
              </w:rPr>
            </w:pPr>
            <w:r>
              <w:rPr>
                <w:spacing w:val="-2"/>
                <w:sz w:val="18"/>
              </w:rPr>
              <w:t>1,165.9</w:t>
            </w:r>
          </w:p>
        </w:tc>
        <w:tc>
          <w:tcPr>
            <w:tcW w:w="1200" w:type="dxa"/>
            <w:tcBorders>
              <w:top w:val="single" w:sz="8" w:space="0" w:color="EFEFEF"/>
              <w:left w:val="single" w:sz="8" w:space="0" w:color="B6B6B6"/>
              <w:right w:val="single" w:sz="8" w:space="0" w:color="B6B6B6"/>
            </w:tcBorders>
          </w:tcPr>
          <w:p>
            <w:pPr>
              <w:pStyle w:val="TableParagraph"/>
              <w:spacing w:before="106"/>
              <w:ind w:left="484"/>
              <w:rPr>
                <w:sz w:val="18"/>
              </w:rPr>
            </w:pPr>
            <w:r>
              <w:rPr>
                <w:spacing w:val="-2"/>
                <w:sz w:val="18"/>
              </w:rPr>
              <w:t>1,027.1</w:t>
            </w:r>
          </w:p>
          <w:p>
            <w:pPr>
              <w:pStyle w:val="TableParagraph"/>
              <w:spacing w:before="9"/>
              <w:ind w:left="390"/>
              <w:rPr>
                <w:sz w:val="18"/>
              </w:rPr>
            </w:pPr>
            <w:r>
              <w:rPr>
                <w:spacing w:val="-2"/>
                <w:sz w:val="18"/>
              </w:rPr>
              <w:t>(1,280.1)</w:t>
            </w:r>
          </w:p>
        </w:tc>
        <w:tc>
          <w:tcPr>
            <w:tcW w:w="1140" w:type="dxa"/>
            <w:tcBorders>
              <w:top w:val="single" w:sz="8" w:space="0" w:color="EFEFEF"/>
              <w:left w:val="single" w:sz="8" w:space="0" w:color="B6B6B6"/>
              <w:right w:val="single" w:sz="8" w:space="0" w:color="B6B6B6"/>
            </w:tcBorders>
          </w:tcPr>
          <w:p>
            <w:pPr>
              <w:pStyle w:val="TableParagraph"/>
              <w:spacing w:before="5"/>
              <w:rPr>
                <w:rFonts w:ascii="Trebuchet MS"/>
                <w:b/>
                <w:sz w:val="18"/>
              </w:rPr>
            </w:pPr>
          </w:p>
          <w:p>
            <w:pPr>
              <w:pStyle w:val="TableParagraph"/>
              <w:ind w:right="93"/>
              <w:jc w:val="right"/>
              <w:rPr>
                <w:sz w:val="18"/>
              </w:rPr>
            </w:pPr>
            <w:r>
              <w:rPr>
                <w:spacing w:val="-2"/>
                <w:sz w:val="18"/>
              </w:rPr>
              <w:t>594.6</w:t>
            </w:r>
          </w:p>
        </w:tc>
        <w:tc>
          <w:tcPr>
            <w:tcW w:w="1240" w:type="dxa"/>
            <w:tcBorders>
              <w:top w:val="single" w:sz="8" w:space="0" w:color="EFEFEF"/>
              <w:left w:val="single" w:sz="8" w:space="0" w:color="B6B6B6"/>
              <w:right w:val="single" w:sz="8" w:space="0" w:color="B6B6B6"/>
            </w:tcBorders>
          </w:tcPr>
          <w:p>
            <w:pPr>
              <w:pStyle w:val="TableParagraph"/>
              <w:spacing w:before="5"/>
              <w:rPr>
                <w:rFonts w:ascii="Trebuchet MS"/>
                <w:b/>
                <w:sz w:val="18"/>
              </w:rPr>
            </w:pPr>
          </w:p>
          <w:p>
            <w:pPr>
              <w:pStyle w:val="TableParagraph"/>
              <w:ind w:right="103"/>
              <w:jc w:val="right"/>
              <w:rPr>
                <w:sz w:val="18"/>
              </w:rPr>
            </w:pPr>
            <w:r>
              <w:rPr>
                <w:spacing w:val="-2"/>
                <w:sz w:val="18"/>
              </w:rPr>
              <w:t>599.9</w:t>
            </w:r>
          </w:p>
        </w:tc>
        <w:tc>
          <w:tcPr>
            <w:tcW w:w="1200" w:type="dxa"/>
            <w:tcBorders>
              <w:top w:val="single" w:sz="8" w:space="0" w:color="EFEFEF"/>
              <w:left w:val="single" w:sz="8" w:space="0" w:color="B6B6B6"/>
              <w:right w:val="single" w:sz="8" w:space="0" w:color="B6B6B6"/>
            </w:tcBorders>
          </w:tcPr>
          <w:p>
            <w:pPr>
              <w:pStyle w:val="TableParagraph"/>
              <w:spacing w:before="5"/>
              <w:rPr>
                <w:rFonts w:ascii="Trebuchet MS"/>
                <w:b/>
                <w:sz w:val="18"/>
              </w:rPr>
            </w:pPr>
          </w:p>
          <w:p>
            <w:pPr>
              <w:pStyle w:val="TableParagraph"/>
              <w:ind w:right="103"/>
              <w:jc w:val="right"/>
              <w:rPr>
                <w:sz w:val="18"/>
              </w:rPr>
            </w:pPr>
            <w:r>
              <w:rPr>
                <w:spacing w:val="-2"/>
                <w:sz w:val="18"/>
              </w:rPr>
              <w:t>568.3</w:t>
            </w:r>
          </w:p>
        </w:tc>
        <w:tc>
          <w:tcPr>
            <w:tcW w:w="1200" w:type="dxa"/>
            <w:tcBorders>
              <w:top w:val="single" w:sz="8" w:space="0" w:color="EFEFEF"/>
              <w:left w:val="single" w:sz="8" w:space="0" w:color="B6B6B6"/>
              <w:right w:val="single" w:sz="8" w:space="0" w:color="B6B6B6"/>
            </w:tcBorders>
          </w:tcPr>
          <w:p>
            <w:pPr>
              <w:pStyle w:val="TableParagraph"/>
              <w:spacing w:before="5"/>
              <w:rPr>
                <w:rFonts w:ascii="Trebuchet MS"/>
                <w:b/>
                <w:sz w:val="18"/>
              </w:rPr>
            </w:pPr>
          </w:p>
          <w:p>
            <w:pPr>
              <w:pStyle w:val="TableParagraph"/>
              <w:ind w:right="88"/>
              <w:jc w:val="right"/>
              <w:rPr>
                <w:sz w:val="18"/>
              </w:rPr>
            </w:pPr>
            <w:r>
              <w:rPr>
                <w:spacing w:val="-2"/>
                <w:sz w:val="18"/>
              </w:rPr>
              <w:t>798.0</w:t>
            </w:r>
          </w:p>
        </w:tc>
        <w:tc>
          <w:tcPr>
            <w:tcW w:w="1010" w:type="dxa"/>
            <w:tcBorders>
              <w:top w:val="single" w:sz="8" w:space="0" w:color="EFEFEF"/>
              <w:left w:val="single" w:sz="8" w:space="0" w:color="B6B6B6"/>
              <w:bottom w:val="nil"/>
              <w:right w:val="nil"/>
            </w:tcBorders>
          </w:tcPr>
          <w:p>
            <w:pPr>
              <w:pStyle w:val="TableParagraph"/>
              <w:spacing w:before="5"/>
              <w:rPr>
                <w:rFonts w:ascii="Trebuchet MS"/>
                <w:b/>
                <w:sz w:val="18"/>
              </w:rPr>
            </w:pPr>
          </w:p>
          <w:p>
            <w:pPr>
              <w:pStyle w:val="TableParagraph"/>
              <w:ind w:right="93"/>
              <w:jc w:val="right"/>
              <w:rPr>
                <w:sz w:val="18"/>
              </w:rPr>
            </w:pPr>
            <w:r>
              <w:rPr>
                <w:spacing w:val="-2"/>
                <w:sz w:val="18"/>
              </w:rPr>
              <w:t>2,631.1</w:t>
            </w:r>
          </w:p>
        </w:tc>
      </w:tr>
    </w:tbl>
    <w:p>
      <w:pPr>
        <w:spacing w:line="333" w:lineRule="auto" w:before="1"/>
        <w:ind w:left="760" w:right="1209" w:firstLine="0"/>
        <w:jc w:val="left"/>
        <w:rPr>
          <w:i/>
          <w:sz w:val="18"/>
        </w:rPr>
      </w:pPr>
      <w:r>
        <w:rPr>
          <w:i/>
          <w:sz w:val="18"/>
        </w:rPr>
        <w:t>Notes:</w:t>
      </w:r>
      <w:r>
        <w:rPr>
          <w:i/>
          <w:spacing w:val="-3"/>
          <w:sz w:val="18"/>
        </w:rPr>
        <w:t> </w:t>
      </w:r>
      <w:r>
        <w:rPr>
          <w:i/>
          <w:sz w:val="18"/>
        </w:rPr>
        <w:t>The</w:t>
      </w:r>
      <w:r>
        <w:rPr>
          <w:i/>
          <w:spacing w:val="-3"/>
          <w:sz w:val="18"/>
        </w:rPr>
        <w:t> </w:t>
      </w:r>
      <w:r>
        <w:rPr>
          <w:i/>
          <w:sz w:val="18"/>
        </w:rPr>
        <w:t>BIS</w:t>
      </w:r>
      <w:r>
        <w:rPr>
          <w:i/>
          <w:spacing w:val="-3"/>
          <w:sz w:val="18"/>
        </w:rPr>
        <w:t> </w:t>
      </w:r>
      <w:r>
        <w:rPr>
          <w:i/>
          <w:sz w:val="18"/>
        </w:rPr>
        <w:t>data</w:t>
      </w:r>
      <w:r>
        <w:rPr>
          <w:i/>
          <w:spacing w:val="-3"/>
          <w:sz w:val="18"/>
        </w:rPr>
        <w:t> </w:t>
      </w:r>
      <w:r>
        <w:rPr>
          <w:i/>
          <w:sz w:val="18"/>
        </w:rPr>
        <w:t>are</w:t>
      </w:r>
      <w:r>
        <w:rPr>
          <w:i/>
          <w:spacing w:val="-3"/>
          <w:sz w:val="18"/>
        </w:rPr>
        <w:t> </w:t>
      </w:r>
      <w:r>
        <w:rPr>
          <w:i/>
          <w:sz w:val="18"/>
        </w:rPr>
        <w:t>reported</w:t>
      </w:r>
      <w:r>
        <w:rPr>
          <w:i/>
          <w:spacing w:val="-3"/>
          <w:sz w:val="18"/>
        </w:rPr>
        <w:t> </w:t>
      </w:r>
      <w:r>
        <w:rPr>
          <w:i/>
          <w:sz w:val="18"/>
        </w:rPr>
        <w:t>in</w:t>
      </w:r>
      <w:r>
        <w:rPr>
          <w:i/>
          <w:spacing w:val="-3"/>
          <w:sz w:val="18"/>
        </w:rPr>
        <w:t> </w:t>
      </w:r>
      <w:r>
        <w:rPr>
          <w:i/>
          <w:sz w:val="18"/>
        </w:rPr>
        <w:t>current</w:t>
      </w:r>
      <w:r>
        <w:rPr>
          <w:i/>
          <w:spacing w:val="-3"/>
          <w:sz w:val="18"/>
        </w:rPr>
        <w:t> </w:t>
      </w:r>
      <w:r>
        <w:rPr>
          <w:i/>
          <w:sz w:val="18"/>
        </w:rPr>
        <w:t>(nominal)</w:t>
      </w:r>
      <w:r>
        <w:rPr>
          <w:i/>
          <w:spacing w:val="-3"/>
          <w:sz w:val="18"/>
        </w:rPr>
        <w:t> </w:t>
      </w:r>
      <w:r>
        <w:rPr>
          <w:i/>
          <w:sz w:val="18"/>
        </w:rPr>
        <w:t>USD.</w:t>
      </w:r>
      <w:r>
        <w:rPr>
          <w:i/>
          <w:spacing w:val="-3"/>
          <w:sz w:val="18"/>
        </w:rPr>
        <w:t> </w:t>
      </w:r>
      <w:r>
        <w:rPr>
          <w:i/>
          <w:sz w:val="18"/>
        </w:rPr>
        <w:t>For</w:t>
      </w:r>
      <w:r>
        <w:rPr>
          <w:i/>
          <w:spacing w:val="-3"/>
          <w:sz w:val="18"/>
        </w:rPr>
        <w:t> </w:t>
      </w:r>
      <w:r>
        <w:rPr>
          <w:i/>
          <w:sz w:val="18"/>
        </w:rPr>
        <w:t>the</w:t>
      </w:r>
      <w:r>
        <w:rPr>
          <w:i/>
          <w:spacing w:val="-3"/>
          <w:sz w:val="18"/>
        </w:rPr>
        <w:t> </w:t>
      </w:r>
      <w:r>
        <w:rPr>
          <w:i/>
          <w:sz w:val="18"/>
        </w:rPr>
        <w:t>sake</w:t>
      </w:r>
      <w:r>
        <w:rPr>
          <w:i/>
          <w:spacing w:val="-3"/>
          <w:sz w:val="18"/>
        </w:rPr>
        <w:t> </w:t>
      </w:r>
      <w:r>
        <w:rPr>
          <w:i/>
          <w:sz w:val="18"/>
        </w:rPr>
        <w:t>of</w:t>
      </w:r>
      <w:r>
        <w:rPr>
          <w:i/>
          <w:spacing w:val="-3"/>
          <w:sz w:val="18"/>
        </w:rPr>
        <w:t> </w:t>
      </w:r>
      <w:r>
        <w:rPr>
          <w:i/>
          <w:sz w:val="18"/>
        </w:rPr>
        <w:t>comparability,</w:t>
      </w:r>
      <w:r>
        <w:rPr>
          <w:i/>
          <w:spacing w:val="-3"/>
          <w:sz w:val="18"/>
        </w:rPr>
        <w:t> </w:t>
      </w:r>
      <w:r>
        <w:rPr>
          <w:i/>
          <w:sz w:val="18"/>
        </w:rPr>
        <w:t>the</w:t>
      </w:r>
      <w:r>
        <w:rPr>
          <w:i/>
          <w:spacing w:val="-3"/>
          <w:sz w:val="18"/>
        </w:rPr>
        <w:t> </w:t>
      </w:r>
      <w:r>
        <w:rPr>
          <w:i/>
          <w:sz w:val="18"/>
        </w:rPr>
        <w:t>amounts</w:t>
      </w:r>
      <w:r>
        <w:rPr>
          <w:i/>
          <w:sz w:val="18"/>
        </w:rPr>
        <w:t> </w:t>
      </w:r>
      <w:r>
        <w:rPr>
          <w:i/>
          <w:spacing w:val="-2"/>
          <w:w w:val="105"/>
          <w:sz w:val="18"/>
        </w:rPr>
        <w:t>recorded</w:t>
      </w:r>
      <w:r>
        <w:rPr>
          <w:i/>
          <w:spacing w:val="-7"/>
          <w:w w:val="105"/>
          <w:sz w:val="18"/>
        </w:rPr>
        <w:t> </w:t>
      </w:r>
      <w:r>
        <w:rPr>
          <w:i/>
          <w:spacing w:val="-2"/>
          <w:w w:val="105"/>
          <w:sz w:val="18"/>
        </w:rPr>
        <w:t>in</w:t>
      </w:r>
      <w:r>
        <w:rPr>
          <w:i/>
          <w:spacing w:val="-7"/>
          <w:w w:val="105"/>
          <w:sz w:val="18"/>
        </w:rPr>
        <w:t> </w:t>
      </w:r>
      <w:r>
        <w:rPr>
          <w:i/>
          <w:spacing w:val="-2"/>
          <w:w w:val="105"/>
          <w:sz w:val="18"/>
        </w:rPr>
        <w:t>the</w:t>
      </w:r>
      <w:r>
        <w:rPr>
          <w:i/>
          <w:spacing w:val="-7"/>
          <w:w w:val="105"/>
          <w:sz w:val="18"/>
        </w:rPr>
        <w:t> </w:t>
      </w:r>
      <w:r>
        <w:rPr>
          <w:i/>
          <w:spacing w:val="-2"/>
          <w:w w:val="105"/>
          <w:sz w:val="18"/>
        </w:rPr>
        <w:t>“AidData</w:t>
      </w:r>
      <w:r>
        <w:rPr>
          <w:i/>
          <w:spacing w:val="-7"/>
          <w:w w:val="105"/>
          <w:sz w:val="18"/>
        </w:rPr>
        <w:t> </w:t>
      </w:r>
      <w:r>
        <w:rPr>
          <w:i/>
          <w:spacing w:val="-2"/>
          <w:w w:val="105"/>
          <w:sz w:val="18"/>
        </w:rPr>
        <w:t>Total</w:t>
      </w:r>
      <w:r>
        <w:rPr>
          <w:i/>
          <w:spacing w:val="-7"/>
          <w:w w:val="105"/>
          <w:sz w:val="18"/>
        </w:rPr>
        <w:t> </w:t>
      </w:r>
      <w:r>
        <w:rPr>
          <w:i/>
          <w:spacing w:val="-2"/>
          <w:w w:val="105"/>
          <w:sz w:val="18"/>
        </w:rPr>
        <w:t>to</w:t>
      </w:r>
      <w:r>
        <w:rPr>
          <w:i/>
          <w:spacing w:val="-7"/>
          <w:w w:val="105"/>
          <w:sz w:val="18"/>
        </w:rPr>
        <w:t> </w:t>
      </w:r>
      <w:r>
        <w:rPr>
          <w:i/>
          <w:spacing w:val="-2"/>
          <w:w w:val="105"/>
          <w:sz w:val="18"/>
        </w:rPr>
        <w:t>LICs</w:t>
      </w:r>
      <w:r>
        <w:rPr>
          <w:i/>
          <w:spacing w:val="-7"/>
          <w:w w:val="105"/>
          <w:sz w:val="18"/>
        </w:rPr>
        <w:t> </w:t>
      </w:r>
      <w:r>
        <w:rPr>
          <w:i/>
          <w:spacing w:val="-2"/>
          <w:w w:val="105"/>
          <w:sz w:val="18"/>
        </w:rPr>
        <w:t>and</w:t>
      </w:r>
      <w:r>
        <w:rPr>
          <w:i/>
          <w:spacing w:val="-7"/>
          <w:w w:val="105"/>
          <w:sz w:val="18"/>
        </w:rPr>
        <w:t> </w:t>
      </w:r>
      <w:r>
        <w:rPr>
          <w:i/>
          <w:spacing w:val="-2"/>
          <w:w w:val="105"/>
          <w:sz w:val="18"/>
        </w:rPr>
        <w:t>MICs”</w:t>
      </w:r>
      <w:r>
        <w:rPr>
          <w:i/>
          <w:spacing w:val="-7"/>
          <w:w w:val="105"/>
          <w:sz w:val="18"/>
        </w:rPr>
        <w:t> </w:t>
      </w:r>
      <w:r>
        <w:rPr>
          <w:i/>
          <w:spacing w:val="-2"/>
          <w:w w:val="105"/>
          <w:sz w:val="18"/>
        </w:rPr>
        <w:t>column</w:t>
      </w:r>
      <w:r>
        <w:rPr>
          <w:i/>
          <w:spacing w:val="-7"/>
          <w:w w:val="105"/>
          <w:sz w:val="18"/>
        </w:rPr>
        <w:t> </w:t>
      </w:r>
      <w:r>
        <w:rPr>
          <w:i/>
          <w:spacing w:val="-2"/>
          <w:w w:val="105"/>
          <w:sz w:val="18"/>
        </w:rPr>
        <w:t>are</w:t>
      </w:r>
      <w:r>
        <w:rPr>
          <w:i/>
          <w:spacing w:val="-7"/>
          <w:w w:val="105"/>
          <w:sz w:val="18"/>
        </w:rPr>
        <w:t> </w:t>
      </w:r>
      <w:r>
        <w:rPr>
          <w:i/>
          <w:spacing w:val="-2"/>
          <w:w w:val="105"/>
          <w:sz w:val="18"/>
        </w:rPr>
        <w:t>also</w:t>
      </w:r>
      <w:r>
        <w:rPr>
          <w:i/>
          <w:spacing w:val="-7"/>
          <w:w w:val="105"/>
          <w:sz w:val="18"/>
        </w:rPr>
        <w:t> </w:t>
      </w:r>
      <w:r>
        <w:rPr>
          <w:i/>
          <w:spacing w:val="-2"/>
          <w:w w:val="105"/>
          <w:sz w:val="18"/>
        </w:rPr>
        <w:t>reported</w:t>
      </w:r>
      <w:r>
        <w:rPr>
          <w:i/>
          <w:spacing w:val="-7"/>
          <w:w w:val="105"/>
          <w:sz w:val="18"/>
        </w:rPr>
        <w:t> </w:t>
      </w:r>
      <w:r>
        <w:rPr>
          <w:i/>
          <w:spacing w:val="-2"/>
          <w:w w:val="105"/>
          <w:sz w:val="18"/>
        </w:rPr>
        <w:t>in</w:t>
      </w:r>
      <w:r>
        <w:rPr>
          <w:i/>
          <w:spacing w:val="-7"/>
          <w:w w:val="105"/>
          <w:sz w:val="18"/>
        </w:rPr>
        <w:t> </w:t>
      </w:r>
      <w:r>
        <w:rPr>
          <w:i/>
          <w:spacing w:val="-2"/>
          <w:w w:val="105"/>
          <w:sz w:val="18"/>
        </w:rPr>
        <w:t>current</w:t>
      </w:r>
      <w:r>
        <w:rPr>
          <w:i/>
          <w:spacing w:val="-7"/>
          <w:w w:val="105"/>
          <w:sz w:val="18"/>
        </w:rPr>
        <w:t> </w:t>
      </w:r>
      <w:r>
        <w:rPr>
          <w:i/>
          <w:spacing w:val="-2"/>
          <w:w w:val="105"/>
          <w:sz w:val="18"/>
        </w:rPr>
        <w:t>(nominal)</w:t>
      </w:r>
      <w:r>
        <w:rPr>
          <w:i/>
          <w:spacing w:val="-7"/>
          <w:w w:val="105"/>
          <w:sz w:val="18"/>
        </w:rPr>
        <w:t> </w:t>
      </w:r>
      <w:r>
        <w:rPr>
          <w:i/>
          <w:spacing w:val="-2"/>
          <w:w w:val="105"/>
          <w:sz w:val="18"/>
        </w:rPr>
        <w:t>USD, </w:t>
      </w:r>
      <w:r>
        <w:rPr>
          <w:i/>
          <w:sz w:val="18"/>
        </w:rPr>
        <w:t>though the constant 2021 USD amounts are reported in parenthesis. The totals from AidData exclude </w:t>
      </w:r>
      <w:r>
        <w:rPr>
          <w:i/>
          <w:w w:val="105"/>
          <w:sz w:val="18"/>
        </w:rPr>
        <w:t>short-term</w:t>
      </w:r>
      <w:r>
        <w:rPr>
          <w:i/>
          <w:spacing w:val="-4"/>
          <w:w w:val="105"/>
          <w:sz w:val="18"/>
        </w:rPr>
        <w:t> </w:t>
      </w:r>
      <w:r>
        <w:rPr>
          <w:i/>
          <w:w w:val="105"/>
          <w:sz w:val="18"/>
        </w:rPr>
        <w:t>“rollover”</w:t>
      </w:r>
      <w:r>
        <w:rPr>
          <w:i/>
          <w:spacing w:val="-4"/>
          <w:w w:val="105"/>
          <w:sz w:val="18"/>
        </w:rPr>
        <w:t> </w:t>
      </w:r>
      <w:r>
        <w:rPr>
          <w:i/>
          <w:w w:val="105"/>
          <w:sz w:val="18"/>
        </w:rPr>
        <w:t>facilities</w:t>
      </w:r>
      <w:r>
        <w:rPr>
          <w:i/>
          <w:spacing w:val="-4"/>
          <w:w w:val="105"/>
          <w:sz w:val="18"/>
        </w:rPr>
        <w:t> </w:t>
      </w:r>
      <w:r>
        <w:rPr>
          <w:i/>
          <w:w w:val="105"/>
          <w:sz w:val="18"/>
        </w:rPr>
        <w:t>(see</w:t>
      </w:r>
      <w:r>
        <w:rPr>
          <w:i/>
          <w:spacing w:val="-4"/>
          <w:w w:val="105"/>
          <w:sz w:val="18"/>
        </w:rPr>
        <w:t> </w:t>
      </w:r>
      <w:r>
        <w:rPr>
          <w:i/>
          <w:w w:val="105"/>
          <w:sz w:val="18"/>
        </w:rPr>
        <w:t>Box</w:t>
      </w:r>
      <w:r>
        <w:rPr>
          <w:i/>
          <w:spacing w:val="-4"/>
          <w:w w:val="105"/>
          <w:sz w:val="18"/>
        </w:rPr>
        <w:t> </w:t>
      </w:r>
      <w:r>
        <w:rPr>
          <w:i/>
          <w:w w:val="105"/>
          <w:sz w:val="18"/>
        </w:rPr>
        <w:t>2c</w:t>
      </w:r>
      <w:r>
        <w:rPr>
          <w:i/>
          <w:spacing w:val="-4"/>
          <w:w w:val="105"/>
          <w:sz w:val="18"/>
        </w:rPr>
        <w:t> </w:t>
      </w:r>
      <w:r>
        <w:rPr>
          <w:i/>
          <w:w w:val="105"/>
          <w:sz w:val="18"/>
        </w:rPr>
        <w:t>and</w:t>
      </w:r>
      <w:r>
        <w:rPr>
          <w:i/>
          <w:spacing w:val="-4"/>
          <w:w w:val="105"/>
          <w:sz w:val="18"/>
        </w:rPr>
        <w:t> </w:t>
      </w:r>
      <w:r>
        <w:rPr>
          <w:i/>
          <w:w w:val="105"/>
          <w:sz w:val="18"/>
        </w:rPr>
        <w:t>Section</w:t>
      </w:r>
      <w:r>
        <w:rPr>
          <w:i/>
          <w:spacing w:val="-4"/>
          <w:w w:val="105"/>
          <w:sz w:val="18"/>
        </w:rPr>
        <w:t> </w:t>
      </w:r>
      <w:r>
        <w:rPr>
          <w:i/>
          <w:w w:val="105"/>
          <w:sz w:val="18"/>
        </w:rPr>
        <w:t>A-3</w:t>
      </w:r>
      <w:r>
        <w:rPr>
          <w:i/>
          <w:spacing w:val="-4"/>
          <w:w w:val="105"/>
          <w:sz w:val="18"/>
        </w:rPr>
        <w:t> </w:t>
      </w:r>
      <w:r>
        <w:rPr>
          <w:i/>
          <w:w w:val="105"/>
          <w:sz w:val="18"/>
        </w:rPr>
        <w:t>in</w:t>
      </w:r>
      <w:r>
        <w:rPr>
          <w:i/>
          <w:spacing w:val="-4"/>
          <w:w w:val="105"/>
          <w:sz w:val="18"/>
        </w:rPr>
        <w:t> </w:t>
      </w:r>
      <w:r>
        <w:rPr>
          <w:i/>
          <w:w w:val="105"/>
          <w:sz w:val="18"/>
        </w:rPr>
        <w:t>the</w:t>
      </w:r>
      <w:r>
        <w:rPr>
          <w:i/>
          <w:spacing w:val="-4"/>
          <w:w w:val="105"/>
          <w:sz w:val="18"/>
        </w:rPr>
        <w:t> </w:t>
      </w:r>
      <w:r>
        <w:rPr>
          <w:i/>
          <w:w w:val="105"/>
          <w:sz w:val="18"/>
        </w:rPr>
        <w:t>Appendix).</w:t>
      </w:r>
    </w:p>
    <w:p>
      <w:pPr>
        <w:pStyle w:val="BodyText"/>
        <w:rPr>
          <w:i/>
          <w:sz w:val="18"/>
        </w:rPr>
      </w:pPr>
    </w:p>
    <w:p>
      <w:pPr>
        <w:pStyle w:val="BodyText"/>
        <w:spacing w:line="333" w:lineRule="auto" w:before="111"/>
        <w:ind w:left="760" w:right="1515"/>
        <w:jc w:val="both"/>
      </w:pPr>
      <w:r>
        <w:rPr/>
        <w:t>There</w:t>
      </w:r>
      <w:r>
        <w:rPr>
          <w:spacing w:val="-12"/>
        </w:rPr>
        <w:t> </w:t>
      </w:r>
      <w:r>
        <w:rPr/>
        <w:t>are</w:t>
      </w:r>
      <w:r>
        <w:rPr>
          <w:spacing w:val="-12"/>
        </w:rPr>
        <w:t> </w:t>
      </w:r>
      <w:r>
        <w:rPr/>
        <w:t>three</w:t>
      </w:r>
      <w:r>
        <w:rPr>
          <w:spacing w:val="-12"/>
        </w:rPr>
        <w:t> </w:t>
      </w:r>
      <w:r>
        <w:rPr/>
        <w:t>main</w:t>
      </w:r>
      <w:r>
        <w:rPr>
          <w:spacing w:val="-12"/>
        </w:rPr>
        <w:t> </w:t>
      </w:r>
      <w:r>
        <w:rPr/>
        <w:t>reasons</w:t>
      </w:r>
      <w:r>
        <w:rPr>
          <w:spacing w:val="-12"/>
        </w:rPr>
        <w:t> </w:t>
      </w:r>
      <w:r>
        <w:rPr/>
        <w:t>why</w:t>
      </w:r>
      <w:r>
        <w:rPr>
          <w:spacing w:val="-12"/>
        </w:rPr>
        <w:t> </w:t>
      </w:r>
      <w:r>
        <w:rPr/>
        <w:t>AidData’s</w:t>
      </w:r>
      <w:r>
        <w:rPr>
          <w:spacing w:val="-12"/>
        </w:rPr>
        <w:t> </w:t>
      </w:r>
      <w:r>
        <w:rPr/>
        <w:t>GCDF</w:t>
      </w:r>
      <w:r>
        <w:rPr>
          <w:spacing w:val="-12"/>
        </w:rPr>
        <w:t> </w:t>
      </w:r>
      <w:r>
        <w:rPr/>
        <w:t>dataset</w:t>
      </w:r>
      <w:r>
        <w:rPr>
          <w:spacing w:val="-12"/>
        </w:rPr>
        <w:t> </w:t>
      </w:r>
      <w:r>
        <w:rPr/>
        <w:t>challenges</w:t>
      </w:r>
      <w:r>
        <w:rPr>
          <w:spacing w:val="-12"/>
        </w:rPr>
        <w:t> </w:t>
      </w:r>
      <w:r>
        <w:rPr/>
        <w:t>the conventional wisdom about the total collapse of China’s overseas lending </w:t>
      </w:r>
      <w:r>
        <w:rPr>
          <w:spacing w:val="-2"/>
        </w:rPr>
        <w:t>program.</w:t>
      </w:r>
    </w:p>
    <w:p>
      <w:pPr>
        <w:pStyle w:val="BodyText"/>
        <w:spacing w:before="8"/>
        <w:rPr>
          <w:sz w:val="27"/>
        </w:rPr>
      </w:pPr>
    </w:p>
    <w:p>
      <w:pPr>
        <w:pStyle w:val="ListParagraph"/>
        <w:numPr>
          <w:ilvl w:val="0"/>
          <w:numId w:val="2"/>
        </w:numPr>
        <w:tabs>
          <w:tab w:pos="1480" w:val="left" w:leader="none"/>
        </w:tabs>
        <w:spacing w:line="333" w:lineRule="auto" w:before="0" w:after="0"/>
        <w:ind w:left="1480" w:right="758" w:hanging="360"/>
        <w:jc w:val="left"/>
        <w:rPr>
          <w:sz w:val="24"/>
        </w:rPr>
      </w:pPr>
      <w:r>
        <w:rPr>
          <w:b/>
          <w:sz w:val="24"/>
        </w:rPr>
        <w:t>Lending</w:t>
      </w:r>
      <w:r>
        <w:rPr>
          <w:b/>
          <w:spacing w:val="-17"/>
          <w:sz w:val="24"/>
        </w:rPr>
        <w:t> </w:t>
      </w:r>
      <w:r>
        <w:rPr>
          <w:b/>
          <w:sz w:val="24"/>
        </w:rPr>
        <w:t>institution</w:t>
      </w:r>
      <w:r>
        <w:rPr>
          <w:b/>
          <w:spacing w:val="-17"/>
          <w:sz w:val="24"/>
        </w:rPr>
        <w:t> </w:t>
      </w:r>
      <w:r>
        <w:rPr>
          <w:b/>
          <w:sz w:val="24"/>
        </w:rPr>
        <w:t>coverage:</w:t>
      </w:r>
      <w:r>
        <w:rPr>
          <w:b/>
          <w:spacing w:val="-16"/>
          <w:sz w:val="24"/>
        </w:rPr>
        <w:t> </w:t>
      </w:r>
      <w:r>
        <w:rPr>
          <w:sz w:val="24"/>
        </w:rPr>
        <w:t>Unlike</w:t>
      </w:r>
      <w:r>
        <w:rPr>
          <w:spacing w:val="-17"/>
          <w:sz w:val="24"/>
        </w:rPr>
        <w:t> </w:t>
      </w:r>
      <w:r>
        <w:rPr>
          <w:sz w:val="24"/>
        </w:rPr>
        <w:t>other</w:t>
      </w:r>
      <w:r>
        <w:rPr>
          <w:spacing w:val="-17"/>
          <w:sz w:val="24"/>
        </w:rPr>
        <w:t> </w:t>
      </w:r>
      <w:r>
        <w:rPr>
          <w:sz w:val="24"/>
        </w:rPr>
        <w:t>publicly</w:t>
      </w:r>
      <w:r>
        <w:rPr>
          <w:spacing w:val="-17"/>
          <w:sz w:val="24"/>
        </w:rPr>
        <w:t> </w:t>
      </w:r>
      <w:r>
        <w:rPr>
          <w:sz w:val="24"/>
        </w:rPr>
        <w:t>available</w:t>
      </w:r>
      <w:r>
        <w:rPr>
          <w:spacing w:val="-16"/>
          <w:sz w:val="24"/>
        </w:rPr>
        <w:t> </w:t>
      </w:r>
      <w:r>
        <w:rPr>
          <w:sz w:val="24"/>
        </w:rPr>
        <w:t>datasets</w:t>
      </w:r>
      <w:r>
        <w:rPr>
          <w:spacing w:val="-17"/>
          <w:sz w:val="24"/>
        </w:rPr>
        <w:t> </w:t>
      </w:r>
      <w:r>
        <w:rPr>
          <w:sz w:val="24"/>
        </w:rPr>
        <w:t>that </w:t>
      </w:r>
      <w:r>
        <w:rPr>
          <w:spacing w:val="-2"/>
          <w:w w:val="105"/>
          <w:sz w:val="24"/>
        </w:rPr>
        <w:t>measure</w:t>
      </w:r>
      <w:r>
        <w:rPr>
          <w:spacing w:val="-11"/>
          <w:w w:val="105"/>
          <w:sz w:val="24"/>
        </w:rPr>
        <w:t> </w:t>
      </w:r>
      <w:r>
        <w:rPr>
          <w:spacing w:val="-2"/>
          <w:w w:val="105"/>
          <w:sz w:val="24"/>
        </w:rPr>
        <w:t>Chinese</w:t>
      </w:r>
      <w:r>
        <w:rPr>
          <w:spacing w:val="-11"/>
          <w:w w:val="105"/>
          <w:sz w:val="24"/>
        </w:rPr>
        <w:t> </w:t>
      </w:r>
      <w:r>
        <w:rPr>
          <w:spacing w:val="-2"/>
          <w:w w:val="105"/>
          <w:sz w:val="24"/>
        </w:rPr>
        <w:t>development</w:t>
      </w:r>
      <w:r>
        <w:rPr>
          <w:spacing w:val="-11"/>
          <w:w w:val="105"/>
          <w:sz w:val="24"/>
        </w:rPr>
        <w:t> </w:t>
      </w:r>
      <w:r>
        <w:rPr>
          <w:spacing w:val="-2"/>
          <w:w w:val="105"/>
          <w:sz w:val="24"/>
        </w:rPr>
        <w:t>ﬁnance,</w:t>
      </w:r>
      <w:r>
        <w:rPr>
          <w:spacing w:val="-11"/>
          <w:w w:val="105"/>
          <w:sz w:val="24"/>
        </w:rPr>
        <w:t> </w:t>
      </w:r>
      <w:r>
        <w:rPr>
          <w:spacing w:val="-2"/>
          <w:w w:val="105"/>
          <w:sz w:val="24"/>
        </w:rPr>
        <w:t>the</w:t>
      </w:r>
      <w:r>
        <w:rPr>
          <w:spacing w:val="-11"/>
          <w:w w:val="105"/>
          <w:sz w:val="24"/>
        </w:rPr>
        <w:t> </w:t>
      </w:r>
      <w:r>
        <w:rPr>
          <w:spacing w:val="-2"/>
          <w:w w:val="105"/>
          <w:sz w:val="24"/>
        </w:rPr>
        <w:t>3.0</w:t>
      </w:r>
      <w:r>
        <w:rPr>
          <w:spacing w:val="-11"/>
          <w:w w:val="105"/>
          <w:sz w:val="24"/>
        </w:rPr>
        <w:t> </w:t>
      </w:r>
      <w:r>
        <w:rPr>
          <w:spacing w:val="-2"/>
          <w:w w:val="105"/>
          <w:sz w:val="24"/>
        </w:rPr>
        <w:t>version</w:t>
      </w:r>
      <w:r>
        <w:rPr>
          <w:spacing w:val="-11"/>
          <w:w w:val="105"/>
          <w:sz w:val="24"/>
        </w:rPr>
        <w:t> </w:t>
      </w:r>
      <w:r>
        <w:rPr>
          <w:spacing w:val="-2"/>
          <w:w w:val="105"/>
          <w:sz w:val="24"/>
        </w:rPr>
        <w:t>of</w:t>
      </w:r>
      <w:r>
        <w:rPr>
          <w:spacing w:val="-11"/>
          <w:w w:val="105"/>
          <w:sz w:val="24"/>
        </w:rPr>
        <w:t> </w:t>
      </w:r>
      <w:r>
        <w:rPr>
          <w:spacing w:val="-2"/>
          <w:w w:val="105"/>
          <w:sz w:val="24"/>
        </w:rPr>
        <w:t>AidData’s </w:t>
      </w:r>
      <w:r>
        <w:rPr>
          <w:sz w:val="24"/>
        </w:rPr>
        <w:t>GCDF dataset does not exclusively track the overseas lending activities of China’s</w:t>
      </w:r>
      <w:r>
        <w:rPr>
          <w:spacing w:val="-4"/>
          <w:sz w:val="24"/>
        </w:rPr>
        <w:t> </w:t>
      </w:r>
      <w:r>
        <w:rPr>
          <w:sz w:val="24"/>
        </w:rPr>
        <w:t>government</w:t>
      </w:r>
      <w:r>
        <w:rPr>
          <w:spacing w:val="-4"/>
          <w:sz w:val="24"/>
        </w:rPr>
        <w:t> </w:t>
      </w:r>
      <w:r>
        <w:rPr>
          <w:sz w:val="24"/>
        </w:rPr>
        <w:t>agencies</w:t>
      </w:r>
      <w:r>
        <w:rPr>
          <w:spacing w:val="-4"/>
          <w:sz w:val="24"/>
        </w:rPr>
        <w:t> </w:t>
      </w:r>
      <w:r>
        <w:rPr>
          <w:sz w:val="24"/>
        </w:rPr>
        <w:t>(MOFCOM</w:t>
      </w:r>
      <w:r>
        <w:rPr>
          <w:spacing w:val="-4"/>
          <w:sz w:val="24"/>
        </w:rPr>
        <w:t> </w:t>
      </w:r>
      <w:r>
        <w:rPr>
          <w:sz w:val="24"/>
        </w:rPr>
        <w:t>and</w:t>
      </w:r>
      <w:r>
        <w:rPr>
          <w:spacing w:val="-4"/>
          <w:sz w:val="24"/>
        </w:rPr>
        <w:t> </w:t>
      </w:r>
      <w:r>
        <w:rPr>
          <w:sz w:val="24"/>
        </w:rPr>
        <w:t>CIDCA)</w:t>
      </w:r>
      <w:r>
        <w:rPr>
          <w:spacing w:val="-4"/>
          <w:sz w:val="24"/>
        </w:rPr>
        <w:t> </w:t>
      </w:r>
      <w:r>
        <w:rPr>
          <w:sz w:val="24"/>
        </w:rPr>
        <w:t>and</w:t>
      </w:r>
      <w:r>
        <w:rPr>
          <w:spacing w:val="-4"/>
          <w:sz w:val="24"/>
        </w:rPr>
        <w:t> </w:t>
      </w:r>
      <w:r>
        <w:rPr>
          <w:sz w:val="24"/>
        </w:rPr>
        <w:t>its</w:t>
      </w:r>
      <w:r>
        <w:rPr>
          <w:spacing w:val="-4"/>
          <w:sz w:val="24"/>
        </w:rPr>
        <w:t> </w:t>
      </w:r>
      <w:r>
        <w:rPr>
          <w:sz w:val="24"/>
        </w:rPr>
        <w:t>state-owned</w:t>
      </w:r>
    </w:p>
    <w:p>
      <w:pPr>
        <w:spacing w:after="0" w:line="333" w:lineRule="auto"/>
        <w:jc w:val="left"/>
        <w:rPr>
          <w:sz w:val="24"/>
        </w:rPr>
        <w:sectPr>
          <w:pgSz w:w="12240" w:h="15840"/>
          <w:pgMar w:header="0" w:footer="720" w:top="1560" w:bottom="920" w:left="1040" w:right="1040"/>
        </w:sectPr>
      </w:pPr>
    </w:p>
    <w:p>
      <w:pPr>
        <w:pStyle w:val="BodyText"/>
        <w:spacing w:line="333" w:lineRule="auto" w:before="67"/>
        <w:ind w:left="1480" w:right="745"/>
      </w:pPr>
      <w:r>
        <w:rPr/>
        <w:t>policy banks (China Eximbank and CDB).</w:t>
      </w:r>
      <w:r>
        <w:rPr>
          <w:vertAlign w:val="superscript"/>
        </w:rPr>
        <w:t>96</w:t>
      </w:r>
      <w:r>
        <w:rPr>
          <w:vertAlign w:val="baseline"/>
        </w:rPr>
        <w:t> Based on OECD-DAC reporting directives, it tracks the overseas lending activities of </w:t>
      </w:r>
      <w:r>
        <w:rPr>
          <w:i/>
          <w:vertAlign w:val="baseline"/>
        </w:rPr>
        <w:t>all</w:t>
      </w:r>
      <w:r>
        <w:rPr>
          <w:i/>
          <w:vertAlign w:val="baseline"/>
        </w:rPr>
        <w:t> </w:t>
      </w:r>
      <w:r>
        <w:rPr>
          <w:vertAlign w:val="baseline"/>
        </w:rPr>
        <w:t>government and state-owned creditors in China, including state-owned commercial</w:t>
      </w:r>
      <w:r>
        <w:rPr>
          <w:spacing w:val="-17"/>
          <w:vertAlign w:val="baseline"/>
        </w:rPr>
        <w:t> </w:t>
      </w:r>
      <w:r>
        <w:rPr>
          <w:vertAlign w:val="baseline"/>
        </w:rPr>
        <w:t>banks</w:t>
      </w:r>
      <w:r>
        <w:rPr>
          <w:spacing w:val="-17"/>
          <w:vertAlign w:val="baseline"/>
        </w:rPr>
        <w:t> </w:t>
      </w:r>
      <w:r>
        <w:rPr>
          <w:vertAlign w:val="baseline"/>
        </w:rPr>
        <w:t>(such</w:t>
      </w:r>
      <w:r>
        <w:rPr>
          <w:spacing w:val="-16"/>
          <w:vertAlign w:val="baseline"/>
        </w:rPr>
        <w:t> </w:t>
      </w:r>
      <w:r>
        <w:rPr>
          <w:vertAlign w:val="baseline"/>
        </w:rPr>
        <w:t>as</w:t>
      </w:r>
      <w:r>
        <w:rPr>
          <w:spacing w:val="-17"/>
          <w:vertAlign w:val="baseline"/>
        </w:rPr>
        <w:t> </w:t>
      </w:r>
      <w:r>
        <w:rPr>
          <w:vertAlign w:val="baseline"/>
        </w:rPr>
        <w:t>Bank</w:t>
      </w:r>
      <w:r>
        <w:rPr>
          <w:spacing w:val="-17"/>
          <w:vertAlign w:val="baseline"/>
        </w:rPr>
        <w:t> </w:t>
      </w:r>
      <w:r>
        <w:rPr>
          <w:vertAlign w:val="baseline"/>
        </w:rPr>
        <w:t>of</w:t>
      </w:r>
      <w:r>
        <w:rPr>
          <w:spacing w:val="-16"/>
          <w:vertAlign w:val="baseline"/>
        </w:rPr>
        <w:t> </w:t>
      </w:r>
      <w:r>
        <w:rPr>
          <w:vertAlign w:val="baseline"/>
        </w:rPr>
        <w:t>China,</w:t>
      </w:r>
      <w:r>
        <w:rPr>
          <w:spacing w:val="-17"/>
          <w:vertAlign w:val="baseline"/>
        </w:rPr>
        <w:t> </w:t>
      </w:r>
      <w:r>
        <w:rPr>
          <w:vertAlign w:val="baseline"/>
        </w:rPr>
        <w:t>ICBC,</w:t>
      </w:r>
      <w:r>
        <w:rPr>
          <w:spacing w:val="-17"/>
          <w:vertAlign w:val="baseline"/>
        </w:rPr>
        <w:t> </w:t>
      </w:r>
      <w:r>
        <w:rPr>
          <w:vertAlign w:val="baseline"/>
        </w:rPr>
        <w:t>China</w:t>
      </w:r>
      <w:r>
        <w:rPr>
          <w:spacing w:val="-16"/>
          <w:vertAlign w:val="baseline"/>
        </w:rPr>
        <w:t> </w:t>
      </w:r>
      <w:r>
        <w:rPr>
          <w:vertAlign w:val="baseline"/>
        </w:rPr>
        <w:t>Construction</w:t>
      </w:r>
      <w:r>
        <w:rPr>
          <w:spacing w:val="-17"/>
          <w:vertAlign w:val="baseline"/>
        </w:rPr>
        <w:t> </w:t>
      </w:r>
      <w:r>
        <w:rPr>
          <w:vertAlign w:val="baseline"/>
        </w:rPr>
        <w:t>Bank, Bank of Communications, China CITIC Bank, Bank of Shanghai, Postal Savings Bank of China, China Merchants Bank, and Harbin Bank),</w:t>
      </w:r>
    </w:p>
    <w:p>
      <w:pPr>
        <w:pStyle w:val="BodyText"/>
        <w:spacing w:line="333" w:lineRule="auto"/>
        <w:ind w:left="1480" w:right="767"/>
      </w:pPr>
      <w:r>
        <w:rPr/>
        <w:t>state-owned companies (such as CNPC, CMEC, Poly Technologies, NORINCO, and AVIC), state-owned funds (such as the Silk Road Fund and</w:t>
      </w:r>
      <w:r>
        <w:rPr>
          <w:spacing w:val="-2"/>
        </w:rPr>
        <w:t> </w:t>
      </w:r>
      <w:r>
        <w:rPr/>
        <w:t>China</w:t>
      </w:r>
      <w:r>
        <w:rPr>
          <w:spacing w:val="-2"/>
        </w:rPr>
        <w:t> </w:t>
      </w:r>
      <w:r>
        <w:rPr/>
        <w:t>Investment</w:t>
      </w:r>
      <w:r>
        <w:rPr>
          <w:spacing w:val="-2"/>
        </w:rPr>
        <w:t> </w:t>
      </w:r>
      <w:r>
        <w:rPr/>
        <w:t>Corporation),</w:t>
      </w:r>
      <w:r>
        <w:rPr>
          <w:spacing w:val="-2"/>
        </w:rPr>
        <w:t> </w:t>
      </w:r>
      <w:r>
        <w:rPr/>
        <w:t>state-owned</w:t>
      </w:r>
      <w:r>
        <w:rPr>
          <w:spacing w:val="-2"/>
        </w:rPr>
        <w:t> </w:t>
      </w:r>
      <w:r>
        <w:rPr/>
        <w:t>policy</w:t>
      </w:r>
      <w:r>
        <w:rPr>
          <w:spacing w:val="-2"/>
        </w:rPr>
        <w:t> </w:t>
      </w:r>
      <w:r>
        <w:rPr/>
        <w:t>banks</w:t>
      </w:r>
      <w:r>
        <w:rPr>
          <w:spacing w:val="-2"/>
        </w:rPr>
        <w:t> </w:t>
      </w:r>
      <w:r>
        <w:rPr/>
        <w:t>(CDB</w:t>
      </w:r>
      <w:r>
        <w:rPr>
          <w:spacing w:val="-2"/>
        </w:rPr>
        <w:t> </w:t>
      </w:r>
      <w:r>
        <w:rPr/>
        <w:t>and China</w:t>
      </w:r>
      <w:r>
        <w:rPr>
          <w:spacing w:val="-8"/>
        </w:rPr>
        <w:t> </w:t>
      </w:r>
      <w:r>
        <w:rPr/>
        <w:t>Eximbank),</w:t>
      </w:r>
      <w:r>
        <w:rPr>
          <w:spacing w:val="-8"/>
        </w:rPr>
        <w:t> </w:t>
      </w:r>
      <w:r>
        <w:rPr/>
        <w:t>and</w:t>
      </w:r>
      <w:r>
        <w:rPr>
          <w:spacing w:val="-8"/>
        </w:rPr>
        <w:t> </w:t>
      </w:r>
      <w:r>
        <w:rPr/>
        <w:t>government</w:t>
      </w:r>
      <w:r>
        <w:rPr>
          <w:spacing w:val="-8"/>
        </w:rPr>
        <w:t> </w:t>
      </w:r>
      <w:r>
        <w:rPr/>
        <w:t>agencies</w:t>
      </w:r>
      <w:r>
        <w:rPr>
          <w:spacing w:val="-8"/>
        </w:rPr>
        <w:t> </w:t>
      </w:r>
      <w:r>
        <w:rPr/>
        <w:t>(such</w:t>
      </w:r>
      <w:r>
        <w:rPr>
          <w:spacing w:val="-8"/>
        </w:rPr>
        <w:t> </w:t>
      </w:r>
      <w:r>
        <w:rPr/>
        <w:t>as</w:t>
      </w:r>
      <w:r>
        <w:rPr>
          <w:spacing w:val="-8"/>
        </w:rPr>
        <w:t> </w:t>
      </w:r>
      <w:r>
        <w:rPr/>
        <w:t>MOFCOM,</w:t>
      </w:r>
      <w:r>
        <w:rPr>
          <w:spacing w:val="-8"/>
        </w:rPr>
        <w:t> </w:t>
      </w:r>
      <w:r>
        <w:rPr/>
        <w:t>PBOC, and SAFE). In total, 180 Chinese lending institutions are included in the</w:t>
      </w:r>
    </w:p>
    <w:p>
      <w:pPr>
        <w:pStyle w:val="BodyText"/>
        <w:spacing w:line="333" w:lineRule="auto"/>
        <w:ind w:left="1480" w:right="775"/>
      </w:pPr>
      <w:r>
        <w:rPr/>
        <w:t>3.0 version of AidData’s GCDF dataset. By way of comparison, two Chinese lending institutions are included in Boston University’s CODF database (China Eximbank and CDB) and only a handful of Chinese lending institutions are included in the IDS.</w:t>
      </w:r>
      <w:r>
        <w:rPr>
          <w:vertAlign w:val="superscript"/>
        </w:rPr>
        <w:t>9</w:t>
      </w:r>
      <w:r>
        <w:rPr>
          <w:vertAlign w:val="superscript"/>
        </w:rPr>
        <w:t>7</w:t>
      </w:r>
      <w:r>
        <w:rPr>
          <w:vertAlign w:val="baseline"/>
        </w:rPr>
        <w:t> The breadth of AidData’s lending institution coverage is particularly consequential because, in</w:t>
      </w:r>
      <w:r>
        <w:rPr>
          <w:spacing w:val="40"/>
          <w:vertAlign w:val="baseline"/>
        </w:rPr>
        <w:t> </w:t>
      </w:r>
      <w:r>
        <w:rPr>
          <w:vertAlign w:val="baseline"/>
        </w:rPr>
        <w:t>recent years, the LIC and MIC lending operations of China’s central bank (PBOC)</w:t>
      </w:r>
      <w:r>
        <w:rPr>
          <w:spacing w:val="-5"/>
          <w:vertAlign w:val="baseline"/>
        </w:rPr>
        <w:t> </w:t>
      </w:r>
      <w:r>
        <w:rPr>
          <w:vertAlign w:val="baseline"/>
        </w:rPr>
        <w:t>and</w:t>
      </w:r>
      <w:r>
        <w:rPr>
          <w:spacing w:val="-5"/>
          <w:vertAlign w:val="baseline"/>
        </w:rPr>
        <w:t> </w:t>
      </w:r>
      <w:r>
        <w:rPr>
          <w:vertAlign w:val="baseline"/>
        </w:rPr>
        <w:t>state-owned</w:t>
      </w:r>
      <w:r>
        <w:rPr>
          <w:spacing w:val="-5"/>
          <w:vertAlign w:val="baseline"/>
        </w:rPr>
        <w:t> </w:t>
      </w:r>
      <w:r>
        <w:rPr>
          <w:vertAlign w:val="baseline"/>
        </w:rPr>
        <w:t>commercial</w:t>
      </w:r>
      <w:r>
        <w:rPr>
          <w:spacing w:val="-5"/>
          <w:vertAlign w:val="baseline"/>
        </w:rPr>
        <w:t> </w:t>
      </w:r>
      <w:r>
        <w:rPr>
          <w:vertAlign w:val="baseline"/>
        </w:rPr>
        <w:t>banks</w:t>
      </w:r>
      <w:r>
        <w:rPr>
          <w:spacing w:val="-5"/>
          <w:vertAlign w:val="baseline"/>
        </w:rPr>
        <w:t> </w:t>
      </w:r>
      <w:r>
        <w:rPr>
          <w:vertAlign w:val="baseline"/>
        </w:rPr>
        <w:t>have</w:t>
      </w:r>
      <w:r>
        <w:rPr>
          <w:spacing w:val="-5"/>
          <w:vertAlign w:val="baseline"/>
        </w:rPr>
        <w:t> </w:t>
      </w:r>
      <w:r>
        <w:rPr>
          <w:vertAlign w:val="baseline"/>
        </w:rPr>
        <w:t>expanded</w:t>
      </w:r>
      <w:r>
        <w:rPr>
          <w:spacing w:val="-5"/>
          <w:vertAlign w:val="baseline"/>
        </w:rPr>
        <w:t> </w:t>
      </w:r>
      <w:r>
        <w:rPr>
          <w:vertAlign w:val="baseline"/>
        </w:rPr>
        <w:t>while</w:t>
      </w:r>
      <w:r>
        <w:rPr>
          <w:spacing w:val="-5"/>
          <w:vertAlign w:val="baseline"/>
        </w:rPr>
        <w:t> </w:t>
      </w:r>
      <w:r>
        <w:rPr>
          <w:vertAlign w:val="baseline"/>
        </w:rPr>
        <w:t>those</w:t>
      </w:r>
      <w:r>
        <w:rPr>
          <w:spacing w:val="-5"/>
          <w:vertAlign w:val="baseline"/>
        </w:rPr>
        <w:t> </w:t>
      </w:r>
      <w:r>
        <w:rPr>
          <w:vertAlign w:val="baseline"/>
        </w:rPr>
        <w:t>of</w:t>
      </w:r>
      <w:r>
        <w:rPr>
          <w:vertAlign w:val="baseline"/>
        </w:rPr>
        <w:t> CDB and China Eximbank have contracted (see Figure 2.7).</w:t>
      </w:r>
      <w:r>
        <w:rPr>
          <w:vertAlign w:val="superscript"/>
        </w:rPr>
        <w:t>9</w:t>
      </w:r>
      <w:r>
        <w:rPr>
          <w:vertAlign w:val="superscript"/>
        </w:rPr>
        <w:t>8</w:t>
      </w:r>
    </w:p>
    <w:p>
      <w:pPr>
        <w:pStyle w:val="BodyText"/>
        <w:spacing w:before="1"/>
        <w:rPr>
          <w:sz w:val="6"/>
        </w:rPr>
      </w:pPr>
      <w:r>
        <w:rPr/>
        <w:pict>
          <v:shape style="position:absolute;margin-left:90pt;margin-top:4.746387pt;width:144pt;height:.1pt;mso-position-horizontal-relative:page;mso-position-vertical-relative:paragraph;z-index:-15721984;mso-wrap-distance-left:0;mso-wrap-distance-right:0" id="docshape13" coordorigin="1800,95" coordsize="2880,0" path="m1800,95l4680,95e" filled="false" stroked="true" strokeweight=".75pt" strokecolor="#000000">
            <v:path arrowok="t"/>
            <v:stroke dashstyle="solid"/>
            <w10:wrap type="topAndBottom"/>
          </v:shape>
        </w:pict>
      </w:r>
    </w:p>
    <w:p>
      <w:pPr>
        <w:spacing w:line="249" w:lineRule="auto" w:before="113"/>
        <w:ind w:left="760" w:right="813" w:firstLine="0"/>
        <w:jc w:val="left"/>
        <w:rPr>
          <w:sz w:val="18"/>
        </w:rPr>
      </w:pPr>
      <w:r>
        <w:rPr>
          <w:sz w:val="18"/>
          <w:vertAlign w:val="superscript"/>
        </w:rPr>
        <w:t>96</w:t>
      </w:r>
      <w:r>
        <w:rPr>
          <w:sz w:val="18"/>
          <w:vertAlign w:val="baseline"/>
        </w:rPr>
        <w:t> The China’s Overseas Development Finance Database, the Chinese Loans to Latin America and the Caribbean Database, and China’s Global Energy Finance Database track the overseas lending activities of two</w:t>
      </w:r>
      <w:r>
        <w:rPr>
          <w:spacing w:val="-1"/>
          <w:sz w:val="18"/>
          <w:vertAlign w:val="baseline"/>
        </w:rPr>
        <w:t> </w:t>
      </w:r>
      <w:r>
        <w:rPr>
          <w:sz w:val="18"/>
          <w:vertAlign w:val="baseline"/>
        </w:rPr>
        <w:t>state-owned</w:t>
      </w:r>
      <w:r>
        <w:rPr>
          <w:spacing w:val="-1"/>
          <w:sz w:val="18"/>
          <w:vertAlign w:val="baseline"/>
        </w:rPr>
        <w:t> </w:t>
      </w:r>
      <w:r>
        <w:rPr>
          <w:sz w:val="18"/>
          <w:vertAlign w:val="baseline"/>
        </w:rPr>
        <w:t>policy</w:t>
      </w:r>
      <w:r>
        <w:rPr>
          <w:spacing w:val="-1"/>
          <w:sz w:val="18"/>
          <w:vertAlign w:val="baseline"/>
        </w:rPr>
        <w:t> </w:t>
      </w:r>
      <w:r>
        <w:rPr>
          <w:sz w:val="18"/>
          <w:vertAlign w:val="baseline"/>
        </w:rPr>
        <w:t>banks</w:t>
      </w:r>
      <w:r>
        <w:rPr>
          <w:spacing w:val="-1"/>
          <w:sz w:val="18"/>
          <w:vertAlign w:val="baseline"/>
        </w:rPr>
        <w:t> </w:t>
      </w:r>
      <w:r>
        <w:rPr>
          <w:sz w:val="18"/>
          <w:vertAlign w:val="baseline"/>
        </w:rPr>
        <w:t>(CDB</w:t>
      </w:r>
      <w:r>
        <w:rPr>
          <w:spacing w:val="-1"/>
          <w:sz w:val="18"/>
          <w:vertAlign w:val="baseline"/>
        </w:rPr>
        <w:t> </w:t>
      </w:r>
      <w:r>
        <w:rPr>
          <w:sz w:val="18"/>
          <w:vertAlign w:val="baseline"/>
        </w:rPr>
        <w:t>and</w:t>
      </w:r>
      <w:r>
        <w:rPr>
          <w:spacing w:val="-1"/>
          <w:sz w:val="18"/>
          <w:vertAlign w:val="baseline"/>
        </w:rPr>
        <w:t> </w:t>
      </w:r>
      <w:r>
        <w:rPr>
          <w:sz w:val="18"/>
          <w:vertAlign w:val="baseline"/>
        </w:rPr>
        <w:t>China</w:t>
      </w:r>
      <w:r>
        <w:rPr>
          <w:spacing w:val="-1"/>
          <w:sz w:val="18"/>
          <w:vertAlign w:val="baseline"/>
        </w:rPr>
        <w:t> </w:t>
      </w:r>
      <w:r>
        <w:rPr>
          <w:sz w:val="18"/>
          <w:vertAlign w:val="baseline"/>
        </w:rPr>
        <w:t>Eximbank).</w:t>
      </w:r>
      <w:r>
        <w:rPr>
          <w:spacing w:val="-1"/>
          <w:sz w:val="18"/>
          <w:vertAlign w:val="baseline"/>
        </w:rPr>
        <w:t> </w:t>
      </w:r>
      <w:r>
        <w:rPr>
          <w:sz w:val="18"/>
          <w:vertAlign w:val="baseline"/>
        </w:rPr>
        <w:t>They</w:t>
      </w:r>
      <w:r>
        <w:rPr>
          <w:spacing w:val="-1"/>
          <w:sz w:val="18"/>
          <w:vertAlign w:val="baseline"/>
        </w:rPr>
        <w:t> </w:t>
      </w:r>
      <w:r>
        <w:rPr>
          <w:sz w:val="18"/>
          <w:vertAlign w:val="baseline"/>
        </w:rPr>
        <w:t>do</w:t>
      </w:r>
      <w:r>
        <w:rPr>
          <w:spacing w:val="-1"/>
          <w:sz w:val="18"/>
          <w:vertAlign w:val="baseline"/>
        </w:rPr>
        <w:t> </w:t>
      </w:r>
      <w:r>
        <w:rPr>
          <w:sz w:val="18"/>
          <w:vertAlign w:val="baseline"/>
        </w:rPr>
        <w:t>not</w:t>
      </w:r>
      <w:r>
        <w:rPr>
          <w:spacing w:val="-1"/>
          <w:sz w:val="18"/>
          <w:vertAlign w:val="baseline"/>
        </w:rPr>
        <w:t> </w:t>
      </w:r>
      <w:r>
        <w:rPr>
          <w:sz w:val="18"/>
          <w:vertAlign w:val="baseline"/>
        </w:rPr>
        <w:t>track</w:t>
      </w:r>
      <w:r>
        <w:rPr>
          <w:spacing w:val="-1"/>
          <w:sz w:val="18"/>
          <w:vertAlign w:val="baseline"/>
        </w:rPr>
        <w:t> </w:t>
      </w:r>
      <w:r>
        <w:rPr>
          <w:sz w:val="18"/>
          <w:vertAlign w:val="baseline"/>
        </w:rPr>
        <w:t>the</w:t>
      </w:r>
      <w:r>
        <w:rPr>
          <w:spacing w:val="-1"/>
          <w:sz w:val="18"/>
          <w:vertAlign w:val="baseline"/>
        </w:rPr>
        <w:t> </w:t>
      </w:r>
      <w:r>
        <w:rPr>
          <w:sz w:val="18"/>
          <w:vertAlign w:val="baseline"/>
        </w:rPr>
        <w:t>overseas</w:t>
      </w:r>
      <w:r>
        <w:rPr>
          <w:spacing w:val="-1"/>
          <w:sz w:val="18"/>
          <w:vertAlign w:val="baseline"/>
        </w:rPr>
        <w:t> </w:t>
      </w:r>
      <w:r>
        <w:rPr>
          <w:sz w:val="18"/>
          <w:vertAlign w:val="baseline"/>
        </w:rPr>
        <w:t>lending</w:t>
      </w:r>
      <w:r>
        <w:rPr>
          <w:spacing w:val="-1"/>
          <w:sz w:val="18"/>
          <w:vertAlign w:val="baseline"/>
        </w:rPr>
        <w:t> </w:t>
      </w:r>
      <w:r>
        <w:rPr>
          <w:sz w:val="18"/>
          <w:vertAlign w:val="baseline"/>
        </w:rPr>
        <w:t>activities of China’s state-owned commercial banks. Nor do the World Bank IDS data capture loans from Chinese state-owned commercial banks. As explained by Horn et al. (2021: 15), “the World Bank's deﬁnition [of ofﬁcial sector lending] does not cover lending by commercial banks such as the Industrial and Commercial Bank of China (ICBC) or the Bank of China (BoC), despite the fact that they are state-owned. These banks are ofﬁcial creditors according to our (OECD) deﬁnition (they are owned and controlled by the Chinese government), but they are not bilateral creditors according to the World Bank’s deﬁnition, because they </w:t>
      </w:r>
      <w:r>
        <w:rPr>
          <w:sz w:val="18"/>
          <w:vertAlign w:val="baseline"/>
        </w:rPr>
        <w:t>are not a ‘public enterprise’ in a narrow sense, in contrast to the policy banks such as China Ex-Im Bank or </w:t>
      </w:r>
      <w:r>
        <w:rPr>
          <w:spacing w:val="-2"/>
          <w:sz w:val="18"/>
          <w:vertAlign w:val="baseline"/>
        </w:rPr>
        <w:t>CDB.”</w:t>
      </w:r>
    </w:p>
    <w:p>
      <w:pPr>
        <w:spacing w:line="249" w:lineRule="auto" w:before="8"/>
        <w:ind w:left="760" w:right="1429" w:firstLine="0"/>
        <w:jc w:val="left"/>
        <w:rPr>
          <w:sz w:val="18"/>
        </w:rPr>
      </w:pPr>
      <w:r>
        <w:rPr>
          <w:sz w:val="18"/>
          <w:vertAlign w:val="superscript"/>
        </w:rPr>
        <w:t>97</w:t>
      </w:r>
      <w:r>
        <w:rPr>
          <w:sz w:val="18"/>
          <w:vertAlign w:val="baseline"/>
        </w:rPr>
        <w:t> IDS includes loan commitments from government agencies (such as MOFCOM and CIDCA) and state-owned</w:t>
      </w:r>
      <w:r>
        <w:rPr>
          <w:spacing w:val="-5"/>
          <w:sz w:val="18"/>
          <w:vertAlign w:val="baseline"/>
        </w:rPr>
        <w:t> </w:t>
      </w:r>
      <w:r>
        <w:rPr>
          <w:sz w:val="18"/>
          <w:vertAlign w:val="baseline"/>
        </w:rPr>
        <w:t>policy</w:t>
      </w:r>
      <w:r>
        <w:rPr>
          <w:spacing w:val="-5"/>
          <w:sz w:val="18"/>
          <w:vertAlign w:val="baseline"/>
        </w:rPr>
        <w:t> </w:t>
      </w:r>
      <w:r>
        <w:rPr>
          <w:sz w:val="18"/>
          <w:vertAlign w:val="baseline"/>
        </w:rPr>
        <w:t>banks</w:t>
      </w:r>
      <w:r>
        <w:rPr>
          <w:spacing w:val="-5"/>
          <w:sz w:val="18"/>
          <w:vertAlign w:val="baseline"/>
        </w:rPr>
        <w:t> </w:t>
      </w:r>
      <w:r>
        <w:rPr>
          <w:sz w:val="18"/>
          <w:vertAlign w:val="baseline"/>
        </w:rPr>
        <w:t>(such</w:t>
      </w:r>
      <w:r>
        <w:rPr>
          <w:spacing w:val="-5"/>
          <w:sz w:val="18"/>
          <w:vertAlign w:val="baseline"/>
        </w:rPr>
        <w:t> </w:t>
      </w:r>
      <w:r>
        <w:rPr>
          <w:sz w:val="18"/>
          <w:vertAlign w:val="baseline"/>
        </w:rPr>
        <w:t>as</w:t>
      </w:r>
      <w:r>
        <w:rPr>
          <w:spacing w:val="-5"/>
          <w:sz w:val="18"/>
          <w:vertAlign w:val="baseline"/>
        </w:rPr>
        <w:t> </w:t>
      </w:r>
      <w:r>
        <w:rPr>
          <w:sz w:val="18"/>
          <w:vertAlign w:val="baseline"/>
        </w:rPr>
        <w:t>China</w:t>
      </w:r>
      <w:r>
        <w:rPr>
          <w:spacing w:val="-5"/>
          <w:sz w:val="18"/>
          <w:vertAlign w:val="baseline"/>
        </w:rPr>
        <w:t> </w:t>
      </w:r>
      <w:r>
        <w:rPr>
          <w:sz w:val="18"/>
          <w:vertAlign w:val="baseline"/>
        </w:rPr>
        <w:t>Eximbank</w:t>
      </w:r>
      <w:r>
        <w:rPr>
          <w:spacing w:val="-5"/>
          <w:sz w:val="18"/>
          <w:vertAlign w:val="baseline"/>
        </w:rPr>
        <w:t> </w:t>
      </w:r>
      <w:r>
        <w:rPr>
          <w:sz w:val="18"/>
          <w:vertAlign w:val="baseline"/>
        </w:rPr>
        <w:t>and</w:t>
      </w:r>
      <w:r>
        <w:rPr>
          <w:spacing w:val="-5"/>
          <w:sz w:val="18"/>
          <w:vertAlign w:val="baseline"/>
        </w:rPr>
        <w:t> </w:t>
      </w:r>
      <w:r>
        <w:rPr>
          <w:sz w:val="18"/>
          <w:vertAlign w:val="baseline"/>
        </w:rPr>
        <w:t>CDB),</w:t>
      </w:r>
      <w:r>
        <w:rPr>
          <w:spacing w:val="-5"/>
          <w:sz w:val="18"/>
          <w:vertAlign w:val="baseline"/>
        </w:rPr>
        <w:t> </w:t>
      </w:r>
      <w:r>
        <w:rPr>
          <w:sz w:val="18"/>
          <w:vertAlign w:val="baseline"/>
        </w:rPr>
        <w:t>but</w:t>
      </w:r>
      <w:r>
        <w:rPr>
          <w:spacing w:val="-5"/>
          <w:sz w:val="18"/>
          <w:vertAlign w:val="baseline"/>
        </w:rPr>
        <w:t> </w:t>
      </w:r>
      <w:r>
        <w:rPr>
          <w:sz w:val="18"/>
          <w:vertAlign w:val="baseline"/>
        </w:rPr>
        <w:t>excludes</w:t>
      </w:r>
      <w:r>
        <w:rPr>
          <w:spacing w:val="-5"/>
          <w:sz w:val="18"/>
          <w:vertAlign w:val="baseline"/>
        </w:rPr>
        <w:t> </w:t>
      </w:r>
      <w:r>
        <w:rPr>
          <w:sz w:val="18"/>
          <w:vertAlign w:val="baseline"/>
        </w:rPr>
        <w:t>loan</w:t>
      </w:r>
      <w:r>
        <w:rPr>
          <w:spacing w:val="-5"/>
          <w:sz w:val="18"/>
          <w:vertAlign w:val="baseline"/>
        </w:rPr>
        <w:t> </w:t>
      </w:r>
      <w:r>
        <w:rPr>
          <w:sz w:val="18"/>
          <w:vertAlign w:val="baseline"/>
        </w:rPr>
        <w:t>commitments</w:t>
      </w:r>
      <w:r>
        <w:rPr>
          <w:spacing w:val="-5"/>
          <w:sz w:val="18"/>
          <w:vertAlign w:val="baseline"/>
        </w:rPr>
        <w:t> </w:t>
      </w:r>
      <w:r>
        <w:rPr>
          <w:sz w:val="18"/>
          <w:vertAlign w:val="baseline"/>
        </w:rPr>
        <w:t>from</w:t>
      </w:r>
    </w:p>
    <w:p>
      <w:pPr>
        <w:spacing w:line="249" w:lineRule="auto" w:before="2"/>
        <w:ind w:left="760" w:right="767" w:firstLine="0"/>
        <w:jc w:val="left"/>
        <w:rPr>
          <w:sz w:val="18"/>
        </w:rPr>
      </w:pPr>
      <w:r>
        <w:rPr>
          <w:sz w:val="18"/>
        </w:rPr>
        <w:t>state-owned</w:t>
      </w:r>
      <w:r>
        <w:rPr>
          <w:spacing w:val="-1"/>
          <w:sz w:val="18"/>
        </w:rPr>
        <w:t> </w:t>
      </w:r>
      <w:r>
        <w:rPr>
          <w:sz w:val="18"/>
        </w:rPr>
        <w:t>companies,</w:t>
      </w:r>
      <w:r>
        <w:rPr>
          <w:spacing w:val="-1"/>
          <w:sz w:val="18"/>
        </w:rPr>
        <w:t> </w:t>
      </w:r>
      <w:r>
        <w:rPr>
          <w:sz w:val="18"/>
        </w:rPr>
        <w:t>state-owned</w:t>
      </w:r>
      <w:r>
        <w:rPr>
          <w:spacing w:val="-1"/>
          <w:sz w:val="18"/>
        </w:rPr>
        <w:t> </w:t>
      </w:r>
      <w:r>
        <w:rPr>
          <w:sz w:val="18"/>
        </w:rPr>
        <w:t>funds,</w:t>
      </w:r>
      <w:r>
        <w:rPr>
          <w:spacing w:val="-1"/>
          <w:sz w:val="18"/>
        </w:rPr>
        <w:t> </w:t>
      </w:r>
      <w:r>
        <w:rPr>
          <w:sz w:val="18"/>
        </w:rPr>
        <w:t>and</w:t>
      </w:r>
      <w:r>
        <w:rPr>
          <w:spacing w:val="-1"/>
          <w:sz w:val="18"/>
        </w:rPr>
        <w:t> </w:t>
      </w:r>
      <w:r>
        <w:rPr>
          <w:sz w:val="18"/>
        </w:rPr>
        <w:t>state-owned</w:t>
      </w:r>
      <w:r>
        <w:rPr>
          <w:spacing w:val="-1"/>
          <w:sz w:val="18"/>
        </w:rPr>
        <w:t> </w:t>
      </w:r>
      <w:r>
        <w:rPr>
          <w:sz w:val="18"/>
        </w:rPr>
        <w:t>commercial</w:t>
      </w:r>
      <w:r>
        <w:rPr>
          <w:spacing w:val="-1"/>
          <w:sz w:val="18"/>
        </w:rPr>
        <w:t> </w:t>
      </w:r>
      <w:r>
        <w:rPr>
          <w:sz w:val="18"/>
        </w:rPr>
        <w:t>banks</w:t>
      </w:r>
      <w:r>
        <w:rPr>
          <w:spacing w:val="-1"/>
          <w:sz w:val="18"/>
        </w:rPr>
        <w:t> </w:t>
      </w:r>
      <w:r>
        <w:rPr>
          <w:sz w:val="18"/>
        </w:rPr>
        <w:t>(Horn</w:t>
      </w:r>
      <w:r>
        <w:rPr>
          <w:spacing w:val="-1"/>
          <w:sz w:val="18"/>
        </w:rPr>
        <w:t> </w:t>
      </w:r>
      <w:r>
        <w:rPr>
          <w:sz w:val="18"/>
        </w:rPr>
        <w:t>et</w:t>
      </w:r>
      <w:r>
        <w:rPr>
          <w:spacing w:val="-1"/>
          <w:sz w:val="18"/>
        </w:rPr>
        <w:t> </w:t>
      </w:r>
      <w:r>
        <w:rPr>
          <w:sz w:val="18"/>
        </w:rPr>
        <w:t>al.</w:t>
      </w:r>
      <w:r>
        <w:rPr>
          <w:spacing w:val="-1"/>
          <w:sz w:val="18"/>
        </w:rPr>
        <w:t> </w:t>
      </w:r>
      <w:r>
        <w:rPr>
          <w:sz w:val="18"/>
        </w:rPr>
        <w:t>2021:</w:t>
      </w:r>
      <w:r>
        <w:rPr>
          <w:spacing w:val="-1"/>
          <w:sz w:val="18"/>
        </w:rPr>
        <w:t> </w:t>
      </w:r>
      <w:r>
        <w:rPr>
          <w:sz w:val="18"/>
        </w:rPr>
        <w:t>15).</w:t>
      </w:r>
      <w:r>
        <w:rPr>
          <w:spacing w:val="-1"/>
          <w:sz w:val="18"/>
        </w:rPr>
        <w:t> </w:t>
      </w:r>
      <w:r>
        <w:rPr>
          <w:sz w:val="18"/>
        </w:rPr>
        <w:t>For the most part, IDS also appears to exclude loan commitments from the PBOC and SAFE, which is a PBOC </w:t>
      </w:r>
      <w:r>
        <w:rPr>
          <w:w w:val="105"/>
          <w:sz w:val="18"/>
        </w:rPr>
        <w:t>subsidiary</w:t>
      </w:r>
      <w:r>
        <w:rPr>
          <w:spacing w:val="-14"/>
          <w:w w:val="105"/>
          <w:sz w:val="18"/>
        </w:rPr>
        <w:t> </w:t>
      </w:r>
      <w:r>
        <w:rPr>
          <w:w w:val="105"/>
          <w:sz w:val="18"/>
        </w:rPr>
        <w:t>(see</w:t>
      </w:r>
      <w:r>
        <w:rPr>
          <w:spacing w:val="-13"/>
          <w:w w:val="105"/>
          <w:sz w:val="18"/>
        </w:rPr>
        <w:t> </w:t>
      </w:r>
      <w:r>
        <w:rPr>
          <w:w w:val="105"/>
          <w:sz w:val="18"/>
        </w:rPr>
        <w:t>Box</w:t>
      </w:r>
      <w:r>
        <w:rPr>
          <w:spacing w:val="-13"/>
          <w:w w:val="105"/>
          <w:sz w:val="18"/>
        </w:rPr>
        <w:t> </w:t>
      </w:r>
      <w:r>
        <w:rPr>
          <w:w w:val="105"/>
          <w:sz w:val="18"/>
        </w:rPr>
        <w:t>2c).</w:t>
      </w:r>
      <w:r>
        <w:rPr>
          <w:spacing w:val="-13"/>
          <w:w w:val="105"/>
          <w:sz w:val="18"/>
        </w:rPr>
        <w:t> </w:t>
      </w:r>
      <w:r>
        <w:rPr>
          <w:w w:val="105"/>
          <w:sz w:val="18"/>
        </w:rPr>
        <w:t>This</w:t>
      </w:r>
      <w:r>
        <w:rPr>
          <w:spacing w:val="-13"/>
          <w:w w:val="105"/>
          <w:sz w:val="18"/>
        </w:rPr>
        <w:t> </w:t>
      </w:r>
      <w:r>
        <w:rPr>
          <w:w w:val="105"/>
          <w:sz w:val="18"/>
        </w:rPr>
        <w:t>is</w:t>
      </w:r>
      <w:r>
        <w:rPr>
          <w:spacing w:val="-13"/>
          <w:w w:val="105"/>
          <w:sz w:val="18"/>
        </w:rPr>
        <w:t> </w:t>
      </w:r>
      <w:r>
        <w:rPr>
          <w:w w:val="105"/>
          <w:sz w:val="18"/>
        </w:rPr>
        <w:t>true</w:t>
      </w:r>
      <w:r>
        <w:rPr>
          <w:spacing w:val="-13"/>
          <w:w w:val="105"/>
          <w:sz w:val="18"/>
        </w:rPr>
        <w:t> </w:t>
      </w:r>
      <w:r>
        <w:rPr>
          <w:w w:val="105"/>
          <w:sz w:val="18"/>
        </w:rPr>
        <w:t>despite</w:t>
      </w:r>
      <w:r>
        <w:rPr>
          <w:spacing w:val="-14"/>
          <w:w w:val="105"/>
          <w:sz w:val="18"/>
        </w:rPr>
        <w:t> </w:t>
      </w:r>
      <w:r>
        <w:rPr>
          <w:w w:val="105"/>
          <w:sz w:val="18"/>
        </w:rPr>
        <w:t>the</w:t>
      </w:r>
      <w:r>
        <w:rPr>
          <w:spacing w:val="-13"/>
          <w:w w:val="105"/>
          <w:sz w:val="18"/>
        </w:rPr>
        <w:t> </w:t>
      </w:r>
      <w:r>
        <w:rPr>
          <w:w w:val="105"/>
          <w:sz w:val="18"/>
        </w:rPr>
        <w:t>fact</w:t>
      </w:r>
      <w:r>
        <w:rPr>
          <w:spacing w:val="-13"/>
          <w:w w:val="105"/>
          <w:sz w:val="18"/>
        </w:rPr>
        <w:t> </w:t>
      </w:r>
      <w:r>
        <w:rPr>
          <w:w w:val="105"/>
          <w:sz w:val="18"/>
        </w:rPr>
        <w:t>that</w:t>
      </w:r>
      <w:r>
        <w:rPr>
          <w:spacing w:val="-13"/>
          <w:w w:val="105"/>
          <w:sz w:val="18"/>
        </w:rPr>
        <w:t> </w:t>
      </w:r>
      <w:r>
        <w:rPr>
          <w:w w:val="105"/>
          <w:sz w:val="18"/>
        </w:rPr>
        <w:t>IDS</w:t>
      </w:r>
      <w:r>
        <w:rPr>
          <w:spacing w:val="-13"/>
          <w:w w:val="105"/>
          <w:sz w:val="18"/>
        </w:rPr>
        <w:t> </w:t>
      </w:r>
      <w:r>
        <w:rPr>
          <w:w w:val="105"/>
          <w:sz w:val="18"/>
        </w:rPr>
        <w:t>seeks</w:t>
      </w:r>
      <w:r>
        <w:rPr>
          <w:spacing w:val="-13"/>
          <w:w w:val="105"/>
          <w:sz w:val="18"/>
        </w:rPr>
        <w:t> </w:t>
      </w:r>
      <w:r>
        <w:rPr>
          <w:w w:val="105"/>
          <w:sz w:val="18"/>
        </w:rPr>
        <w:t>to</w:t>
      </w:r>
      <w:r>
        <w:rPr>
          <w:spacing w:val="-13"/>
          <w:w w:val="105"/>
          <w:sz w:val="18"/>
        </w:rPr>
        <w:t> </w:t>
      </w:r>
      <w:r>
        <w:rPr>
          <w:w w:val="105"/>
          <w:sz w:val="18"/>
        </w:rPr>
        <w:t>capture</w:t>
      </w:r>
      <w:r>
        <w:rPr>
          <w:spacing w:val="-13"/>
          <w:w w:val="105"/>
          <w:sz w:val="18"/>
        </w:rPr>
        <w:t> </w:t>
      </w:r>
      <w:r>
        <w:rPr>
          <w:w w:val="105"/>
          <w:sz w:val="18"/>
        </w:rPr>
        <w:t>all</w:t>
      </w:r>
      <w:r>
        <w:rPr>
          <w:spacing w:val="-14"/>
          <w:w w:val="105"/>
          <w:sz w:val="18"/>
        </w:rPr>
        <w:t> </w:t>
      </w:r>
      <w:r>
        <w:rPr>
          <w:w w:val="105"/>
          <w:sz w:val="18"/>
        </w:rPr>
        <w:t>loans</w:t>
      </w:r>
      <w:r>
        <w:rPr>
          <w:spacing w:val="-13"/>
          <w:w w:val="105"/>
          <w:sz w:val="18"/>
        </w:rPr>
        <w:t> </w:t>
      </w:r>
      <w:r>
        <w:rPr>
          <w:w w:val="105"/>
          <w:sz w:val="18"/>
        </w:rPr>
        <w:t>from</w:t>
      </w:r>
      <w:r>
        <w:rPr>
          <w:spacing w:val="-13"/>
          <w:w w:val="105"/>
          <w:sz w:val="18"/>
        </w:rPr>
        <w:t> </w:t>
      </w:r>
      <w:r>
        <w:rPr>
          <w:w w:val="105"/>
          <w:sz w:val="18"/>
        </w:rPr>
        <w:t>“the</w:t>
      </w:r>
      <w:r>
        <w:rPr>
          <w:spacing w:val="-13"/>
          <w:w w:val="105"/>
          <w:sz w:val="18"/>
        </w:rPr>
        <w:t> </w:t>
      </w:r>
      <w:r>
        <w:rPr>
          <w:w w:val="105"/>
          <w:sz w:val="18"/>
        </w:rPr>
        <w:t>general government,</w:t>
      </w:r>
      <w:r>
        <w:rPr>
          <w:spacing w:val="-8"/>
          <w:w w:val="105"/>
          <w:sz w:val="18"/>
        </w:rPr>
        <w:t> </w:t>
      </w:r>
      <w:r>
        <w:rPr>
          <w:w w:val="105"/>
          <w:sz w:val="18"/>
        </w:rPr>
        <w:t>central</w:t>
      </w:r>
      <w:r>
        <w:rPr>
          <w:spacing w:val="-8"/>
          <w:w w:val="105"/>
          <w:sz w:val="18"/>
        </w:rPr>
        <w:t> </w:t>
      </w:r>
      <w:r>
        <w:rPr>
          <w:w w:val="105"/>
          <w:sz w:val="18"/>
        </w:rPr>
        <w:t>government;</w:t>
      </w:r>
      <w:r>
        <w:rPr>
          <w:spacing w:val="-8"/>
          <w:w w:val="105"/>
          <w:sz w:val="18"/>
        </w:rPr>
        <w:t> </w:t>
      </w:r>
      <w:r>
        <w:rPr>
          <w:w w:val="105"/>
          <w:sz w:val="18"/>
        </w:rPr>
        <w:t>state</w:t>
      </w:r>
      <w:r>
        <w:rPr>
          <w:spacing w:val="-8"/>
          <w:w w:val="105"/>
          <w:sz w:val="18"/>
        </w:rPr>
        <w:t> </w:t>
      </w:r>
      <w:r>
        <w:rPr>
          <w:w w:val="105"/>
          <w:sz w:val="18"/>
        </w:rPr>
        <w:t>and</w:t>
      </w:r>
      <w:r>
        <w:rPr>
          <w:spacing w:val="-8"/>
          <w:w w:val="105"/>
          <w:sz w:val="18"/>
        </w:rPr>
        <w:t> </w:t>
      </w:r>
      <w:r>
        <w:rPr>
          <w:w w:val="105"/>
          <w:sz w:val="18"/>
        </w:rPr>
        <w:t>local</w:t>
      </w:r>
      <w:r>
        <w:rPr>
          <w:spacing w:val="-8"/>
          <w:w w:val="105"/>
          <w:sz w:val="18"/>
        </w:rPr>
        <w:t> </w:t>
      </w:r>
      <w:r>
        <w:rPr>
          <w:w w:val="105"/>
          <w:sz w:val="18"/>
        </w:rPr>
        <w:t>government;</w:t>
      </w:r>
      <w:r>
        <w:rPr>
          <w:spacing w:val="-8"/>
          <w:w w:val="105"/>
          <w:sz w:val="18"/>
        </w:rPr>
        <w:t> </w:t>
      </w:r>
      <w:r>
        <w:rPr>
          <w:w w:val="105"/>
          <w:sz w:val="18"/>
        </w:rPr>
        <w:t>[and]</w:t>
      </w:r>
      <w:r>
        <w:rPr>
          <w:spacing w:val="-8"/>
          <w:w w:val="105"/>
          <w:sz w:val="18"/>
        </w:rPr>
        <w:t> </w:t>
      </w:r>
      <w:r>
        <w:rPr>
          <w:w w:val="105"/>
          <w:sz w:val="18"/>
        </w:rPr>
        <w:t>central</w:t>
      </w:r>
      <w:r>
        <w:rPr>
          <w:spacing w:val="-8"/>
          <w:w w:val="105"/>
          <w:sz w:val="18"/>
        </w:rPr>
        <w:t> </w:t>
      </w:r>
      <w:r>
        <w:rPr>
          <w:w w:val="105"/>
          <w:sz w:val="18"/>
        </w:rPr>
        <w:t>bank</w:t>
      </w:r>
      <w:r>
        <w:rPr>
          <w:spacing w:val="-8"/>
          <w:w w:val="105"/>
          <w:sz w:val="18"/>
        </w:rPr>
        <w:t> </w:t>
      </w:r>
      <w:r>
        <w:rPr>
          <w:w w:val="105"/>
          <w:sz w:val="18"/>
        </w:rPr>
        <w:t>and</w:t>
      </w:r>
      <w:r>
        <w:rPr>
          <w:spacing w:val="-8"/>
          <w:w w:val="105"/>
          <w:sz w:val="18"/>
        </w:rPr>
        <w:t> </w:t>
      </w:r>
      <w:r>
        <w:rPr>
          <w:w w:val="105"/>
          <w:sz w:val="18"/>
        </w:rPr>
        <w:t>public</w:t>
      </w:r>
      <w:r>
        <w:rPr>
          <w:spacing w:val="-8"/>
          <w:w w:val="105"/>
          <w:sz w:val="18"/>
        </w:rPr>
        <w:t> </w:t>
      </w:r>
      <w:r>
        <w:rPr>
          <w:w w:val="105"/>
          <w:sz w:val="18"/>
        </w:rPr>
        <w:t>enterprise” (World Bank 2020b: 4).</w:t>
      </w:r>
    </w:p>
    <w:p>
      <w:pPr>
        <w:spacing w:line="249" w:lineRule="auto" w:before="3"/>
        <w:ind w:left="760" w:right="786" w:firstLine="0"/>
        <w:jc w:val="left"/>
        <w:rPr>
          <w:sz w:val="18"/>
        </w:rPr>
      </w:pPr>
      <w:r>
        <w:rPr>
          <w:w w:val="105"/>
          <w:sz w:val="18"/>
          <w:vertAlign w:val="superscript"/>
        </w:rPr>
        <w:t>98</w:t>
      </w:r>
      <w:r>
        <w:rPr>
          <w:spacing w:val="-14"/>
          <w:w w:val="105"/>
          <w:sz w:val="18"/>
          <w:vertAlign w:val="baseline"/>
        </w:rPr>
        <w:t> </w:t>
      </w:r>
      <w:r>
        <w:rPr>
          <w:w w:val="105"/>
          <w:sz w:val="18"/>
          <w:vertAlign w:val="baseline"/>
        </w:rPr>
        <w:t>On</w:t>
      </w:r>
      <w:r>
        <w:rPr>
          <w:spacing w:val="-13"/>
          <w:w w:val="105"/>
          <w:sz w:val="18"/>
          <w:vertAlign w:val="baseline"/>
        </w:rPr>
        <w:t> </w:t>
      </w:r>
      <w:r>
        <w:rPr>
          <w:w w:val="105"/>
          <w:sz w:val="18"/>
          <w:vertAlign w:val="baseline"/>
        </w:rPr>
        <w:t>average,</w:t>
      </w:r>
      <w:r>
        <w:rPr>
          <w:spacing w:val="-13"/>
          <w:w w:val="105"/>
          <w:sz w:val="18"/>
          <w:vertAlign w:val="baseline"/>
        </w:rPr>
        <w:t> </w:t>
      </w:r>
      <w:r>
        <w:rPr>
          <w:w w:val="105"/>
          <w:sz w:val="18"/>
          <w:vertAlign w:val="baseline"/>
        </w:rPr>
        <w:t>during</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pre-BRI</w:t>
      </w:r>
      <w:r>
        <w:rPr>
          <w:spacing w:val="-13"/>
          <w:w w:val="105"/>
          <w:sz w:val="18"/>
          <w:vertAlign w:val="baseline"/>
        </w:rPr>
        <w:t> </w:t>
      </w:r>
      <w:r>
        <w:rPr>
          <w:w w:val="105"/>
          <w:sz w:val="18"/>
          <w:vertAlign w:val="baseline"/>
        </w:rPr>
        <w:t>period</w:t>
      </w:r>
      <w:r>
        <w:rPr>
          <w:spacing w:val="-13"/>
          <w:w w:val="105"/>
          <w:sz w:val="18"/>
          <w:vertAlign w:val="baseline"/>
        </w:rPr>
        <w:t> </w:t>
      </w:r>
      <w:r>
        <w:rPr>
          <w:w w:val="105"/>
          <w:sz w:val="18"/>
          <w:vertAlign w:val="baseline"/>
        </w:rPr>
        <w:t>(2000-2013),</w:t>
      </w:r>
      <w:r>
        <w:rPr>
          <w:spacing w:val="-14"/>
          <w:w w:val="105"/>
          <w:sz w:val="18"/>
          <w:vertAlign w:val="baseline"/>
        </w:rPr>
        <w:t> </w:t>
      </w:r>
      <w:r>
        <w:rPr>
          <w:w w:val="105"/>
          <w:sz w:val="18"/>
          <w:vertAlign w:val="baseline"/>
        </w:rPr>
        <w:t>Beijing</w:t>
      </w:r>
      <w:r>
        <w:rPr>
          <w:spacing w:val="-13"/>
          <w:w w:val="105"/>
          <w:sz w:val="18"/>
          <w:vertAlign w:val="baseline"/>
        </w:rPr>
        <w:t> </w:t>
      </w:r>
      <w:r>
        <w:rPr>
          <w:w w:val="105"/>
          <w:sz w:val="18"/>
          <w:vertAlign w:val="baseline"/>
        </w:rPr>
        <w:t>channeled</w:t>
      </w:r>
      <w:r>
        <w:rPr>
          <w:spacing w:val="-13"/>
          <w:w w:val="105"/>
          <w:sz w:val="18"/>
          <w:vertAlign w:val="baseline"/>
        </w:rPr>
        <w:t> </w:t>
      </w:r>
      <w:r>
        <w:rPr>
          <w:w w:val="105"/>
          <w:sz w:val="18"/>
          <w:vertAlign w:val="baseline"/>
        </w:rPr>
        <w:t>15%</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its</w:t>
      </w:r>
      <w:r>
        <w:rPr>
          <w:spacing w:val="-13"/>
          <w:w w:val="105"/>
          <w:sz w:val="18"/>
          <w:vertAlign w:val="baseline"/>
        </w:rPr>
        <w:t> </w:t>
      </w:r>
      <w:r>
        <w:rPr>
          <w:w w:val="105"/>
          <w:sz w:val="18"/>
          <w:vertAlign w:val="baseline"/>
        </w:rPr>
        <w:t>annual</w:t>
      </w:r>
      <w:r>
        <w:rPr>
          <w:spacing w:val="-13"/>
          <w:w w:val="105"/>
          <w:sz w:val="18"/>
          <w:vertAlign w:val="baseline"/>
        </w:rPr>
        <w:t> </w:t>
      </w:r>
      <w:r>
        <w:rPr>
          <w:w w:val="105"/>
          <w:sz w:val="18"/>
          <w:vertAlign w:val="baseline"/>
        </w:rPr>
        <w:t>lending </w:t>
      </w:r>
      <w:r>
        <w:rPr>
          <w:sz w:val="18"/>
          <w:vertAlign w:val="baseline"/>
        </w:rPr>
        <w:t>commitments to low- and middle-income countries through its state-owned commercial banks. This ﬁgure increased to 18% during the early BRI (2014-2017) period and 22% during the late BRI period (2018-2021). </w:t>
      </w:r>
      <w:r>
        <w:rPr>
          <w:w w:val="105"/>
          <w:sz w:val="18"/>
          <w:vertAlign w:val="baseline"/>
        </w:rPr>
        <w:t>On</w:t>
      </w:r>
      <w:r>
        <w:rPr>
          <w:spacing w:val="-8"/>
          <w:w w:val="105"/>
          <w:sz w:val="18"/>
          <w:vertAlign w:val="baseline"/>
        </w:rPr>
        <w:t> </w:t>
      </w:r>
      <w:r>
        <w:rPr>
          <w:w w:val="105"/>
          <w:sz w:val="18"/>
          <w:vertAlign w:val="baseline"/>
        </w:rPr>
        <w:t>average,</w:t>
      </w:r>
      <w:r>
        <w:rPr>
          <w:spacing w:val="-8"/>
          <w:w w:val="105"/>
          <w:sz w:val="18"/>
          <w:vertAlign w:val="baseline"/>
        </w:rPr>
        <w:t> </w:t>
      </w:r>
      <w:r>
        <w:rPr>
          <w:w w:val="105"/>
          <w:sz w:val="18"/>
          <w:vertAlign w:val="baseline"/>
        </w:rPr>
        <w:t>Beijing</w:t>
      </w:r>
      <w:r>
        <w:rPr>
          <w:spacing w:val="-8"/>
          <w:w w:val="105"/>
          <w:sz w:val="18"/>
          <w:vertAlign w:val="baseline"/>
        </w:rPr>
        <w:t> </w:t>
      </w:r>
      <w:r>
        <w:rPr>
          <w:w w:val="105"/>
          <w:sz w:val="18"/>
          <w:vertAlign w:val="baseline"/>
        </w:rPr>
        <w:t>channeled</w:t>
      </w:r>
      <w:r>
        <w:rPr>
          <w:spacing w:val="-8"/>
          <w:w w:val="105"/>
          <w:sz w:val="18"/>
          <w:vertAlign w:val="baseline"/>
        </w:rPr>
        <w:t> </w:t>
      </w:r>
      <w:r>
        <w:rPr>
          <w:w w:val="105"/>
          <w:sz w:val="18"/>
          <w:vertAlign w:val="baseline"/>
        </w:rPr>
        <w:t>70%</w:t>
      </w:r>
      <w:r>
        <w:rPr>
          <w:spacing w:val="-8"/>
          <w:w w:val="105"/>
          <w:sz w:val="18"/>
          <w:vertAlign w:val="baseline"/>
        </w:rPr>
        <w:t> </w:t>
      </w:r>
      <w:r>
        <w:rPr>
          <w:w w:val="105"/>
          <w:sz w:val="18"/>
          <w:vertAlign w:val="baseline"/>
        </w:rPr>
        <w:t>of</w:t>
      </w:r>
      <w:r>
        <w:rPr>
          <w:spacing w:val="-8"/>
          <w:w w:val="105"/>
          <w:sz w:val="18"/>
          <w:vertAlign w:val="baseline"/>
        </w:rPr>
        <w:t> </w:t>
      </w:r>
      <w:r>
        <w:rPr>
          <w:w w:val="105"/>
          <w:sz w:val="18"/>
          <w:vertAlign w:val="baseline"/>
        </w:rPr>
        <w:t>its</w:t>
      </w:r>
      <w:r>
        <w:rPr>
          <w:spacing w:val="-8"/>
          <w:w w:val="105"/>
          <w:sz w:val="18"/>
          <w:vertAlign w:val="baseline"/>
        </w:rPr>
        <w:t> </w:t>
      </w:r>
      <w:r>
        <w:rPr>
          <w:w w:val="105"/>
          <w:sz w:val="18"/>
          <w:vertAlign w:val="baseline"/>
        </w:rPr>
        <w:t>annual</w:t>
      </w:r>
      <w:r>
        <w:rPr>
          <w:spacing w:val="-8"/>
          <w:w w:val="105"/>
          <w:sz w:val="18"/>
          <w:vertAlign w:val="baseline"/>
        </w:rPr>
        <w:t> </w:t>
      </w:r>
      <w:r>
        <w:rPr>
          <w:w w:val="105"/>
          <w:sz w:val="18"/>
          <w:vertAlign w:val="baseline"/>
        </w:rPr>
        <w:t>lending</w:t>
      </w:r>
      <w:r>
        <w:rPr>
          <w:spacing w:val="-8"/>
          <w:w w:val="105"/>
          <w:sz w:val="18"/>
          <w:vertAlign w:val="baseline"/>
        </w:rPr>
        <w:t> </w:t>
      </w:r>
      <w:r>
        <w:rPr>
          <w:w w:val="105"/>
          <w:sz w:val="18"/>
          <w:vertAlign w:val="baseline"/>
        </w:rPr>
        <w:t>commitments</w:t>
      </w:r>
      <w:r>
        <w:rPr>
          <w:spacing w:val="-8"/>
          <w:w w:val="105"/>
          <w:sz w:val="18"/>
          <w:vertAlign w:val="baseline"/>
        </w:rPr>
        <w:t> </w:t>
      </w:r>
      <w:r>
        <w:rPr>
          <w:w w:val="105"/>
          <w:sz w:val="18"/>
          <w:vertAlign w:val="baseline"/>
        </w:rPr>
        <w:t>to</w:t>
      </w:r>
      <w:r>
        <w:rPr>
          <w:spacing w:val="-8"/>
          <w:w w:val="105"/>
          <w:sz w:val="18"/>
          <w:vertAlign w:val="baseline"/>
        </w:rPr>
        <w:t> </w:t>
      </w:r>
      <w:r>
        <w:rPr>
          <w:w w:val="105"/>
          <w:sz w:val="18"/>
          <w:vertAlign w:val="baseline"/>
        </w:rPr>
        <w:t>low-</w:t>
      </w:r>
      <w:r>
        <w:rPr>
          <w:spacing w:val="-9"/>
          <w:w w:val="105"/>
          <w:sz w:val="18"/>
          <w:vertAlign w:val="baseline"/>
        </w:rPr>
        <w:t> </w:t>
      </w:r>
      <w:r>
        <w:rPr>
          <w:w w:val="105"/>
          <w:sz w:val="18"/>
          <w:vertAlign w:val="baseline"/>
        </w:rPr>
        <w:t>and</w:t>
      </w:r>
      <w:r>
        <w:rPr>
          <w:spacing w:val="-8"/>
          <w:w w:val="105"/>
          <w:sz w:val="18"/>
          <w:vertAlign w:val="baseline"/>
        </w:rPr>
        <w:t> </w:t>
      </w:r>
      <w:r>
        <w:rPr>
          <w:w w:val="105"/>
          <w:sz w:val="18"/>
          <w:vertAlign w:val="baseline"/>
        </w:rPr>
        <w:t>middle-income countries</w:t>
      </w:r>
      <w:r>
        <w:rPr>
          <w:spacing w:val="-9"/>
          <w:w w:val="105"/>
          <w:sz w:val="18"/>
          <w:vertAlign w:val="baseline"/>
        </w:rPr>
        <w:t> </w:t>
      </w:r>
      <w:r>
        <w:rPr>
          <w:w w:val="105"/>
          <w:sz w:val="18"/>
          <w:vertAlign w:val="baseline"/>
        </w:rPr>
        <w:t>through</w:t>
      </w:r>
      <w:r>
        <w:rPr>
          <w:spacing w:val="-9"/>
          <w:w w:val="105"/>
          <w:sz w:val="18"/>
          <w:vertAlign w:val="baseline"/>
        </w:rPr>
        <w:t> </w:t>
      </w:r>
      <w:r>
        <w:rPr>
          <w:w w:val="105"/>
          <w:sz w:val="18"/>
          <w:vertAlign w:val="baseline"/>
        </w:rPr>
        <w:t>its</w:t>
      </w:r>
      <w:r>
        <w:rPr>
          <w:spacing w:val="-9"/>
          <w:w w:val="105"/>
          <w:sz w:val="18"/>
          <w:vertAlign w:val="baseline"/>
        </w:rPr>
        <w:t> </w:t>
      </w:r>
      <w:r>
        <w:rPr>
          <w:w w:val="105"/>
          <w:sz w:val="18"/>
          <w:vertAlign w:val="baseline"/>
        </w:rPr>
        <w:t>policy</w:t>
      </w:r>
      <w:r>
        <w:rPr>
          <w:spacing w:val="-9"/>
          <w:w w:val="105"/>
          <w:sz w:val="18"/>
          <w:vertAlign w:val="baseline"/>
        </w:rPr>
        <w:t> </w:t>
      </w:r>
      <w:r>
        <w:rPr>
          <w:w w:val="105"/>
          <w:sz w:val="18"/>
          <w:vertAlign w:val="baseline"/>
        </w:rPr>
        <w:t>banks</w:t>
      </w:r>
      <w:r>
        <w:rPr>
          <w:spacing w:val="-9"/>
          <w:w w:val="105"/>
          <w:sz w:val="18"/>
          <w:vertAlign w:val="baseline"/>
        </w:rPr>
        <w:t> </w:t>
      </w:r>
      <w:r>
        <w:rPr>
          <w:w w:val="105"/>
          <w:sz w:val="18"/>
          <w:vertAlign w:val="baseline"/>
        </w:rPr>
        <w:t>during</w:t>
      </w:r>
      <w:r>
        <w:rPr>
          <w:spacing w:val="-9"/>
          <w:w w:val="105"/>
          <w:sz w:val="18"/>
          <w:vertAlign w:val="baseline"/>
        </w:rPr>
        <w:t> </w:t>
      </w:r>
      <w:r>
        <w:rPr>
          <w:w w:val="105"/>
          <w:sz w:val="18"/>
          <w:vertAlign w:val="baseline"/>
        </w:rPr>
        <w:t>the</w:t>
      </w:r>
      <w:r>
        <w:rPr>
          <w:spacing w:val="-9"/>
          <w:w w:val="105"/>
          <w:sz w:val="18"/>
          <w:vertAlign w:val="baseline"/>
        </w:rPr>
        <w:t> </w:t>
      </w:r>
      <w:r>
        <w:rPr>
          <w:w w:val="105"/>
          <w:sz w:val="18"/>
          <w:vertAlign w:val="baseline"/>
        </w:rPr>
        <w:t>pre-BRI</w:t>
      </w:r>
      <w:r>
        <w:rPr>
          <w:spacing w:val="-9"/>
          <w:w w:val="105"/>
          <w:sz w:val="18"/>
          <w:vertAlign w:val="baseline"/>
        </w:rPr>
        <w:t> </w:t>
      </w:r>
      <w:r>
        <w:rPr>
          <w:w w:val="105"/>
          <w:sz w:val="18"/>
          <w:vertAlign w:val="baseline"/>
        </w:rPr>
        <w:t>period.</w:t>
      </w:r>
      <w:r>
        <w:rPr>
          <w:spacing w:val="-9"/>
          <w:w w:val="105"/>
          <w:sz w:val="18"/>
          <w:vertAlign w:val="baseline"/>
        </w:rPr>
        <w:t> </w:t>
      </w:r>
      <w:r>
        <w:rPr>
          <w:w w:val="105"/>
          <w:sz w:val="18"/>
          <w:vertAlign w:val="baseline"/>
        </w:rPr>
        <w:t>This</w:t>
      </w:r>
      <w:r>
        <w:rPr>
          <w:spacing w:val="-9"/>
          <w:w w:val="105"/>
          <w:sz w:val="18"/>
          <w:vertAlign w:val="baseline"/>
        </w:rPr>
        <w:t> </w:t>
      </w:r>
      <w:r>
        <w:rPr>
          <w:w w:val="105"/>
          <w:sz w:val="18"/>
          <w:vertAlign w:val="baseline"/>
        </w:rPr>
        <w:t>ﬁgure</w:t>
      </w:r>
      <w:r>
        <w:rPr>
          <w:spacing w:val="-9"/>
          <w:w w:val="105"/>
          <w:sz w:val="18"/>
          <w:vertAlign w:val="baseline"/>
        </w:rPr>
        <w:t> </w:t>
      </w:r>
      <w:r>
        <w:rPr>
          <w:w w:val="105"/>
          <w:sz w:val="18"/>
          <w:vertAlign w:val="baseline"/>
        </w:rPr>
        <w:t>dropped</w:t>
      </w:r>
      <w:r>
        <w:rPr>
          <w:spacing w:val="-9"/>
          <w:w w:val="105"/>
          <w:sz w:val="18"/>
          <w:vertAlign w:val="baseline"/>
        </w:rPr>
        <w:t> </w:t>
      </w:r>
      <w:r>
        <w:rPr>
          <w:w w:val="105"/>
          <w:sz w:val="18"/>
          <w:vertAlign w:val="baseline"/>
        </w:rPr>
        <w:t>to</w:t>
      </w:r>
      <w:r>
        <w:rPr>
          <w:spacing w:val="-9"/>
          <w:w w:val="105"/>
          <w:sz w:val="18"/>
          <w:vertAlign w:val="baseline"/>
        </w:rPr>
        <w:t> </w:t>
      </w:r>
      <w:r>
        <w:rPr>
          <w:w w:val="105"/>
          <w:sz w:val="18"/>
          <w:vertAlign w:val="baseline"/>
        </w:rPr>
        <w:t>60%</w:t>
      </w:r>
      <w:r>
        <w:rPr>
          <w:spacing w:val="-9"/>
          <w:w w:val="105"/>
          <w:sz w:val="18"/>
          <w:vertAlign w:val="baseline"/>
        </w:rPr>
        <w:t> </w:t>
      </w:r>
      <w:r>
        <w:rPr>
          <w:w w:val="105"/>
          <w:sz w:val="18"/>
          <w:vertAlign w:val="baseline"/>
        </w:rPr>
        <w:t>during</w:t>
      </w:r>
      <w:r>
        <w:rPr>
          <w:spacing w:val="-9"/>
          <w:w w:val="105"/>
          <w:sz w:val="18"/>
          <w:vertAlign w:val="baseline"/>
        </w:rPr>
        <w:t> </w:t>
      </w:r>
      <w:r>
        <w:rPr>
          <w:w w:val="105"/>
          <w:sz w:val="18"/>
          <w:vertAlign w:val="baseline"/>
        </w:rPr>
        <w:t>the</w:t>
      </w:r>
      <w:r>
        <w:rPr>
          <w:spacing w:val="-9"/>
          <w:w w:val="105"/>
          <w:sz w:val="18"/>
          <w:vertAlign w:val="baseline"/>
        </w:rPr>
        <w:t> </w:t>
      </w:r>
      <w:r>
        <w:rPr>
          <w:w w:val="105"/>
          <w:sz w:val="18"/>
          <w:vertAlign w:val="baseline"/>
        </w:rPr>
        <w:t>early BRI</w:t>
      </w:r>
      <w:r>
        <w:rPr>
          <w:spacing w:val="-14"/>
          <w:w w:val="105"/>
          <w:sz w:val="18"/>
          <w:vertAlign w:val="baseline"/>
        </w:rPr>
        <w:t> </w:t>
      </w:r>
      <w:r>
        <w:rPr>
          <w:w w:val="105"/>
          <w:sz w:val="18"/>
          <w:vertAlign w:val="baseline"/>
        </w:rPr>
        <w:t>period</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30%</w:t>
      </w:r>
      <w:r>
        <w:rPr>
          <w:spacing w:val="-13"/>
          <w:w w:val="105"/>
          <w:sz w:val="18"/>
          <w:vertAlign w:val="baseline"/>
        </w:rPr>
        <w:t> </w:t>
      </w:r>
      <w:r>
        <w:rPr>
          <w:w w:val="105"/>
          <w:sz w:val="18"/>
          <w:vertAlign w:val="baseline"/>
        </w:rPr>
        <w:t>during</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late</w:t>
      </w:r>
      <w:r>
        <w:rPr>
          <w:spacing w:val="-13"/>
          <w:w w:val="105"/>
          <w:sz w:val="18"/>
          <w:vertAlign w:val="baseline"/>
        </w:rPr>
        <w:t> </w:t>
      </w:r>
      <w:r>
        <w:rPr>
          <w:w w:val="105"/>
          <w:sz w:val="18"/>
          <w:vertAlign w:val="baseline"/>
        </w:rPr>
        <w:t>BRI</w:t>
      </w:r>
      <w:r>
        <w:rPr>
          <w:spacing w:val="-14"/>
          <w:w w:val="105"/>
          <w:sz w:val="18"/>
          <w:vertAlign w:val="baseline"/>
        </w:rPr>
        <w:t> </w:t>
      </w:r>
      <w:r>
        <w:rPr>
          <w:w w:val="105"/>
          <w:sz w:val="18"/>
          <w:vertAlign w:val="baseline"/>
        </w:rPr>
        <w:t>period.</w:t>
      </w:r>
      <w:r>
        <w:rPr>
          <w:spacing w:val="-13"/>
          <w:w w:val="105"/>
          <w:sz w:val="18"/>
          <w:vertAlign w:val="baseline"/>
        </w:rPr>
        <w:t> </w:t>
      </w:r>
      <w:r>
        <w:rPr>
          <w:w w:val="105"/>
          <w:sz w:val="18"/>
          <w:vertAlign w:val="baseline"/>
        </w:rPr>
        <w:t>On</w:t>
      </w:r>
      <w:r>
        <w:rPr>
          <w:spacing w:val="-13"/>
          <w:w w:val="105"/>
          <w:sz w:val="18"/>
          <w:vertAlign w:val="baseline"/>
        </w:rPr>
        <w:t> </w:t>
      </w:r>
      <w:r>
        <w:rPr>
          <w:w w:val="105"/>
          <w:sz w:val="18"/>
          <w:vertAlign w:val="baseline"/>
        </w:rPr>
        <w:t>average,</w:t>
      </w:r>
      <w:r>
        <w:rPr>
          <w:spacing w:val="-13"/>
          <w:w w:val="105"/>
          <w:sz w:val="18"/>
          <w:vertAlign w:val="baseline"/>
        </w:rPr>
        <w:t> </w:t>
      </w:r>
      <w:r>
        <w:rPr>
          <w:w w:val="105"/>
          <w:sz w:val="18"/>
          <w:vertAlign w:val="baseline"/>
        </w:rPr>
        <w:t>during</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pre-BRI</w:t>
      </w:r>
      <w:r>
        <w:rPr>
          <w:spacing w:val="-13"/>
          <w:w w:val="105"/>
          <w:sz w:val="18"/>
          <w:vertAlign w:val="baseline"/>
        </w:rPr>
        <w:t> </w:t>
      </w:r>
      <w:r>
        <w:rPr>
          <w:w w:val="105"/>
          <w:sz w:val="18"/>
          <w:vertAlign w:val="baseline"/>
        </w:rPr>
        <w:t>period,</w:t>
      </w:r>
      <w:r>
        <w:rPr>
          <w:spacing w:val="-13"/>
          <w:w w:val="105"/>
          <w:sz w:val="18"/>
          <w:vertAlign w:val="baseline"/>
        </w:rPr>
        <w:t> </w:t>
      </w:r>
      <w:r>
        <w:rPr>
          <w:w w:val="105"/>
          <w:sz w:val="18"/>
          <w:vertAlign w:val="baseline"/>
        </w:rPr>
        <w:t>Beijing</w:t>
      </w:r>
      <w:r>
        <w:rPr>
          <w:spacing w:val="-14"/>
          <w:w w:val="105"/>
          <w:sz w:val="18"/>
          <w:vertAlign w:val="baseline"/>
        </w:rPr>
        <w:t> </w:t>
      </w:r>
      <w:r>
        <w:rPr>
          <w:w w:val="105"/>
          <w:sz w:val="18"/>
          <w:vertAlign w:val="baseline"/>
        </w:rPr>
        <w:t>channeled </w:t>
      </w:r>
      <w:r>
        <w:rPr>
          <w:sz w:val="18"/>
          <w:vertAlign w:val="baseline"/>
        </w:rPr>
        <w:t>only 3% of its annual lending commitments to low- and middle-income countries through PBOC/SAFE. </w:t>
      </w:r>
      <w:r>
        <w:rPr>
          <w:sz w:val="18"/>
          <w:vertAlign w:val="baseline"/>
        </w:rPr>
        <w:t>This ﬁgure increased to 14% during the early BRI period and 43% during the late BRI period. See Figure 2.7 for </w:t>
      </w:r>
      <w:r>
        <w:rPr>
          <w:w w:val="105"/>
          <w:sz w:val="18"/>
          <w:vertAlign w:val="baseline"/>
        </w:rPr>
        <w:t>more details.</w:t>
      </w:r>
    </w:p>
    <w:p>
      <w:pPr>
        <w:spacing w:after="0" w:line="249" w:lineRule="auto"/>
        <w:jc w:val="left"/>
        <w:rPr>
          <w:sz w:val="18"/>
        </w:rPr>
        <w:sectPr>
          <w:pgSz w:w="12240" w:h="15840"/>
          <w:pgMar w:header="0" w:footer="720" w:top="1360" w:bottom="920" w:left="1040" w:right="1040"/>
        </w:sectPr>
      </w:pPr>
    </w:p>
    <w:p>
      <w:pPr>
        <w:pStyle w:val="ListParagraph"/>
        <w:numPr>
          <w:ilvl w:val="0"/>
          <w:numId w:val="2"/>
        </w:numPr>
        <w:tabs>
          <w:tab w:pos="1480" w:val="left" w:leader="none"/>
        </w:tabs>
        <w:spacing w:line="333" w:lineRule="auto" w:before="27" w:after="0"/>
        <w:ind w:left="1480" w:right="769" w:hanging="360"/>
        <w:jc w:val="left"/>
        <w:rPr>
          <w:sz w:val="24"/>
        </w:rPr>
      </w:pPr>
      <w:r>
        <w:rPr>
          <w:b/>
          <w:sz w:val="24"/>
        </w:rPr>
        <w:t>Borrowing</w:t>
      </w:r>
      <w:r>
        <w:rPr>
          <w:b/>
          <w:spacing w:val="-13"/>
          <w:sz w:val="24"/>
        </w:rPr>
        <w:t> </w:t>
      </w:r>
      <w:r>
        <w:rPr>
          <w:b/>
          <w:sz w:val="24"/>
        </w:rPr>
        <w:t>institution</w:t>
      </w:r>
      <w:r>
        <w:rPr>
          <w:b/>
          <w:spacing w:val="-13"/>
          <w:sz w:val="24"/>
        </w:rPr>
        <w:t> </w:t>
      </w:r>
      <w:r>
        <w:rPr>
          <w:b/>
          <w:sz w:val="24"/>
        </w:rPr>
        <w:t>coverage:</w:t>
      </w:r>
      <w:r>
        <w:rPr>
          <w:b/>
          <w:spacing w:val="-13"/>
          <w:sz w:val="24"/>
        </w:rPr>
        <w:t> </w:t>
      </w:r>
      <w:r>
        <w:rPr>
          <w:sz w:val="24"/>
        </w:rPr>
        <w:t>OECD-DAC</w:t>
      </w:r>
      <w:r>
        <w:rPr>
          <w:spacing w:val="-13"/>
          <w:sz w:val="24"/>
        </w:rPr>
        <w:t> </w:t>
      </w:r>
      <w:r>
        <w:rPr>
          <w:sz w:val="24"/>
        </w:rPr>
        <w:t>reporting</w:t>
      </w:r>
      <w:r>
        <w:rPr>
          <w:spacing w:val="-13"/>
          <w:sz w:val="24"/>
        </w:rPr>
        <w:t> </w:t>
      </w:r>
      <w:r>
        <w:rPr>
          <w:sz w:val="24"/>
        </w:rPr>
        <w:t>guidelines</w:t>
      </w:r>
      <w:r>
        <w:rPr>
          <w:spacing w:val="-13"/>
          <w:sz w:val="24"/>
        </w:rPr>
        <w:t> </w:t>
      </w:r>
      <w:r>
        <w:rPr>
          <w:sz w:val="24"/>
        </w:rPr>
        <w:t>specify that ODA and OOF are designed to capture ofﬁcial sector ﬁnancial ﬂows, where the “ofﬁcial sector” refers to the sources rather than the</w:t>
      </w:r>
      <w:r>
        <w:rPr>
          <w:spacing w:val="80"/>
          <w:sz w:val="24"/>
        </w:rPr>
        <w:t> </w:t>
      </w:r>
      <w:r>
        <w:rPr>
          <w:sz w:val="24"/>
        </w:rPr>
        <w:t>destinations of such ﬂows (Horn et al. 2021: 23). AidData adheres to this reporting standard to ensure that its measures of Chinese development ﬁnance are comparable to OECD-DAC sources of international development ﬁnance. As such, the 3.0 version of AidData’s GCDF dataset captures lending from all Chinese government and state-owned creditors to all public sector and private sector borrowers in low-income and</w:t>
      </w:r>
      <w:r>
        <w:rPr>
          <w:spacing w:val="80"/>
          <w:sz w:val="24"/>
        </w:rPr>
        <w:t> </w:t>
      </w:r>
      <w:r>
        <w:rPr>
          <w:sz w:val="24"/>
        </w:rPr>
        <w:t>middle-income countries, regardless of whether they secured sovereign repayment guarantees. By contrast, other publicly available datasets—such as Boston University’s CODF dataset and the World </w:t>
      </w:r>
      <w:r>
        <w:rPr>
          <w:sz w:val="24"/>
        </w:rPr>
        <w:t>Bank’s</w:t>
      </w:r>
      <w:r>
        <w:rPr>
          <w:spacing w:val="-10"/>
          <w:sz w:val="24"/>
        </w:rPr>
        <w:t> </w:t>
      </w:r>
      <w:r>
        <w:rPr>
          <w:sz w:val="24"/>
        </w:rPr>
        <w:t>IDS—exclusively track Chinese loans to government institutions, majority state-owned entities, and borrowing institutions that beneﬁt from sovereign repayment guarantees (i.e., public and publicly guaranteed debt owed to China). This coverage difference is consequential because a signiﬁcant percentage of China’s overseas lending portfolio is channeled to special purpose vehicles, joint ventures, private sector institutions, and minority state-owned entities (see Figures 2.18 and A10). While these loans typically do not appear on government balance sheets in</w:t>
      </w:r>
    </w:p>
    <w:p>
      <w:pPr>
        <w:pStyle w:val="BodyText"/>
        <w:spacing w:line="333" w:lineRule="auto"/>
        <w:ind w:left="1480" w:right="767"/>
      </w:pPr>
      <w:r>
        <w:rPr>
          <w:w w:val="105"/>
        </w:rPr>
        <w:t>low-income</w:t>
      </w:r>
      <w:r>
        <w:rPr>
          <w:spacing w:val="-6"/>
          <w:w w:val="105"/>
        </w:rPr>
        <w:t> </w:t>
      </w:r>
      <w:r>
        <w:rPr>
          <w:w w:val="105"/>
        </w:rPr>
        <w:t>and</w:t>
      </w:r>
      <w:r>
        <w:rPr>
          <w:spacing w:val="-6"/>
          <w:w w:val="105"/>
        </w:rPr>
        <w:t> </w:t>
      </w:r>
      <w:r>
        <w:rPr>
          <w:w w:val="105"/>
        </w:rPr>
        <w:t>middle-income</w:t>
      </w:r>
      <w:r>
        <w:rPr>
          <w:spacing w:val="-6"/>
          <w:w w:val="105"/>
        </w:rPr>
        <w:t> </w:t>
      </w:r>
      <w:r>
        <w:rPr>
          <w:w w:val="105"/>
        </w:rPr>
        <w:t>countries,</w:t>
      </w:r>
      <w:r>
        <w:rPr>
          <w:spacing w:val="-6"/>
          <w:w w:val="105"/>
        </w:rPr>
        <w:t> </w:t>
      </w:r>
      <w:r>
        <w:rPr>
          <w:w w:val="105"/>
        </w:rPr>
        <w:t>many</w:t>
      </w:r>
      <w:r>
        <w:rPr>
          <w:spacing w:val="-6"/>
          <w:w w:val="105"/>
        </w:rPr>
        <w:t> </w:t>
      </w:r>
      <w:r>
        <w:rPr>
          <w:w w:val="105"/>
        </w:rPr>
        <w:t>of</w:t>
      </w:r>
      <w:r>
        <w:rPr>
          <w:spacing w:val="-6"/>
          <w:w w:val="105"/>
        </w:rPr>
        <w:t> </w:t>
      </w:r>
      <w:r>
        <w:rPr>
          <w:w w:val="105"/>
        </w:rPr>
        <w:t>them</w:t>
      </w:r>
      <w:r>
        <w:rPr>
          <w:spacing w:val="-6"/>
          <w:w w:val="105"/>
        </w:rPr>
        <w:t> </w:t>
      </w:r>
      <w:r>
        <w:rPr>
          <w:w w:val="105"/>
        </w:rPr>
        <w:t>beneﬁt</w:t>
      </w:r>
      <w:r>
        <w:rPr>
          <w:spacing w:val="-6"/>
          <w:w w:val="105"/>
        </w:rPr>
        <w:t> </w:t>
      </w:r>
      <w:r>
        <w:rPr>
          <w:w w:val="105"/>
        </w:rPr>
        <w:t>from implicit</w:t>
      </w:r>
      <w:r>
        <w:rPr>
          <w:spacing w:val="-1"/>
          <w:w w:val="105"/>
        </w:rPr>
        <w:t> </w:t>
      </w:r>
      <w:r>
        <w:rPr>
          <w:w w:val="105"/>
        </w:rPr>
        <w:t>host</w:t>
      </w:r>
      <w:r>
        <w:rPr>
          <w:spacing w:val="-1"/>
          <w:w w:val="105"/>
        </w:rPr>
        <w:t> </w:t>
      </w:r>
      <w:r>
        <w:rPr>
          <w:w w:val="105"/>
        </w:rPr>
        <w:t>government</w:t>
      </w:r>
      <w:r>
        <w:rPr>
          <w:spacing w:val="-1"/>
          <w:w w:val="105"/>
        </w:rPr>
        <w:t> </w:t>
      </w:r>
      <w:r>
        <w:rPr>
          <w:w w:val="105"/>
        </w:rPr>
        <w:t>liability</w:t>
      </w:r>
      <w:r>
        <w:rPr>
          <w:spacing w:val="-1"/>
          <w:w w:val="105"/>
        </w:rPr>
        <w:t> </w:t>
      </w:r>
      <w:r>
        <w:rPr>
          <w:w w:val="105"/>
        </w:rPr>
        <w:t>protection,</w:t>
      </w:r>
      <w:r>
        <w:rPr>
          <w:spacing w:val="-1"/>
          <w:w w:val="105"/>
        </w:rPr>
        <w:t> </w:t>
      </w:r>
      <w:r>
        <w:rPr>
          <w:w w:val="105"/>
        </w:rPr>
        <w:t>which</w:t>
      </w:r>
      <w:r>
        <w:rPr>
          <w:spacing w:val="-1"/>
          <w:w w:val="105"/>
        </w:rPr>
        <w:t> </w:t>
      </w:r>
      <w:r>
        <w:rPr>
          <w:w w:val="105"/>
        </w:rPr>
        <w:t>has</w:t>
      </w:r>
      <w:r>
        <w:rPr>
          <w:spacing w:val="-1"/>
          <w:w w:val="105"/>
        </w:rPr>
        <w:t> </w:t>
      </w:r>
      <w:r>
        <w:rPr>
          <w:w w:val="105"/>
        </w:rPr>
        <w:t>blurred</w:t>
      </w:r>
      <w:r>
        <w:rPr>
          <w:spacing w:val="-1"/>
          <w:w w:val="105"/>
        </w:rPr>
        <w:t> </w:t>
      </w:r>
      <w:r>
        <w:rPr>
          <w:w w:val="105"/>
        </w:rPr>
        <w:t>the distinction between public debt and private debt.</w:t>
      </w:r>
      <w:r>
        <w:rPr>
          <w:w w:val="105"/>
          <w:vertAlign w:val="superscript"/>
        </w:rPr>
        <w:t>99</w:t>
      </w:r>
      <w:r>
        <w:rPr>
          <w:w w:val="105"/>
          <w:vertAlign w:val="baseline"/>
        </w:rPr>
        <w:t> In total, the 3.0 version</w:t>
      </w:r>
      <w:r>
        <w:rPr>
          <w:spacing w:val="-9"/>
          <w:w w:val="105"/>
          <w:vertAlign w:val="baseline"/>
        </w:rPr>
        <w:t> </w:t>
      </w:r>
      <w:r>
        <w:rPr>
          <w:w w:val="105"/>
          <w:vertAlign w:val="baseline"/>
        </w:rPr>
        <w:t>of</w:t>
      </w:r>
      <w:r>
        <w:rPr>
          <w:spacing w:val="-9"/>
          <w:w w:val="105"/>
          <w:vertAlign w:val="baseline"/>
        </w:rPr>
        <w:t> </w:t>
      </w:r>
      <w:r>
        <w:rPr>
          <w:w w:val="105"/>
          <w:vertAlign w:val="baseline"/>
        </w:rPr>
        <w:t>the</w:t>
      </w:r>
      <w:r>
        <w:rPr>
          <w:spacing w:val="-9"/>
          <w:w w:val="105"/>
          <w:vertAlign w:val="baseline"/>
        </w:rPr>
        <w:t> </w:t>
      </w:r>
      <w:r>
        <w:rPr>
          <w:w w:val="105"/>
          <w:vertAlign w:val="baseline"/>
        </w:rPr>
        <w:t>GCDF</w:t>
      </w:r>
      <w:r>
        <w:rPr>
          <w:spacing w:val="-9"/>
          <w:w w:val="105"/>
          <w:vertAlign w:val="baseline"/>
        </w:rPr>
        <w:t> </w:t>
      </w:r>
      <w:r>
        <w:rPr>
          <w:w w:val="105"/>
          <w:vertAlign w:val="baseline"/>
        </w:rPr>
        <w:t>dataset</w:t>
      </w:r>
      <w:r>
        <w:rPr>
          <w:spacing w:val="-9"/>
          <w:w w:val="105"/>
          <w:vertAlign w:val="baseline"/>
        </w:rPr>
        <w:t> </w:t>
      </w:r>
      <w:r>
        <w:rPr>
          <w:w w:val="105"/>
          <w:vertAlign w:val="baseline"/>
        </w:rPr>
        <w:t>captures</w:t>
      </w:r>
      <w:r>
        <w:rPr>
          <w:spacing w:val="-9"/>
          <w:w w:val="105"/>
          <w:vertAlign w:val="baseline"/>
        </w:rPr>
        <w:t> </w:t>
      </w:r>
      <w:r>
        <w:rPr>
          <w:w w:val="105"/>
          <w:vertAlign w:val="baseline"/>
        </w:rPr>
        <w:t>$525</w:t>
      </w:r>
      <w:r>
        <w:rPr>
          <w:spacing w:val="-9"/>
          <w:w w:val="105"/>
          <w:vertAlign w:val="baseline"/>
        </w:rPr>
        <w:t> </w:t>
      </w:r>
      <w:r>
        <w:rPr>
          <w:w w:val="105"/>
          <w:vertAlign w:val="baseline"/>
        </w:rPr>
        <w:t>billion</w:t>
      </w:r>
      <w:r>
        <w:rPr>
          <w:spacing w:val="-9"/>
          <w:w w:val="105"/>
          <w:vertAlign w:val="baseline"/>
        </w:rPr>
        <w:t> </w:t>
      </w:r>
      <w:r>
        <w:rPr>
          <w:w w:val="105"/>
          <w:vertAlign w:val="baseline"/>
        </w:rPr>
        <w:t>of</w:t>
      </w:r>
      <w:r>
        <w:rPr>
          <w:spacing w:val="-9"/>
          <w:w w:val="105"/>
          <w:vertAlign w:val="baseline"/>
        </w:rPr>
        <w:t> </w:t>
      </w:r>
      <w:r>
        <w:rPr>
          <w:w w:val="105"/>
          <w:vertAlign w:val="baseline"/>
        </w:rPr>
        <w:t>lending commitments</w:t>
      </w:r>
      <w:r>
        <w:rPr>
          <w:spacing w:val="-7"/>
          <w:w w:val="105"/>
          <w:vertAlign w:val="baseline"/>
        </w:rPr>
        <w:t> </w:t>
      </w:r>
      <w:r>
        <w:rPr>
          <w:w w:val="105"/>
          <w:vertAlign w:val="baseline"/>
        </w:rPr>
        <w:t>to</w:t>
      </w:r>
      <w:r>
        <w:rPr>
          <w:spacing w:val="-7"/>
          <w:w w:val="105"/>
          <w:vertAlign w:val="baseline"/>
        </w:rPr>
        <w:t> </w:t>
      </w:r>
      <w:r>
        <w:rPr>
          <w:w w:val="105"/>
          <w:vertAlign w:val="baseline"/>
        </w:rPr>
        <w:t>661</w:t>
      </w:r>
      <w:r>
        <w:rPr>
          <w:spacing w:val="-7"/>
          <w:w w:val="105"/>
          <w:vertAlign w:val="baseline"/>
        </w:rPr>
        <w:t> </w:t>
      </w:r>
      <w:r>
        <w:rPr>
          <w:w w:val="105"/>
          <w:vertAlign w:val="baseline"/>
        </w:rPr>
        <w:t>borrowing</w:t>
      </w:r>
      <w:r>
        <w:rPr>
          <w:spacing w:val="-7"/>
          <w:w w:val="105"/>
          <w:vertAlign w:val="baseline"/>
        </w:rPr>
        <w:t> </w:t>
      </w:r>
      <w:r>
        <w:rPr>
          <w:w w:val="105"/>
          <w:vertAlign w:val="baseline"/>
        </w:rPr>
        <w:t>institutions</w:t>
      </w:r>
      <w:r>
        <w:rPr>
          <w:spacing w:val="-7"/>
          <w:w w:val="105"/>
          <w:vertAlign w:val="baseline"/>
        </w:rPr>
        <w:t> </w:t>
      </w:r>
      <w:r>
        <w:rPr>
          <w:w w:val="105"/>
          <w:vertAlign w:val="baseline"/>
        </w:rPr>
        <w:t>that</w:t>
      </w:r>
      <w:r>
        <w:rPr>
          <w:spacing w:val="-7"/>
          <w:w w:val="105"/>
          <w:vertAlign w:val="baseline"/>
        </w:rPr>
        <w:t> </w:t>
      </w:r>
      <w:r>
        <w:rPr>
          <w:w w:val="105"/>
          <w:vertAlign w:val="baseline"/>
        </w:rPr>
        <w:t>qualify</w:t>
      </w:r>
      <w:r>
        <w:rPr>
          <w:spacing w:val="-7"/>
          <w:w w:val="105"/>
          <w:vertAlign w:val="baseline"/>
        </w:rPr>
        <w:t> </w:t>
      </w:r>
      <w:r>
        <w:rPr>
          <w:w w:val="105"/>
          <w:vertAlign w:val="baseline"/>
        </w:rPr>
        <w:t>as</w:t>
      </w:r>
      <w:r>
        <w:rPr>
          <w:spacing w:val="-7"/>
          <w:w w:val="105"/>
          <w:vertAlign w:val="baseline"/>
        </w:rPr>
        <w:t> </w:t>
      </w:r>
      <w:r>
        <w:rPr>
          <w:w w:val="105"/>
          <w:vertAlign w:val="baseline"/>
        </w:rPr>
        <w:t>central government or central government-guaranteed debt, $421 billion of lending</w:t>
      </w:r>
      <w:r>
        <w:rPr>
          <w:spacing w:val="-4"/>
          <w:w w:val="105"/>
          <w:vertAlign w:val="baseline"/>
        </w:rPr>
        <w:t> </w:t>
      </w:r>
      <w:r>
        <w:rPr>
          <w:w w:val="105"/>
          <w:vertAlign w:val="baseline"/>
        </w:rPr>
        <w:t>commitments</w:t>
      </w:r>
      <w:r>
        <w:rPr>
          <w:spacing w:val="-4"/>
          <w:w w:val="105"/>
          <w:vertAlign w:val="baseline"/>
        </w:rPr>
        <w:t> </w:t>
      </w:r>
      <w:r>
        <w:rPr>
          <w:w w:val="105"/>
          <w:vertAlign w:val="baseline"/>
        </w:rPr>
        <w:t>to</w:t>
      </w:r>
      <w:r>
        <w:rPr>
          <w:spacing w:val="-4"/>
          <w:w w:val="105"/>
          <w:vertAlign w:val="baseline"/>
        </w:rPr>
        <w:t> </w:t>
      </w:r>
      <w:r>
        <w:rPr>
          <w:w w:val="105"/>
          <w:vertAlign w:val="baseline"/>
        </w:rPr>
        <w:t>455</w:t>
      </w:r>
      <w:r>
        <w:rPr>
          <w:spacing w:val="-4"/>
          <w:w w:val="105"/>
          <w:vertAlign w:val="baseline"/>
        </w:rPr>
        <w:t> </w:t>
      </w:r>
      <w:r>
        <w:rPr>
          <w:w w:val="105"/>
          <w:vertAlign w:val="baseline"/>
        </w:rPr>
        <w:t>borrowing</w:t>
      </w:r>
      <w:r>
        <w:rPr>
          <w:spacing w:val="-4"/>
          <w:w w:val="105"/>
          <w:vertAlign w:val="baseline"/>
        </w:rPr>
        <w:t> </w:t>
      </w:r>
      <w:r>
        <w:rPr>
          <w:w w:val="105"/>
          <w:vertAlign w:val="baseline"/>
        </w:rPr>
        <w:t>institutions</w:t>
      </w:r>
      <w:r>
        <w:rPr>
          <w:spacing w:val="-4"/>
          <w:w w:val="105"/>
          <w:vertAlign w:val="baseline"/>
        </w:rPr>
        <w:t> </w:t>
      </w:r>
      <w:r>
        <w:rPr>
          <w:w w:val="105"/>
          <w:vertAlign w:val="baseline"/>
        </w:rPr>
        <w:t>that</w:t>
      </w:r>
      <w:r>
        <w:rPr>
          <w:spacing w:val="-4"/>
          <w:w w:val="105"/>
          <w:vertAlign w:val="baseline"/>
        </w:rPr>
        <w:t> </w:t>
      </w:r>
      <w:r>
        <w:rPr>
          <w:w w:val="105"/>
          <w:vertAlign w:val="baseline"/>
        </w:rPr>
        <w:t>qualify</w:t>
      </w:r>
      <w:r>
        <w:rPr>
          <w:spacing w:val="-4"/>
          <w:w w:val="105"/>
          <w:vertAlign w:val="baseline"/>
        </w:rPr>
        <w:t> </w:t>
      </w:r>
      <w:r>
        <w:rPr>
          <w:w w:val="105"/>
          <w:vertAlign w:val="baseline"/>
        </w:rPr>
        <w:t>as</w:t>
      </w:r>
      <w:r>
        <w:rPr>
          <w:w w:val="105"/>
          <w:vertAlign w:val="baseline"/>
        </w:rPr>
        <w:t> another</w:t>
      </w:r>
      <w:r>
        <w:rPr>
          <w:spacing w:val="-13"/>
          <w:w w:val="105"/>
          <w:vertAlign w:val="baseline"/>
        </w:rPr>
        <w:t> </w:t>
      </w:r>
      <w:r>
        <w:rPr>
          <w:w w:val="105"/>
          <w:vertAlign w:val="baseline"/>
        </w:rPr>
        <w:t>type</w:t>
      </w:r>
      <w:r>
        <w:rPr>
          <w:spacing w:val="-13"/>
          <w:w w:val="105"/>
          <w:vertAlign w:val="baseline"/>
        </w:rPr>
        <w:t> </w:t>
      </w:r>
      <w:r>
        <w:rPr>
          <w:w w:val="105"/>
          <w:vertAlign w:val="baseline"/>
        </w:rPr>
        <w:t>of</w:t>
      </w:r>
      <w:r>
        <w:rPr>
          <w:spacing w:val="-13"/>
          <w:w w:val="105"/>
          <w:vertAlign w:val="baseline"/>
        </w:rPr>
        <w:t> </w:t>
      </w:r>
      <w:r>
        <w:rPr>
          <w:w w:val="105"/>
          <w:vertAlign w:val="baseline"/>
        </w:rPr>
        <w:t>public</w:t>
      </w:r>
      <w:r>
        <w:rPr>
          <w:spacing w:val="-13"/>
          <w:w w:val="105"/>
          <w:vertAlign w:val="baseline"/>
        </w:rPr>
        <w:t> </w:t>
      </w:r>
      <w:r>
        <w:rPr>
          <w:w w:val="105"/>
          <w:vertAlign w:val="baseline"/>
        </w:rPr>
        <w:t>sector</w:t>
      </w:r>
      <w:r>
        <w:rPr>
          <w:spacing w:val="-13"/>
          <w:w w:val="105"/>
          <w:vertAlign w:val="baseline"/>
        </w:rPr>
        <w:t> </w:t>
      </w:r>
      <w:r>
        <w:rPr>
          <w:w w:val="105"/>
          <w:vertAlign w:val="baseline"/>
        </w:rPr>
        <w:t>debt,</w:t>
      </w:r>
      <w:r>
        <w:rPr>
          <w:spacing w:val="-13"/>
          <w:w w:val="105"/>
          <w:vertAlign w:val="baseline"/>
        </w:rPr>
        <w:t> </w:t>
      </w:r>
      <w:r>
        <w:rPr>
          <w:w w:val="105"/>
          <w:vertAlign w:val="baseline"/>
        </w:rPr>
        <w:t>$67</w:t>
      </w:r>
      <w:r>
        <w:rPr>
          <w:spacing w:val="-13"/>
          <w:w w:val="105"/>
          <w:vertAlign w:val="baseline"/>
        </w:rPr>
        <w:t> </w:t>
      </w:r>
      <w:r>
        <w:rPr>
          <w:w w:val="105"/>
          <w:vertAlign w:val="baseline"/>
        </w:rPr>
        <w:t>billion</w:t>
      </w:r>
      <w:r>
        <w:rPr>
          <w:spacing w:val="-13"/>
          <w:w w:val="105"/>
          <w:vertAlign w:val="baseline"/>
        </w:rPr>
        <w:t> </w:t>
      </w:r>
      <w:r>
        <w:rPr>
          <w:w w:val="105"/>
          <w:vertAlign w:val="baseline"/>
        </w:rPr>
        <w:t>of</w:t>
      </w:r>
      <w:r>
        <w:rPr>
          <w:spacing w:val="-13"/>
          <w:w w:val="105"/>
          <w:vertAlign w:val="baseline"/>
        </w:rPr>
        <w:t> </w:t>
      </w:r>
      <w:r>
        <w:rPr>
          <w:w w:val="105"/>
          <w:vertAlign w:val="baseline"/>
        </w:rPr>
        <w:t>lending</w:t>
      </w:r>
      <w:r>
        <w:rPr>
          <w:spacing w:val="-13"/>
          <w:w w:val="105"/>
          <w:vertAlign w:val="baseline"/>
        </w:rPr>
        <w:t> </w:t>
      </w:r>
      <w:r>
        <w:rPr>
          <w:w w:val="105"/>
          <w:vertAlign w:val="baseline"/>
        </w:rPr>
        <w:t>commitments</w:t>
      </w:r>
      <w:r>
        <w:rPr>
          <w:spacing w:val="-13"/>
          <w:w w:val="105"/>
          <w:vertAlign w:val="baseline"/>
        </w:rPr>
        <w:t> </w:t>
      </w:r>
      <w:r>
        <w:rPr>
          <w:w w:val="105"/>
          <w:vertAlign w:val="baseline"/>
        </w:rPr>
        <w:t>to </w:t>
      </w:r>
      <w:r>
        <w:rPr>
          <w:spacing w:val="-2"/>
          <w:w w:val="105"/>
          <w:vertAlign w:val="baseline"/>
        </w:rPr>
        <w:t>85</w:t>
      </w:r>
      <w:r>
        <w:rPr>
          <w:spacing w:val="-11"/>
          <w:w w:val="105"/>
          <w:vertAlign w:val="baseline"/>
        </w:rPr>
        <w:t> </w:t>
      </w:r>
      <w:r>
        <w:rPr>
          <w:spacing w:val="-2"/>
          <w:w w:val="105"/>
          <w:vertAlign w:val="baseline"/>
        </w:rPr>
        <w:t>borrowing</w:t>
      </w:r>
      <w:r>
        <w:rPr>
          <w:spacing w:val="-11"/>
          <w:w w:val="105"/>
          <w:vertAlign w:val="baseline"/>
        </w:rPr>
        <w:t> </w:t>
      </w:r>
      <w:r>
        <w:rPr>
          <w:spacing w:val="-2"/>
          <w:w w:val="105"/>
          <w:vertAlign w:val="baseline"/>
        </w:rPr>
        <w:t>institutions</w:t>
      </w:r>
      <w:r>
        <w:rPr>
          <w:spacing w:val="-11"/>
          <w:w w:val="105"/>
          <w:vertAlign w:val="baseline"/>
        </w:rPr>
        <w:t> </w:t>
      </w:r>
      <w:r>
        <w:rPr>
          <w:spacing w:val="-2"/>
          <w:w w:val="105"/>
          <w:vertAlign w:val="baseline"/>
        </w:rPr>
        <w:t>that</w:t>
      </w:r>
      <w:r>
        <w:rPr>
          <w:spacing w:val="-11"/>
          <w:w w:val="105"/>
          <w:vertAlign w:val="baseline"/>
        </w:rPr>
        <w:t> </w:t>
      </w:r>
      <w:r>
        <w:rPr>
          <w:spacing w:val="-2"/>
          <w:w w:val="105"/>
          <w:vertAlign w:val="baseline"/>
        </w:rPr>
        <w:t>qualify</w:t>
      </w:r>
      <w:r>
        <w:rPr>
          <w:spacing w:val="-11"/>
          <w:w w:val="105"/>
          <w:vertAlign w:val="baseline"/>
        </w:rPr>
        <w:t> </w:t>
      </w:r>
      <w:r>
        <w:rPr>
          <w:spacing w:val="-2"/>
          <w:w w:val="105"/>
          <w:vertAlign w:val="baseline"/>
        </w:rPr>
        <w:t>as</w:t>
      </w:r>
      <w:r>
        <w:rPr>
          <w:spacing w:val="-11"/>
          <w:w w:val="105"/>
          <w:vertAlign w:val="baseline"/>
        </w:rPr>
        <w:t> </w:t>
      </w:r>
      <w:r>
        <w:rPr>
          <w:spacing w:val="-2"/>
          <w:w w:val="105"/>
          <w:vertAlign w:val="baseline"/>
        </w:rPr>
        <w:t>potential</w:t>
      </w:r>
      <w:r>
        <w:rPr>
          <w:spacing w:val="-11"/>
          <w:w w:val="105"/>
          <w:vertAlign w:val="baseline"/>
        </w:rPr>
        <w:t> </w:t>
      </w:r>
      <w:r>
        <w:rPr>
          <w:spacing w:val="-2"/>
          <w:w w:val="105"/>
          <w:vertAlign w:val="baseline"/>
        </w:rPr>
        <w:t>public</w:t>
      </w:r>
      <w:r>
        <w:rPr>
          <w:spacing w:val="-11"/>
          <w:w w:val="105"/>
          <w:vertAlign w:val="baseline"/>
        </w:rPr>
        <w:t> </w:t>
      </w:r>
      <w:r>
        <w:rPr>
          <w:spacing w:val="-2"/>
          <w:w w:val="105"/>
          <w:vertAlign w:val="baseline"/>
        </w:rPr>
        <w:t>sector</w:t>
      </w:r>
      <w:r>
        <w:rPr>
          <w:spacing w:val="-11"/>
          <w:w w:val="105"/>
          <w:vertAlign w:val="baseline"/>
        </w:rPr>
        <w:t> </w:t>
      </w:r>
      <w:r>
        <w:rPr>
          <w:spacing w:val="-2"/>
          <w:w w:val="105"/>
          <w:vertAlign w:val="baseline"/>
        </w:rPr>
        <w:t>debt,</w:t>
      </w:r>
      <w:r>
        <w:rPr>
          <w:spacing w:val="-11"/>
          <w:w w:val="105"/>
          <w:vertAlign w:val="baseline"/>
        </w:rPr>
        <w:t> </w:t>
      </w:r>
      <w:r>
        <w:rPr>
          <w:spacing w:val="-2"/>
          <w:w w:val="105"/>
          <w:vertAlign w:val="baseline"/>
        </w:rPr>
        <w:t>$216 </w:t>
      </w:r>
      <w:r>
        <w:rPr>
          <w:w w:val="105"/>
          <w:vertAlign w:val="baseline"/>
        </w:rPr>
        <w:t>billion of lending commitments to 724 borrowing institutions that qualify as</w:t>
      </w:r>
      <w:r>
        <w:rPr>
          <w:spacing w:val="-7"/>
          <w:w w:val="105"/>
          <w:vertAlign w:val="baseline"/>
        </w:rPr>
        <w:t> </w:t>
      </w:r>
      <w:r>
        <w:rPr>
          <w:w w:val="105"/>
          <w:vertAlign w:val="baseline"/>
        </w:rPr>
        <w:t>private</w:t>
      </w:r>
      <w:r>
        <w:rPr>
          <w:spacing w:val="-7"/>
          <w:w w:val="105"/>
          <w:vertAlign w:val="baseline"/>
        </w:rPr>
        <w:t> </w:t>
      </w:r>
      <w:r>
        <w:rPr>
          <w:w w:val="105"/>
          <w:vertAlign w:val="baseline"/>
        </w:rPr>
        <w:t>sector</w:t>
      </w:r>
      <w:r>
        <w:rPr>
          <w:spacing w:val="-7"/>
          <w:w w:val="105"/>
          <w:vertAlign w:val="baseline"/>
        </w:rPr>
        <w:t> </w:t>
      </w:r>
      <w:r>
        <w:rPr>
          <w:w w:val="105"/>
          <w:vertAlign w:val="baseline"/>
        </w:rPr>
        <w:t>debt,</w:t>
      </w:r>
      <w:r>
        <w:rPr>
          <w:spacing w:val="-7"/>
          <w:w w:val="105"/>
          <w:vertAlign w:val="baseline"/>
        </w:rPr>
        <w:t> </w:t>
      </w:r>
      <w:r>
        <w:rPr>
          <w:w w:val="105"/>
          <w:vertAlign w:val="baseline"/>
        </w:rPr>
        <w:t>and</w:t>
      </w:r>
      <w:r>
        <w:rPr>
          <w:spacing w:val="-7"/>
          <w:w w:val="105"/>
          <w:vertAlign w:val="baseline"/>
        </w:rPr>
        <w:t> </w:t>
      </w:r>
      <w:r>
        <w:rPr>
          <w:w w:val="105"/>
          <w:vertAlign w:val="baseline"/>
        </w:rPr>
        <w:t>$50</w:t>
      </w:r>
      <w:r>
        <w:rPr>
          <w:spacing w:val="-7"/>
          <w:w w:val="105"/>
          <w:vertAlign w:val="baseline"/>
        </w:rPr>
        <w:t> </w:t>
      </w:r>
      <w:r>
        <w:rPr>
          <w:w w:val="105"/>
          <w:vertAlign w:val="baseline"/>
        </w:rPr>
        <w:t>billion</w:t>
      </w:r>
      <w:r>
        <w:rPr>
          <w:spacing w:val="-7"/>
          <w:w w:val="105"/>
          <w:vertAlign w:val="baseline"/>
        </w:rPr>
        <w:t> </w:t>
      </w:r>
      <w:r>
        <w:rPr>
          <w:w w:val="105"/>
          <w:vertAlign w:val="baseline"/>
        </w:rPr>
        <w:t>that</w:t>
      </w:r>
      <w:r>
        <w:rPr>
          <w:spacing w:val="-7"/>
          <w:w w:val="105"/>
          <w:vertAlign w:val="baseline"/>
        </w:rPr>
        <w:t> </w:t>
      </w:r>
      <w:r>
        <w:rPr>
          <w:w w:val="105"/>
          <w:vertAlign w:val="baseline"/>
        </w:rPr>
        <w:t>is</w:t>
      </w:r>
      <w:r>
        <w:rPr>
          <w:spacing w:val="-7"/>
          <w:w w:val="105"/>
          <w:vertAlign w:val="baseline"/>
        </w:rPr>
        <w:t> </w:t>
      </w:r>
      <w:r>
        <w:rPr>
          <w:w w:val="105"/>
          <w:vertAlign w:val="baseline"/>
        </w:rPr>
        <w:t>not</w:t>
      </w:r>
      <w:r>
        <w:rPr>
          <w:spacing w:val="-7"/>
          <w:w w:val="105"/>
          <w:vertAlign w:val="baseline"/>
        </w:rPr>
        <w:t> </w:t>
      </w:r>
      <w:r>
        <w:rPr>
          <w:w w:val="105"/>
          <w:vertAlign w:val="baseline"/>
        </w:rPr>
        <w:t>allocable</w:t>
      </w:r>
      <w:r>
        <w:rPr>
          <w:spacing w:val="-7"/>
          <w:w w:val="105"/>
          <w:vertAlign w:val="baseline"/>
        </w:rPr>
        <w:t> </w:t>
      </w:r>
      <w:r>
        <w:rPr>
          <w:w w:val="105"/>
          <w:vertAlign w:val="baseline"/>
        </w:rPr>
        <w:t>due</w:t>
      </w:r>
      <w:r>
        <w:rPr>
          <w:spacing w:val="-7"/>
          <w:w w:val="105"/>
          <w:vertAlign w:val="baseline"/>
        </w:rPr>
        <w:t> </w:t>
      </w:r>
      <w:r>
        <w:rPr>
          <w:w w:val="105"/>
          <w:vertAlign w:val="baseline"/>
        </w:rPr>
        <w:t>to</w:t>
      </w:r>
      <w:r>
        <w:rPr>
          <w:spacing w:val="-7"/>
          <w:w w:val="105"/>
          <w:vertAlign w:val="baseline"/>
        </w:rPr>
        <w:t> </w:t>
      </w:r>
      <w:r>
        <w:rPr>
          <w:w w:val="105"/>
          <w:vertAlign w:val="baseline"/>
        </w:rPr>
        <w:t>a</w:t>
      </w:r>
      <w:r>
        <w:rPr>
          <w:spacing w:val="-7"/>
          <w:w w:val="105"/>
          <w:vertAlign w:val="baseline"/>
        </w:rPr>
        <w:t> </w:t>
      </w:r>
      <w:r>
        <w:rPr>
          <w:w w:val="105"/>
          <w:vertAlign w:val="baseline"/>
        </w:rPr>
        <w:t>lack</w:t>
      </w:r>
    </w:p>
    <w:p>
      <w:pPr>
        <w:pStyle w:val="BodyText"/>
        <w:spacing w:before="4"/>
        <w:rPr>
          <w:sz w:val="19"/>
        </w:rPr>
      </w:pPr>
      <w:r>
        <w:rPr/>
        <w:pict>
          <v:shape style="position:absolute;margin-left:90pt;margin-top:12.331934pt;width:144pt;height:.1pt;mso-position-horizontal-relative:page;mso-position-vertical-relative:paragraph;z-index:-15721472;mso-wrap-distance-left:0;mso-wrap-distance-right:0" id="docshape14" coordorigin="1800,247" coordsize="2880,0" path="m1800,247l4680,247e" filled="false" stroked="true" strokeweight=".75pt" strokecolor="#000000">
            <v:path arrowok="t"/>
            <v:stroke dashstyle="solid"/>
            <w10:wrap type="topAndBottom"/>
          </v:shape>
        </w:pict>
      </w:r>
    </w:p>
    <w:p>
      <w:pPr>
        <w:spacing w:line="249" w:lineRule="auto" w:before="110"/>
        <w:ind w:left="760" w:right="767" w:firstLine="0"/>
        <w:jc w:val="left"/>
        <w:rPr>
          <w:sz w:val="18"/>
        </w:rPr>
      </w:pPr>
      <w:r>
        <w:rPr>
          <w:w w:val="105"/>
          <w:sz w:val="18"/>
          <w:vertAlign w:val="superscript"/>
        </w:rPr>
        <w:t>99</w:t>
      </w:r>
      <w:r>
        <w:rPr>
          <w:spacing w:val="-11"/>
          <w:w w:val="105"/>
          <w:sz w:val="18"/>
          <w:vertAlign w:val="baseline"/>
        </w:rPr>
        <w:t> </w:t>
      </w:r>
      <w:r>
        <w:rPr>
          <w:w w:val="105"/>
          <w:sz w:val="18"/>
          <w:vertAlign w:val="baseline"/>
        </w:rPr>
        <w:t>As</w:t>
      </w:r>
      <w:r>
        <w:rPr>
          <w:spacing w:val="-10"/>
          <w:w w:val="105"/>
          <w:sz w:val="18"/>
          <w:vertAlign w:val="baseline"/>
        </w:rPr>
        <w:t> </w:t>
      </w:r>
      <w:r>
        <w:rPr>
          <w:w w:val="105"/>
          <w:sz w:val="18"/>
          <w:vertAlign w:val="baseline"/>
        </w:rPr>
        <w:t>Horn</w:t>
      </w:r>
      <w:r>
        <w:rPr>
          <w:spacing w:val="-10"/>
          <w:w w:val="105"/>
          <w:sz w:val="18"/>
          <w:vertAlign w:val="baseline"/>
        </w:rPr>
        <w:t> </w:t>
      </w:r>
      <w:r>
        <w:rPr>
          <w:w w:val="105"/>
          <w:sz w:val="18"/>
          <w:vertAlign w:val="baseline"/>
        </w:rPr>
        <w:t>et</w:t>
      </w:r>
      <w:r>
        <w:rPr>
          <w:spacing w:val="-10"/>
          <w:w w:val="105"/>
          <w:sz w:val="18"/>
          <w:vertAlign w:val="baseline"/>
        </w:rPr>
        <w:t> </w:t>
      </w:r>
      <w:r>
        <w:rPr>
          <w:w w:val="105"/>
          <w:sz w:val="18"/>
          <w:vertAlign w:val="baseline"/>
        </w:rPr>
        <w:t>al.</w:t>
      </w:r>
      <w:r>
        <w:rPr>
          <w:spacing w:val="-10"/>
          <w:w w:val="105"/>
          <w:sz w:val="18"/>
          <w:vertAlign w:val="baseline"/>
        </w:rPr>
        <w:t> </w:t>
      </w:r>
      <w:r>
        <w:rPr>
          <w:w w:val="105"/>
          <w:sz w:val="18"/>
          <w:vertAlign w:val="baseline"/>
        </w:rPr>
        <w:t>(2021:</w:t>
      </w:r>
      <w:r>
        <w:rPr>
          <w:spacing w:val="-10"/>
          <w:w w:val="105"/>
          <w:sz w:val="18"/>
          <w:vertAlign w:val="baseline"/>
        </w:rPr>
        <w:t> </w:t>
      </w:r>
      <w:r>
        <w:rPr>
          <w:w w:val="105"/>
          <w:sz w:val="18"/>
          <w:vertAlign w:val="baseline"/>
        </w:rPr>
        <w:t>4)</w:t>
      </w:r>
      <w:r>
        <w:rPr>
          <w:spacing w:val="-10"/>
          <w:w w:val="105"/>
          <w:sz w:val="18"/>
          <w:vertAlign w:val="baseline"/>
        </w:rPr>
        <w:t> </w:t>
      </w:r>
      <w:r>
        <w:rPr>
          <w:w w:val="105"/>
          <w:sz w:val="18"/>
          <w:vertAlign w:val="baseline"/>
        </w:rPr>
        <w:t>explain,</w:t>
      </w:r>
      <w:r>
        <w:rPr>
          <w:spacing w:val="-10"/>
          <w:w w:val="105"/>
          <w:sz w:val="18"/>
          <w:vertAlign w:val="baseline"/>
        </w:rPr>
        <w:t> </w:t>
      </w:r>
      <w:r>
        <w:rPr>
          <w:w w:val="105"/>
          <w:sz w:val="18"/>
          <w:vertAlign w:val="baseline"/>
        </w:rPr>
        <w:t>"[w]hile</w:t>
      </w:r>
      <w:r>
        <w:rPr>
          <w:spacing w:val="-10"/>
          <w:w w:val="105"/>
          <w:sz w:val="18"/>
          <w:vertAlign w:val="baseline"/>
        </w:rPr>
        <w:t> </w:t>
      </w:r>
      <w:r>
        <w:rPr>
          <w:w w:val="105"/>
          <w:sz w:val="18"/>
          <w:vertAlign w:val="baseline"/>
        </w:rPr>
        <w:t>the</w:t>
      </w:r>
      <w:r>
        <w:rPr>
          <w:spacing w:val="-10"/>
          <w:w w:val="105"/>
          <w:sz w:val="18"/>
          <w:vertAlign w:val="baseline"/>
        </w:rPr>
        <w:t> </w:t>
      </w:r>
      <w:r>
        <w:rPr>
          <w:w w:val="105"/>
          <w:sz w:val="18"/>
          <w:vertAlign w:val="baseline"/>
        </w:rPr>
        <w:t>distinction</w:t>
      </w:r>
      <w:r>
        <w:rPr>
          <w:spacing w:val="-10"/>
          <w:w w:val="105"/>
          <w:sz w:val="18"/>
          <w:vertAlign w:val="baseline"/>
        </w:rPr>
        <w:t> </w:t>
      </w:r>
      <w:r>
        <w:rPr>
          <w:w w:val="105"/>
          <w:sz w:val="18"/>
          <w:vertAlign w:val="baseline"/>
        </w:rPr>
        <w:t>between</w:t>
      </w:r>
      <w:r>
        <w:rPr>
          <w:spacing w:val="-10"/>
          <w:w w:val="105"/>
          <w:sz w:val="18"/>
          <w:vertAlign w:val="baseline"/>
        </w:rPr>
        <w:t> </w:t>
      </w:r>
      <w:r>
        <w:rPr>
          <w:w w:val="105"/>
          <w:sz w:val="18"/>
          <w:vertAlign w:val="baseline"/>
        </w:rPr>
        <w:t>private</w:t>
      </w:r>
      <w:r>
        <w:rPr>
          <w:spacing w:val="-10"/>
          <w:w w:val="105"/>
          <w:sz w:val="18"/>
          <w:vertAlign w:val="baseline"/>
        </w:rPr>
        <w:t> </w:t>
      </w:r>
      <w:r>
        <w:rPr>
          <w:w w:val="105"/>
          <w:sz w:val="18"/>
          <w:vertAlign w:val="baseline"/>
        </w:rPr>
        <w:t>and</w:t>
      </w:r>
      <w:r>
        <w:rPr>
          <w:spacing w:val="-10"/>
          <w:w w:val="105"/>
          <w:sz w:val="18"/>
          <w:vertAlign w:val="baseline"/>
        </w:rPr>
        <w:t> </w:t>
      </w:r>
      <w:r>
        <w:rPr>
          <w:w w:val="105"/>
          <w:sz w:val="18"/>
          <w:vertAlign w:val="baseline"/>
        </w:rPr>
        <w:t>public</w:t>
      </w:r>
      <w:r>
        <w:rPr>
          <w:spacing w:val="-10"/>
          <w:w w:val="105"/>
          <w:sz w:val="18"/>
          <w:vertAlign w:val="baseline"/>
        </w:rPr>
        <w:t> </w:t>
      </w:r>
      <w:r>
        <w:rPr>
          <w:w w:val="105"/>
          <w:sz w:val="18"/>
          <w:vertAlign w:val="baseline"/>
        </w:rPr>
        <w:t>sector</w:t>
      </w:r>
      <w:r>
        <w:rPr>
          <w:spacing w:val="-10"/>
          <w:w w:val="105"/>
          <w:sz w:val="18"/>
          <w:vertAlign w:val="baseline"/>
        </w:rPr>
        <w:t> </w:t>
      </w:r>
      <w:r>
        <w:rPr>
          <w:w w:val="105"/>
          <w:sz w:val="18"/>
          <w:vertAlign w:val="baseline"/>
        </w:rPr>
        <w:t>recipients</w:t>
      </w:r>
      <w:r>
        <w:rPr>
          <w:spacing w:val="-10"/>
          <w:w w:val="105"/>
          <w:sz w:val="18"/>
          <w:vertAlign w:val="baseline"/>
        </w:rPr>
        <w:t> </w:t>
      </w:r>
      <w:r>
        <w:rPr>
          <w:w w:val="105"/>
          <w:sz w:val="18"/>
          <w:vertAlign w:val="baseline"/>
        </w:rPr>
        <w:t>is </w:t>
      </w:r>
      <w:r>
        <w:rPr>
          <w:spacing w:val="-2"/>
          <w:w w:val="105"/>
          <w:sz w:val="18"/>
          <w:vertAlign w:val="baseline"/>
        </w:rPr>
        <w:t>clear</w:t>
      </w:r>
      <w:r>
        <w:rPr>
          <w:spacing w:val="-6"/>
          <w:w w:val="105"/>
          <w:sz w:val="18"/>
          <w:vertAlign w:val="baseline"/>
        </w:rPr>
        <w:t> </w:t>
      </w:r>
      <w:r>
        <w:rPr>
          <w:spacing w:val="-2"/>
          <w:w w:val="105"/>
          <w:sz w:val="18"/>
          <w:vertAlign w:val="baseline"/>
        </w:rPr>
        <w:t>in</w:t>
      </w:r>
      <w:r>
        <w:rPr>
          <w:spacing w:val="-6"/>
          <w:w w:val="105"/>
          <w:sz w:val="18"/>
          <w:vertAlign w:val="baseline"/>
        </w:rPr>
        <w:t> </w:t>
      </w:r>
      <w:r>
        <w:rPr>
          <w:spacing w:val="-2"/>
          <w:w w:val="105"/>
          <w:sz w:val="18"/>
          <w:vertAlign w:val="baseline"/>
        </w:rPr>
        <w:t>principle,</w:t>
      </w:r>
      <w:r>
        <w:rPr>
          <w:spacing w:val="-6"/>
          <w:w w:val="105"/>
          <w:sz w:val="18"/>
          <w:vertAlign w:val="baseline"/>
        </w:rPr>
        <w:t> </w:t>
      </w:r>
      <w:r>
        <w:rPr>
          <w:spacing w:val="-2"/>
          <w:w w:val="105"/>
          <w:sz w:val="18"/>
          <w:vertAlign w:val="baseline"/>
        </w:rPr>
        <w:t>it</w:t>
      </w:r>
      <w:r>
        <w:rPr>
          <w:spacing w:val="-6"/>
          <w:w w:val="105"/>
          <w:sz w:val="18"/>
          <w:vertAlign w:val="baseline"/>
        </w:rPr>
        <w:t> </w:t>
      </w:r>
      <w:r>
        <w:rPr>
          <w:spacing w:val="-2"/>
          <w:w w:val="105"/>
          <w:sz w:val="18"/>
          <w:vertAlign w:val="baseline"/>
        </w:rPr>
        <w:t>tends</w:t>
      </w:r>
      <w:r>
        <w:rPr>
          <w:spacing w:val="-6"/>
          <w:w w:val="105"/>
          <w:sz w:val="18"/>
          <w:vertAlign w:val="baseline"/>
        </w:rPr>
        <w:t> </w:t>
      </w:r>
      <w:r>
        <w:rPr>
          <w:spacing w:val="-2"/>
          <w:w w:val="105"/>
          <w:sz w:val="18"/>
          <w:vertAlign w:val="baseline"/>
        </w:rPr>
        <w:t>to</w:t>
      </w:r>
      <w:r>
        <w:rPr>
          <w:spacing w:val="-6"/>
          <w:w w:val="105"/>
          <w:sz w:val="18"/>
          <w:vertAlign w:val="baseline"/>
        </w:rPr>
        <w:t> </w:t>
      </w:r>
      <w:r>
        <w:rPr>
          <w:spacing w:val="-2"/>
          <w:w w:val="105"/>
          <w:sz w:val="18"/>
          <w:vertAlign w:val="baseline"/>
        </w:rPr>
        <w:t>be</w:t>
      </w:r>
      <w:r>
        <w:rPr>
          <w:spacing w:val="-6"/>
          <w:w w:val="105"/>
          <w:sz w:val="18"/>
          <w:vertAlign w:val="baseline"/>
        </w:rPr>
        <w:t> </w:t>
      </w:r>
      <w:r>
        <w:rPr>
          <w:spacing w:val="-2"/>
          <w:w w:val="105"/>
          <w:sz w:val="18"/>
          <w:vertAlign w:val="baseline"/>
        </w:rPr>
        <w:t>blurry</w:t>
      </w:r>
      <w:r>
        <w:rPr>
          <w:spacing w:val="-6"/>
          <w:w w:val="105"/>
          <w:sz w:val="18"/>
          <w:vertAlign w:val="baseline"/>
        </w:rPr>
        <w:t> </w:t>
      </w:r>
      <w:r>
        <w:rPr>
          <w:spacing w:val="-2"/>
          <w:w w:val="105"/>
          <w:sz w:val="18"/>
          <w:vertAlign w:val="baseline"/>
        </w:rPr>
        <w:t>in</w:t>
      </w:r>
      <w:r>
        <w:rPr>
          <w:spacing w:val="-6"/>
          <w:w w:val="105"/>
          <w:sz w:val="18"/>
          <w:vertAlign w:val="baseline"/>
        </w:rPr>
        <w:t> </w:t>
      </w:r>
      <w:r>
        <w:rPr>
          <w:spacing w:val="-2"/>
          <w:w w:val="105"/>
          <w:sz w:val="18"/>
          <w:vertAlign w:val="baseline"/>
        </w:rPr>
        <w:t>practice,</w:t>
      </w:r>
      <w:r>
        <w:rPr>
          <w:spacing w:val="-6"/>
          <w:w w:val="105"/>
          <w:sz w:val="18"/>
          <w:vertAlign w:val="baseline"/>
        </w:rPr>
        <w:t> </w:t>
      </w:r>
      <w:r>
        <w:rPr>
          <w:spacing w:val="-2"/>
          <w:w w:val="105"/>
          <w:sz w:val="18"/>
          <w:vertAlign w:val="baseline"/>
        </w:rPr>
        <w:t>in</w:t>
      </w:r>
      <w:r>
        <w:rPr>
          <w:spacing w:val="-6"/>
          <w:w w:val="105"/>
          <w:sz w:val="18"/>
          <w:vertAlign w:val="baseline"/>
        </w:rPr>
        <w:t> </w:t>
      </w:r>
      <w:r>
        <w:rPr>
          <w:spacing w:val="-2"/>
          <w:w w:val="105"/>
          <w:sz w:val="18"/>
          <w:vertAlign w:val="baseline"/>
        </w:rPr>
        <w:t>particular</w:t>
      </w:r>
      <w:r>
        <w:rPr>
          <w:spacing w:val="-6"/>
          <w:w w:val="105"/>
          <w:sz w:val="18"/>
          <w:vertAlign w:val="baseline"/>
        </w:rPr>
        <w:t> </w:t>
      </w:r>
      <w:r>
        <w:rPr>
          <w:spacing w:val="-2"/>
          <w:w w:val="105"/>
          <w:sz w:val="18"/>
          <w:vertAlign w:val="baseline"/>
        </w:rPr>
        <w:t>in</w:t>
      </w:r>
      <w:r>
        <w:rPr>
          <w:spacing w:val="-6"/>
          <w:w w:val="105"/>
          <w:sz w:val="18"/>
          <w:vertAlign w:val="baseline"/>
        </w:rPr>
        <w:t> </w:t>
      </w:r>
      <w:r>
        <w:rPr>
          <w:spacing w:val="-2"/>
          <w:w w:val="105"/>
          <w:sz w:val="18"/>
          <w:vertAlign w:val="baseline"/>
        </w:rPr>
        <w:t>developing</w:t>
      </w:r>
      <w:r>
        <w:rPr>
          <w:spacing w:val="-6"/>
          <w:w w:val="105"/>
          <w:sz w:val="18"/>
          <w:vertAlign w:val="baseline"/>
        </w:rPr>
        <w:t> </w:t>
      </w:r>
      <w:r>
        <w:rPr>
          <w:spacing w:val="-2"/>
          <w:w w:val="105"/>
          <w:sz w:val="18"/>
          <w:vertAlign w:val="baseline"/>
        </w:rPr>
        <w:t>countries</w:t>
      </w:r>
      <w:r>
        <w:rPr>
          <w:spacing w:val="-6"/>
          <w:w w:val="105"/>
          <w:sz w:val="18"/>
          <w:vertAlign w:val="baseline"/>
        </w:rPr>
        <w:t> </w:t>
      </w:r>
      <w:r>
        <w:rPr>
          <w:spacing w:val="-2"/>
          <w:w w:val="105"/>
          <w:sz w:val="18"/>
          <w:vertAlign w:val="baseline"/>
        </w:rPr>
        <w:t>and</w:t>
      </w:r>
      <w:r>
        <w:rPr>
          <w:spacing w:val="-6"/>
          <w:w w:val="105"/>
          <w:sz w:val="18"/>
          <w:vertAlign w:val="baseline"/>
        </w:rPr>
        <w:t> </w:t>
      </w:r>
      <w:r>
        <w:rPr>
          <w:spacing w:val="-2"/>
          <w:w w:val="105"/>
          <w:sz w:val="18"/>
          <w:vertAlign w:val="baseline"/>
        </w:rPr>
        <w:t>during</w:t>
      </w:r>
      <w:r>
        <w:rPr>
          <w:spacing w:val="-6"/>
          <w:w w:val="105"/>
          <w:sz w:val="18"/>
          <w:vertAlign w:val="baseline"/>
        </w:rPr>
        <w:t> </w:t>
      </w:r>
      <w:r>
        <w:rPr>
          <w:spacing w:val="-2"/>
          <w:w w:val="105"/>
          <w:sz w:val="18"/>
          <w:vertAlign w:val="baseline"/>
        </w:rPr>
        <w:t>ﬁnancial </w:t>
      </w:r>
      <w:r>
        <w:rPr>
          <w:w w:val="105"/>
          <w:sz w:val="18"/>
          <w:vertAlign w:val="baseline"/>
        </w:rPr>
        <w:t>crises.</w:t>
      </w:r>
      <w:r>
        <w:rPr>
          <w:spacing w:val="-12"/>
          <w:w w:val="105"/>
          <w:sz w:val="18"/>
          <w:vertAlign w:val="baseline"/>
        </w:rPr>
        <w:t> </w:t>
      </w:r>
      <w:r>
        <w:rPr>
          <w:w w:val="105"/>
          <w:sz w:val="18"/>
          <w:vertAlign w:val="baseline"/>
        </w:rPr>
        <w:t>Private</w:t>
      </w:r>
      <w:r>
        <w:rPr>
          <w:spacing w:val="-12"/>
          <w:w w:val="105"/>
          <w:sz w:val="18"/>
          <w:vertAlign w:val="baseline"/>
        </w:rPr>
        <w:t> </w:t>
      </w:r>
      <w:r>
        <w:rPr>
          <w:w w:val="105"/>
          <w:sz w:val="18"/>
          <w:vertAlign w:val="baseline"/>
        </w:rPr>
        <w:t>debt</w:t>
      </w:r>
      <w:r>
        <w:rPr>
          <w:spacing w:val="-12"/>
          <w:w w:val="105"/>
          <w:sz w:val="18"/>
          <w:vertAlign w:val="baseline"/>
        </w:rPr>
        <w:t> </w:t>
      </w:r>
      <w:r>
        <w:rPr>
          <w:w w:val="105"/>
          <w:sz w:val="18"/>
          <w:vertAlign w:val="baseline"/>
        </w:rPr>
        <w:t>often</w:t>
      </w:r>
      <w:r>
        <w:rPr>
          <w:spacing w:val="-12"/>
          <w:w w:val="105"/>
          <w:sz w:val="18"/>
          <w:vertAlign w:val="baseline"/>
        </w:rPr>
        <w:t> </w:t>
      </w:r>
      <w:r>
        <w:rPr>
          <w:w w:val="105"/>
          <w:sz w:val="18"/>
          <w:vertAlign w:val="baseline"/>
        </w:rPr>
        <w:t>turns</w:t>
      </w:r>
      <w:r>
        <w:rPr>
          <w:spacing w:val="-12"/>
          <w:w w:val="105"/>
          <w:sz w:val="18"/>
          <w:vertAlign w:val="baseline"/>
        </w:rPr>
        <w:t> </w:t>
      </w:r>
      <w:r>
        <w:rPr>
          <w:w w:val="105"/>
          <w:sz w:val="18"/>
          <w:vertAlign w:val="baseline"/>
        </w:rPr>
        <w:t>into</w:t>
      </w:r>
      <w:r>
        <w:rPr>
          <w:spacing w:val="-12"/>
          <w:w w:val="105"/>
          <w:sz w:val="18"/>
          <w:vertAlign w:val="baseline"/>
        </w:rPr>
        <w:t> </w:t>
      </w:r>
      <w:r>
        <w:rPr>
          <w:w w:val="105"/>
          <w:sz w:val="18"/>
          <w:vertAlign w:val="baseline"/>
        </w:rPr>
        <w:t>public</w:t>
      </w:r>
      <w:r>
        <w:rPr>
          <w:spacing w:val="-12"/>
          <w:w w:val="105"/>
          <w:sz w:val="18"/>
          <w:vertAlign w:val="baseline"/>
        </w:rPr>
        <w:t> </w:t>
      </w:r>
      <w:r>
        <w:rPr>
          <w:w w:val="105"/>
          <w:sz w:val="18"/>
          <w:vertAlign w:val="baseline"/>
        </w:rPr>
        <w:t>debt</w:t>
      </w:r>
      <w:r>
        <w:rPr>
          <w:spacing w:val="-12"/>
          <w:w w:val="105"/>
          <w:sz w:val="18"/>
          <w:vertAlign w:val="baseline"/>
        </w:rPr>
        <w:t> </w:t>
      </w:r>
      <w:r>
        <w:rPr>
          <w:w w:val="105"/>
          <w:sz w:val="18"/>
          <w:vertAlign w:val="baseline"/>
        </w:rPr>
        <w:t>once</w:t>
      </w:r>
      <w:r>
        <w:rPr>
          <w:spacing w:val="-12"/>
          <w:w w:val="105"/>
          <w:sz w:val="18"/>
          <w:vertAlign w:val="baseline"/>
        </w:rPr>
        <w:t> </w:t>
      </w:r>
      <w:r>
        <w:rPr>
          <w:w w:val="105"/>
          <w:sz w:val="18"/>
          <w:vertAlign w:val="baseline"/>
        </w:rPr>
        <w:t>a</w:t>
      </w:r>
      <w:r>
        <w:rPr>
          <w:spacing w:val="-12"/>
          <w:w w:val="105"/>
          <w:sz w:val="18"/>
          <w:vertAlign w:val="baseline"/>
        </w:rPr>
        <w:t> </w:t>
      </w:r>
      <w:r>
        <w:rPr>
          <w:w w:val="105"/>
          <w:sz w:val="18"/>
          <w:vertAlign w:val="baseline"/>
        </w:rPr>
        <w:t>crisis</w:t>
      </w:r>
      <w:r>
        <w:rPr>
          <w:spacing w:val="-12"/>
          <w:w w:val="105"/>
          <w:sz w:val="18"/>
          <w:vertAlign w:val="baseline"/>
        </w:rPr>
        <w:t> </w:t>
      </w:r>
      <w:r>
        <w:rPr>
          <w:w w:val="105"/>
          <w:sz w:val="18"/>
          <w:vertAlign w:val="baseline"/>
        </w:rPr>
        <w:t>hits</w:t>
      </w:r>
      <w:r>
        <w:rPr>
          <w:spacing w:val="-12"/>
          <w:w w:val="105"/>
          <w:sz w:val="18"/>
          <w:vertAlign w:val="baseline"/>
        </w:rPr>
        <w:t> </w:t>
      </w:r>
      <w:r>
        <w:rPr>
          <w:w w:val="105"/>
          <w:sz w:val="18"/>
          <w:vertAlign w:val="baseline"/>
        </w:rPr>
        <w:t>and</w:t>
      </w:r>
      <w:r>
        <w:rPr>
          <w:spacing w:val="-12"/>
          <w:w w:val="105"/>
          <w:sz w:val="18"/>
          <w:vertAlign w:val="baseline"/>
        </w:rPr>
        <w:t> </w:t>
      </w:r>
      <w:r>
        <w:rPr>
          <w:w w:val="105"/>
          <w:sz w:val="18"/>
          <w:vertAlign w:val="baseline"/>
        </w:rPr>
        <w:t>many</w:t>
      </w:r>
      <w:r>
        <w:rPr>
          <w:spacing w:val="-12"/>
          <w:w w:val="105"/>
          <w:sz w:val="18"/>
          <w:vertAlign w:val="baseline"/>
        </w:rPr>
        <w:t> </w:t>
      </w:r>
      <w:r>
        <w:rPr>
          <w:w w:val="105"/>
          <w:sz w:val="18"/>
          <w:vertAlign w:val="baseline"/>
        </w:rPr>
        <w:t>of</w:t>
      </w:r>
      <w:r>
        <w:rPr>
          <w:spacing w:val="-12"/>
          <w:w w:val="105"/>
          <w:sz w:val="18"/>
          <w:vertAlign w:val="baseline"/>
        </w:rPr>
        <w:t> </w:t>
      </w:r>
      <w:r>
        <w:rPr>
          <w:w w:val="105"/>
          <w:sz w:val="18"/>
          <w:vertAlign w:val="baseline"/>
        </w:rPr>
        <w:t>the</w:t>
      </w:r>
      <w:r>
        <w:rPr>
          <w:spacing w:val="-12"/>
          <w:w w:val="105"/>
          <w:sz w:val="18"/>
          <w:vertAlign w:val="baseline"/>
        </w:rPr>
        <w:t> </w:t>
      </w:r>
      <w:r>
        <w:rPr>
          <w:w w:val="105"/>
          <w:sz w:val="18"/>
          <w:vertAlign w:val="baseline"/>
        </w:rPr>
        <w:t>loans</w:t>
      </w:r>
      <w:r>
        <w:rPr>
          <w:spacing w:val="-12"/>
          <w:w w:val="105"/>
          <w:sz w:val="18"/>
          <w:vertAlign w:val="baseline"/>
        </w:rPr>
        <w:t> </w:t>
      </w:r>
      <w:r>
        <w:rPr>
          <w:w w:val="105"/>
          <w:sz w:val="18"/>
          <w:vertAlign w:val="baseline"/>
        </w:rPr>
        <w:t>[to</w:t>
      </w:r>
      <w:r>
        <w:rPr>
          <w:spacing w:val="-12"/>
          <w:w w:val="105"/>
          <w:sz w:val="18"/>
          <w:vertAlign w:val="baseline"/>
        </w:rPr>
        <w:t> </w:t>
      </w:r>
      <w:r>
        <w:rPr>
          <w:w w:val="105"/>
          <w:sz w:val="18"/>
          <w:vertAlign w:val="baseline"/>
        </w:rPr>
        <w:t>private</w:t>
      </w:r>
      <w:r>
        <w:rPr>
          <w:spacing w:val="-12"/>
          <w:w w:val="105"/>
          <w:sz w:val="18"/>
          <w:vertAlign w:val="baseline"/>
        </w:rPr>
        <w:t> </w:t>
      </w:r>
      <w:r>
        <w:rPr>
          <w:w w:val="105"/>
          <w:sz w:val="18"/>
          <w:vertAlign w:val="baseline"/>
        </w:rPr>
        <w:t>sector borrowers]</w:t>
      </w:r>
      <w:r>
        <w:rPr>
          <w:spacing w:val="-6"/>
          <w:w w:val="105"/>
          <w:sz w:val="18"/>
          <w:vertAlign w:val="baseline"/>
        </w:rPr>
        <w:t> </w:t>
      </w:r>
      <w:r>
        <w:rPr>
          <w:w w:val="105"/>
          <w:sz w:val="18"/>
          <w:vertAlign w:val="baseline"/>
        </w:rPr>
        <w:t>might</w:t>
      </w:r>
      <w:r>
        <w:rPr>
          <w:spacing w:val="-6"/>
          <w:w w:val="105"/>
          <w:sz w:val="18"/>
          <w:vertAlign w:val="baseline"/>
        </w:rPr>
        <w:t> </w:t>
      </w:r>
      <w:r>
        <w:rPr>
          <w:w w:val="105"/>
          <w:sz w:val="18"/>
          <w:vertAlign w:val="baseline"/>
        </w:rPr>
        <w:t>have</w:t>
      </w:r>
      <w:r>
        <w:rPr>
          <w:spacing w:val="-6"/>
          <w:w w:val="105"/>
          <w:sz w:val="18"/>
          <w:vertAlign w:val="baseline"/>
        </w:rPr>
        <w:t> </w:t>
      </w:r>
      <w:r>
        <w:rPr>
          <w:w w:val="105"/>
          <w:sz w:val="18"/>
          <w:vertAlign w:val="baseline"/>
        </w:rPr>
        <w:t>explicit</w:t>
      </w:r>
      <w:r>
        <w:rPr>
          <w:spacing w:val="-6"/>
          <w:w w:val="105"/>
          <w:sz w:val="18"/>
          <w:vertAlign w:val="baseline"/>
        </w:rPr>
        <w:t> </w:t>
      </w:r>
      <w:r>
        <w:rPr>
          <w:w w:val="105"/>
          <w:sz w:val="18"/>
          <w:vertAlign w:val="baseline"/>
        </w:rPr>
        <w:t>or</w:t>
      </w:r>
      <w:r>
        <w:rPr>
          <w:spacing w:val="-6"/>
          <w:w w:val="105"/>
          <w:sz w:val="18"/>
          <w:vertAlign w:val="baseline"/>
        </w:rPr>
        <w:t> </w:t>
      </w:r>
      <w:r>
        <w:rPr>
          <w:w w:val="105"/>
          <w:sz w:val="18"/>
          <w:vertAlign w:val="baseline"/>
        </w:rPr>
        <w:t>implicit</w:t>
      </w:r>
      <w:r>
        <w:rPr>
          <w:spacing w:val="-6"/>
          <w:w w:val="105"/>
          <w:sz w:val="18"/>
          <w:vertAlign w:val="baseline"/>
        </w:rPr>
        <w:t> </w:t>
      </w:r>
      <w:r>
        <w:rPr>
          <w:w w:val="105"/>
          <w:sz w:val="18"/>
          <w:vertAlign w:val="baseline"/>
        </w:rPr>
        <w:t>government</w:t>
      </w:r>
      <w:r>
        <w:rPr>
          <w:spacing w:val="-6"/>
          <w:w w:val="105"/>
          <w:sz w:val="18"/>
          <w:vertAlign w:val="baseline"/>
        </w:rPr>
        <w:t> </w:t>
      </w:r>
      <w:r>
        <w:rPr>
          <w:w w:val="105"/>
          <w:sz w:val="18"/>
          <w:vertAlign w:val="baseline"/>
        </w:rPr>
        <w:t>guarantees.”</w:t>
      </w:r>
      <w:r>
        <w:rPr>
          <w:spacing w:val="-6"/>
          <w:w w:val="105"/>
          <w:sz w:val="18"/>
          <w:vertAlign w:val="baseline"/>
        </w:rPr>
        <w:t> </w:t>
      </w:r>
      <w:r>
        <w:rPr>
          <w:w w:val="105"/>
          <w:sz w:val="18"/>
          <w:vertAlign w:val="baseline"/>
        </w:rPr>
        <w:t>On</w:t>
      </w:r>
      <w:r>
        <w:rPr>
          <w:spacing w:val="-6"/>
          <w:w w:val="105"/>
          <w:sz w:val="18"/>
          <w:vertAlign w:val="baseline"/>
        </w:rPr>
        <w:t> </w:t>
      </w:r>
      <w:r>
        <w:rPr>
          <w:w w:val="105"/>
          <w:sz w:val="18"/>
          <w:vertAlign w:val="baseline"/>
        </w:rPr>
        <w:t>this</w:t>
      </w:r>
      <w:r>
        <w:rPr>
          <w:spacing w:val="-6"/>
          <w:w w:val="105"/>
          <w:sz w:val="18"/>
          <w:vertAlign w:val="baseline"/>
        </w:rPr>
        <w:t> </w:t>
      </w:r>
      <w:r>
        <w:rPr>
          <w:w w:val="105"/>
          <w:sz w:val="18"/>
          <w:vertAlign w:val="baseline"/>
        </w:rPr>
        <w:t>point,</w:t>
      </w:r>
      <w:r>
        <w:rPr>
          <w:spacing w:val="-6"/>
          <w:w w:val="105"/>
          <w:sz w:val="18"/>
          <w:vertAlign w:val="baseline"/>
        </w:rPr>
        <w:t> </w:t>
      </w:r>
      <w:r>
        <w:rPr>
          <w:w w:val="105"/>
          <w:sz w:val="18"/>
          <w:vertAlign w:val="baseline"/>
        </w:rPr>
        <w:t>also</w:t>
      </w:r>
      <w:r>
        <w:rPr>
          <w:spacing w:val="-6"/>
          <w:w w:val="105"/>
          <w:sz w:val="18"/>
          <w:vertAlign w:val="baseline"/>
        </w:rPr>
        <w:t> </w:t>
      </w:r>
      <w:r>
        <w:rPr>
          <w:w w:val="105"/>
          <w:sz w:val="18"/>
          <w:vertAlign w:val="baseline"/>
        </w:rPr>
        <w:t>see</w:t>
      </w:r>
      <w:r>
        <w:rPr>
          <w:spacing w:val="-6"/>
          <w:w w:val="105"/>
          <w:sz w:val="18"/>
          <w:vertAlign w:val="baseline"/>
        </w:rPr>
        <w:t> </w:t>
      </w:r>
      <w:r>
        <w:rPr>
          <w:w w:val="105"/>
          <w:sz w:val="18"/>
          <w:vertAlign w:val="baseline"/>
        </w:rPr>
        <w:t>Malik</w:t>
      </w:r>
      <w:r>
        <w:rPr>
          <w:spacing w:val="-6"/>
          <w:w w:val="105"/>
          <w:sz w:val="18"/>
          <w:vertAlign w:val="baseline"/>
        </w:rPr>
        <w:t> </w:t>
      </w:r>
      <w:r>
        <w:rPr>
          <w:w w:val="105"/>
          <w:sz w:val="18"/>
          <w:vertAlign w:val="baseline"/>
        </w:rPr>
        <w:t>et</w:t>
      </w:r>
      <w:r>
        <w:rPr>
          <w:spacing w:val="-6"/>
          <w:w w:val="105"/>
          <w:sz w:val="18"/>
          <w:vertAlign w:val="baseline"/>
        </w:rPr>
        <w:t> </w:t>
      </w:r>
      <w:r>
        <w:rPr>
          <w:w w:val="105"/>
          <w:sz w:val="18"/>
          <w:vertAlign w:val="baseline"/>
        </w:rPr>
        <w:t>al. (2021)</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Malik</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Parks</w:t>
      </w:r>
      <w:r>
        <w:rPr>
          <w:spacing w:val="-13"/>
          <w:w w:val="105"/>
          <w:sz w:val="18"/>
          <w:vertAlign w:val="baseline"/>
        </w:rPr>
        <w:t> </w:t>
      </w:r>
      <w:r>
        <w:rPr>
          <w:w w:val="105"/>
          <w:sz w:val="18"/>
          <w:vertAlign w:val="baseline"/>
        </w:rPr>
        <w:t>(2021).</w:t>
      </w:r>
    </w:p>
    <w:p>
      <w:pPr>
        <w:spacing w:after="0" w:line="249" w:lineRule="auto"/>
        <w:jc w:val="left"/>
        <w:rPr>
          <w:sz w:val="18"/>
        </w:rPr>
        <w:sectPr>
          <w:pgSz w:w="12240" w:h="15840"/>
          <w:pgMar w:header="0" w:footer="720" w:top="1400" w:bottom="920" w:left="1040" w:right="1040"/>
        </w:sectPr>
      </w:pPr>
    </w:p>
    <w:p>
      <w:pPr>
        <w:pStyle w:val="BodyText"/>
        <w:spacing w:line="333" w:lineRule="auto" w:before="67"/>
        <w:ind w:left="1480" w:right="767"/>
      </w:pPr>
      <w:r>
        <w:rPr/>
        <w:t>of sufﬁcient information for categorization purposes.</w:t>
      </w:r>
      <w:r>
        <w:rPr>
          <w:vertAlign w:val="superscript"/>
        </w:rPr>
        <w:t>100</w:t>
      </w:r>
      <w:r>
        <w:rPr>
          <w:vertAlign w:val="baseline"/>
        </w:rPr>
        <w:t> By contrast, BU’s </w:t>
      </w:r>
      <w:r>
        <w:rPr>
          <w:spacing w:val="-2"/>
          <w:w w:val="105"/>
          <w:vertAlign w:val="baseline"/>
        </w:rPr>
        <w:t>CODF</w:t>
      </w:r>
      <w:r>
        <w:rPr>
          <w:spacing w:val="-10"/>
          <w:w w:val="105"/>
          <w:vertAlign w:val="baseline"/>
        </w:rPr>
        <w:t> </w:t>
      </w:r>
      <w:r>
        <w:rPr>
          <w:spacing w:val="-2"/>
          <w:w w:val="105"/>
          <w:vertAlign w:val="baseline"/>
        </w:rPr>
        <w:t>dataset</w:t>
      </w:r>
      <w:r>
        <w:rPr>
          <w:spacing w:val="-10"/>
          <w:w w:val="105"/>
          <w:vertAlign w:val="baseline"/>
        </w:rPr>
        <w:t> </w:t>
      </w:r>
      <w:r>
        <w:rPr>
          <w:spacing w:val="-2"/>
          <w:w w:val="105"/>
          <w:vertAlign w:val="baseline"/>
        </w:rPr>
        <w:t>captures</w:t>
      </w:r>
      <w:r>
        <w:rPr>
          <w:spacing w:val="-10"/>
          <w:w w:val="105"/>
          <w:vertAlign w:val="baseline"/>
        </w:rPr>
        <w:t> </w:t>
      </w:r>
      <w:r>
        <w:rPr>
          <w:spacing w:val="-2"/>
          <w:w w:val="105"/>
          <w:vertAlign w:val="baseline"/>
        </w:rPr>
        <w:t>$605</w:t>
      </w:r>
      <w:r>
        <w:rPr>
          <w:spacing w:val="-10"/>
          <w:w w:val="105"/>
          <w:vertAlign w:val="baseline"/>
        </w:rPr>
        <w:t> </w:t>
      </w:r>
      <w:r>
        <w:rPr>
          <w:spacing w:val="-2"/>
          <w:w w:val="105"/>
          <w:vertAlign w:val="baseline"/>
        </w:rPr>
        <w:t>billion</w:t>
      </w:r>
      <w:r>
        <w:rPr>
          <w:spacing w:val="-10"/>
          <w:w w:val="105"/>
          <w:vertAlign w:val="baseline"/>
        </w:rPr>
        <w:t> </w:t>
      </w:r>
      <w:r>
        <w:rPr>
          <w:spacing w:val="-2"/>
          <w:w w:val="105"/>
          <w:vertAlign w:val="baseline"/>
        </w:rPr>
        <w:t>of</w:t>
      </w:r>
      <w:r>
        <w:rPr>
          <w:spacing w:val="-10"/>
          <w:w w:val="105"/>
          <w:vertAlign w:val="baseline"/>
        </w:rPr>
        <w:t> </w:t>
      </w:r>
      <w:r>
        <w:rPr>
          <w:spacing w:val="-2"/>
          <w:w w:val="105"/>
          <w:vertAlign w:val="baseline"/>
        </w:rPr>
        <w:t>lending</w:t>
      </w:r>
      <w:r>
        <w:rPr>
          <w:spacing w:val="-10"/>
          <w:w w:val="105"/>
          <w:vertAlign w:val="baseline"/>
        </w:rPr>
        <w:t> </w:t>
      </w:r>
      <w:r>
        <w:rPr>
          <w:spacing w:val="-2"/>
          <w:w w:val="105"/>
          <w:vertAlign w:val="baseline"/>
        </w:rPr>
        <w:t>commitments</w:t>
      </w:r>
      <w:r>
        <w:rPr>
          <w:spacing w:val="-10"/>
          <w:w w:val="105"/>
          <w:vertAlign w:val="baseline"/>
        </w:rPr>
        <w:t> </w:t>
      </w:r>
      <w:r>
        <w:rPr>
          <w:spacing w:val="-2"/>
          <w:w w:val="105"/>
          <w:vertAlign w:val="baseline"/>
        </w:rPr>
        <w:t>from</w:t>
      </w:r>
      <w:r>
        <w:rPr>
          <w:spacing w:val="-10"/>
          <w:w w:val="105"/>
          <w:vertAlign w:val="baseline"/>
        </w:rPr>
        <w:t> </w:t>
      </w:r>
      <w:r>
        <w:rPr>
          <w:spacing w:val="-2"/>
          <w:w w:val="105"/>
          <w:vertAlign w:val="baseline"/>
        </w:rPr>
        <w:t>ofﬁcial </w:t>
      </w:r>
      <w:r>
        <w:rPr>
          <w:vertAlign w:val="baseline"/>
        </w:rPr>
        <w:t>sector institutions in China to 150 borrowing institutions that qualify </w:t>
      </w:r>
      <w:r>
        <w:rPr>
          <w:vertAlign w:val="baseline"/>
        </w:rPr>
        <w:t>either </w:t>
      </w:r>
      <w:r>
        <w:rPr>
          <w:w w:val="105"/>
          <w:vertAlign w:val="baseline"/>
        </w:rPr>
        <w:t>as</w:t>
      </w:r>
      <w:r>
        <w:rPr>
          <w:spacing w:val="-5"/>
          <w:w w:val="105"/>
          <w:vertAlign w:val="baseline"/>
        </w:rPr>
        <w:t> </w:t>
      </w:r>
      <w:r>
        <w:rPr>
          <w:w w:val="105"/>
          <w:vertAlign w:val="baseline"/>
        </w:rPr>
        <w:t>central</w:t>
      </w:r>
      <w:r>
        <w:rPr>
          <w:spacing w:val="-5"/>
          <w:w w:val="105"/>
          <w:vertAlign w:val="baseline"/>
        </w:rPr>
        <w:t> </w:t>
      </w:r>
      <w:r>
        <w:rPr>
          <w:w w:val="105"/>
          <w:vertAlign w:val="baseline"/>
        </w:rPr>
        <w:t>government</w:t>
      </w:r>
      <w:r>
        <w:rPr>
          <w:spacing w:val="-5"/>
          <w:w w:val="105"/>
          <w:vertAlign w:val="baseline"/>
        </w:rPr>
        <w:t> </w:t>
      </w:r>
      <w:r>
        <w:rPr>
          <w:w w:val="105"/>
          <w:vertAlign w:val="baseline"/>
        </w:rPr>
        <w:t>debt,</w:t>
      </w:r>
      <w:r>
        <w:rPr>
          <w:spacing w:val="-5"/>
          <w:w w:val="105"/>
          <w:vertAlign w:val="baseline"/>
        </w:rPr>
        <w:t> </w:t>
      </w:r>
      <w:r>
        <w:rPr>
          <w:w w:val="105"/>
          <w:vertAlign w:val="baseline"/>
        </w:rPr>
        <w:t>central</w:t>
      </w:r>
      <w:r>
        <w:rPr>
          <w:spacing w:val="-5"/>
          <w:w w:val="105"/>
          <w:vertAlign w:val="baseline"/>
        </w:rPr>
        <w:t> </w:t>
      </w:r>
      <w:r>
        <w:rPr>
          <w:w w:val="105"/>
          <w:vertAlign w:val="baseline"/>
        </w:rPr>
        <w:t>government-guaranteed</w:t>
      </w:r>
      <w:r>
        <w:rPr>
          <w:spacing w:val="-5"/>
          <w:w w:val="105"/>
          <w:vertAlign w:val="baseline"/>
        </w:rPr>
        <w:t> </w:t>
      </w:r>
      <w:r>
        <w:rPr>
          <w:w w:val="105"/>
          <w:vertAlign w:val="baseline"/>
        </w:rPr>
        <w:t>debt</w:t>
      </w:r>
      <w:r>
        <w:rPr>
          <w:spacing w:val="-5"/>
          <w:w w:val="105"/>
          <w:vertAlign w:val="baseline"/>
        </w:rPr>
        <w:t> </w:t>
      </w:r>
      <w:r>
        <w:rPr>
          <w:w w:val="105"/>
          <w:vertAlign w:val="baseline"/>
        </w:rPr>
        <w:t>or another type of public sector debt.</w:t>
      </w:r>
      <w:r>
        <w:rPr>
          <w:w w:val="105"/>
          <w:vertAlign w:val="superscript"/>
        </w:rPr>
        <w:t>101</w:t>
      </w:r>
    </w:p>
    <w:p>
      <w:pPr>
        <w:pStyle w:val="BodyText"/>
        <w:spacing w:before="7"/>
        <w:rPr>
          <w:sz w:val="27"/>
        </w:rPr>
      </w:pPr>
    </w:p>
    <w:p>
      <w:pPr>
        <w:pStyle w:val="ListParagraph"/>
        <w:numPr>
          <w:ilvl w:val="0"/>
          <w:numId w:val="2"/>
        </w:numPr>
        <w:tabs>
          <w:tab w:pos="1480" w:val="left" w:leader="none"/>
        </w:tabs>
        <w:spacing w:line="333" w:lineRule="auto" w:before="0" w:after="0"/>
        <w:ind w:left="1480" w:right="815" w:hanging="360"/>
        <w:jc w:val="left"/>
        <w:rPr>
          <w:sz w:val="24"/>
        </w:rPr>
      </w:pPr>
      <w:r>
        <w:rPr>
          <w:b/>
          <w:sz w:val="24"/>
        </w:rPr>
        <w:t>Debt instrument coverage: </w:t>
      </w:r>
      <w:r>
        <w:rPr>
          <w:sz w:val="24"/>
        </w:rPr>
        <w:t>For the most part, existing Chinese development ﬁnance datasets—such as BU’s CODF dataset and the World Bank’s IDS—track long-term, dollar-denominated bilateral loans </w:t>
      </w:r>
      <w:r>
        <w:rPr>
          <w:sz w:val="24"/>
        </w:rPr>
        <w:t>for</w:t>
      </w:r>
      <w:r>
        <w:rPr>
          <w:sz w:val="24"/>
        </w:rPr>
        <w:t> public</w:t>
      </w:r>
      <w:r>
        <w:rPr>
          <w:spacing w:val="-5"/>
          <w:sz w:val="24"/>
        </w:rPr>
        <w:t> </w:t>
      </w:r>
      <w:r>
        <w:rPr>
          <w:sz w:val="24"/>
        </w:rPr>
        <w:t>investment</w:t>
      </w:r>
      <w:r>
        <w:rPr>
          <w:spacing w:val="-5"/>
          <w:sz w:val="24"/>
        </w:rPr>
        <w:t> </w:t>
      </w:r>
      <w:r>
        <w:rPr>
          <w:sz w:val="24"/>
        </w:rPr>
        <w:t>projects.</w:t>
      </w:r>
      <w:r>
        <w:rPr>
          <w:spacing w:val="-5"/>
          <w:sz w:val="24"/>
        </w:rPr>
        <w:t> </w:t>
      </w:r>
      <w:r>
        <w:rPr>
          <w:sz w:val="24"/>
        </w:rPr>
        <w:t>However,</w:t>
      </w:r>
      <w:r>
        <w:rPr>
          <w:spacing w:val="-5"/>
          <w:sz w:val="24"/>
        </w:rPr>
        <w:t> </w:t>
      </w:r>
      <w:r>
        <w:rPr>
          <w:sz w:val="24"/>
        </w:rPr>
        <w:t>China’s</w:t>
      </w:r>
      <w:r>
        <w:rPr>
          <w:spacing w:val="-5"/>
          <w:sz w:val="24"/>
        </w:rPr>
        <w:t> </w:t>
      </w:r>
      <w:r>
        <w:rPr>
          <w:sz w:val="24"/>
        </w:rPr>
        <w:t>overseas</w:t>
      </w:r>
      <w:r>
        <w:rPr>
          <w:spacing w:val="-5"/>
          <w:sz w:val="24"/>
        </w:rPr>
        <w:t> </w:t>
      </w:r>
      <w:r>
        <w:rPr>
          <w:sz w:val="24"/>
        </w:rPr>
        <w:t>lending</w:t>
      </w:r>
      <w:r>
        <w:rPr>
          <w:spacing w:val="-5"/>
          <w:sz w:val="24"/>
        </w:rPr>
        <w:t> </w:t>
      </w:r>
      <w:r>
        <w:rPr>
          <w:sz w:val="24"/>
        </w:rPr>
        <w:t>program</w:t>
      </w:r>
      <w:r>
        <w:rPr>
          <w:spacing w:val="-5"/>
          <w:sz w:val="24"/>
        </w:rPr>
        <w:t> </w:t>
      </w:r>
      <w:r>
        <w:rPr>
          <w:sz w:val="24"/>
        </w:rPr>
        <w:t>is supported by a more diverse set of ﬁnancing instruments, some of which are RMB-denominated, short- or medium-term in nature, unrelated to public investment projects, and/or involving multiple Chinese and/or</w:t>
      </w:r>
    </w:p>
    <w:p>
      <w:pPr>
        <w:pStyle w:val="BodyText"/>
        <w:spacing w:line="333" w:lineRule="auto"/>
        <w:ind w:left="1480" w:right="794"/>
      </w:pPr>
      <w:r>
        <w:rPr/>
        <w:t>non-Chinese banks. They include syndicated loans with multiple Chinese and/or non-Chinese bank participants, loans entrusted to multilateral administrators, short- or medium-term liquidity support facilities (LSFs) </w:t>
      </w:r>
      <w:r>
        <w:rPr/>
        <w:t>to provide balance of payments (BOP) support, currency swap facilities, foreign currency deposit loans, pre-export ﬁnancing (PxF) facilities, deferred payment facilities, EPCF arrangements, interbank loan agreements, and revolving credit facilities, among other things.</w:t>
      </w:r>
    </w:p>
    <w:p>
      <w:pPr>
        <w:pStyle w:val="BodyText"/>
        <w:spacing w:line="333" w:lineRule="auto"/>
        <w:ind w:left="1480" w:right="767"/>
      </w:pPr>
      <w:r>
        <w:rPr/>
        <w:t>Consistent with OECD-DAC measurement standards, the 3.0 version of </w:t>
      </w:r>
      <w:r>
        <w:rPr>
          <w:w w:val="105"/>
        </w:rPr>
        <w:t>AidData’s</w:t>
      </w:r>
      <w:r>
        <w:rPr>
          <w:spacing w:val="-17"/>
          <w:w w:val="105"/>
        </w:rPr>
        <w:t> </w:t>
      </w:r>
      <w:r>
        <w:rPr>
          <w:w w:val="105"/>
        </w:rPr>
        <w:t>GCDF</w:t>
      </w:r>
      <w:r>
        <w:rPr>
          <w:spacing w:val="-17"/>
          <w:w w:val="105"/>
        </w:rPr>
        <w:t> </w:t>
      </w:r>
      <w:r>
        <w:rPr>
          <w:w w:val="105"/>
        </w:rPr>
        <w:t>dataset</w:t>
      </w:r>
      <w:r>
        <w:rPr>
          <w:spacing w:val="-17"/>
          <w:w w:val="105"/>
        </w:rPr>
        <w:t> </w:t>
      </w:r>
      <w:r>
        <w:rPr>
          <w:w w:val="105"/>
        </w:rPr>
        <w:t>tracks</w:t>
      </w:r>
      <w:r>
        <w:rPr>
          <w:spacing w:val="-17"/>
          <w:w w:val="105"/>
        </w:rPr>
        <w:t> </w:t>
      </w:r>
      <w:r>
        <w:rPr>
          <w:w w:val="105"/>
        </w:rPr>
        <w:t>the</w:t>
      </w:r>
      <w:r>
        <w:rPr>
          <w:spacing w:val="-17"/>
          <w:w w:val="105"/>
        </w:rPr>
        <w:t> </w:t>
      </w:r>
      <w:r>
        <w:rPr>
          <w:w w:val="105"/>
        </w:rPr>
        <w:t>full</w:t>
      </w:r>
      <w:r>
        <w:rPr>
          <w:spacing w:val="-17"/>
          <w:w w:val="105"/>
        </w:rPr>
        <w:t> </w:t>
      </w:r>
      <w:r>
        <w:rPr>
          <w:w w:val="105"/>
        </w:rPr>
        <w:t>set</w:t>
      </w:r>
      <w:r>
        <w:rPr>
          <w:spacing w:val="-17"/>
          <w:w w:val="105"/>
        </w:rPr>
        <w:t> </w:t>
      </w:r>
      <w:r>
        <w:rPr>
          <w:w w:val="105"/>
        </w:rPr>
        <w:t>of</w:t>
      </w:r>
      <w:r>
        <w:rPr>
          <w:spacing w:val="-17"/>
          <w:w w:val="105"/>
        </w:rPr>
        <w:t> </w:t>
      </w:r>
      <w:r>
        <w:rPr>
          <w:w w:val="105"/>
        </w:rPr>
        <w:t>debt</w:t>
      </w:r>
      <w:r>
        <w:rPr>
          <w:spacing w:val="-17"/>
          <w:w w:val="105"/>
        </w:rPr>
        <w:t> </w:t>
      </w:r>
      <w:r>
        <w:rPr>
          <w:w w:val="105"/>
        </w:rPr>
        <w:t>instruments</w:t>
      </w:r>
      <w:r>
        <w:rPr>
          <w:spacing w:val="-17"/>
          <w:w w:val="105"/>
        </w:rPr>
        <w:t> </w:t>
      </w:r>
      <w:r>
        <w:rPr>
          <w:w w:val="105"/>
        </w:rPr>
        <w:t>used</w:t>
      </w:r>
      <w:r>
        <w:rPr>
          <w:spacing w:val="-17"/>
          <w:w w:val="105"/>
        </w:rPr>
        <w:t> </w:t>
      </w:r>
      <w:r>
        <w:rPr>
          <w:w w:val="105"/>
        </w:rPr>
        <w:t>by Chinese</w:t>
      </w:r>
      <w:r>
        <w:rPr>
          <w:spacing w:val="-12"/>
          <w:w w:val="105"/>
        </w:rPr>
        <w:t> </w:t>
      </w:r>
      <w:r>
        <w:rPr>
          <w:w w:val="105"/>
        </w:rPr>
        <w:t>state-owned</w:t>
      </w:r>
      <w:r>
        <w:rPr>
          <w:spacing w:val="-12"/>
          <w:w w:val="105"/>
        </w:rPr>
        <w:t> </w:t>
      </w:r>
      <w:r>
        <w:rPr>
          <w:w w:val="105"/>
        </w:rPr>
        <w:t>entities</w:t>
      </w:r>
      <w:r>
        <w:rPr>
          <w:spacing w:val="-12"/>
          <w:w w:val="105"/>
        </w:rPr>
        <w:t> </w:t>
      </w:r>
      <w:r>
        <w:rPr>
          <w:w w:val="105"/>
        </w:rPr>
        <w:t>in</w:t>
      </w:r>
      <w:r>
        <w:rPr>
          <w:spacing w:val="-12"/>
          <w:w w:val="105"/>
        </w:rPr>
        <w:t> </w:t>
      </w:r>
      <w:r>
        <w:rPr>
          <w:w w:val="105"/>
        </w:rPr>
        <w:t>low-income</w:t>
      </w:r>
      <w:r>
        <w:rPr>
          <w:spacing w:val="-12"/>
          <w:w w:val="105"/>
        </w:rPr>
        <w:t> </w:t>
      </w:r>
      <w:r>
        <w:rPr>
          <w:w w:val="105"/>
        </w:rPr>
        <w:t>and</w:t>
      </w:r>
      <w:r>
        <w:rPr>
          <w:spacing w:val="-12"/>
          <w:w w:val="105"/>
        </w:rPr>
        <w:t> </w:t>
      </w:r>
      <w:r>
        <w:rPr>
          <w:w w:val="105"/>
        </w:rPr>
        <w:t>middle-income </w:t>
      </w:r>
      <w:r>
        <w:rPr/>
        <w:t>countries.</w:t>
      </w:r>
      <w:r>
        <w:rPr>
          <w:vertAlign w:val="superscript"/>
        </w:rPr>
        <w:t>102</w:t>
      </w:r>
      <w:r>
        <w:rPr>
          <w:vertAlign w:val="baseline"/>
        </w:rPr>
        <w:t> Here again, the breadth of instrument coverage is </w:t>
      </w:r>
      <w:r>
        <w:rPr>
          <w:vertAlign w:val="baseline"/>
        </w:rPr>
        <w:t>becoming increasingly important, as Chinese state-owned creditors pivot away from </w:t>
      </w:r>
      <w:r>
        <w:rPr>
          <w:w w:val="105"/>
          <w:vertAlign w:val="baseline"/>
        </w:rPr>
        <w:t>the</w:t>
      </w:r>
      <w:r>
        <w:rPr>
          <w:spacing w:val="-3"/>
          <w:w w:val="105"/>
          <w:vertAlign w:val="baseline"/>
        </w:rPr>
        <w:t> </w:t>
      </w:r>
      <w:r>
        <w:rPr>
          <w:w w:val="105"/>
          <w:vertAlign w:val="baseline"/>
        </w:rPr>
        <w:t>traditional</w:t>
      </w:r>
      <w:r>
        <w:rPr>
          <w:spacing w:val="-3"/>
          <w:w w:val="105"/>
          <w:vertAlign w:val="baseline"/>
        </w:rPr>
        <w:t> </w:t>
      </w:r>
      <w:r>
        <w:rPr>
          <w:w w:val="105"/>
          <w:vertAlign w:val="baseline"/>
        </w:rPr>
        <w:t>approach</w:t>
      </w:r>
      <w:r>
        <w:rPr>
          <w:spacing w:val="-3"/>
          <w:w w:val="105"/>
          <w:vertAlign w:val="baseline"/>
        </w:rPr>
        <w:t> </w:t>
      </w:r>
      <w:r>
        <w:rPr>
          <w:w w:val="105"/>
          <w:vertAlign w:val="baseline"/>
        </w:rPr>
        <w:t>of</w:t>
      </w:r>
      <w:r>
        <w:rPr>
          <w:spacing w:val="-3"/>
          <w:w w:val="105"/>
          <w:vertAlign w:val="baseline"/>
        </w:rPr>
        <w:t> </w:t>
      </w:r>
      <w:r>
        <w:rPr>
          <w:w w:val="105"/>
          <w:vertAlign w:val="baseline"/>
        </w:rPr>
        <w:t>issuing</w:t>
      </w:r>
      <w:r>
        <w:rPr>
          <w:spacing w:val="-3"/>
          <w:w w:val="105"/>
          <w:vertAlign w:val="baseline"/>
        </w:rPr>
        <w:t> </w:t>
      </w:r>
      <w:r>
        <w:rPr>
          <w:w w:val="105"/>
          <w:vertAlign w:val="baseline"/>
        </w:rPr>
        <w:t>long-term,</w:t>
      </w:r>
      <w:r>
        <w:rPr>
          <w:spacing w:val="-3"/>
          <w:w w:val="105"/>
          <w:vertAlign w:val="baseline"/>
        </w:rPr>
        <w:t> </w:t>
      </w:r>
      <w:r>
        <w:rPr>
          <w:w w:val="105"/>
          <w:vertAlign w:val="baseline"/>
        </w:rPr>
        <w:t>dollar-denominated</w:t>
      </w:r>
    </w:p>
    <w:p>
      <w:pPr>
        <w:pStyle w:val="BodyText"/>
        <w:rPr>
          <w:sz w:val="4"/>
        </w:rPr>
      </w:pPr>
      <w:r>
        <w:rPr/>
        <w:pict>
          <v:shape style="position:absolute;margin-left:90pt;margin-top:3.540479pt;width:144pt;height:.1pt;mso-position-horizontal-relative:page;mso-position-vertical-relative:paragraph;z-index:-15720960;mso-wrap-distance-left:0;mso-wrap-distance-right:0" id="docshape15" coordorigin="1800,71" coordsize="2880,0" path="m1800,71l4680,71e" filled="false" stroked="true" strokeweight=".75pt" strokecolor="#000000">
            <v:path arrowok="t"/>
            <v:stroke dashstyle="solid"/>
            <w10:wrap type="topAndBottom"/>
          </v:shape>
        </w:pict>
      </w:r>
    </w:p>
    <w:p>
      <w:pPr>
        <w:spacing w:line="249" w:lineRule="auto" w:before="110"/>
        <w:ind w:left="760" w:right="767" w:firstLine="0"/>
        <w:jc w:val="left"/>
        <w:rPr>
          <w:sz w:val="18"/>
        </w:rPr>
      </w:pPr>
      <w:r>
        <w:rPr>
          <w:w w:val="105"/>
          <w:sz w:val="18"/>
          <w:vertAlign w:val="superscript"/>
        </w:rPr>
        <w:t>100</w:t>
      </w:r>
      <w:r>
        <w:rPr>
          <w:spacing w:val="-14"/>
          <w:w w:val="105"/>
          <w:sz w:val="18"/>
          <w:vertAlign w:val="baseline"/>
        </w:rPr>
        <w:t> </w:t>
      </w:r>
      <w:r>
        <w:rPr>
          <w:w w:val="105"/>
          <w:sz w:val="18"/>
          <w:vertAlign w:val="baseline"/>
        </w:rPr>
        <w:t>These</w:t>
      </w:r>
      <w:r>
        <w:rPr>
          <w:spacing w:val="-13"/>
          <w:w w:val="105"/>
          <w:sz w:val="18"/>
          <w:vertAlign w:val="baseline"/>
        </w:rPr>
        <w:t> </w:t>
      </w:r>
      <w:r>
        <w:rPr>
          <w:w w:val="105"/>
          <w:sz w:val="18"/>
          <w:vertAlign w:val="baseline"/>
        </w:rPr>
        <w:t>ﬁgures</w:t>
      </w:r>
      <w:r>
        <w:rPr>
          <w:spacing w:val="-13"/>
          <w:w w:val="105"/>
          <w:sz w:val="18"/>
          <w:vertAlign w:val="baseline"/>
        </w:rPr>
        <w:t> </w:t>
      </w:r>
      <w:r>
        <w:rPr>
          <w:w w:val="105"/>
          <w:sz w:val="18"/>
          <w:vertAlign w:val="baseline"/>
        </w:rPr>
        <w:t>exclude</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short-term</w:t>
      </w:r>
      <w:r>
        <w:rPr>
          <w:spacing w:val="-13"/>
          <w:w w:val="105"/>
          <w:sz w:val="18"/>
          <w:vertAlign w:val="baseline"/>
        </w:rPr>
        <w:t> </w:t>
      </w:r>
      <w:r>
        <w:rPr>
          <w:w w:val="105"/>
          <w:sz w:val="18"/>
          <w:vertAlign w:val="baseline"/>
        </w:rPr>
        <w:t>“rollover”</w:t>
      </w:r>
      <w:r>
        <w:rPr>
          <w:spacing w:val="-13"/>
          <w:w w:val="105"/>
          <w:sz w:val="18"/>
          <w:vertAlign w:val="baseline"/>
        </w:rPr>
        <w:t> </w:t>
      </w:r>
      <w:r>
        <w:rPr>
          <w:w w:val="105"/>
          <w:sz w:val="18"/>
          <w:vertAlign w:val="baseline"/>
        </w:rPr>
        <w:t>facilities</w:t>
      </w:r>
      <w:r>
        <w:rPr>
          <w:spacing w:val="-14"/>
          <w:w w:val="105"/>
          <w:sz w:val="18"/>
          <w:vertAlign w:val="baseline"/>
        </w:rPr>
        <w:t> </w:t>
      </w:r>
      <w:r>
        <w:rPr>
          <w:w w:val="105"/>
          <w:sz w:val="18"/>
          <w:vertAlign w:val="baseline"/>
        </w:rPr>
        <w:t>that</w:t>
      </w:r>
      <w:r>
        <w:rPr>
          <w:spacing w:val="-13"/>
          <w:w w:val="105"/>
          <w:sz w:val="18"/>
          <w:vertAlign w:val="baseline"/>
        </w:rPr>
        <w:t> </w:t>
      </w:r>
      <w:r>
        <w:rPr>
          <w:w w:val="105"/>
          <w:sz w:val="18"/>
          <w:vertAlign w:val="baseline"/>
        </w:rPr>
        <w:t>are</w:t>
      </w:r>
      <w:r>
        <w:rPr>
          <w:spacing w:val="-13"/>
          <w:w w:val="105"/>
          <w:sz w:val="18"/>
          <w:vertAlign w:val="baseline"/>
        </w:rPr>
        <w:t> </w:t>
      </w:r>
      <w:r>
        <w:rPr>
          <w:w w:val="105"/>
          <w:sz w:val="18"/>
          <w:vertAlign w:val="baseline"/>
        </w:rPr>
        <w:t>described</w:t>
      </w:r>
      <w:r>
        <w:rPr>
          <w:spacing w:val="-13"/>
          <w:w w:val="105"/>
          <w:sz w:val="18"/>
          <w:vertAlign w:val="baseline"/>
        </w:rPr>
        <w:t> </w:t>
      </w:r>
      <w:r>
        <w:rPr>
          <w:w w:val="105"/>
          <w:sz w:val="18"/>
          <w:vertAlign w:val="baseline"/>
        </w:rPr>
        <w:t>in</w:t>
      </w:r>
      <w:r>
        <w:rPr>
          <w:spacing w:val="-13"/>
          <w:w w:val="105"/>
          <w:sz w:val="18"/>
          <w:vertAlign w:val="baseline"/>
        </w:rPr>
        <w:t> </w:t>
      </w:r>
      <w:r>
        <w:rPr>
          <w:w w:val="105"/>
          <w:sz w:val="18"/>
          <w:vertAlign w:val="baseline"/>
        </w:rPr>
        <w:t>Box</w:t>
      </w:r>
      <w:r>
        <w:rPr>
          <w:spacing w:val="-13"/>
          <w:w w:val="105"/>
          <w:sz w:val="18"/>
          <w:vertAlign w:val="baseline"/>
        </w:rPr>
        <w:t> </w:t>
      </w:r>
      <w:r>
        <w:rPr>
          <w:w w:val="105"/>
          <w:sz w:val="18"/>
          <w:vertAlign w:val="baseline"/>
        </w:rPr>
        <w:t>2c</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Section</w:t>
      </w:r>
      <w:r>
        <w:rPr>
          <w:spacing w:val="-14"/>
          <w:w w:val="105"/>
          <w:sz w:val="18"/>
          <w:vertAlign w:val="baseline"/>
        </w:rPr>
        <w:t> </w:t>
      </w:r>
      <w:r>
        <w:rPr>
          <w:w w:val="105"/>
          <w:sz w:val="18"/>
          <w:vertAlign w:val="baseline"/>
        </w:rPr>
        <w:t>A-3. When</w:t>
      </w:r>
      <w:r>
        <w:rPr>
          <w:spacing w:val="-11"/>
          <w:w w:val="105"/>
          <w:sz w:val="18"/>
          <w:vertAlign w:val="baseline"/>
        </w:rPr>
        <w:t> </w:t>
      </w:r>
      <w:r>
        <w:rPr>
          <w:w w:val="105"/>
          <w:sz w:val="18"/>
          <w:vertAlign w:val="baseline"/>
        </w:rPr>
        <w:t>such</w:t>
      </w:r>
      <w:r>
        <w:rPr>
          <w:spacing w:val="-11"/>
          <w:w w:val="105"/>
          <w:sz w:val="18"/>
          <w:vertAlign w:val="baseline"/>
        </w:rPr>
        <w:t> </w:t>
      </w:r>
      <w:r>
        <w:rPr>
          <w:w w:val="105"/>
          <w:sz w:val="18"/>
          <w:vertAlign w:val="baseline"/>
        </w:rPr>
        <w:t>facilities</w:t>
      </w:r>
      <w:r>
        <w:rPr>
          <w:spacing w:val="-11"/>
          <w:w w:val="105"/>
          <w:sz w:val="18"/>
          <w:vertAlign w:val="baseline"/>
        </w:rPr>
        <w:t> </w:t>
      </w:r>
      <w:r>
        <w:rPr>
          <w:w w:val="105"/>
          <w:sz w:val="18"/>
          <w:vertAlign w:val="baseline"/>
        </w:rPr>
        <w:t>are</w:t>
      </w:r>
      <w:r>
        <w:rPr>
          <w:spacing w:val="-11"/>
          <w:w w:val="105"/>
          <w:sz w:val="18"/>
          <w:vertAlign w:val="baseline"/>
        </w:rPr>
        <w:t> </w:t>
      </w:r>
      <w:r>
        <w:rPr>
          <w:w w:val="105"/>
          <w:sz w:val="18"/>
          <w:vertAlign w:val="baseline"/>
        </w:rPr>
        <w:t>included,</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3.0</w:t>
      </w:r>
      <w:r>
        <w:rPr>
          <w:spacing w:val="-11"/>
          <w:w w:val="105"/>
          <w:sz w:val="18"/>
          <w:vertAlign w:val="baseline"/>
        </w:rPr>
        <w:t> </w:t>
      </w:r>
      <w:r>
        <w:rPr>
          <w:w w:val="105"/>
          <w:sz w:val="18"/>
          <w:vertAlign w:val="baseline"/>
        </w:rPr>
        <w:t>version</w:t>
      </w:r>
      <w:r>
        <w:rPr>
          <w:spacing w:val="-11"/>
          <w:w w:val="105"/>
          <w:sz w:val="18"/>
          <w:vertAlign w:val="baseline"/>
        </w:rPr>
        <w:t> </w:t>
      </w:r>
      <w:r>
        <w:rPr>
          <w:w w:val="105"/>
          <w:sz w:val="18"/>
          <w:vertAlign w:val="baseline"/>
        </w:rPr>
        <w:t>of</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GCDF</w:t>
      </w:r>
      <w:r>
        <w:rPr>
          <w:spacing w:val="-11"/>
          <w:w w:val="105"/>
          <w:sz w:val="18"/>
          <w:vertAlign w:val="baseline"/>
        </w:rPr>
        <w:t> </w:t>
      </w:r>
      <w:r>
        <w:rPr>
          <w:w w:val="105"/>
          <w:sz w:val="18"/>
          <w:vertAlign w:val="baseline"/>
        </w:rPr>
        <w:t>dataset</w:t>
      </w:r>
      <w:r>
        <w:rPr>
          <w:spacing w:val="-11"/>
          <w:w w:val="105"/>
          <w:sz w:val="18"/>
          <w:vertAlign w:val="baseline"/>
        </w:rPr>
        <w:t> </w:t>
      </w:r>
      <w:r>
        <w:rPr>
          <w:w w:val="105"/>
          <w:sz w:val="18"/>
          <w:vertAlign w:val="baseline"/>
        </w:rPr>
        <w:t>captures</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following</w:t>
      </w:r>
      <w:r>
        <w:rPr>
          <w:spacing w:val="-11"/>
          <w:w w:val="105"/>
          <w:sz w:val="18"/>
          <w:vertAlign w:val="baseline"/>
        </w:rPr>
        <w:t> </w:t>
      </w:r>
      <w:r>
        <w:rPr>
          <w:w w:val="105"/>
          <w:sz w:val="18"/>
          <w:vertAlign w:val="baseline"/>
        </w:rPr>
        <w:t>lending commitment</w:t>
      </w:r>
      <w:r>
        <w:rPr>
          <w:spacing w:val="-7"/>
          <w:w w:val="105"/>
          <w:sz w:val="18"/>
          <w:vertAlign w:val="baseline"/>
        </w:rPr>
        <w:t> </w:t>
      </w:r>
      <w:r>
        <w:rPr>
          <w:w w:val="105"/>
          <w:sz w:val="18"/>
          <w:vertAlign w:val="baseline"/>
        </w:rPr>
        <w:t>amounts:</w:t>
      </w:r>
      <w:r>
        <w:rPr>
          <w:spacing w:val="-7"/>
          <w:w w:val="105"/>
          <w:sz w:val="18"/>
          <w:vertAlign w:val="baseline"/>
        </w:rPr>
        <w:t> </w:t>
      </w:r>
      <w:r>
        <w:rPr>
          <w:w w:val="105"/>
          <w:sz w:val="18"/>
          <w:vertAlign w:val="baseline"/>
        </w:rPr>
        <w:t>central</w:t>
      </w:r>
      <w:r>
        <w:rPr>
          <w:spacing w:val="-7"/>
          <w:w w:val="105"/>
          <w:sz w:val="18"/>
          <w:vertAlign w:val="baseline"/>
        </w:rPr>
        <w:t> </w:t>
      </w:r>
      <w:r>
        <w:rPr>
          <w:w w:val="105"/>
          <w:sz w:val="18"/>
          <w:vertAlign w:val="baseline"/>
        </w:rPr>
        <w:t>government</w:t>
      </w:r>
      <w:r>
        <w:rPr>
          <w:spacing w:val="-7"/>
          <w:w w:val="105"/>
          <w:sz w:val="18"/>
          <w:vertAlign w:val="baseline"/>
        </w:rPr>
        <w:t> </w:t>
      </w:r>
      <w:r>
        <w:rPr>
          <w:w w:val="105"/>
          <w:sz w:val="18"/>
          <w:vertAlign w:val="baseline"/>
        </w:rPr>
        <w:t>or</w:t>
      </w:r>
      <w:r>
        <w:rPr>
          <w:spacing w:val="-7"/>
          <w:w w:val="105"/>
          <w:sz w:val="18"/>
          <w:vertAlign w:val="baseline"/>
        </w:rPr>
        <w:t> </w:t>
      </w:r>
      <w:r>
        <w:rPr>
          <w:w w:val="105"/>
          <w:sz w:val="18"/>
          <w:vertAlign w:val="baseline"/>
        </w:rPr>
        <w:t>central</w:t>
      </w:r>
      <w:r>
        <w:rPr>
          <w:spacing w:val="-7"/>
          <w:w w:val="105"/>
          <w:sz w:val="18"/>
          <w:vertAlign w:val="baseline"/>
        </w:rPr>
        <w:t> </w:t>
      </w:r>
      <w:r>
        <w:rPr>
          <w:w w:val="105"/>
          <w:sz w:val="18"/>
          <w:vertAlign w:val="baseline"/>
        </w:rPr>
        <w:t>government</w:t>
      </w:r>
      <w:r>
        <w:rPr>
          <w:spacing w:val="-7"/>
          <w:w w:val="105"/>
          <w:sz w:val="18"/>
          <w:vertAlign w:val="baseline"/>
        </w:rPr>
        <w:t> </w:t>
      </w:r>
      <w:r>
        <w:rPr>
          <w:w w:val="105"/>
          <w:sz w:val="18"/>
          <w:vertAlign w:val="baseline"/>
        </w:rPr>
        <w:t>guaranteed</w:t>
      </w:r>
      <w:r>
        <w:rPr>
          <w:spacing w:val="-7"/>
          <w:w w:val="105"/>
          <w:sz w:val="18"/>
          <w:vertAlign w:val="baseline"/>
        </w:rPr>
        <w:t> </w:t>
      </w:r>
      <w:r>
        <w:rPr>
          <w:w w:val="105"/>
          <w:sz w:val="18"/>
          <w:vertAlign w:val="baseline"/>
        </w:rPr>
        <w:t>debt</w:t>
      </w:r>
      <w:r>
        <w:rPr>
          <w:spacing w:val="-7"/>
          <w:w w:val="105"/>
          <w:sz w:val="18"/>
          <w:vertAlign w:val="baseline"/>
        </w:rPr>
        <w:t> </w:t>
      </w:r>
      <w:r>
        <w:rPr>
          <w:w w:val="105"/>
          <w:sz w:val="18"/>
          <w:vertAlign w:val="baseline"/>
        </w:rPr>
        <w:t>($687</w:t>
      </w:r>
      <w:r>
        <w:rPr>
          <w:spacing w:val="-7"/>
          <w:w w:val="105"/>
          <w:sz w:val="18"/>
          <w:vertAlign w:val="baseline"/>
        </w:rPr>
        <w:t> </w:t>
      </w:r>
      <w:r>
        <w:rPr>
          <w:w w:val="105"/>
          <w:sz w:val="18"/>
          <w:vertAlign w:val="baseline"/>
        </w:rPr>
        <w:t>billion),</w:t>
      </w:r>
      <w:r>
        <w:rPr>
          <w:spacing w:val="-7"/>
          <w:w w:val="105"/>
          <w:sz w:val="18"/>
          <w:vertAlign w:val="baseline"/>
        </w:rPr>
        <w:t> </w:t>
      </w:r>
      <w:r>
        <w:rPr>
          <w:w w:val="105"/>
          <w:sz w:val="18"/>
          <w:vertAlign w:val="baseline"/>
        </w:rPr>
        <w:t>other public</w:t>
      </w:r>
      <w:r>
        <w:rPr>
          <w:spacing w:val="-5"/>
          <w:w w:val="105"/>
          <w:sz w:val="18"/>
          <w:vertAlign w:val="baseline"/>
        </w:rPr>
        <w:t> </w:t>
      </w:r>
      <w:r>
        <w:rPr>
          <w:w w:val="105"/>
          <w:sz w:val="18"/>
          <w:vertAlign w:val="baseline"/>
        </w:rPr>
        <w:t>sector</w:t>
      </w:r>
      <w:r>
        <w:rPr>
          <w:spacing w:val="-5"/>
          <w:w w:val="105"/>
          <w:sz w:val="18"/>
          <w:vertAlign w:val="baseline"/>
        </w:rPr>
        <w:t> </w:t>
      </w:r>
      <w:r>
        <w:rPr>
          <w:w w:val="105"/>
          <w:sz w:val="18"/>
          <w:vertAlign w:val="baseline"/>
        </w:rPr>
        <w:t>debt</w:t>
      </w:r>
      <w:r>
        <w:rPr>
          <w:spacing w:val="-5"/>
          <w:w w:val="105"/>
          <w:sz w:val="18"/>
          <w:vertAlign w:val="baseline"/>
        </w:rPr>
        <w:t> </w:t>
      </w:r>
      <w:r>
        <w:rPr>
          <w:w w:val="105"/>
          <w:sz w:val="18"/>
          <w:vertAlign w:val="baseline"/>
        </w:rPr>
        <w:t>($422</w:t>
      </w:r>
      <w:r>
        <w:rPr>
          <w:spacing w:val="-5"/>
          <w:w w:val="105"/>
          <w:sz w:val="18"/>
          <w:vertAlign w:val="baseline"/>
        </w:rPr>
        <w:t> </w:t>
      </w:r>
      <w:r>
        <w:rPr>
          <w:w w:val="105"/>
          <w:sz w:val="18"/>
          <w:vertAlign w:val="baseline"/>
        </w:rPr>
        <w:t>billion),</w:t>
      </w:r>
      <w:r>
        <w:rPr>
          <w:spacing w:val="-5"/>
          <w:w w:val="105"/>
          <w:sz w:val="18"/>
          <w:vertAlign w:val="baseline"/>
        </w:rPr>
        <w:t> </w:t>
      </w:r>
      <w:r>
        <w:rPr>
          <w:w w:val="105"/>
          <w:sz w:val="18"/>
          <w:vertAlign w:val="baseline"/>
        </w:rPr>
        <w:t>potential</w:t>
      </w:r>
      <w:r>
        <w:rPr>
          <w:spacing w:val="-5"/>
          <w:w w:val="105"/>
          <w:sz w:val="18"/>
          <w:vertAlign w:val="baseline"/>
        </w:rPr>
        <w:t> </w:t>
      </w:r>
      <w:r>
        <w:rPr>
          <w:w w:val="105"/>
          <w:sz w:val="18"/>
          <w:vertAlign w:val="baseline"/>
        </w:rPr>
        <w:t>public</w:t>
      </w:r>
      <w:r>
        <w:rPr>
          <w:spacing w:val="-5"/>
          <w:w w:val="105"/>
          <w:sz w:val="18"/>
          <w:vertAlign w:val="baseline"/>
        </w:rPr>
        <w:t> </w:t>
      </w:r>
      <w:r>
        <w:rPr>
          <w:w w:val="105"/>
          <w:sz w:val="18"/>
          <w:vertAlign w:val="baseline"/>
        </w:rPr>
        <w:t>sector</w:t>
      </w:r>
      <w:r>
        <w:rPr>
          <w:spacing w:val="-5"/>
          <w:w w:val="105"/>
          <w:sz w:val="18"/>
          <w:vertAlign w:val="baseline"/>
        </w:rPr>
        <w:t> </w:t>
      </w:r>
      <w:r>
        <w:rPr>
          <w:w w:val="105"/>
          <w:sz w:val="18"/>
          <w:vertAlign w:val="baseline"/>
        </w:rPr>
        <w:t>debt</w:t>
      </w:r>
      <w:r>
        <w:rPr>
          <w:spacing w:val="-5"/>
          <w:w w:val="105"/>
          <w:sz w:val="18"/>
          <w:vertAlign w:val="baseline"/>
        </w:rPr>
        <w:t> </w:t>
      </w:r>
      <w:r>
        <w:rPr>
          <w:w w:val="105"/>
          <w:sz w:val="18"/>
          <w:vertAlign w:val="baseline"/>
        </w:rPr>
        <w:t>($67</w:t>
      </w:r>
      <w:r>
        <w:rPr>
          <w:spacing w:val="-5"/>
          <w:w w:val="105"/>
          <w:sz w:val="18"/>
          <w:vertAlign w:val="baseline"/>
        </w:rPr>
        <w:t> </w:t>
      </w:r>
      <w:r>
        <w:rPr>
          <w:w w:val="105"/>
          <w:sz w:val="18"/>
          <w:vertAlign w:val="baseline"/>
        </w:rPr>
        <w:t>billion)</w:t>
      </w:r>
      <w:r>
        <w:rPr>
          <w:spacing w:val="-5"/>
          <w:w w:val="105"/>
          <w:sz w:val="18"/>
          <w:vertAlign w:val="baseline"/>
        </w:rPr>
        <w:t> </w:t>
      </w:r>
      <w:r>
        <w:rPr>
          <w:w w:val="105"/>
          <w:sz w:val="18"/>
          <w:vertAlign w:val="baseline"/>
        </w:rPr>
        <w:t>and</w:t>
      </w:r>
      <w:r>
        <w:rPr>
          <w:spacing w:val="-5"/>
          <w:w w:val="105"/>
          <w:sz w:val="18"/>
          <w:vertAlign w:val="baseline"/>
        </w:rPr>
        <w:t> </w:t>
      </w:r>
      <w:r>
        <w:rPr>
          <w:w w:val="105"/>
          <w:sz w:val="18"/>
          <w:vertAlign w:val="baseline"/>
        </w:rPr>
        <w:t>private</w:t>
      </w:r>
      <w:r>
        <w:rPr>
          <w:spacing w:val="-5"/>
          <w:w w:val="105"/>
          <w:sz w:val="18"/>
          <w:vertAlign w:val="baseline"/>
        </w:rPr>
        <w:t> </w:t>
      </w:r>
      <w:r>
        <w:rPr>
          <w:w w:val="105"/>
          <w:sz w:val="18"/>
          <w:vertAlign w:val="baseline"/>
        </w:rPr>
        <w:t>sector</w:t>
      </w:r>
      <w:r>
        <w:rPr>
          <w:spacing w:val="-5"/>
          <w:w w:val="105"/>
          <w:sz w:val="18"/>
          <w:vertAlign w:val="baseline"/>
        </w:rPr>
        <w:t> </w:t>
      </w:r>
      <w:r>
        <w:rPr>
          <w:w w:val="105"/>
          <w:sz w:val="18"/>
          <w:vertAlign w:val="baseline"/>
        </w:rPr>
        <w:t>debt</w:t>
      </w:r>
      <w:r>
        <w:rPr>
          <w:spacing w:val="-5"/>
          <w:w w:val="105"/>
          <w:sz w:val="18"/>
          <w:vertAlign w:val="baseline"/>
        </w:rPr>
        <w:t> </w:t>
      </w:r>
      <w:r>
        <w:rPr>
          <w:w w:val="105"/>
          <w:sz w:val="18"/>
          <w:vertAlign w:val="baseline"/>
        </w:rPr>
        <w:t>($216 </w:t>
      </w:r>
      <w:r>
        <w:rPr>
          <w:spacing w:val="-2"/>
          <w:w w:val="105"/>
          <w:sz w:val="18"/>
          <w:vertAlign w:val="baseline"/>
        </w:rPr>
        <w:t>billion).</w:t>
      </w:r>
      <w:r>
        <w:rPr>
          <w:spacing w:val="-6"/>
          <w:w w:val="105"/>
          <w:sz w:val="18"/>
          <w:vertAlign w:val="baseline"/>
        </w:rPr>
        <w:t> </w:t>
      </w:r>
      <w:r>
        <w:rPr>
          <w:spacing w:val="-2"/>
          <w:w w:val="105"/>
          <w:sz w:val="18"/>
          <w:vertAlign w:val="baseline"/>
        </w:rPr>
        <w:t>There</w:t>
      </w:r>
      <w:r>
        <w:rPr>
          <w:spacing w:val="-6"/>
          <w:w w:val="105"/>
          <w:sz w:val="18"/>
          <w:vertAlign w:val="baseline"/>
        </w:rPr>
        <w:t> </w:t>
      </w:r>
      <w:r>
        <w:rPr>
          <w:spacing w:val="-2"/>
          <w:w w:val="105"/>
          <w:sz w:val="18"/>
          <w:vertAlign w:val="baseline"/>
        </w:rPr>
        <w:t>is</w:t>
      </w:r>
      <w:r>
        <w:rPr>
          <w:spacing w:val="-6"/>
          <w:w w:val="105"/>
          <w:sz w:val="18"/>
          <w:vertAlign w:val="baseline"/>
        </w:rPr>
        <w:t> </w:t>
      </w:r>
      <w:r>
        <w:rPr>
          <w:spacing w:val="-2"/>
          <w:w w:val="105"/>
          <w:sz w:val="18"/>
          <w:vertAlign w:val="baseline"/>
        </w:rPr>
        <w:t>an</w:t>
      </w:r>
      <w:r>
        <w:rPr>
          <w:spacing w:val="-6"/>
          <w:w w:val="105"/>
          <w:sz w:val="18"/>
          <w:vertAlign w:val="baseline"/>
        </w:rPr>
        <w:t> </w:t>
      </w:r>
      <w:r>
        <w:rPr>
          <w:spacing w:val="-2"/>
          <w:w w:val="105"/>
          <w:sz w:val="18"/>
          <w:vertAlign w:val="baseline"/>
        </w:rPr>
        <w:t>additional</w:t>
      </w:r>
      <w:r>
        <w:rPr>
          <w:spacing w:val="-6"/>
          <w:w w:val="105"/>
          <w:sz w:val="18"/>
          <w:vertAlign w:val="baseline"/>
        </w:rPr>
        <w:t> </w:t>
      </w:r>
      <w:r>
        <w:rPr>
          <w:spacing w:val="-2"/>
          <w:w w:val="105"/>
          <w:sz w:val="18"/>
          <w:vertAlign w:val="baseline"/>
        </w:rPr>
        <w:t>$50</w:t>
      </w:r>
      <w:r>
        <w:rPr>
          <w:spacing w:val="-6"/>
          <w:w w:val="105"/>
          <w:sz w:val="18"/>
          <w:vertAlign w:val="baseline"/>
        </w:rPr>
        <w:t> </w:t>
      </w:r>
      <w:r>
        <w:rPr>
          <w:spacing w:val="-2"/>
          <w:w w:val="105"/>
          <w:sz w:val="18"/>
          <w:vertAlign w:val="baseline"/>
        </w:rPr>
        <w:t>billion</w:t>
      </w:r>
      <w:r>
        <w:rPr>
          <w:spacing w:val="-6"/>
          <w:w w:val="105"/>
          <w:sz w:val="18"/>
          <w:vertAlign w:val="baseline"/>
        </w:rPr>
        <w:t> </w:t>
      </w:r>
      <w:r>
        <w:rPr>
          <w:spacing w:val="-2"/>
          <w:w w:val="105"/>
          <w:sz w:val="18"/>
          <w:vertAlign w:val="baseline"/>
        </w:rPr>
        <w:t>in</w:t>
      </w:r>
      <w:r>
        <w:rPr>
          <w:spacing w:val="-6"/>
          <w:w w:val="105"/>
          <w:sz w:val="18"/>
          <w:vertAlign w:val="baseline"/>
        </w:rPr>
        <w:t> </w:t>
      </w:r>
      <w:r>
        <w:rPr>
          <w:spacing w:val="-2"/>
          <w:w w:val="105"/>
          <w:sz w:val="18"/>
          <w:vertAlign w:val="baseline"/>
        </w:rPr>
        <w:t>debt</w:t>
      </w:r>
      <w:r>
        <w:rPr>
          <w:spacing w:val="-6"/>
          <w:w w:val="105"/>
          <w:sz w:val="18"/>
          <w:vertAlign w:val="baseline"/>
        </w:rPr>
        <w:t> </w:t>
      </w:r>
      <w:r>
        <w:rPr>
          <w:spacing w:val="-2"/>
          <w:w w:val="105"/>
          <w:sz w:val="18"/>
          <w:vertAlign w:val="baseline"/>
        </w:rPr>
        <w:t>that</w:t>
      </w:r>
      <w:r>
        <w:rPr>
          <w:spacing w:val="-6"/>
          <w:w w:val="105"/>
          <w:sz w:val="18"/>
          <w:vertAlign w:val="baseline"/>
        </w:rPr>
        <w:t> </w:t>
      </w:r>
      <w:r>
        <w:rPr>
          <w:spacing w:val="-2"/>
          <w:w w:val="105"/>
          <w:sz w:val="18"/>
          <w:vertAlign w:val="baseline"/>
        </w:rPr>
        <w:t>is</w:t>
      </w:r>
      <w:r>
        <w:rPr>
          <w:spacing w:val="-6"/>
          <w:w w:val="105"/>
          <w:sz w:val="18"/>
          <w:vertAlign w:val="baseline"/>
        </w:rPr>
        <w:t> </w:t>
      </w:r>
      <w:r>
        <w:rPr>
          <w:spacing w:val="-2"/>
          <w:w w:val="105"/>
          <w:sz w:val="18"/>
          <w:vertAlign w:val="baseline"/>
        </w:rPr>
        <w:t>not</w:t>
      </w:r>
      <w:r>
        <w:rPr>
          <w:spacing w:val="-6"/>
          <w:w w:val="105"/>
          <w:sz w:val="18"/>
          <w:vertAlign w:val="baseline"/>
        </w:rPr>
        <w:t> </w:t>
      </w:r>
      <w:r>
        <w:rPr>
          <w:spacing w:val="-2"/>
          <w:w w:val="105"/>
          <w:sz w:val="18"/>
          <w:vertAlign w:val="baseline"/>
        </w:rPr>
        <w:t>allocable</w:t>
      </w:r>
      <w:r>
        <w:rPr>
          <w:spacing w:val="-6"/>
          <w:w w:val="105"/>
          <w:sz w:val="18"/>
          <w:vertAlign w:val="baseline"/>
        </w:rPr>
        <w:t> </w:t>
      </w:r>
      <w:r>
        <w:rPr>
          <w:spacing w:val="-2"/>
          <w:w w:val="105"/>
          <w:sz w:val="18"/>
          <w:vertAlign w:val="baseline"/>
        </w:rPr>
        <w:t>due</w:t>
      </w:r>
      <w:r>
        <w:rPr>
          <w:spacing w:val="-6"/>
          <w:w w:val="105"/>
          <w:sz w:val="18"/>
          <w:vertAlign w:val="baseline"/>
        </w:rPr>
        <w:t> </w:t>
      </w:r>
      <w:r>
        <w:rPr>
          <w:spacing w:val="-2"/>
          <w:w w:val="105"/>
          <w:sz w:val="18"/>
          <w:vertAlign w:val="baseline"/>
        </w:rPr>
        <w:t>to</w:t>
      </w:r>
      <w:r>
        <w:rPr>
          <w:spacing w:val="-6"/>
          <w:w w:val="105"/>
          <w:sz w:val="18"/>
          <w:vertAlign w:val="baseline"/>
        </w:rPr>
        <w:t> </w:t>
      </w:r>
      <w:r>
        <w:rPr>
          <w:spacing w:val="-2"/>
          <w:w w:val="105"/>
          <w:sz w:val="18"/>
          <w:vertAlign w:val="baseline"/>
        </w:rPr>
        <w:t>a</w:t>
      </w:r>
      <w:r>
        <w:rPr>
          <w:spacing w:val="-6"/>
          <w:w w:val="105"/>
          <w:sz w:val="18"/>
          <w:vertAlign w:val="baseline"/>
        </w:rPr>
        <w:t> </w:t>
      </w:r>
      <w:r>
        <w:rPr>
          <w:spacing w:val="-2"/>
          <w:w w:val="105"/>
          <w:sz w:val="18"/>
          <w:vertAlign w:val="baseline"/>
        </w:rPr>
        <w:t>lack</w:t>
      </w:r>
      <w:r>
        <w:rPr>
          <w:spacing w:val="-6"/>
          <w:w w:val="105"/>
          <w:sz w:val="18"/>
          <w:vertAlign w:val="baseline"/>
        </w:rPr>
        <w:t> </w:t>
      </w:r>
      <w:r>
        <w:rPr>
          <w:spacing w:val="-2"/>
          <w:w w:val="105"/>
          <w:sz w:val="18"/>
          <w:vertAlign w:val="baseline"/>
        </w:rPr>
        <w:t>of</w:t>
      </w:r>
      <w:r>
        <w:rPr>
          <w:spacing w:val="-6"/>
          <w:w w:val="105"/>
          <w:sz w:val="18"/>
          <w:vertAlign w:val="baseline"/>
        </w:rPr>
        <w:t> </w:t>
      </w:r>
      <w:r>
        <w:rPr>
          <w:spacing w:val="-2"/>
          <w:w w:val="105"/>
          <w:sz w:val="18"/>
          <w:vertAlign w:val="baseline"/>
        </w:rPr>
        <w:t>sufﬁcient</w:t>
      </w:r>
      <w:r>
        <w:rPr>
          <w:spacing w:val="-6"/>
          <w:w w:val="105"/>
          <w:sz w:val="18"/>
          <w:vertAlign w:val="baseline"/>
        </w:rPr>
        <w:t> </w:t>
      </w:r>
      <w:r>
        <w:rPr>
          <w:spacing w:val="-2"/>
          <w:w w:val="105"/>
          <w:sz w:val="18"/>
          <w:vertAlign w:val="baseline"/>
        </w:rPr>
        <w:t>information </w:t>
      </w:r>
      <w:r>
        <w:rPr>
          <w:w w:val="105"/>
          <w:sz w:val="18"/>
          <w:vertAlign w:val="baseline"/>
        </w:rPr>
        <w:t>for categorization purposes.</w:t>
      </w:r>
    </w:p>
    <w:p>
      <w:pPr>
        <w:spacing w:line="249" w:lineRule="auto" w:before="4"/>
        <w:ind w:left="760" w:right="767" w:firstLine="0"/>
        <w:jc w:val="left"/>
        <w:rPr>
          <w:sz w:val="18"/>
        </w:rPr>
      </w:pPr>
      <w:r>
        <w:rPr>
          <w:w w:val="105"/>
          <w:sz w:val="18"/>
          <w:vertAlign w:val="superscript"/>
        </w:rPr>
        <w:t>101</w:t>
      </w:r>
      <w:r>
        <w:rPr>
          <w:spacing w:val="-9"/>
          <w:w w:val="105"/>
          <w:sz w:val="18"/>
          <w:vertAlign w:val="baseline"/>
        </w:rPr>
        <w:t> </w:t>
      </w:r>
      <w:r>
        <w:rPr>
          <w:w w:val="105"/>
          <w:sz w:val="18"/>
          <w:vertAlign w:val="baseline"/>
        </w:rPr>
        <w:t>For</w:t>
      </w:r>
      <w:r>
        <w:rPr>
          <w:spacing w:val="-8"/>
          <w:w w:val="105"/>
          <w:sz w:val="18"/>
          <w:vertAlign w:val="baseline"/>
        </w:rPr>
        <w:t> </w:t>
      </w:r>
      <w:r>
        <w:rPr>
          <w:w w:val="105"/>
          <w:sz w:val="18"/>
          <w:vertAlign w:val="baseline"/>
        </w:rPr>
        <w:t>its</w:t>
      </w:r>
      <w:r>
        <w:rPr>
          <w:spacing w:val="-8"/>
          <w:w w:val="105"/>
          <w:sz w:val="18"/>
          <w:vertAlign w:val="baseline"/>
        </w:rPr>
        <w:t> </w:t>
      </w:r>
      <w:r>
        <w:rPr>
          <w:w w:val="105"/>
          <w:sz w:val="18"/>
          <w:vertAlign w:val="baseline"/>
        </w:rPr>
        <w:t>part,</w:t>
      </w:r>
      <w:r>
        <w:rPr>
          <w:spacing w:val="-8"/>
          <w:w w:val="105"/>
          <w:sz w:val="18"/>
          <w:vertAlign w:val="baseline"/>
        </w:rPr>
        <w:t> </w:t>
      </w:r>
      <w:r>
        <w:rPr>
          <w:w w:val="105"/>
          <w:sz w:val="18"/>
          <w:vertAlign w:val="baseline"/>
        </w:rPr>
        <w:t>IDS</w:t>
      </w:r>
      <w:r>
        <w:rPr>
          <w:spacing w:val="-8"/>
          <w:w w:val="105"/>
          <w:sz w:val="18"/>
          <w:vertAlign w:val="baseline"/>
        </w:rPr>
        <w:t> </w:t>
      </w:r>
      <w:r>
        <w:rPr>
          <w:w w:val="105"/>
          <w:sz w:val="18"/>
          <w:vertAlign w:val="baseline"/>
        </w:rPr>
        <w:t>captures</w:t>
      </w:r>
      <w:r>
        <w:rPr>
          <w:spacing w:val="-8"/>
          <w:w w:val="105"/>
          <w:sz w:val="18"/>
          <w:vertAlign w:val="baseline"/>
        </w:rPr>
        <w:t> </w:t>
      </w:r>
      <w:r>
        <w:rPr>
          <w:w w:val="105"/>
          <w:sz w:val="18"/>
          <w:vertAlign w:val="baseline"/>
        </w:rPr>
        <w:t>$378</w:t>
      </w:r>
      <w:r>
        <w:rPr>
          <w:spacing w:val="-8"/>
          <w:w w:val="105"/>
          <w:sz w:val="18"/>
          <w:vertAlign w:val="baseline"/>
        </w:rPr>
        <w:t> </w:t>
      </w:r>
      <w:r>
        <w:rPr>
          <w:w w:val="105"/>
          <w:sz w:val="18"/>
          <w:vertAlign w:val="baseline"/>
        </w:rPr>
        <w:t>billion</w:t>
      </w:r>
      <w:r>
        <w:rPr>
          <w:spacing w:val="-8"/>
          <w:w w:val="105"/>
          <w:sz w:val="18"/>
          <w:vertAlign w:val="baseline"/>
        </w:rPr>
        <w:t> </w:t>
      </w:r>
      <w:r>
        <w:rPr>
          <w:w w:val="105"/>
          <w:sz w:val="18"/>
          <w:vertAlign w:val="baseline"/>
        </w:rPr>
        <w:t>of</w:t>
      </w:r>
      <w:r>
        <w:rPr>
          <w:spacing w:val="-8"/>
          <w:w w:val="105"/>
          <w:sz w:val="18"/>
          <w:vertAlign w:val="baseline"/>
        </w:rPr>
        <w:t> </w:t>
      </w:r>
      <w:r>
        <w:rPr>
          <w:w w:val="105"/>
          <w:sz w:val="18"/>
          <w:vertAlign w:val="baseline"/>
        </w:rPr>
        <w:t>lending</w:t>
      </w:r>
      <w:r>
        <w:rPr>
          <w:spacing w:val="-8"/>
          <w:w w:val="105"/>
          <w:sz w:val="18"/>
          <w:vertAlign w:val="baseline"/>
        </w:rPr>
        <w:t> </w:t>
      </w:r>
      <w:r>
        <w:rPr>
          <w:w w:val="105"/>
          <w:sz w:val="18"/>
          <w:vertAlign w:val="baseline"/>
        </w:rPr>
        <w:t>from</w:t>
      </w:r>
      <w:r>
        <w:rPr>
          <w:spacing w:val="-8"/>
          <w:w w:val="105"/>
          <w:sz w:val="18"/>
          <w:vertAlign w:val="baseline"/>
        </w:rPr>
        <w:t> </w:t>
      </w:r>
      <w:r>
        <w:rPr>
          <w:w w:val="105"/>
          <w:sz w:val="18"/>
          <w:vertAlign w:val="baseline"/>
        </w:rPr>
        <w:t>ofﬁcial</w:t>
      </w:r>
      <w:r>
        <w:rPr>
          <w:spacing w:val="-8"/>
          <w:w w:val="105"/>
          <w:sz w:val="18"/>
          <w:vertAlign w:val="baseline"/>
        </w:rPr>
        <w:t> </w:t>
      </w:r>
      <w:r>
        <w:rPr>
          <w:w w:val="105"/>
          <w:sz w:val="18"/>
          <w:vertAlign w:val="baseline"/>
        </w:rPr>
        <w:t>sector</w:t>
      </w:r>
      <w:r>
        <w:rPr>
          <w:spacing w:val="-8"/>
          <w:w w:val="105"/>
          <w:sz w:val="18"/>
          <w:vertAlign w:val="baseline"/>
        </w:rPr>
        <w:t> </w:t>
      </w:r>
      <w:r>
        <w:rPr>
          <w:w w:val="105"/>
          <w:sz w:val="18"/>
          <w:vertAlign w:val="baseline"/>
        </w:rPr>
        <w:t>institutions</w:t>
      </w:r>
      <w:r>
        <w:rPr>
          <w:spacing w:val="-8"/>
          <w:w w:val="105"/>
          <w:sz w:val="18"/>
          <w:vertAlign w:val="baseline"/>
        </w:rPr>
        <w:t> </w:t>
      </w:r>
      <w:r>
        <w:rPr>
          <w:w w:val="105"/>
          <w:sz w:val="18"/>
          <w:vertAlign w:val="baseline"/>
        </w:rPr>
        <w:t>in</w:t>
      </w:r>
      <w:r>
        <w:rPr>
          <w:spacing w:val="-8"/>
          <w:w w:val="105"/>
          <w:sz w:val="18"/>
          <w:vertAlign w:val="baseline"/>
        </w:rPr>
        <w:t> </w:t>
      </w:r>
      <w:r>
        <w:rPr>
          <w:w w:val="105"/>
          <w:sz w:val="18"/>
          <w:vertAlign w:val="baseline"/>
        </w:rPr>
        <w:t>China</w:t>
      </w:r>
      <w:r>
        <w:rPr>
          <w:spacing w:val="-8"/>
          <w:w w:val="105"/>
          <w:sz w:val="18"/>
          <w:vertAlign w:val="baseline"/>
        </w:rPr>
        <w:t> </w:t>
      </w:r>
      <w:r>
        <w:rPr>
          <w:w w:val="105"/>
          <w:sz w:val="18"/>
          <w:vertAlign w:val="baseline"/>
        </w:rPr>
        <w:t>to</w:t>
      </w:r>
      <w:r>
        <w:rPr>
          <w:spacing w:val="-8"/>
          <w:w w:val="105"/>
          <w:sz w:val="18"/>
          <w:vertAlign w:val="baseline"/>
        </w:rPr>
        <w:t> </w:t>
      </w:r>
      <w:r>
        <w:rPr>
          <w:w w:val="105"/>
          <w:sz w:val="18"/>
          <w:vertAlign w:val="baseline"/>
        </w:rPr>
        <w:t>borrowing institutions</w:t>
      </w:r>
      <w:r>
        <w:rPr>
          <w:spacing w:val="-6"/>
          <w:w w:val="105"/>
          <w:sz w:val="18"/>
          <w:vertAlign w:val="baseline"/>
        </w:rPr>
        <w:t> </w:t>
      </w:r>
      <w:r>
        <w:rPr>
          <w:w w:val="105"/>
          <w:sz w:val="18"/>
          <w:vertAlign w:val="baseline"/>
        </w:rPr>
        <w:t>that</w:t>
      </w:r>
      <w:r>
        <w:rPr>
          <w:spacing w:val="-6"/>
          <w:w w:val="105"/>
          <w:sz w:val="18"/>
          <w:vertAlign w:val="baseline"/>
        </w:rPr>
        <w:t> </w:t>
      </w:r>
      <w:r>
        <w:rPr>
          <w:w w:val="105"/>
          <w:sz w:val="18"/>
          <w:vertAlign w:val="baseline"/>
        </w:rPr>
        <w:t>qualiﬁes</w:t>
      </w:r>
      <w:r>
        <w:rPr>
          <w:spacing w:val="-6"/>
          <w:w w:val="105"/>
          <w:sz w:val="18"/>
          <w:vertAlign w:val="baseline"/>
        </w:rPr>
        <w:t> </w:t>
      </w:r>
      <w:r>
        <w:rPr>
          <w:w w:val="105"/>
          <w:sz w:val="18"/>
          <w:vertAlign w:val="baseline"/>
        </w:rPr>
        <w:t>either</w:t>
      </w:r>
      <w:r>
        <w:rPr>
          <w:spacing w:val="-6"/>
          <w:w w:val="105"/>
          <w:sz w:val="18"/>
          <w:vertAlign w:val="baseline"/>
        </w:rPr>
        <w:t> </w:t>
      </w:r>
      <w:r>
        <w:rPr>
          <w:w w:val="105"/>
          <w:sz w:val="18"/>
          <w:vertAlign w:val="baseline"/>
        </w:rPr>
        <w:t>as</w:t>
      </w:r>
      <w:r>
        <w:rPr>
          <w:spacing w:val="-6"/>
          <w:w w:val="105"/>
          <w:sz w:val="18"/>
          <w:vertAlign w:val="baseline"/>
        </w:rPr>
        <w:t> </w:t>
      </w:r>
      <w:r>
        <w:rPr>
          <w:w w:val="105"/>
          <w:sz w:val="18"/>
          <w:vertAlign w:val="baseline"/>
        </w:rPr>
        <w:t>central</w:t>
      </w:r>
      <w:r>
        <w:rPr>
          <w:spacing w:val="-6"/>
          <w:w w:val="105"/>
          <w:sz w:val="18"/>
          <w:vertAlign w:val="baseline"/>
        </w:rPr>
        <w:t> </w:t>
      </w:r>
      <w:r>
        <w:rPr>
          <w:w w:val="105"/>
          <w:sz w:val="18"/>
          <w:vertAlign w:val="baseline"/>
        </w:rPr>
        <w:t>government</w:t>
      </w:r>
      <w:r>
        <w:rPr>
          <w:spacing w:val="-6"/>
          <w:w w:val="105"/>
          <w:sz w:val="18"/>
          <w:vertAlign w:val="baseline"/>
        </w:rPr>
        <w:t> </w:t>
      </w:r>
      <w:r>
        <w:rPr>
          <w:w w:val="105"/>
          <w:sz w:val="18"/>
          <w:vertAlign w:val="baseline"/>
        </w:rPr>
        <w:t>debt,</w:t>
      </w:r>
      <w:r>
        <w:rPr>
          <w:spacing w:val="-6"/>
          <w:w w:val="105"/>
          <w:sz w:val="18"/>
          <w:vertAlign w:val="baseline"/>
        </w:rPr>
        <w:t> </w:t>
      </w:r>
      <w:r>
        <w:rPr>
          <w:w w:val="105"/>
          <w:sz w:val="18"/>
          <w:vertAlign w:val="baseline"/>
        </w:rPr>
        <w:t>central</w:t>
      </w:r>
      <w:r>
        <w:rPr>
          <w:spacing w:val="-6"/>
          <w:w w:val="105"/>
          <w:sz w:val="18"/>
          <w:vertAlign w:val="baseline"/>
        </w:rPr>
        <w:t> </w:t>
      </w:r>
      <w:r>
        <w:rPr>
          <w:w w:val="105"/>
          <w:sz w:val="18"/>
          <w:vertAlign w:val="baseline"/>
        </w:rPr>
        <w:t>government-guaranteed</w:t>
      </w:r>
      <w:r>
        <w:rPr>
          <w:spacing w:val="-6"/>
          <w:w w:val="105"/>
          <w:sz w:val="18"/>
          <w:vertAlign w:val="baseline"/>
        </w:rPr>
        <w:t> </w:t>
      </w:r>
      <w:r>
        <w:rPr>
          <w:w w:val="105"/>
          <w:sz w:val="18"/>
          <w:vertAlign w:val="baseline"/>
        </w:rPr>
        <w:t>debt</w:t>
      </w:r>
      <w:r>
        <w:rPr>
          <w:spacing w:val="-6"/>
          <w:w w:val="105"/>
          <w:sz w:val="18"/>
          <w:vertAlign w:val="baseline"/>
        </w:rPr>
        <w:t> </w:t>
      </w:r>
      <w:r>
        <w:rPr>
          <w:w w:val="105"/>
          <w:sz w:val="18"/>
          <w:vertAlign w:val="baseline"/>
        </w:rPr>
        <w:t>or another</w:t>
      </w:r>
      <w:r>
        <w:rPr>
          <w:spacing w:val="-11"/>
          <w:w w:val="105"/>
          <w:sz w:val="18"/>
          <w:vertAlign w:val="baseline"/>
        </w:rPr>
        <w:t> </w:t>
      </w:r>
      <w:r>
        <w:rPr>
          <w:w w:val="105"/>
          <w:sz w:val="18"/>
          <w:vertAlign w:val="baseline"/>
        </w:rPr>
        <w:t>type</w:t>
      </w:r>
      <w:r>
        <w:rPr>
          <w:spacing w:val="-11"/>
          <w:w w:val="105"/>
          <w:sz w:val="18"/>
          <w:vertAlign w:val="baseline"/>
        </w:rPr>
        <w:t> </w:t>
      </w:r>
      <w:r>
        <w:rPr>
          <w:w w:val="105"/>
          <w:sz w:val="18"/>
          <w:vertAlign w:val="baseline"/>
        </w:rPr>
        <w:t>of</w:t>
      </w:r>
      <w:r>
        <w:rPr>
          <w:spacing w:val="-11"/>
          <w:w w:val="105"/>
          <w:sz w:val="18"/>
          <w:vertAlign w:val="baseline"/>
        </w:rPr>
        <w:t> </w:t>
      </w:r>
      <w:r>
        <w:rPr>
          <w:w w:val="105"/>
          <w:sz w:val="18"/>
          <w:vertAlign w:val="baseline"/>
        </w:rPr>
        <w:t>public</w:t>
      </w:r>
      <w:r>
        <w:rPr>
          <w:spacing w:val="-11"/>
          <w:w w:val="105"/>
          <w:sz w:val="18"/>
          <w:vertAlign w:val="baseline"/>
        </w:rPr>
        <w:t> </w:t>
      </w:r>
      <w:r>
        <w:rPr>
          <w:w w:val="105"/>
          <w:sz w:val="18"/>
          <w:vertAlign w:val="baseline"/>
        </w:rPr>
        <w:t>sector</w:t>
      </w:r>
      <w:r>
        <w:rPr>
          <w:spacing w:val="-11"/>
          <w:w w:val="105"/>
          <w:sz w:val="18"/>
          <w:vertAlign w:val="baseline"/>
        </w:rPr>
        <w:t> </w:t>
      </w:r>
      <w:r>
        <w:rPr>
          <w:w w:val="105"/>
          <w:sz w:val="18"/>
          <w:vertAlign w:val="baseline"/>
        </w:rPr>
        <w:t>debt</w:t>
      </w:r>
      <w:r>
        <w:rPr>
          <w:spacing w:val="-11"/>
          <w:w w:val="105"/>
          <w:sz w:val="18"/>
          <w:vertAlign w:val="baseline"/>
        </w:rPr>
        <w:t> </w:t>
      </w:r>
      <w:r>
        <w:rPr>
          <w:w w:val="105"/>
          <w:sz w:val="18"/>
          <w:vertAlign w:val="baseline"/>
        </w:rPr>
        <w:t>(i.e.,</w:t>
      </w:r>
      <w:r>
        <w:rPr>
          <w:spacing w:val="-11"/>
          <w:w w:val="105"/>
          <w:sz w:val="18"/>
          <w:vertAlign w:val="baseline"/>
        </w:rPr>
        <w:t> </w:t>
      </w:r>
      <w:r>
        <w:rPr>
          <w:w w:val="105"/>
          <w:sz w:val="18"/>
          <w:vertAlign w:val="baseline"/>
        </w:rPr>
        <w:t>PPG</w:t>
      </w:r>
      <w:r>
        <w:rPr>
          <w:spacing w:val="-11"/>
          <w:w w:val="105"/>
          <w:sz w:val="18"/>
          <w:vertAlign w:val="baseline"/>
        </w:rPr>
        <w:t> </w:t>
      </w:r>
      <w:r>
        <w:rPr>
          <w:w w:val="105"/>
          <w:sz w:val="18"/>
          <w:vertAlign w:val="baseline"/>
        </w:rPr>
        <w:t>debt).</w:t>
      </w:r>
      <w:r>
        <w:rPr>
          <w:spacing w:val="-11"/>
          <w:w w:val="105"/>
          <w:sz w:val="18"/>
          <w:vertAlign w:val="baseline"/>
        </w:rPr>
        <w:t> </w:t>
      </w:r>
      <w:r>
        <w:rPr>
          <w:w w:val="105"/>
          <w:sz w:val="18"/>
          <w:vertAlign w:val="baseline"/>
        </w:rPr>
        <w:t>However,</w:t>
      </w:r>
      <w:r>
        <w:rPr>
          <w:spacing w:val="-11"/>
          <w:w w:val="105"/>
          <w:sz w:val="18"/>
          <w:vertAlign w:val="baseline"/>
        </w:rPr>
        <w:t> </w:t>
      </w:r>
      <w:r>
        <w:rPr>
          <w:w w:val="105"/>
          <w:sz w:val="18"/>
          <w:vertAlign w:val="baseline"/>
        </w:rPr>
        <w:t>the</w:t>
      </w:r>
      <w:r>
        <w:rPr>
          <w:spacing w:val="-11"/>
          <w:w w:val="105"/>
          <w:sz w:val="18"/>
          <w:vertAlign w:val="baseline"/>
        </w:rPr>
        <w:t> </w:t>
      </w:r>
      <w:r>
        <w:rPr>
          <w:w w:val="105"/>
          <w:sz w:val="18"/>
          <w:vertAlign w:val="baseline"/>
        </w:rPr>
        <w:t>publicly</w:t>
      </w:r>
      <w:r>
        <w:rPr>
          <w:spacing w:val="-11"/>
          <w:w w:val="105"/>
          <w:sz w:val="18"/>
          <w:vertAlign w:val="baseline"/>
        </w:rPr>
        <w:t> </w:t>
      </w:r>
      <w:r>
        <w:rPr>
          <w:w w:val="105"/>
          <w:sz w:val="18"/>
          <w:vertAlign w:val="baseline"/>
        </w:rPr>
        <w:t>available</w:t>
      </w:r>
      <w:r>
        <w:rPr>
          <w:spacing w:val="-11"/>
          <w:w w:val="105"/>
          <w:sz w:val="18"/>
          <w:vertAlign w:val="baseline"/>
        </w:rPr>
        <w:t> </w:t>
      </w:r>
      <w:r>
        <w:rPr>
          <w:w w:val="105"/>
          <w:sz w:val="18"/>
          <w:vertAlign w:val="baseline"/>
        </w:rPr>
        <w:t>IDS</w:t>
      </w:r>
      <w:r>
        <w:rPr>
          <w:spacing w:val="-11"/>
          <w:w w:val="105"/>
          <w:sz w:val="18"/>
          <w:vertAlign w:val="baseline"/>
        </w:rPr>
        <w:t> </w:t>
      </w:r>
      <w:r>
        <w:rPr>
          <w:w w:val="105"/>
          <w:sz w:val="18"/>
          <w:vertAlign w:val="baseline"/>
        </w:rPr>
        <w:t>data</w:t>
      </w:r>
      <w:r>
        <w:rPr>
          <w:spacing w:val="-11"/>
          <w:w w:val="105"/>
          <w:sz w:val="18"/>
          <w:vertAlign w:val="baseline"/>
        </w:rPr>
        <w:t> </w:t>
      </w:r>
      <w:r>
        <w:rPr>
          <w:w w:val="105"/>
          <w:sz w:val="18"/>
          <w:vertAlign w:val="baseline"/>
        </w:rPr>
        <w:t>cannot</w:t>
      </w:r>
      <w:r>
        <w:rPr>
          <w:spacing w:val="-11"/>
          <w:w w:val="105"/>
          <w:sz w:val="18"/>
          <w:vertAlign w:val="baseline"/>
        </w:rPr>
        <w:t> </w:t>
      </w:r>
      <w:r>
        <w:rPr>
          <w:w w:val="105"/>
          <w:sz w:val="18"/>
          <w:vertAlign w:val="baseline"/>
        </w:rPr>
        <w:t>be </w:t>
      </w:r>
      <w:r>
        <w:rPr>
          <w:sz w:val="18"/>
          <w:vertAlign w:val="baseline"/>
        </w:rPr>
        <w:t>disaggregated by borrowing institution. For a country-by-country comparison of AidData and IDS </w:t>
      </w:r>
      <w:r>
        <w:rPr>
          <w:sz w:val="18"/>
          <w:vertAlign w:val="baseline"/>
        </w:rPr>
        <w:t>measures </w:t>
      </w:r>
      <w:r>
        <w:rPr>
          <w:w w:val="105"/>
          <w:sz w:val="18"/>
          <w:vertAlign w:val="baseline"/>
        </w:rPr>
        <w:t>of</w:t>
      </w:r>
      <w:r>
        <w:rPr>
          <w:spacing w:val="-13"/>
          <w:w w:val="105"/>
          <w:sz w:val="18"/>
          <w:vertAlign w:val="baseline"/>
        </w:rPr>
        <w:t> </w:t>
      </w:r>
      <w:r>
        <w:rPr>
          <w:w w:val="105"/>
          <w:sz w:val="18"/>
          <w:vertAlign w:val="baseline"/>
        </w:rPr>
        <w:t>PPG</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non-PPG</w:t>
      </w:r>
      <w:r>
        <w:rPr>
          <w:spacing w:val="-13"/>
          <w:w w:val="105"/>
          <w:sz w:val="18"/>
          <w:vertAlign w:val="baseline"/>
        </w:rPr>
        <w:t> </w:t>
      </w:r>
      <w:r>
        <w:rPr>
          <w:w w:val="105"/>
          <w:sz w:val="18"/>
          <w:vertAlign w:val="baseline"/>
        </w:rPr>
        <w:t>debt</w:t>
      </w:r>
      <w:r>
        <w:rPr>
          <w:spacing w:val="-13"/>
          <w:w w:val="105"/>
          <w:sz w:val="18"/>
          <w:vertAlign w:val="baseline"/>
        </w:rPr>
        <w:t> </w:t>
      </w:r>
      <w:r>
        <w:rPr>
          <w:w w:val="105"/>
          <w:sz w:val="18"/>
          <w:vertAlign w:val="baseline"/>
        </w:rPr>
        <w:t>exposure</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China,</w:t>
      </w:r>
      <w:r>
        <w:rPr>
          <w:spacing w:val="-13"/>
          <w:w w:val="105"/>
          <w:sz w:val="18"/>
          <w:vertAlign w:val="baseline"/>
        </w:rPr>
        <w:t> </w:t>
      </w:r>
      <w:r>
        <w:rPr>
          <w:w w:val="105"/>
          <w:sz w:val="18"/>
          <w:vertAlign w:val="baseline"/>
        </w:rPr>
        <w:t>see</w:t>
      </w:r>
      <w:r>
        <w:rPr>
          <w:spacing w:val="-13"/>
          <w:w w:val="105"/>
          <w:sz w:val="18"/>
          <w:vertAlign w:val="baseline"/>
        </w:rPr>
        <w:t> </w:t>
      </w:r>
      <w:r>
        <w:rPr>
          <w:w w:val="105"/>
          <w:sz w:val="18"/>
          <w:vertAlign w:val="baseline"/>
        </w:rPr>
        <w:t>Table</w:t>
      </w:r>
      <w:r>
        <w:rPr>
          <w:spacing w:val="-13"/>
          <w:w w:val="105"/>
          <w:sz w:val="18"/>
          <w:vertAlign w:val="baseline"/>
        </w:rPr>
        <w:t> </w:t>
      </w:r>
      <w:r>
        <w:rPr>
          <w:w w:val="105"/>
          <w:sz w:val="18"/>
          <w:vertAlign w:val="baseline"/>
        </w:rPr>
        <w:t>A16</w:t>
      </w:r>
    </w:p>
    <w:p>
      <w:pPr>
        <w:spacing w:line="249" w:lineRule="auto" w:before="4"/>
        <w:ind w:left="760" w:right="767" w:firstLine="0"/>
        <w:jc w:val="left"/>
        <w:rPr>
          <w:sz w:val="18"/>
        </w:rPr>
      </w:pPr>
      <w:r>
        <w:rPr>
          <w:sz w:val="18"/>
          <w:vertAlign w:val="superscript"/>
        </w:rPr>
        <w:t>102</w:t>
      </w:r>
      <w:r>
        <w:rPr>
          <w:sz w:val="18"/>
          <w:vertAlign w:val="baseline"/>
        </w:rPr>
        <w:t> The OECD-DAC uses a broad deﬁnition of what qualiﬁes as a debt instrument. According to the </w:t>
      </w:r>
      <w:r>
        <w:rPr>
          <w:sz w:val="18"/>
          <w:vertAlign w:val="baseline"/>
        </w:rPr>
        <w:t>latest version of its Converged Statistical Reporting Directives for the Creditor Reporting System (CRS) and the Annual DAC Questionnaire, "[d]ebt instruments require the payment of principal and/or interest at some point(s) in the future” (OECD 2023b: 12).</w:t>
      </w:r>
    </w:p>
    <w:p>
      <w:pPr>
        <w:spacing w:after="0" w:line="249" w:lineRule="auto"/>
        <w:jc w:val="left"/>
        <w:rPr>
          <w:sz w:val="18"/>
        </w:rPr>
        <w:sectPr>
          <w:pgSz w:w="12240" w:h="15840"/>
          <w:pgMar w:header="0" w:footer="720" w:top="1360" w:bottom="920" w:left="1040" w:right="1040"/>
        </w:sectPr>
      </w:pPr>
    </w:p>
    <w:p>
      <w:pPr>
        <w:pStyle w:val="BodyText"/>
        <w:spacing w:line="333" w:lineRule="auto" w:before="27"/>
        <w:ind w:left="1480" w:right="1274"/>
      </w:pPr>
      <w:r>
        <w:rPr/>
        <w:t>bilateral buyer’s credits and concessional loans for public investment projects (see Figures A11, A12, and A13) and toward short- and medium-term bilateral emergency rescue loans as well as long-term syndicated loans and loans entrusted to multilateral </w:t>
      </w:r>
      <w:r>
        <w:rPr/>
        <w:t>administrators.</w:t>
      </w:r>
      <w:r>
        <w:rPr>
          <w:vertAlign w:val="superscript"/>
        </w:rPr>
        <w:t>103</w:t>
      </w:r>
    </w:p>
    <w:p>
      <w:pPr>
        <w:pStyle w:val="BodyText"/>
        <w:spacing w:before="7"/>
        <w:rPr>
          <w:sz w:val="27"/>
        </w:rPr>
      </w:pPr>
    </w:p>
    <w:p>
      <w:pPr>
        <w:pStyle w:val="BodyText"/>
        <w:spacing w:line="333" w:lineRule="auto"/>
        <w:ind w:left="760" w:right="782"/>
      </w:pPr>
      <w:r>
        <w:rPr/>
        <w:t>The “scope parameter” differences between the GCDF dataset and other</w:t>
      </w:r>
      <w:r>
        <w:rPr>
          <w:spacing w:val="80"/>
        </w:rPr>
        <w:t> </w:t>
      </w:r>
      <w:r>
        <w:rPr/>
        <w:t>publicly available datasets matter for a simple but important reason: exclusively tracking the lending activities of China Eximbank and CDB and the subset of loans from these two policy banks that qualify as PPG debt is not a useful way to monitor the changing scale and composition of Beijing’s overseas lending portfolio if the portfolio has shifted toward new creditors, new borrowers, and</w:t>
      </w:r>
      <w:r>
        <w:rPr>
          <w:spacing w:val="80"/>
        </w:rPr>
        <w:t> </w:t>
      </w:r>
      <w:r>
        <w:rPr/>
        <w:t>new lending instruments. In this chapter, we demonstrate that such changes have</w:t>
      </w:r>
      <w:r>
        <w:rPr>
          <w:spacing w:val="-3"/>
        </w:rPr>
        <w:t> </w:t>
      </w:r>
      <w:r>
        <w:rPr/>
        <w:t>already</w:t>
      </w:r>
      <w:r>
        <w:rPr>
          <w:spacing w:val="-3"/>
        </w:rPr>
        <w:t> </w:t>
      </w:r>
      <w:r>
        <w:rPr/>
        <w:t>taken</w:t>
      </w:r>
      <w:r>
        <w:rPr>
          <w:spacing w:val="-3"/>
        </w:rPr>
        <w:t> </w:t>
      </w:r>
      <w:r>
        <w:rPr/>
        <w:t>place,</w:t>
      </w:r>
      <w:r>
        <w:rPr>
          <w:spacing w:val="-3"/>
        </w:rPr>
        <w:t> </w:t>
      </w:r>
      <w:r>
        <w:rPr/>
        <w:t>which</w:t>
      </w:r>
      <w:r>
        <w:rPr>
          <w:spacing w:val="-3"/>
        </w:rPr>
        <w:t> </w:t>
      </w:r>
      <w:r>
        <w:rPr/>
        <w:t>means</w:t>
      </w:r>
      <w:r>
        <w:rPr>
          <w:spacing w:val="-3"/>
        </w:rPr>
        <w:t> </w:t>
      </w:r>
      <w:r>
        <w:rPr/>
        <w:t>that</w:t>
      </w:r>
      <w:r>
        <w:rPr>
          <w:spacing w:val="-3"/>
        </w:rPr>
        <w:t> </w:t>
      </w:r>
      <w:r>
        <w:rPr/>
        <w:t>a</w:t>
      </w:r>
      <w:r>
        <w:rPr>
          <w:spacing w:val="-3"/>
        </w:rPr>
        <w:t> </w:t>
      </w:r>
      <w:r>
        <w:rPr/>
        <w:t>continued</w:t>
      </w:r>
      <w:r>
        <w:rPr>
          <w:spacing w:val="-3"/>
        </w:rPr>
        <w:t> </w:t>
      </w:r>
      <w:r>
        <w:rPr/>
        <w:t>focus</w:t>
      </w:r>
      <w:r>
        <w:rPr>
          <w:spacing w:val="-3"/>
        </w:rPr>
        <w:t> </w:t>
      </w:r>
      <w:r>
        <w:rPr/>
        <w:t>on</w:t>
      </w:r>
      <w:r>
        <w:rPr>
          <w:spacing w:val="-3"/>
        </w:rPr>
        <w:t> </w:t>
      </w:r>
      <w:r>
        <w:rPr/>
        <w:t>PPG</w:t>
      </w:r>
      <w:r>
        <w:rPr>
          <w:spacing w:val="-3"/>
        </w:rPr>
        <w:t> </w:t>
      </w:r>
      <w:r>
        <w:rPr/>
        <w:t>debt</w:t>
      </w:r>
      <w:r>
        <w:rPr>
          <w:spacing w:val="-3"/>
        </w:rPr>
        <w:t> </w:t>
      </w:r>
      <w:r>
        <w:rPr/>
        <w:t>from China Eximbank and China Development Bank would be analogous to the proverbial drunkard who insists upon searching for his keys beneath the lamppost “because that’s where the light is.”</w:t>
      </w:r>
      <w:r>
        <w:rPr>
          <w:vertAlign w:val="superscript"/>
        </w:rPr>
        <w:t>104</w:t>
      </w:r>
    </w:p>
    <w:p>
      <w:pPr>
        <w:pStyle w:val="BodyText"/>
        <w:spacing w:before="3"/>
        <w:rPr>
          <w:sz w:val="27"/>
        </w:rPr>
      </w:pPr>
    </w:p>
    <w:p>
      <w:pPr>
        <w:pStyle w:val="BodyText"/>
        <w:spacing w:line="333" w:lineRule="auto" w:before="1"/>
        <w:ind w:left="760" w:right="759"/>
      </w:pPr>
      <w:r>
        <w:rPr/>
        <w:t>There</w:t>
      </w:r>
      <w:r>
        <w:rPr>
          <w:spacing w:val="-5"/>
        </w:rPr>
        <w:t> </w:t>
      </w:r>
      <w:r>
        <w:rPr/>
        <w:t>are</w:t>
      </w:r>
      <w:r>
        <w:rPr>
          <w:spacing w:val="-5"/>
        </w:rPr>
        <w:t> </w:t>
      </w:r>
      <w:r>
        <w:rPr/>
        <w:t>several</w:t>
      </w:r>
      <w:r>
        <w:rPr>
          <w:spacing w:val="-5"/>
        </w:rPr>
        <w:t> </w:t>
      </w:r>
      <w:r>
        <w:rPr/>
        <w:t>supply-side</w:t>
      </w:r>
      <w:r>
        <w:rPr>
          <w:spacing w:val="-5"/>
        </w:rPr>
        <w:t> </w:t>
      </w:r>
      <w:r>
        <w:rPr/>
        <w:t>factors</w:t>
      </w:r>
      <w:r>
        <w:rPr>
          <w:spacing w:val="-5"/>
        </w:rPr>
        <w:t> </w:t>
      </w:r>
      <w:r>
        <w:rPr/>
        <w:t>that</w:t>
      </w:r>
      <w:r>
        <w:rPr>
          <w:spacing w:val="-5"/>
        </w:rPr>
        <w:t> </w:t>
      </w:r>
      <w:r>
        <w:rPr/>
        <w:t>have</w:t>
      </w:r>
      <w:r>
        <w:rPr>
          <w:spacing w:val="-5"/>
        </w:rPr>
        <w:t> </w:t>
      </w:r>
      <w:r>
        <w:rPr/>
        <w:t>likely</w:t>
      </w:r>
      <w:r>
        <w:rPr>
          <w:spacing w:val="-5"/>
        </w:rPr>
        <w:t> </w:t>
      </w:r>
      <w:r>
        <w:rPr/>
        <w:t>prevented</w:t>
      </w:r>
      <w:r>
        <w:rPr>
          <w:spacing w:val="-5"/>
        </w:rPr>
        <w:t> </w:t>
      </w:r>
      <w:r>
        <w:rPr/>
        <w:t>China’s</w:t>
      </w:r>
      <w:r>
        <w:rPr>
          <w:spacing w:val="-5"/>
        </w:rPr>
        <w:t> </w:t>
      </w:r>
      <w:r>
        <w:rPr/>
        <w:t>overseas lending program from collapsing. First, Beijing’s state-owned banks have high levels of international exposure to default risk, which means they have an</w:t>
      </w:r>
      <w:r>
        <w:rPr>
          <w:spacing w:val="80"/>
        </w:rPr>
        <w:t> </w:t>
      </w:r>
      <w:r>
        <w:rPr/>
        <w:t>interest in ensuring that their biggest borrowers are sufﬁciently liquid to </w:t>
      </w:r>
      <w:r>
        <w:rPr/>
        <w:t>continue servicing</w:t>
      </w:r>
      <w:r>
        <w:rPr>
          <w:spacing w:val="31"/>
        </w:rPr>
        <w:t> </w:t>
      </w:r>
      <w:r>
        <w:rPr/>
        <w:t>their</w:t>
      </w:r>
      <w:r>
        <w:rPr>
          <w:spacing w:val="31"/>
        </w:rPr>
        <w:t> </w:t>
      </w:r>
      <w:r>
        <w:rPr/>
        <w:t>existing</w:t>
      </w:r>
      <w:r>
        <w:rPr>
          <w:spacing w:val="31"/>
        </w:rPr>
        <w:t> </w:t>
      </w:r>
      <w:r>
        <w:rPr/>
        <w:t>debts.</w:t>
      </w:r>
      <w:r>
        <w:rPr>
          <w:spacing w:val="31"/>
        </w:rPr>
        <w:t> </w:t>
      </w:r>
      <w:r>
        <w:rPr/>
        <w:t>One</w:t>
      </w:r>
      <w:r>
        <w:rPr>
          <w:spacing w:val="31"/>
        </w:rPr>
        <w:t> </w:t>
      </w:r>
      <w:r>
        <w:rPr/>
        <w:t>way</w:t>
      </w:r>
      <w:r>
        <w:rPr>
          <w:spacing w:val="31"/>
        </w:rPr>
        <w:t> </w:t>
      </w:r>
      <w:r>
        <w:rPr/>
        <w:t>of</w:t>
      </w:r>
      <w:r>
        <w:rPr>
          <w:spacing w:val="31"/>
        </w:rPr>
        <w:t> </w:t>
      </w:r>
      <w:r>
        <w:rPr/>
        <w:t>providing</w:t>
      </w:r>
      <w:r>
        <w:rPr>
          <w:spacing w:val="31"/>
        </w:rPr>
        <w:t> </w:t>
      </w:r>
      <w:r>
        <w:rPr/>
        <w:t>liquidity</w:t>
      </w:r>
      <w:r>
        <w:rPr>
          <w:spacing w:val="31"/>
        </w:rPr>
        <w:t> </w:t>
      </w:r>
      <w:r>
        <w:rPr/>
        <w:t>relief</w:t>
      </w:r>
      <w:r>
        <w:rPr>
          <w:spacing w:val="31"/>
        </w:rPr>
        <w:t> </w:t>
      </w:r>
      <w:r>
        <w:rPr/>
        <w:t>to</w:t>
      </w:r>
      <w:r>
        <w:rPr>
          <w:spacing w:val="31"/>
        </w:rPr>
        <w:t> </w:t>
      </w:r>
      <w:r>
        <w:rPr/>
        <w:t>borrowers is via short- or medium-term bridge loans.</w:t>
      </w:r>
      <w:r>
        <w:rPr>
          <w:vertAlign w:val="superscript"/>
        </w:rPr>
        <w:t>105</w:t>
      </w:r>
      <w:r>
        <w:rPr>
          <w:vertAlign w:val="baseline"/>
        </w:rPr>
        <w:t> Second, even though Chinese banks are increasingly reluctant to issue long-term infrastructure project loans to government borrowers due to the rising tide of sovereign debt distress, Chinese companies with signiﬁcant international operations have an interest in securing</w:t>
      </w:r>
    </w:p>
    <w:p>
      <w:pPr>
        <w:pStyle w:val="BodyText"/>
        <w:spacing w:before="7"/>
        <w:rPr>
          <w:sz w:val="29"/>
        </w:rPr>
      </w:pPr>
      <w:r>
        <w:rPr/>
        <w:pict>
          <v:shape style="position:absolute;margin-left:90pt;margin-top:18.247168pt;width:144pt;height:.1pt;mso-position-horizontal-relative:page;mso-position-vertical-relative:paragraph;z-index:-15720448;mso-wrap-distance-left:0;mso-wrap-distance-right:0" id="docshape16" coordorigin="1800,365" coordsize="2880,0" path="m1800,365l4680,365e" filled="false" stroked="true" strokeweight=".75pt" strokecolor="#000000">
            <v:path arrowok="t"/>
            <v:stroke dashstyle="solid"/>
            <w10:wrap type="topAndBottom"/>
          </v:shape>
        </w:pict>
      </w:r>
    </w:p>
    <w:p>
      <w:pPr>
        <w:spacing w:line="249" w:lineRule="auto" w:before="101"/>
        <w:ind w:left="760" w:right="767" w:firstLine="0"/>
        <w:jc w:val="left"/>
        <w:rPr>
          <w:sz w:val="18"/>
        </w:rPr>
      </w:pPr>
      <w:r>
        <w:rPr>
          <w:sz w:val="18"/>
          <w:vertAlign w:val="superscript"/>
        </w:rPr>
        <w:t>103</w:t>
      </w:r>
      <w:r>
        <w:rPr>
          <w:sz w:val="18"/>
          <w:vertAlign w:val="baseline"/>
        </w:rPr>
        <w:t> During the early BRI period (2014-2017) and late BRI period (2018-2021), an increasing proportion of China's ofﬁcial sector lending to LICs and MICs consisted of emergency rescue loans, including those of </w:t>
      </w:r>
      <w:r>
        <w:rPr>
          <w:sz w:val="18"/>
          <w:vertAlign w:val="baseline"/>
        </w:rPr>
        <w:t>the “rollover” variety (see Figures 2.6 and A14 and Box 2c). The percentage of China’s non-emergency lending program in LICs and MICs that was channeled via multilateral institutions or syndicated loan arrangements increased from 33.7% in 2014 to 51.5% in 2021 (see Figure 2.23).</w:t>
      </w:r>
    </w:p>
    <w:p>
      <w:pPr>
        <w:spacing w:line="249" w:lineRule="auto" w:before="4"/>
        <w:ind w:left="760" w:right="898" w:firstLine="0"/>
        <w:jc w:val="left"/>
        <w:rPr>
          <w:sz w:val="18"/>
        </w:rPr>
      </w:pPr>
      <w:r>
        <w:rPr>
          <w:sz w:val="18"/>
          <w:vertAlign w:val="superscript"/>
        </w:rPr>
        <w:t>104</w:t>
      </w:r>
      <w:r>
        <w:rPr>
          <w:sz w:val="18"/>
          <w:vertAlign w:val="baseline"/>
        </w:rPr>
        <w:t> According to the 3.0 version of AidData’s GCDF dataset, the percentage of ofﬁcial sector lending commitments</w:t>
      </w:r>
      <w:r>
        <w:rPr>
          <w:spacing w:val="-1"/>
          <w:sz w:val="18"/>
          <w:vertAlign w:val="baseline"/>
        </w:rPr>
        <w:t> </w:t>
      </w:r>
      <w:r>
        <w:rPr>
          <w:sz w:val="18"/>
          <w:vertAlign w:val="baseline"/>
        </w:rPr>
        <w:t>from</w:t>
      </w:r>
      <w:r>
        <w:rPr>
          <w:spacing w:val="-1"/>
          <w:sz w:val="18"/>
          <w:vertAlign w:val="baseline"/>
        </w:rPr>
        <w:t> </w:t>
      </w:r>
      <w:r>
        <w:rPr>
          <w:sz w:val="18"/>
          <w:vertAlign w:val="baseline"/>
        </w:rPr>
        <w:t>China</w:t>
      </w:r>
      <w:r>
        <w:rPr>
          <w:spacing w:val="-1"/>
          <w:sz w:val="18"/>
          <w:vertAlign w:val="baseline"/>
        </w:rPr>
        <w:t> </w:t>
      </w:r>
      <w:r>
        <w:rPr>
          <w:sz w:val="18"/>
          <w:vertAlign w:val="baseline"/>
        </w:rPr>
        <w:t>to</w:t>
      </w:r>
      <w:r>
        <w:rPr>
          <w:spacing w:val="-1"/>
          <w:sz w:val="18"/>
          <w:vertAlign w:val="baseline"/>
        </w:rPr>
        <w:t> </w:t>
      </w:r>
      <w:r>
        <w:rPr>
          <w:sz w:val="18"/>
          <w:vertAlign w:val="baseline"/>
        </w:rPr>
        <w:t>LICs</w:t>
      </w:r>
      <w:r>
        <w:rPr>
          <w:spacing w:val="-1"/>
          <w:sz w:val="18"/>
          <w:vertAlign w:val="baseline"/>
        </w:rPr>
        <w:t> </w:t>
      </w:r>
      <w:r>
        <w:rPr>
          <w:sz w:val="18"/>
          <w:vertAlign w:val="baseline"/>
        </w:rPr>
        <w:t>and</w:t>
      </w:r>
      <w:r>
        <w:rPr>
          <w:spacing w:val="-1"/>
          <w:sz w:val="18"/>
          <w:vertAlign w:val="baseline"/>
        </w:rPr>
        <w:t> </w:t>
      </w:r>
      <w:r>
        <w:rPr>
          <w:sz w:val="18"/>
          <w:vertAlign w:val="baseline"/>
        </w:rPr>
        <w:t>MICs</w:t>
      </w:r>
      <w:r>
        <w:rPr>
          <w:spacing w:val="-1"/>
          <w:sz w:val="18"/>
          <w:vertAlign w:val="baseline"/>
        </w:rPr>
        <w:t> </w:t>
      </w:r>
      <w:r>
        <w:rPr>
          <w:sz w:val="18"/>
          <w:vertAlign w:val="baseline"/>
        </w:rPr>
        <w:t>that</w:t>
      </w:r>
      <w:r>
        <w:rPr>
          <w:spacing w:val="-1"/>
          <w:sz w:val="18"/>
          <w:vertAlign w:val="baseline"/>
        </w:rPr>
        <w:t> </w:t>
      </w:r>
      <w:r>
        <w:rPr>
          <w:sz w:val="18"/>
          <w:vertAlign w:val="baseline"/>
        </w:rPr>
        <w:t>were</w:t>
      </w:r>
      <w:r>
        <w:rPr>
          <w:spacing w:val="-1"/>
          <w:sz w:val="18"/>
          <w:vertAlign w:val="baseline"/>
        </w:rPr>
        <w:t> </w:t>
      </w:r>
      <w:r>
        <w:rPr>
          <w:sz w:val="18"/>
          <w:vertAlign w:val="baseline"/>
        </w:rPr>
        <w:t>channeled</w:t>
      </w:r>
      <w:r>
        <w:rPr>
          <w:spacing w:val="-1"/>
          <w:sz w:val="18"/>
          <w:vertAlign w:val="baseline"/>
        </w:rPr>
        <w:t> </w:t>
      </w:r>
      <w:r>
        <w:rPr>
          <w:sz w:val="18"/>
          <w:vertAlign w:val="baseline"/>
        </w:rPr>
        <w:t>through</w:t>
      </w:r>
      <w:r>
        <w:rPr>
          <w:spacing w:val="-1"/>
          <w:sz w:val="18"/>
          <w:vertAlign w:val="baseline"/>
        </w:rPr>
        <w:t> </w:t>
      </w:r>
      <w:r>
        <w:rPr>
          <w:sz w:val="18"/>
          <w:vertAlign w:val="baseline"/>
        </w:rPr>
        <w:t>the</w:t>
      </w:r>
      <w:r>
        <w:rPr>
          <w:spacing w:val="-1"/>
          <w:sz w:val="18"/>
          <w:vertAlign w:val="baseline"/>
        </w:rPr>
        <w:t> </w:t>
      </w:r>
      <w:r>
        <w:rPr>
          <w:sz w:val="18"/>
          <w:vertAlign w:val="baseline"/>
        </w:rPr>
        <w:t>policy</w:t>
      </w:r>
      <w:r>
        <w:rPr>
          <w:spacing w:val="-1"/>
          <w:sz w:val="18"/>
          <w:vertAlign w:val="baseline"/>
        </w:rPr>
        <w:t> </w:t>
      </w:r>
      <w:r>
        <w:rPr>
          <w:sz w:val="18"/>
          <w:vertAlign w:val="baseline"/>
        </w:rPr>
        <w:t>banks</w:t>
      </w:r>
      <w:r>
        <w:rPr>
          <w:spacing w:val="-1"/>
          <w:sz w:val="18"/>
          <w:vertAlign w:val="baseline"/>
        </w:rPr>
        <w:t> </w:t>
      </w:r>
      <w:r>
        <w:rPr>
          <w:sz w:val="18"/>
          <w:vertAlign w:val="baseline"/>
        </w:rPr>
        <w:t>(CDB</w:t>
      </w:r>
      <w:r>
        <w:rPr>
          <w:spacing w:val="-1"/>
          <w:sz w:val="18"/>
          <w:vertAlign w:val="baseline"/>
        </w:rPr>
        <w:t> </w:t>
      </w:r>
      <w:r>
        <w:rPr>
          <w:sz w:val="18"/>
          <w:vertAlign w:val="baseline"/>
        </w:rPr>
        <w:t>and</w:t>
      </w:r>
      <w:r>
        <w:rPr>
          <w:spacing w:val="-1"/>
          <w:sz w:val="18"/>
          <w:vertAlign w:val="baseline"/>
        </w:rPr>
        <w:t> </w:t>
      </w:r>
      <w:r>
        <w:rPr>
          <w:sz w:val="18"/>
          <w:vertAlign w:val="baseline"/>
        </w:rPr>
        <w:t>China Eximbank)</w:t>
      </w:r>
      <w:r>
        <w:rPr>
          <w:spacing w:val="-4"/>
          <w:sz w:val="18"/>
          <w:vertAlign w:val="baseline"/>
        </w:rPr>
        <w:t> </w:t>
      </w:r>
      <w:r>
        <w:rPr>
          <w:sz w:val="18"/>
          <w:vertAlign w:val="baseline"/>
        </w:rPr>
        <w:t>plummeted</w:t>
      </w:r>
      <w:r>
        <w:rPr>
          <w:spacing w:val="-4"/>
          <w:sz w:val="18"/>
          <w:vertAlign w:val="baseline"/>
        </w:rPr>
        <w:t> </w:t>
      </w:r>
      <w:r>
        <w:rPr>
          <w:sz w:val="18"/>
          <w:vertAlign w:val="baseline"/>
        </w:rPr>
        <w:t>from</w:t>
      </w:r>
      <w:r>
        <w:rPr>
          <w:spacing w:val="-4"/>
          <w:sz w:val="18"/>
          <w:vertAlign w:val="baseline"/>
        </w:rPr>
        <w:t> </w:t>
      </w:r>
      <w:r>
        <w:rPr>
          <w:sz w:val="18"/>
          <w:vertAlign w:val="baseline"/>
        </w:rPr>
        <w:t>87%</w:t>
      </w:r>
      <w:r>
        <w:rPr>
          <w:spacing w:val="-4"/>
          <w:sz w:val="18"/>
          <w:vertAlign w:val="baseline"/>
        </w:rPr>
        <w:t> </w:t>
      </w:r>
      <w:r>
        <w:rPr>
          <w:sz w:val="18"/>
          <w:vertAlign w:val="baseline"/>
        </w:rPr>
        <w:t>in</w:t>
      </w:r>
      <w:r>
        <w:rPr>
          <w:spacing w:val="-4"/>
          <w:sz w:val="18"/>
          <w:vertAlign w:val="baseline"/>
        </w:rPr>
        <w:t> </w:t>
      </w:r>
      <w:r>
        <w:rPr>
          <w:sz w:val="18"/>
          <w:vertAlign w:val="baseline"/>
        </w:rPr>
        <w:t>2009</w:t>
      </w:r>
      <w:r>
        <w:rPr>
          <w:spacing w:val="-4"/>
          <w:sz w:val="18"/>
          <w:vertAlign w:val="baseline"/>
        </w:rPr>
        <w:t> </w:t>
      </w:r>
      <w:r>
        <w:rPr>
          <w:sz w:val="18"/>
          <w:vertAlign w:val="baseline"/>
        </w:rPr>
        <w:t>to</w:t>
      </w:r>
      <w:r>
        <w:rPr>
          <w:spacing w:val="-4"/>
          <w:sz w:val="18"/>
          <w:vertAlign w:val="baseline"/>
        </w:rPr>
        <w:t> </w:t>
      </w:r>
      <w:r>
        <w:rPr>
          <w:sz w:val="18"/>
          <w:vertAlign w:val="baseline"/>
        </w:rPr>
        <w:t>22%</w:t>
      </w:r>
      <w:r>
        <w:rPr>
          <w:spacing w:val="-4"/>
          <w:sz w:val="18"/>
          <w:vertAlign w:val="baseline"/>
        </w:rPr>
        <w:t> </w:t>
      </w:r>
      <w:r>
        <w:rPr>
          <w:sz w:val="18"/>
          <w:vertAlign w:val="baseline"/>
        </w:rPr>
        <w:t>in</w:t>
      </w:r>
      <w:r>
        <w:rPr>
          <w:spacing w:val="-4"/>
          <w:sz w:val="18"/>
          <w:vertAlign w:val="baseline"/>
        </w:rPr>
        <w:t> </w:t>
      </w:r>
      <w:r>
        <w:rPr>
          <w:sz w:val="18"/>
          <w:vertAlign w:val="baseline"/>
        </w:rPr>
        <w:t>2021</w:t>
      </w:r>
      <w:r>
        <w:rPr>
          <w:spacing w:val="-4"/>
          <w:sz w:val="18"/>
          <w:vertAlign w:val="baseline"/>
        </w:rPr>
        <w:t> </w:t>
      </w:r>
      <w:r>
        <w:rPr>
          <w:sz w:val="18"/>
          <w:vertAlign w:val="baseline"/>
        </w:rPr>
        <w:t>(see</w:t>
      </w:r>
      <w:r>
        <w:rPr>
          <w:spacing w:val="-4"/>
          <w:sz w:val="18"/>
          <w:vertAlign w:val="baseline"/>
        </w:rPr>
        <w:t> </w:t>
      </w:r>
      <w:r>
        <w:rPr>
          <w:sz w:val="18"/>
          <w:vertAlign w:val="baseline"/>
        </w:rPr>
        <w:t>Figure</w:t>
      </w:r>
      <w:r>
        <w:rPr>
          <w:spacing w:val="-4"/>
          <w:sz w:val="18"/>
          <w:vertAlign w:val="baseline"/>
        </w:rPr>
        <w:t> </w:t>
      </w:r>
      <w:r>
        <w:rPr>
          <w:sz w:val="18"/>
          <w:vertAlign w:val="baseline"/>
        </w:rPr>
        <w:t>A27).</w:t>
      </w:r>
      <w:r>
        <w:rPr>
          <w:spacing w:val="-4"/>
          <w:sz w:val="18"/>
          <w:vertAlign w:val="baseline"/>
        </w:rPr>
        <w:t> </w:t>
      </w:r>
      <w:r>
        <w:rPr>
          <w:sz w:val="18"/>
          <w:vertAlign w:val="baseline"/>
        </w:rPr>
        <w:t>As</w:t>
      </w:r>
      <w:r>
        <w:rPr>
          <w:spacing w:val="-4"/>
          <w:sz w:val="18"/>
          <w:vertAlign w:val="baseline"/>
        </w:rPr>
        <w:t> </w:t>
      </w:r>
      <w:r>
        <w:rPr>
          <w:sz w:val="18"/>
          <w:vertAlign w:val="baseline"/>
        </w:rPr>
        <w:t>Mingey</w:t>
      </w:r>
      <w:r>
        <w:rPr>
          <w:spacing w:val="-4"/>
          <w:sz w:val="18"/>
          <w:vertAlign w:val="baseline"/>
        </w:rPr>
        <w:t> </w:t>
      </w:r>
      <w:r>
        <w:rPr>
          <w:sz w:val="18"/>
          <w:vertAlign w:val="baseline"/>
        </w:rPr>
        <w:t>and</w:t>
      </w:r>
      <w:r>
        <w:rPr>
          <w:spacing w:val="-4"/>
          <w:sz w:val="18"/>
          <w:vertAlign w:val="baseline"/>
        </w:rPr>
        <w:t> </w:t>
      </w:r>
      <w:r>
        <w:rPr>
          <w:sz w:val="18"/>
          <w:vertAlign w:val="baseline"/>
        </w:rPr>
        <w:t>Kratz</w:t>
      </w:r>
      <w:r>
        <w:rPr>
          <w:spacing w:val="-4"/>
          <w:sz w:val="18"/>
          <w:vertAlign w:val="baseline"/>
        </w:rPr>
        <w:t> </w:t>
      </w:r>
      <w:r>
        <w:rPr>
          <w:sz w:val="18"/>
          <w:vertAlign w:val="baseline"/>
        </w:rPr>
        <w:t>(2021)</w:t>
      </w:r>
      <w:r>
        <w:rPr>
          <w:spacing w:val="-4"/>
          <w:sz w:val="18"/>
          <w:vertAlign w:val="baseline"/>
        </w:rPr>
        <w:t> </w:t>
      </w:r>
      <w:r>
        <w:rPr>
          <w:sz w:val="18"/>
          <w:vertAlign w:val="baseline"/>
        </w:rPr>
        <w:t>put it “[t]he issue ultimately is one of scope. The [...] focus on policy bank loans obscures changes in China’s lending patterns—whether a shift in the source of loans to emerging market governments from policy commercial banks, or shifts in the destination of loans from governments to private infrastructure vehicles and corporates.”</w:t>
      </w:r>
    </w:p>
    <w:p>
      <w:pPr>
        <w:spacing w:line="249" w:lineRule="auto" w:before="5"/>
        <w:ind w:left="760" w:right="838" w:firstLine="0"/>
        <w:jc w:val="left"/>
        <w:rPr>
          <w:sz w:val="18"/>
        </w:rPr>
      </w:pPr>
      <w:r>
        <w:rPr>
          <w:sz w:val="18"/>
          <w:vertAlign w:val="superscript"/>
        </w:rPr>
        <w:t>105</w:t>
      </w:r>
      <w:r>
        <w:rPr>
          <w:sz w:val="18"/>
          <w:vertAlign w:val="baseline"/>
        </w:rPr>
        <w:t> Other options include grace period extensions, maturity extensions, and interest rate reductions. </w:t>
      </w:r>
      <w:r>
        <w:rPr>
          <w:sz w:val="18"/>
          <w:vertAlign w:val="baseline"/>
        </w:rPr>
        <w:t>For more on this topic, see Horn et al. (2023a, 2023b).</w:t>
      </w:r>
    </w:p>
    <w:p>
      <w:pPr>
        <w:spacing w:after="0" w:line="249" w:lineRule="auto"/>
        <w:jc w:val="left"/>
        <w:rPr>
          <w:sz w:val="18"/>
        </w:rPr>
        <w:sectPr>
          <w:pgSz w:w="12240" w:h="15840"/>
          <w:pgMar w:header="0" w:footer="720" w:top="1400" w:bottom="920" w:left="1040" w:right="1040"/>
        </w:sectPr>
      </w:pPr>
    </w:p>
    <w:p>
      <w:pPr>
        <w:pStyle w:val="BodyText"/>
        <w:spacing w:line="333" w:lineRule="auto" w:before="27"/>
        <w:ind w:left="760" w:right="859"/>
      </w:pPr>
      <w:r>
        <w:rPr/>
        <w:t>new business and preserving market share in the countries where they operate. They therefore have incentives to ensure that new sources and types of ﬁnancing—such as syndicated loans that pool credit risk across Chinese and non-Chinese</w:t>
      </w:r>
      <w:r>
        <w:rPr>
          <w:spacing w:val="-3"/>
        </w:rPr>
        <w:t> </w:t>
      </w:r>
      <w:r>
        <w:rPr/>
        <w:t>lenders,</w:t>
      </w:r>
      <w:r>
        <w:rPr>
          <w:spacing w:val="-3"/>
        </w:rPr>
        <w:t> </w:t>
      </w:r>
      <w:r>
        <w:rPr/>
        <w:t>loans</w:t>
      </w:r>
      <w:r>
        <w:rPr>
          <w:spacing w:val="-3"/>
        </w:rPr>
        <w:t> </w:t>
      </w:r>
      <w:r>
        <w:rPr/>
        <w:t>to</w:t>
      </w:r>
      <w:r>
        <w:rPr>
          <w:spacing w:val="-3"/>
        </w:rPr>
        <w:t> </w:t>
      </w:r>
      <w:r>
        <w:rPr/>
        <w:t>special</w:t>
      </w:r>
      <w:r>
        <w:rPr>
          <w:spacing w:val="-3"/>
        </w:rPr>
        <w:t> </w:t>
      </w:r>
      <w:r>
        <w:rPr/>
        <w:t>purpose</w:t>
      </w:r>
      <w:r>
        <w:rPr>
          <w:spacing w:val="-3"/>
        </w:rPr>
        <w:t> </w:t>
      </w:r>
      <w:r>
        <w:rPr/>
        <w:t>vehicles</w:t>
      </w:r>
      <w:r>
        <w:rPr>
          <w:spacing w:val="-3"/>
        </w:rPr>
        <w:t> </w:t>
      </w:r>
      <w:r>
        <w:rPr/>
        <w:t>and</w:t>
      </w:r>
      <w:r>
        <w:rPr>
          <w:spacing w:val="-3"/>
        </w:rPr>
        <w:t> </w:t>
      </w:r>
      <w:r>
        <w:rPr/>
        <w:t>joint</w:t>
      </w:r>
      <w:r>
        <w:rPr>
          <w:spacing w:val="-3"/>
        </w:rPr>
        <w:t> </w:t>
      </w:r>
      <w:r>
        <w:rPr/>
        <w:t>ventures</w:t>
      </w:r>
      <w:r>
        <w:rPr>
          <w:spacing w:val="-3"/>
        </w:rPr>
        <w:t> </w:t>
      </w:r>
      <w:r>
        <w:rPr/>
        <w:t>rather than sovereigns, and deferred payment or EPCF agreements that involve more</w:t>
      </w:r>
    </w:p>
    <w:p>
      <w:pPr>
        <w:pStyle w:val="BodyText"/>
        <w:spacing w:line="333" w:lineRule="auto"/>
        <w:ind w:left="760" w:right="745"/>
      </w:pPr>
      <w:r>
        <w:rPr/>
        <w:t>risk-sharing</w:t>
      </w:r>
      <w:r>
        <w:rPr>
          <w:spacing w:val="-6"/>
        </w:rPr>
        <w:t> </w:t>
      </w:r>
      <w:r>
        <w:rPr/>
        <w:t>between</w:t>
      </w:r>
      <w:r>
        <w:rPr>
          <w:spacing w:val="-6"/>
        </w:rPr>
        <w:t> </w:t>
      </w:r>
      <w:r>
        <w:rPr/>
        <w:t>Chinese</w:t>
      </w:r>
      <w:r>
        <w:rPr>
          <w:spacing w:val="-6"/>
        </w:rPr>
        <w:t> </w:t>
      </w:r>
      <w:r>
        <w:rPr/>
        <w:t>companies</w:t>
      </w:r>
      <w:r>
        <w:rPr>
          <w:spacing w:val="-6"/>
        </w:rPr>
        <w:t> </w:t>
      </w:r>
      <w:r>
        <w:rPr/>
        <w:t>and</w:t>
      </w:r>
      <w:r>
        <w:rPr>
          <w:spacing w:val="-6"/>
        </w:rPr>
        <w:t> </w:t>
      </w:r>
      <w:r>
        <w:rPr/>
        <w:t>their</w:t>
      </w:r>
      <w:r>
        <w:rPr>
          <w:spacing w:val="-6"/>
        </w:rPr>
        <w:t> </w:t>
      </w:r>
      <w:r>
        <w:rPr/>
        <w:t>overseas</w:t>
      </w:r>
      <w:r>
        <w:rPr>
          <w:spacing w:val="-6"/>
        </w:rPr>
        <w:t> </w:t>
      </w:r>
      <w:r>
        <w:rPr/>
        <w:t>clients—are</w:t>
      </w:r>
      <w:r>
        <w:rPr>
          <w:spacing w:val="-6"/>
        </w:rPr>
        <w:t> </w:t>
      </w:r>
      <w:r>
        <w:rPr/>
        <w:t>brought to bear in support of new infrastructure projects in overseas markets. Third, to sustain high levels of domestic economic growth, China has a long-run need to secure natural resources that it lacks in sufﬁcient quantities at home, which is an important reason why Beijing allows its overseas borrowers to collateralize and repay loans with the money they earn from natural resource exports to China.</w:t>
      </w:r>
    </w:p>
    <w:p>
      <w:pPr>
        <w:pStyle w:val="BodyText"/>
        <w:spacing w:line="333" w:lineRule="auto"/>
        <w:ind w:left="760" w:right="767"/>
      </w:pPr>
      <w:r>
        <w:rPr/>
        <w:t>Fourth, China is seeking to position itself as a major world power and </w:t>
      </w:r>
      <w:r>
        <w:rPr/>
        <w:t>project inﬂuence around the globe, which serves as a counterweight to ﬁnancial pressures for retrenchment.</w:t>
      </w:r>
    </w:p>
    <w:p>
      <w:pPr>
        <w:pStyle w:val="BodyText"/>
        <w:spacing w:before="1"/>
        <w:rPr>
          <w:sz w:val="27"/>
        </w:rPr>
      </w:pPr>
    </w:p>
    <w:p>
      <w:pPr>
        <w:pStyle w:val="BodyText"/>
        <w:spacing w:line="333" w:lineRule="auto" w:before="1"/>
        <w:ind w:left="760" w:right="767"/>
      </w:pPr>
      <w:r>
        <w:rPr>
          <w:w w:val="105"/>
        </w:rPr>
        <w:t>However,</w:t>
      </w:r>
      <w:r>
        <w:rPr>
          <w:spacing w:val="-13"/>
          <w:w w:val="105"/>
        </w:rPr>
        <w:t> </w:t>
      </w:r>
      <w:r>
        <w:rPr>
          <w:w w:val="105"/>
        </w:rPr>
        <w:t>there</w:t>
      </w:r>
      <w:r>
        <w:rPr>
          <w:spacing w:val="-13"/>
          <w:w w:val="105"/>
        </w:rPr>
        <w:t> </w:t>
      </w:r>
      <w:r>
        <w:rPr>
          <w:w w:val="105"/>
        </w:rPr>
        <w:t>is</w:t>
      </w:r>
      <w:r>
        <w:rPr>
          <w:spacing w:val="-13"/>
          <w:w w:val="105"/>
        </w:rPr>
        <w:t> </w:t>
      </w:r>
      <w:r>
        <w:rPr>
          <w:w w:val="105"/>
        </w:rPr>
        <w:t>probably</w:t>
      </w:r>
      <w:r>
        <w:rPr>
          <w:spacing w:val="-13"/>
          <w:w w:val="105"/>
        </w:rPr>
        <w:t> </w:t>
      </w:r>
      <w:r>
        <w:rPr>
          <w:w w:val="105"/>
        </w:rPr>
        <w:t>no</w:t>
      </w:r>
      <w:r>
        <w:rPr>
          <w:spacing w:val="-13"/>
          <w:w w:val="105"/>
        </w:rPr>
        <w:t> </w:t>
      </w:r>
      <w:r>
        <w:rPr>
          <w:w w:val="105"/>
        </w:rPr>
        <w:t>factor</w:t>
      </w:r>
      <w:r>
        <w:rPr>
          <w:spacing w:val="-13"/>
          <w:w w:val="105"/>
        </w:rPr>
        <w:t> </w:t>
      </w:r>
      <w:r>
        <w:rPr>
          <w:w w:val="105"/>
        </w:rPr>
        <w:t>more</w:t>
      </w:r>
      <w:r>
        <w:rPr>
          <w:spacing w:val="-13"/>
          <w:w w:val="105"/>
        </w:rPr>
        <w:t> </w:t>
      </w:r>
      <w:r>
        <w:rPr>
          <w:w w:val="105"/>
        </w:rPr>
        <w:t>important</w:t>
      </w:r>
      <w:r>
        <w:rPr>
          <w:spacing w:val="-13"/>
          <w:w w:val="105"/>
        </w:rPr>
        <w:t> </w:t>
      </w:r>
      <w:r>
        <w:rPr>
          <w:w w:val="105"/>
        </w:rPr>
        <w:t>than</w:t>
      </w:r>
      <w:r>
        <w:rPr>
          <w:spacing w:val="-13"/>
          <w:w w:val="105"/>
        </w:rPr>
        <w:t> </w:t>
      </w:r>
      <w:r>
        <w:rPr>
          <w:w w:val="105"/>
        </w:rPr>
        <w:t>the</w:t>
      </w:r>
      <w:r>
        <w:rPr>
          <w:spacing w:val="-13"/>
          <w:w w:val="105"/>
        </w:rPr>
        <w:t> </w:t>
      </w:r>
      <w:r>
        <w:rPr>
          <w:w w:val="105"/>
        </w:rPr>
        <w:t>overall</w:t>
      </w:r>
      <w:r>
        <w:rPr>
          <w:spacing w:val="-13"/>
          <w:w w:val="105"/>
        </w:rPr>
        <w:t> </w:t>
      </w:r>
      <w:r>
        <w:rPr>
          <w:w w:val="105"/>
        </w:rPr>
        <w:t>size</w:t>
      </w:r>
      <w:r>
        <w:rPr>
          <w:spacing w:val="-13"/>
          <w:w w:val="105"/>
        </w:rPr>
        <w:t> </w:t>
      </w:r>
      <w:r>
        <w:rPr>
          <w:w w:val="105"/>
        </w:rPr>
        <w:t>of </w:t>
      </w:r>
      <w:r>
        <w:rPr>
          <w:spacing w:val="-2"/>
          <w:w w:val="105"/>
        </w:rPr>
        <w:t>China’s</w:t>
      </w:r>
      <w:r>
        <w:rPr>
          <w:spacing w:val="-15"/>
          <w:w w:val="105"/>
        </w:rPr>
        <w:t> </w:t>
      </w:r>
      <w:r>
        <w:rPr>
          <w:spacing w:val="-2"/>
          <w:w w:val="105"/>
        </w:rPr>
        <w:t>foreign</w:t>
      </w:r>
      <w:r>
        <w:rPr>
          <w:spacing w:val="-15"/>
          <w:w w:val="105"/>
        </w:rPr>
        <w:t> </w:t>
      </w:r>
      <w:r>
        <w:rPr>
          <w:spacing w:val="-2"/>
          <w:w w:val="105"/>
        </w:rPr>
        <w:t>exchange</w:t>
      </w:r>
      <w:r>
        <w:rPr>
          <w:spacing w:val="-15"/>
          <w:w w:val="105"/>
        </w:rPr>
        <w:t> </w:t>
      </w:r>
      <w:r>
        <w:rPr>
          <w:spacing w:val="-2"/>
          <w:w w:val="105"/>
        </w:rPr>
        <w:t>reserves.</w:t>
      </w:r>
      <w:r>
        <w:rPr>
          <w:spacing w:val="-15"/>
          <w:w w:val="105"/>
        </w:rPr>
        <w:t> </w:t>
      </w:r>
      <w:r>
        <w:rPr>
          <w:spacing w:val="-2"/>
          <w:w w:val="105"/>
        </w:rPr>
        <w:t>China</w:t>
      </w:r>
      <w:r>
        <w:rPr>
          <w:spacing w:val="-15"/>
          <w:w w:val="105"/>
        </w:rPr>
        <w:t> </w:t>
      </w:r>
      <w:r>
        <w:rPr>
          <w:spacing w:val="-2"/>
          <w:w w:val="105"/>
        </w:rPr>
        <w:t>would</w:t>
      </w:r>
      <w:r>
        <w:rPr>
          <w:spacing w:val="-15"/>
          <w:w w:val="105"/>
        </w:rPr>
        <w:t> </w:t>
      </w:r>
      <w:r>
        <w:rPr>
          <w:spacing w:val="-2"/>
          <w:w w:val="105"/>
        </w:rPr>
        <w:t>not</w:t>
      </w:r>
      <w:r>
        <w:rPr>
          <w:spacing w:val="-15"/>
          <w:w w:val="105"/>
        </w:rPr>
        <w:t> </w:t>
      </w:r>
      <w:r>
        <w:rPr>
          <w:spacing w:val="-2"/>
          <w:w w:val="105"/>
        </w:rPr>
        <w:t>have</w:t>
      </w:r>
      <w:r>
        <w:rPr>
          <w:spacing w:val="-15"/>
          <w:w w:val="105"/>
        </w:rPr>
        <w:t> </w:t>
      </w:r>
      <w:r>
        <w:rPr>
          <w:spacing w:val="-2"/>
          <w:w w:val="105"/>
        </w:rPr>
        <w:t>become</w:t>
      </w:r>
      <w:r>
        <w:rPr>
          <w:spacing w:val="-15"/>
          <w:w w:val="105"/>
        </w:rPr>
        <w:t> </w:t>
      </w:r>
      <w:r>
        <w:rPr>
          <w:spacing w:val="-2"/>
          <w:w w:val="105"/>
        </w:rPr>
        <w:t>the</w:t>
      </w:r>
      <w:r>
        <w:rPr>
          <w:spacing w:val="-15"/>
          <w:w w:val="105"/>
        </w:rPr>
        <w:t> </w:t>
      </w:r>
      <w:r>
        <w:rPr>
          <w:spacing w:val="-2"/>
          <w:w w:val="105"/>
        </w:rPr>
        <w:t>world’s largest</w:t>
      </w:r>
      <w:r>
        <w:rPr>
          <w:spacing w:val="-12"/>
          <w:w w:val="105"/>
        </w:rPr>
        <w:t> </w:t>
      </w:r>
      <w:r>
        <w:rPr>
          <w:spacing w:val="-2"/>
          <w:w w:val="105"/>
        </w:rPr>
        <w:t>ofﬁcial</w:t>
      </w:r>
      <w:r>
        <w:rPr>
          <w:spacing w:val="-12"/>
          <w:w w:val="105"/>
        </w:rPr>
        <w:t> </w:t>
      </w:r>
      <w:r>
        <w:rPr>
          <w:spacing w:val="-2"/>
          <w:w w:val="105"/>
        </w:rPr>
        <w:t>creditor</w:t>
      </w:r>
      <w:r>
        <w:rPr>
          <w:spacing w:val="-12"/>
          <w:w w:val="105"/>
        </w:rPr>
        <w:t> </w:t>
      </w:r>
      <w:r>
        <w:rPr>
          <w:spacing w:val="-2"/>
          <w:w w:val="105"/>
        </w:rPr>
        <w:t>to</w:t>
      </w:r>
      <w:r>
        <w:rPr>
          <w:spacing w:val="-12"/>
          <w:w w:val="105"/>
        </w:rPr>
        <w:t> </w:t>
      </w:r>
      <w:r>
        <w:rPr>
          <w:spacing w:val="-2"/>
          <w:w w:val="105"/>
        </w:rPr>
        <w:t>the</w:t>
      </w:r>
      <w:r>
        <w:rPr>
          <w:spacing w:val="-12"/>
          <w:w w:val="105"/>
        </w:rPr>
        <w:t> </w:t>
      </w:r>
      <w:r>
        <w:rPr>
          <w:spacing w:val="-2"/>
          <w:w w:val="105"/>
        </w:rPr>
        <w:t>developing</w:t>
      </w:r>
      <w:r>
        <w:rPr>
          <w:spacing w:val="-12"/>
          <w:w w:val="105"/>
        </w:rPr>
        <w:t> </w:t>
      </w:r>
      <w:r>
        <w:rPr>
          <w:spacing w:val="-2"/>
          <w:w w:val="105"/>
        </w:rPr>
        <w:t>world—larger</w:t>
      </w:r>
      <w:r>
        <w:rPr>
          <w:spacing w:val="-12"/>
          <w:w w:val="105"/>
        </w:rPr>
        <w:t> </w:t>
      </w:r>
      <w:r>
        <w:rPr>
          <w:spacing w:val="-2"/>
          <w:w w:val="105"/>
        </w:rPr>
        <w:t>than</w:t>
      </w:r>
      <w:r>
        <w:rPr>
          <w:spacing w:val="-12"/>
          <w:w w:val="105"/>
        </w:rPr>
        <w:t> </w:t>
      </w:r>
      <w:r>
        <w:rPr>
          <w:spacing w:val="-2"/>
          <w:w w:val="105"/>
        </w:rPr>
        <w:t>the</w:t>
      </w:r>
      <w:r>
        <w:rPr>
          <w:spacing w:val="-12"/>
          <w:w w:val="105"/>
        </w:rPr>
        <w:t> </w:t>
      </w:r>
      <w:r>
        <w:rPr>
          <w:spacing w:val="-2"/>
          <w:w w:val="105"/>
        </w:rPr>
        <w:t>World</w:t>
      </w:r>
      <w:r>
        <w:rPr>
          <w:spacing w:val="-12"/>
          <w:w w:val="105"/>
        </w:rPr>
        <w:t> </w:t>
      </w:r>
      <w:r>
        <w:rPr>
          <w:spacing w:val="-2"/>
          <w:w w:val="105"/>
        </w:rPr>
        <w:t>Bank,</w:t>
      </w:r>
      <w:r>
        <w:rPr>
          <w:spacing w:val="-12"/>
          <w:w w:val="105"/>
        </w:rPr>
        <w:t> </w:t>
      </w:r>
      <w:r>
        <w:rPr>
          <w:spacing w:val="-2"/>
          <w:w w:val="105"/>
        </w:rPr>
        <w:t>the </w:t>
      </w:r>
      <w:r>
        <w:rPr>
          <w:w w:val="105"/>
        </w:rPr>
        <w:t>IMF,</w:t>
      </w:r>
      <w:r>
        <w:rPr>
          <w:spacing w:val="-18"/>
          <w:w w:val="105"/>
        </w:rPr>
        <w:t> </w:t>
      </w:r>
      <w:r>
        <w:rPr>
          <w:w w:val="105"/>
        </w:rPr>
        <w:t>and</w:t>
      </w:r>
      <w:r>
        <w:rPr>
          <w:spacing w:val="-17"/>
          <w:w w:val="105"/>
        </w:rPr>
        <w:t> </w:t>
      </w:r>
      <w:r>
        <w:rPr>
          <w:w w:val="105"/>
        </w:rPr>
        <w:t>all</w:t>
      </w:r>
      <w:r>
        <w:rPr>
          <w:spacing w:val="-18"/>
          <w:w w:val="105"/>
        </w:rPr>
        <w:t> </w:t>
      </w:r>
      <w:r>
        <w:rPr>
          <w:w w:val="105"/>
        </w:rPr>
        <w:t>Paris</w:t>
      </w:r>
      <w:r>
        <w:rPr>
          <w:spacing w:val="-18"/>
          <w:w w:val="105"/>
        </w:rPr>
        <w:t> </w:t>
      </w:r>
      <w:r>
        <w:rPr>
          <w:w w:val="105"/>
        </w:rPr>
        <w:t>Club</w:t>
      </w:r>
      <w:r>
        <w:rPr>
          <w:spacing w:val="-17"/>
          <w:w w:val="105"/>
        </w:rPr>
        <w:t> </w:t>
      </w:r>
      <w:r>
        <w:rPr>
          <w:w w:val="105"/>
        </w:rPr>
        <w:t>creditors</w:t>
      </w:r>
      <w:r>
        <w:rPr>
          <w:spacing w:val="-18"/>
          <w:w w:val="105"/>
        </w:rPr>
        <w:t> </w:t>
      </w:r>
      <w:r>
        <w:rPr>
          <w:w w:val="105"/>
        </w:rPr>
        <w:t>combined—if</w:t>
      </w:r>
      <w:r>
        <w:rPr>
          <w:spacing w:val="-17"/>
          <w:w w:val="105"/>
        </w:rPr>
        <w:t> </w:t>
      </w:r>
      <w:r>
        <w:rPr>
          <w:w w:val="105"/>
        </w:rPr>
        <w:t>not</w:t>
      </w:r>
      <w:r>
        <w:rPr>
          <w:spacing w:val="-18"/>
          <w:w w:val="105"/>
        </w:rPr>
        <w:t> </w:t>
      </w:r>
      <w:r>
        <w:rPr>
          <w:w w:val="105"/>
        </w:rPr>
        <w:t>for</w:t>
      </w:r>
      <w:r>
        <w:rPr>
          <w:spacing w:val="-17"/>
          <w:w w:val="105"/>
        </w:rPr>
        <w:t> </w:t>
      </w:r>
      <w:r>
        <w:rPr>
          <w:w w:val="105"/>
        </w:rPr>
        <w:t>its</w:t>
      </w:r>
      <w:r>
        <w:rPr>
          <w:spacing w:val="-18"/>
          <w:w w:val="105"/>
        </w:rPr>
        <w:t> </w:t>
      </w:r>
      <w:r>
        <w:rPr>
          <w:w w:val="105"/>
        </w:rPr>
        <w:t>massive</w:t>
      </w:r>
      <w:r>
        <w:rPr>
          <w:spacing w:val="-17"/>
          <w:w w:val="105"/>
        </w:rPr>
        <w:t> </w:t>
      </w:r>
      <w:r>
        <w:rPr>
          <w:w w:val="105"/>
        </w:rPr>
        <w:t>stockpile</w:t>
      </w:r>
      <w:r>
        <w:rPr>
          <w:spacing w:val="-18"/>
          <w:w w:val="105"/>
        </w:rPr>
        <w:t> </w:t>
      </w:r>
      <w:r>
        <w:rPr>
          <w:w w:val="105"/>
        </w:rPr>
        <w:t>of </w:t>
      </w:r>
      <w:r>
        <w:rPr/>
        <w:t>foreign exchange reserves (Dreher et al. 2021, 2022). When Beijing adopted the </w:t>
      </w:r>
      <w:r>
        <w:rPr>
          <w:w w:val="105"/>
        </w:rPr>
        <w:t>“Going Out” strategy at the turn of the century, it prioritized</w:t>
      </w:r>
    </w:p>
    <w:p>
      <w:pPr>
        <w:pStyle w:val="BodyText"/>
        <w:spacing w:line="333" w:lineRule="auto"/>
        <w:ind w:left="760" w:right="767"/>
      </w:pPr>
      <w:r>
        <w:rPr>
          <w:w w:val="105"/>
        </w:rPr>
        <w:t>dollar-denominated</w:t>
      </w:r>
      <w:r>
        <w:rPr>
          <w:spacing w:val="-9"/>
          <w:w w:val="105"/>
        </w:rPr>
        <w:t> </w:t>
      </w:r>
      <w:r>
        <w:rPr>
          <w:w w:val="105"/>
        </w:rPr>
        <w:t>lending</w:t>
      </w:r>
      <w:r>
        <w:rPr>
          <w:spacing w:val="-9"/>
          <w:w w:val="105"/>
        </w:rPr>
        <w:t> </w:t>
      </w:r>
      <w:r>
        <w:rPr>
          <w:w w:val="105"/>
        </w:rPr>
        <w:t>to</w:t>
      </w:r>
      <w:r>
        <w:rPr>
          <w:spacing w:val="-9"/>
          <w:w w:val="105"/>
        </w:rPr>
        <w:t> </w:t>
      </w:r>
      <w:r>
        <w:rPr>
          <w:w w:val="105"/>
        </w:rPr>
        <w:t>overseas</w:t>
      </w:r>
      <w:r>
        <w:rPr>
          <w:spacing w:val="-9"/>
          <w:w w:val="105"/>
        </w:rPr>
        <w:t> </w:t>
      </w:r>
      <w:r>
        <w:rPr>
          <w:w w:val="105"/>
        </w:rPr>
        <w:t>borrowers</w:t>
      </w:r>
      <w:r>
        <w:rPr>
          <w:spacing w:val="-9"/>
          <w:w w:val="105"/>
        </w:rPr>
        <w:t> </w:t>
      </w:r>
      <w:r>
        <w:rPr>
          <w:w w:val="105"/>
        </w:rPr>
        <w:t>to</w:t>
      </w:r>
      <w:r>
        <w:rPr>
          <w:spacing w:val="-9"/>
          <w:w w:val="105"/>
        </w:rPr>
        <w:t> </w:t>
      </w:r>
      <w:r>
        <w:rPr>
          <w:w w:val="105"/>
        </w:rPr>
        <w:t>deal</w:t>
      </w:r>
      <w:r>
        <w:rPr>
          <w:spacing w:val="-9"/>
          <w:w w:val="105"/>
        </w:rPr>
        <w:t> </w:t>
      </w:r>
      <w:r>
        <w:rPr>
          <w:w w:val="105"/>
        </w:rPr>
        <w:t>with</w:t>
      </w:r>
      <w:r>
        <w:rPr>
          <w:spacing w:val="-9"/>
          <w:w w:val="105"/>
        </w:rPr>
        <w:t> </w:t>
      </w:r>
      <w:r>
        <w:rPr>
          <w:w w:val="105"/>
        </w:rPr>
        <w:t>a</w:t>
      </w:r>
      <w:r>
        <w:rPr>
          <w:spacing w:val="-9"/>
          <w:w w:val="105"/>
        </w:rPr>
        <w:t> </w:t>
      </w:r>
      <w:r>
        <w:rPr>
          <w:w w:val="105"/>
        </w:rPr>
        <w:t>foreign currency</w:t>
      </w:r>
      <w:r>
        <w:rPr>
          <w:spacing w:val="-18"/>
          <w:w w:val="105"/>
        </w:rPr>
        <w:t> </w:t>
      </w:r>
      <w:r>
        <w:rPr>
          <w:w w:val="105"/>
        </w:rPr>
        <w:t>oversupply</w:t>
      </w:r>
      <w:r>
        <w:rPr>
          <w:spacing w:val="-17"/>
          <w:w w:val="105"/>
        </w:rPr>
        <w:t> </w:t>
      </w:r>
      <w:r>
        <w:rPr>
          <w:w w:val="105"/>
        </w:rPr>
        <w:t>challenge:</w:t>
      </w:r>
      <w:r>
        <w:rPr>
          <w:spacing w:val="-18"/>
          <w:w w:val="105"/>
        </w:rPr>
        <w:t> </w:t>
      </w:r>
      <w:r>
        <w:rPr>
          <w:w w:val="105"/>
        </w:rPr>
        <w:t>annual</w:t>
      </w:r>
      <w:r>
        <w:rPr>
          <w:spacing w:val="-18"/>
          <w:w w:val="105"/>
        </w:rPr>
        <w:t> </w:t>
      </w:r>
      <w:r>
        <w:rPr>
          <w:w w:val="105"/>
        </w:rPr>
        <w:t>trade</w:t>
      </w:r>
      <w:r>
        <w:rPr>
          <w:spacing w:val="-17"/>
          <w:w w:val="105"/>
        </w:rPr>
        <w:t> </w:t>
      </w:r>
      <w:r>
        <w:rPr>
          <w:w w:val="105"/>
        </w:rPr>
        <w:t>surpluses</w:t>
      </w:r>
      <w:r>
        <w:rPr>
          <w:spacing w:val="-18"/>
          <w:w w:val="105"/>
        </w:rPr>
        <w:t> </w:t>
      </w:r>
      <w:r>
        <w:rPr>
          <w:w w:val="105"/>
        </w:rPr>
        <w:t>led</w:t>
      </w:r>
      <w:r>
        <w:rPr>
          <w:spacing w:val="-17"/>
          <w:w w:val="105"/>
        </w:rPr>
        <w:t> </w:t>
      </w:r>
      <w:r>
        <w:rPr>
          <w:w w:val="105"/>
        </w:rPr>
        <w:t>to</w:t>
      </w:r>
      <w:r>
        <w:rPr>
          <w:spacing w:val="-18"/>
          <w:w w:val="105"/>
        </w:rPr>
        <w:t> </w:t>
      </w:r>
      <w:r>
        <w:rPr>
          <w:w w:val="105"/>
        </w:rPr>
        <w:t>a</w:t>
      </w:r>
      <w:r>
        <w:rPr>
          <w:spacing w:val="-17"/>
          <w:w w:val="105"/>
        </w:rPr>
        <w:t> </w:t>
      </w:r>
      <w:r>
        <w:rPr>
          <w:w w:val="105"/>
        </w:rPr>
        <w:t>rapid </w:t>
      </w:r>
      <w:r>
        <w:rPr/>
        <w:t>accumulation of dollar reserves, which created a risk of currency (RMB) appreciation and prompted China’s State Administration of Foreign Exchange (SAFE)</w:t>
      </w:r>
      <w:r>
        <w:rPr>
          <w:spacing w:val="-2"/>
        </w:rPr>
        <w:t> </w:t>
      </w:r>
      <w:r>
        <w:rPr/>
        <w:t>to</w:t>
      </w:r>
      <w:r>
        <w:rPr>
          <w:spacing w:val="-2"/>
        </w:rPr>
        <w:t> </w:t>
      </w:r>
      <w:r>
        <w:rPr/>
        <w:t>search</w:t>
      </w:r>
      <w:r>
        <w:rPr>
          <w:spacing w:val="-2"/>
        </w:rPr>
        <w:t> </w:t>
      </w:r>
      <w:r>
        <w:rPr/>
        <w:t>for</w:t>
      </w:r>
      <w:r>
        <w:rPr>
          <w:spacing w:val="-2"/>
        </w:rPr>
        <w:t> </w:t>
      </w:r>
      <w:r>
        <w:rPr/>
        <w:t>international</w:t>
      </w:r>
      <w:r>
        <w:rPr>
          <w:spacing w:val="-2"/>
        </w:rPr>
        <w:t> </w:t>
      </w:r>
      <w:r>
        <w:rPr/>
        <w:t>assets</w:t>
      </w:r>
      <w:r>
        <w:rPr>
          <w:spacing w:val="-2"/>
        </w:rPr>
        <w:t> </w:t>
      </w:r>
      <w:r>
        <w:rPr/>
        <w:t>where</w:t>
      </w:r>
      <w:r>
        <w:rPr>
          <w:spacing w:val="-2"/>
        </w:rPr>
        <w:t> </w:t>
      </w:r>
      <w:r>
        <w:rPr/>
        <w:t>it</w:t>
      </w:r>
      <w:r>
        <w:rPr>
          <w:spacing w:val="-2"/>
        </w:rPr>
        <w:t> </w:t>
      </w:r>
      <w:r>
        <w:rPr/>
        <w:t>could</w:t>
      </w:r>
      <w:r>
        <w:rPr>
          <w:spacing w:val="-2"/>
        </w:rPr>
        <w:t> </w:t>
      </w:r>
      <w:r>
        <w:rPr/>
        <w:t>invest</w:t>
      </w:r>
      <w:r>
        <w:rPr>
          <w:spacing w:val="-2"/>
        </w:rPr>
        <w:t> </w:t>
      </w:r>
      <w:r>
        <w:rPr/>
        <w:t>its</w:t>
      </w:r>
      <w:r>
        <w:rPr>
          <w:spacing w:val="-2"/>
        </w:rPr>
        <w:t> </w:t>
      </w:r>
      <w:r>
        <w:rPr/>
        <w:t>surplus</w:t>
      </w:r>
      <w:r>
        <w:rPr>
          <w:spacing w:val="-2"/>
        </w:rPr>
        <w:t> </w:t>
      </w:r>
      <w:r>
        <w:rPr/>
        <w:t>dollar reserves</w:t>
      </w:r>
      <w:r>
        <w:rPr>
          <w:spacing w:val="-6"/>
        </w:rPr>
        <w:t> </w:t>
      </w:r>
      <w:r>
        <w:rPr/>
        <w:t>and</w:t>
      </w:r>
      <w:r>
        <w:rPr>
          <w:spacing w:val="-6"/>
        </w:rPr>
        <w:t> </w:t>
      </w:r>
      <w:r>
        <w:rPr/>
        <w:t>get</w:t>
      </w:r>
      <w:r>
        <w:rPr>
          <w:spacing w:val="-6"/>
        </w:rPr>
        <w:t> </w:t>
      </w:r>
      <w:r>
        <w:rPr/>
        <w:t>a</w:t>
      </w:r>
      <w:r>
        <w:rPr>
          <w:spacing w:val="-6"/>
        </w:rPr>
        <w:t> </w:t>
      </w:r>
      <w:r>
        <w:rPr/>
        <w:t>good</w:t>
      </w:r>
      <w:r>
        <w:rPr>
          <w:spacing w:val="-6"/>
        </w:rPr>
        <w:t> </w:t>
      </w:r>
      <w:r>
        <w:rPr/>
        <w:t>return.</w:t>
      </w:r>
      <w:r>
        <w:rPr>
          <w:vertAlign w:val="superscript"/>
        </w:rPr>
        <w:t>106</w:t>
      </w:r>
      <w:r>
        <w:rPr>
          <w:spacing w:val="-7"/>
          <w:vertAlign w:val="baseline"/>
        </w:rPr>
        <w:t> </w:t>
      </w:r>
      <w:r>
        <w:rPr>
          <w:vertAlign w:val="baseline"/>
        </w:rPr>
        <w:t>SAFE</w:t>
      </w:r>
      <w:r>
        <w:rPr>
          <w:spacing w:val="-6"/>
          <w:vertAlign w:val="baseline"/>
        </w:rPr>
        <w:t> </w:t>
      </w:r>
      <w:r>
        <w:rPr>
          <w:vertAlign w:val="baseline"/>
        </w:rPr>
        <w:t>used</w:t>
      </w:r>
      <w:r>
        <w:rPr>
          <w:spacing w:val="-6"/>
          <w:vertAlign w:val="baseline"/>
        </w:rPr>
        <w:t> </w:t>
      </w:r>
      <w:r>
        <w:rPr>
          <w:vertAlign w:val="baseline"/>
        </w:rPr>
        <w:t>these</w:t>
      </w:r>
      <w:r>
        <w:rPr>
          <w:spacing w:val="-6"/>
          <w:vertAlign w:val="baseline"/>
        </w:rPr>
        <w:t> </w:t>
      </w:r>
      <w:r>
        <w:rPr>
          <w:vertAlign w:val="baseline"/>
        </w:rPr>
        <w:t>funds</w:t>
      </w:r>
      <w:r>
        <w:rPr>
          <w:spacing w:val="-6"/>
          <w:vertAlign w:val="baseline"/>
        </w:rPr>
        <w:t> </w:t>
      </w:r>
      <w:r>
        <w:rPr>
          <w:vertAlign w:val="baseline"/>
        </w:rPr>
        <w:t>in</w:t>
      </w:r>
      <w:r>
        <w:rPr>
          <w:spacing w:val="-6"/>
          <w:vertAlign w:val="baseline"/>
        </w:rPr>
        <w:t> </w:t>
      </w:r>
      <w:r>
        <w:rPr>
          <w:vertAlign w:val="baseline"/>
        </w:rPr>
        <w:t>the</w:t>
      </w:r>
      <w:r>
        <w:rPr>
          <w:spacing w:val="-6"/>
          <w:vertAlign w:val="baseline"/>
        </w:rPr>
        <w:t> </w:t>
      </w:r>
      <w:r>
        <w:rPr>
          <w:vertAlign w:val="baseline"/>
        </w:rPr>
        <w:t>early</w:t>
      </w:r>
      <w:r>
        <w:rPr>
          <w:spacing w:val="-6"/>
          <w:vertAlign w:val="baseline"/>
        </w:rPr>
        <w:t> </w:t>
      </w:r>
      <w:r>
        <w:rPr>
          <w:vertAlign w:val="baseline"/>
        </w:rPr>
        <w:t>2000s</w:t>
      </w:r>
      <w:r>
        <w:rPr>
          <w:spacing w:val="-6"/>
          <w:vertAlign w:val="baseline"/>
        </w:rPr>
        <w:t> </w:t>
      </w:r>
      <w:r>
        <w:rPr>
          <w:vertAlign w:val="baseline"/>
        </w:rPr>
        <w:t>to </w:t>
      </w:r>
      <w:r>
        <w:rPr>
          <w:w w:val="105"/>
          <w:vertAlign w:val="baseline"/>
        </w:rPr>
        <w:t>recapitalize</w:t>
      </w:r>
      <w:r>
        <w:rPr>
          <w:spacing w:val="-18"/>
          <w:w w:val="105"/>
          <w:vertAlign w:val="baseline"/>
        </w:rPr>
        <w:t> </w:t>
      </w:r>
      <w:r>
        <w:rPr>
          <w:w w:val="105"/>
          <w:vertAlign w:val="baseline"/>
        </w:rPr>
        <w:t>several</w:t>
      </w:r>
      <w:r>
        <w:rPr>
          <w:spacing w:val="-17"/>
          <w:w w:val="105"/>
          <w:vertAlign w:val="baseline"/>
        </w:rPr>
        <w:t> </w:t>
      </w:r>
      <w:r>
        <w:rPr>
          <w:w w:val="105"/>
          <w:vertAlign w:val="baseline"/>
        </w:rPr>
        <w:t>state-owned</w:t>
      </w:r>
      <w:r>
        <w:rPr>
          <w:spacing w:val="-18"/>
          <w:w w:val="105"/>
          <w:vertAlign w:val="baseline"/>
        </w:rPr>
        <w:t> </w:t>
      </w:r>
      <w:r>
        <w:rPr>
          <w:w w:val="105"/>
          <w:vertAlign w:val="baseline"/>
        </w:rPr>
        <w:t>banks,</w:t>
      </w:r>
      <w:r>
        <w:rPr>
          <w:spacing w:val="-18"/>
          <w:w w:val="105"/>
          <w:vertAlign w:val="baseline"/>
        </w:rPr>
        <w:t> </w:t>
      </w:r>
      <w:r>
        <w:rPr>
          <w:w w:val="105"/>
          <w:vertAlign w:val="baseline"/>
        </w:rPr>
        <w:t>which</w:t>
      </w:r>
      <w:r>
        <w:rPr>
          <w:spacing w:val="-17"/>
          <w:w w:val="105"/>
          <w:vertAlign w:val="baseline"/>
        </w:rPr>
        <w:t> </w:t>
      </w:r>
      <w:r>
        <w:rPr>
          <w:w w:val="105"/>
          <w:vertAlign w:val="baseline"/>
        </w:rPr>
        <w:t>in</w:t>
      </w:r>
      <w:r>
        <w:rPr>
          <w:spacing w:val="-18"/>
          <w:w w:val="105"/>
          <w:vertAlign w:val="baseline"/>
        </w:rPr>
        <w:t> </w:t>
      </w:r>
      <w:r>
        <w:rPr>
          <w:w w:val="105"/>
          <w:vertAlign w:val="baseline"/>
        </w:rPr>
        <w:t>turn</w:t>
      </w:r>
      <w:r>
        <w:rPr>
          <w:spacing w:val="-17"/>
          <w:w w:val="105"/>
          <w:vertAlign w:val="baseline"/>
        </w:rPr>
        <w:t> </w:t>
      </w:r>
      <w:r>
        <w:rPr>
          <w:w w:val="105"/>
          <w:vertAlign w:val="baseline"/>
        </w:rPr>
        <w:t>ramped</w:t>
      </w:r>
      <w:r>
        <w:rPr>
          <w:spacing w:val="-18"/>
          <w:w w:val="105"/>
          <w:vertAlign w:val="baseline"/>
        </w:rPr>
        <w:t> </w:t>
      </w:r>
      <w:r>
        <w:rPr>
          <w:w w:val="105"/>
          <w:vertAlign w:val="baseline"/>
        </w:rPr>
        <w:t>up</w:t>
      </w:r>
    </w:p>
    <w:p>
      <w:pPr>
        <w:pStyle w:val="BodyText"/>
        <w:spacing w:line="333" w:lineRule="auto"/>
        <w:ind w:left="760" w:right="767"/>
      </w:pPr>
      <w:r>
        <w:rPr/>
        <w:t>dollar-denominated lending to overseas borrowers (see Figure 2.2 and Box 2b). However, until the 2008 Global Financial Crisis, SAFE parked the lion’s share of its</w:t>
      </w:r>
      <w:r>
        <w:rPr>
          <w:spacing w:val="-8"/>
        </w:rPr>
        <w:t> </w:t>
      </w:r>
      <w:r>
        <w:rPr/>
        <w:t>surplus</w:t>
      </w:r>
      <w:r>
        <w:rPr>
          <w:spacing w:val="-8"/>
        </w:rPr>
        <w:t> </w:t>
      </w:r>
      <w:r>
        <w:rPr/>
        <w:t>dollar</w:t>
      </w:r>
      <w:r>
        <w:rPr>
          <w:spacing w:val="-8"/>
        </w:rPr>
        <w:t> </w:t>
      </w:r>
      <w:r>
        <w:rPr/>
        <w:t>reserves</w:t>
      </w:r>
      <w:r>
        <w:rPr>
          <w:spacing w:val="-8"/>
        </w:rPr>
        <w:t> </w:t>
      </w:r>
      <w:r>
        <w:rPr/>
        <w:t>in</w:t>
      </w:r>
      <w:r>
        <w:rPr>
          <w:spacing w:val="-8"/>
        </w:rPr>
        <w:t> </w:t>
      </w:r>
      <w:r>
        <w:rPr/>
        <w:t>U.S.</w:t>
      </w:r>
      <w:r>
        <w:rPr>
          <w:spacing w:val="-8"/>
        </w:rPr>
        <w:t> </w:t>
      </w:r>
      <w:r>
        <w:rPr/>
        <w:t>government</w:t>
      </w:r>
      <w:r>
        <w:rPr>
          <w:spacing w:val="-8"/>
        </w:rPr>
        <w:t> </w:t>
      </w:r>
      <w:r>
        <w:rPr/>
        <w:t>securities.</w:t>
      </w:r>
      <w:r>
        <w:rPr>
          <w:spacing w:val="-8"/>
        </w:rPr>
        <w:t> </w:t>
      </w:r>
      <w:r>
        <w:rPr/>
        <w:t>Then,</w:t>
      </w:r>
      <w:r>
        <w:rPr>
          <w:spacing w:val="-8"/>
        </w:rPr>
        <w:t> </w:t>
      </w:r>
      <w:r>
        <w:rPr/>
        <w:t>in</w:t>
      </w:r>
      <w:r>
        <w:rPr>
          <w:spacing w:val="-8"/>
        </w:rPr>
        <w:t> </w:t>
      </w:r>
      <w:r>
        <w:rPr/>
        <w:t>2008</w:t>
      </w:r>
      <w:r>
        <w:rPr>
          <w:spacing w:val="-8"/>
        </w:rPr>
        <w:t> </w:t>
      </w:r>
      <w:r>
        <w:rPr/>
        <w:t>and</w:t>
      </w:r>
      <w:r>
        <w:rPr>
          <w:spacing w:val="-8"/>
        </w:rPr>
        <w:t> </w:t>
      </w:r>
      <w:r>
        <w:rPr/>
        <w:t>2009, international asset prices plummeted and the U.S. Federal Reserve weakened </w:t>
      </w:r>
      <w:r>
        <w:rPr>
          <w:w w:val="105"/>
        </w:rPr>
        <w:t>the</w:t>
      </w:r>
      <w:r>
        <w:rPr>
          <w:spacing w:val="-15"/>
          <w:w w:val="105"/>
        </w:rPr>
        <w:t> </w:t>
      </w:r>
      <w:r>
        <w:rPr>
          <w:w w:val="105"/>
        </w:rPr>
        <w:t>dollar</w:t>
      </w:r>
      <w:r>
        <w:rPr>
          <w:spacing w:val="-15"/>
          <w:w w:val="105"/>
        </w:rPr>
        <w:t> </w:t>
      </w:r>
      <w:r>
        <w:rPr>
          <w:w w:val="105"/>
        </w:rPr>
        <w:t>via</w:t>
      </w:r>
      <w:r>
        <w:rPr>
          <w:spacing w:val="-15"/>
          <w:w w:val="105"/>
        </w:rPr>
        <w:t> </w:t>
      </w:r>
      <w:r>
        <w:rPr>
          <w:w w:val="105"/>
        </w:rPr>
        <w:t>quantitative</w:t>
      </w:r>
      <w:r>
        <w:rPr>
          <w:spacing w:val="-15"/>
          <w:w w:val="105"/>
        </w:rPr>
        <w:t> </w:t>
      </w:r>
      <w:r>
        <w:rPr>
          <w:w w:val="105"/>
        </w:rPr>
        <w:t>easing.</w:t>
      </w:r>
      <w:r>
        <w:rPr>
          <w:spacing w:val="-15"/>
          <w:w w:val="105"/>
        </w:rPr>
        <w:t> </w:t>
      </w:r>
      <w:r>
        <w:rPr>
          <w:w w:val="105"/>
        </w:rPr>
        <w:t>Beijing’s</w:t>
      </w:r>
      <w:r>
        <w:rPr>
          <w:spacing w:val="-15"/>
          <w:w w:val="105"/>
        </w:rPr>
        <w:t> </w:t>
      </w:r>
      <w:r>
        <w:rPr>
          <w:w w:val="105"/>
        </w:rPr>
        <w:t>traditional</w:t>
      </w:r>
      <w:r>
        <w:rPr>
          <w:spacing w:val="-15"/>
          <w:w w:val="105"/>
        </w:rPr>
        <w:t> </w:t>
      </w:r>
      <w:r>
        <w:rPr>
          <w:w w:val="105"/>
        </w:rPr>
        <w:t>investment</w:t>
      </w:r>
      <w:r>
        <w:rPr>
          <w:spacing w:val="-15"/>
          <w:w w:val="105"/>
        </w:rPr>
        <w:t> </w:t>
      </w:r>
      <w:r>
        <w:rPr>
          <w:w w:val="105"/>
        </w:rPr>
        <w:t>strategy</w:t>
      </w:r>
      <w:r>
        <w:rPr>
          <w:spacing w:val="-15"/>
          <w:w w:val="105"/>
        </w:rPr>
        <w:t> </w:t>
      </w:r>
      <w:r>
        <w:rPr>
          <w:w w:val="105"/>
        </w:rPr>
        <w:t>of</w:t>
      </w:r>
    </w:p>
    <w:p>
      <w:pPr>
        <w:pStyle w:val="BodyText"/>
        <w:spacing w:before="10"/>
        <w:rPr>
          <w:sz w:val="14"/>
        </w:rPr>
      </w:pPr>
      <w:r>
        <w:rPr/>
        <w:pict>
          <v:shape style="position:absolute;margin-left:90pt;margin-top:9.777882pt;width:144pt;height:.1pt;mso-position-horizontal-relative:page;mso-position-vertical-relative:paragraph;z-index:-15719936;mso-wrap-distance-left:0;mso-wrap-distance-right:0" id="docshape17" coordorigin="1800,196" coordsize="2880,0" path="m1800,196l4680,196e" filled="false" stroked="true" strokeweight=".75pt" strokecolor="#000000">
            <v:path arrowok="t"/>
            <v:stroke dashstyle="solid"/>
            <w10:wrap type="topAndBottom"/>
          </v:shape>
        </w:pict>
      </w:r>
    </w:p>
    <w:p>
      <w:pPr>
        <w:spacing w:line="249" w:lineRule="auto" w:before="113"/>
        <w:ind w:left="760" w:right="838" w:firstLine="0"/>
        <w:jc w:val="left"/>
        <w:rPr>
          <w:sz w:val="18"/>
        </w:rPr>
      </w:pPr>
      <w:r>
        <w:rPr>
          <w:sz w:val="18"/>
          <w:vertAlign w:val="superscript"/>
        </w:rPr>
        <w:t>106</w:t>
      </w:r>
      <w:r>
        <w:rPr>
          <w:spacing w:val="-1"/>
          <w:sz w:val="18"/>
          <w:vertAlign w:val="baseline"/>
        </w:rPr>
        <w:t> </w:t>
      </w:r>
      <w:r>
        <w:rPr>
          <w:sz w:val="18"/>
          <w:vertAlign w:val="baseline"/>
        </w:rPr>
        <w:t>For decades, China has sought to avoid a rapid appreciation of its currency in order to sustain </w:t>
      </w:r>
      <w:r>
        <w:rPr>
          <w:sz w:val="18"/>
          <w:vertAlign w:val="baseline"/>
        </w:rPr>
        <w:t>high </w:t>
      </w:r>
      <w:r>
        <w:rPr>
          <w:w w:val="105"/>
          <w:sz w:val="18"/>
          <w:vertAlign w:val="baseline"/>
        </w:rPr>
        <w:t>levels</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export</w:t>
      </w:r>
      <w:r>
        <w:rPr>
          <w:spacing w:val="-13"/>
          <w:w w:val="105"/>
          <w:sz w:val="18"/>
          <w:vertAlign w:val="baseline"/>
        </w:rPr>
        <w:t> </w:t>
      </w:r>
      <w:r>
        <w:rPr>
          <w:w w:val="105"/>
          <w:sz w:val="18"/>
          <w:vertAlign w:val="baseline"/>
        </w:rPr>
        <w:t>growth,</w:t>
      </w:r>
      <w:r>
        <w:rPr>
          <w:spacing w:val="-13"/>
          <w:w w:val="105"/>
          <w:sz w:val="18"/>
          <w:vertAlign w:val="baseline"/>
        </w:rPr>
        <w:t> </w:t>
      </w:r>
      <w:r>
        <w:rPr>
          <w:w w:val="105"/>
          <w:sz w:val="18"/>
          <w:vertAlign w:val="baseline"/>
        </w:rPr>
        <w:t>which</w:t>
      </w:r>
      <w:r>
        <w:rPr>
          <w:spacing w:val="-13"/>
          <w:w w:val="105"/>
          <w:sz w:val="18"/>
          <w:vertAlign w:val="baseline"/>
        </w:rPr>
        <w:t> </w:t>
      </w:r>
      <w:r>
        <w:rPr>
          <w:w w:val="105"/>
          <w:sz w:val="18"/>
          <w:vertAlign w:val="baseline"/>
        </w:rPr>
        <w:t>it</w:t>
      </w:r>
      <w:r>
        <w:rPr>
          <w:spacing w:val="-13"/>
          <w:w w:val="105"/>
          <w:sz w:val="18"/>
          <w:vertAlign w:val="baseline"/>
        </w:rPr>
        <w:t> </w:t>
      </w:r>
      <w:r>
        <w:rPr>
          <w:w w:val="105"/>
          <w:sz w:val="18"/>
          <w:vertAlign w:val="baseline"/>
        </w:rPr>
        <w:t>regards</w:t>
      </w:r>
      <w:r>
        <w:rPr>
          <w:spacing w:val="-13"/>
          <w:w w:val="105"/>
          <w:sz w:val="18"/>
          <w:vertAlign w:val="baseline"/>
        </w:rPr>
        <w:t> </w:t>
      </w:r>
      <w:r>
        <w:rPr>
          <w:w w:val="105"/>
          <w:sz w:val="18"/>
          <w:vertAlign w:val="baseline"/>
        </w:rPr>
        <w:t>as</w:t>
      </w:r>
      <w:r>
        <w:rPr>
          <w:spacing w:val="-13"/>
          <w:w w:val="105"/>
          <w:sz w:val="18"/>
          <w:vertAlign w:val="baseline"/>
        </w:rPr>
        <w:t> </w:t>
      </w:r>
      <w:r>
        <w:rPr>
          <w:w w:val="105"/>
          <w:sz w:val="18"/>
          <w:vertAlign w:val="baseline"/>
        </w:rPr>
        <w:t>essential</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achieve</w:t>
      </w:r>
      <w:r>
        <w:rPr>
          <w:spacing w:val="-13"/>
          <w:w w:val="105"/>
          <w:sz w:val="18"/>
          <w:vertAlign w:val="baseline"/>
        </w:rPr>
        <w:t> </w:t>
      </w:r>
      <w:r>
        <w:rPr>
          <w:w w:val="105"/>
          <w:sz w:val="18"/>
          <w:vertAlign w:val="baseline"/>
        </w:rPr>
        <w:t>high-income</w:t>
      </w:r>
      <w:r>
        <w:rPr>
          <w:spacing w:val="-13"/>
          <w:w w:val="105"/>
          <w:sz w:val="18"/>
          <w:vertAlign w:val="baseline"/>
        </w:rPr>
        <w:t> </w:t>
      </w:r>
      <w:r>
        <w:rPr>
          <w:w w:val="105"/>
          <w:sz w:val="18"/>
          <w:vertAlign w:val="baseline"/>
        </w:rPr>
        <w:t>country</w:t>
      </w:r>
      <w:r>
        <w:rPr>
          <w:spacing w:val="-13"/>
          <w:w w:val="105"/>
          <w:sz w:val="18"/>
          <w:vertAlign w:val="baseline"/>
        </w:rPr>
        <w:t> </w:t>
      </w:r>
      <w:r>
        <w:rPr>
          <w:w w:val="105"/>
          <w:sz w:val="18"/>
          <w:vertAlign w:val="baseline"/>
        </w:rPr>
        <w:t>status.</w:t>
      </w:r>
    </w:p>
    <w:p>
      <w:pPr>
        <w:spacing w:after="0" w:line="249" w:lineRule="auto"/>
        <w:jc w:val="left"/>
        <w:rPr>
          <w:sz w:val="18"/>
        </w:rPr>
        <w:sectPr>
          <w:pgSz w:w="12240" w:h="15840"/>
          <w:pgMar w:header="0" w:footer="720" w:top="1400" w:bottom="920" w:left="1040" w:right="1040"/>
        </w:sectPr>
      </w:pPr>
    </w:p>
    <w:p>
      <w:pPr>
        <w:pStyle w:val="BodyText"/>
        <w:spacing w:line="333" w:lineRule="auto" w:before="27"/>
        <w:ind w:left="760" w:right="1141"/>
      </w:pPr>
      <w:r>
        <w:rPr/>
        <w:t>parking surplus dollar reserves in U.S. government securities became less attractive and it launched a search for higher-yield (undervalued) overseas assets.</w:t>
      </w:r>
      <w:r>
        <w:rPr>
          <w:spacing w:val="-5"/>
        </w:rPr>
        <w:t> </w:t>
      </w:r>
      <w:r>
        <w:rPr/>
        <w:t>SAFE</w:t>
      </w:r>
      <w:r>
        <w:rPr>
          <w:spacing w:val="-5"/>
        </w:rPr>
        <w:t> </w:t>
      </w:r>
      <w:r>
        <w:rPr/>
        <w:t>entrusted</w:t>
      </w:r>
      <w:r>
        <w:rPr>
          <w:spacing w:val="-5"/>
        </w:rPr>
        <w:t> </w:t>
      </w:r>
      <w:r>
        <w:rPr/>
        <w:t>a</w:t>
      </w:r>
      <w:r>
        <w:rPr>
          <w:spacing w:val="-5"/>
        </w:rPr>
        <w:t> </w:t>
      </w:r>
      <w:r>
        <w:rPr/>
        <w:t>larger</w:t>
      </w:r>
      <w:r>
        <w:rPr>
          <w:spacing w:val="-5"/>
        </w:rPr>
        <w:t> </w:t>
      </w:r>
      <w:r>
        <w:rPr/>
        <w:t>proportion</w:t>
      </w:r>
      <w:r>
        <w:rPr>
          <w:spacing w:val="-5"/>
        </w:rPr>
        <w:t> </w:t>
      </w:r>
      <w:r>
        <w:rPr/>
        <w:t>of</w:t>
      </w:r>
      <w:r>
        <w:rPr>
          <w:spacing w:val="-5"/>
        </w:rPr>
        <w:t> </w:t>
      </w:r>
      <w:r>
        <w:rPr/>
        <w:t>its</w:t>
      </w:r>
      <w:r>
        <w:rPr>
          <w:spacing w:val="-5"/>
        </w:rPr>
        <w:t> </w:t>
      </w:r>
      <w:r>
        <w:rPr/>
        <w:t>surplus</w:t>
      </w:r>
      <w:r>
        <w:rPr>
          <w:spacing w:val="-5"/>
        </w:rPr>
        <w:t> </w:t>
      </w:r>
      <w:r>
        <w:rPr/>
        <w:t>dollar</w:t>
      </w:r>
      <w:r>
        <w:rPr>
          <w:spacing w:val="-5"/>
        </w:rPr>
        <w:t> </w:t>
      </w:r>
      <w:r>
        <w:rPr/>
        <w:t>reserves</w:t>
      </w:r>
      <w:r>
        <w:rPr>
          <w:spacing w:val="-5"/>
        </w:rPr>
        <w:t> </w:t>
      </w:r>
      <w:r>
        <w:rPr/>
        <w:t>to</w:t>
      </w:r>
      <w:r>
        <w:rPr>
          <w:spacing w:val="-5"/>
        </w:rPr>
        <w:t> </w:t>
      </w:r>
      <w:r>
        <w:rPr/>
        <w:t>the country’s state-owned policy banks, state-owned commercial banks, and state-owned investment funds and tasked them with the pursuit of higher</w:t>
      </w:r>
    </w:p>
    <w:p>
      <w:pPr>
        <w:pStyle w:val="BodyText"/>
        <w:spacing w:line="273" w:lineRule="exact"/>
        <w:ind w:left="760"/>
      </w:pPr>
      <w:r>
        <w:rPr/>
        <w:t>investment</w:t>
      </w:r>
      <w:r>
        <w:rPr>
          <w:spacing w:val="4"/>
        </w:rPr>
        <w:t> </w:t>
      </w:r>
      <w:r>
        <w:rPr/>
        <w:t>returns</w:t>
      </w:r>
      <w:r>
        <w:rPr>
          <w:spacing w:val="4"/>
        </w:rPr>
        <w:t> </w:t>
      </w:r>
      <w:r>
        <w:rPr/>
        <w:t>via</w:t>
      </w:r>
      <w:r>
        <w:rPr>
          <w:spacing w:val="5"/>
        </w:rPr>
        <w:t> </w:t>
      </w:r>
      <w:r>
        <w:rPr/>
        <w:t>dollar-denominated</w:t>
      </w:r>
      <w:r>
        <w:rPr>
          <w:spacing w:val="4"/>
        </w:rPr>
        <w:t> </w:t>
      </w:r>
      <w:r>
        <w:rPr/>
        <w:t>international</w:t>
      </w:r>
      <w:r>
        <w:rPr>
          <w:spacing w:val="4"/>
        </w:rPr>
        <w:t> </w:t>
      </w:r>
      <w:r>
        <w:rPr/>
        <w:t>lending</w:t>
      </w:r>
      <w:r>
        <w:rPr>
          <w:spacing w:val="5"/>
        </w:rPr>
        <w:t> </w:t>
      </w:r>
      <w:r>
        <w:rPr/>
        <w:t>(see</w:t>
      </w:r>
      <w:r>
        <w:rPr>
          <w:spacing w:val="4"/>
        </w:rPr>
        <w:t> </w:t>
      </w:r>
      <w:r>
        <w:rPr/>
        <w:t>Box</w:t>
      </w:r>
      <w:r>
        <w:rPr>
          <w:spacing w:val="4"/>
        </w:rPr>
        <w:t> </w:t>
      </w:r>
      <w:r>
        <w:rPr>
          <w:spacing w:val="-2"/>
        </w:rPr>
        <w:t>2b).</w:t>
      </w:r>
      <w:r>
        <w:rPr>
          <w:spacing w:val="-2"/>
          <w:vertAlign w:val="superscript"/>
        </w:rPr>
        <w:t>107</w:t>
      </w:r>
    </w:p>
    <w:p>
      <w:pPr>
        <w:pStyle w:val="BodyText"/>
        <w:rPr>
          <w:sz w:val="20"/>
        </w:rPr>
      </w:pPr>
    </w:p>
    <w:p>
      <w:pPr>
        <w:pStyle w:val="BodyText"/>
        <w:spacing w:before="8"/>
        <w:rPr>
          <w:sz w:val="26"/>
        </w:rPr>
      </w:pPr>
      <w:r>
        <w:rPr/>
        <w:pict>
          <v:shape style="position:absolute;margin-left:84pt;margin-top:16.586246pt;width:444pt;height:38pt;mso-position-horizontal-relative:page;mso-position-vertical-relative:paragraph;z-index:-15719424;mso-wrap-distance-left:0;mso-wrap-distance-right:0" type="#_x0000_t202" id="docshape18" filled="true" fillcolor="#5b666f" stroked="false">
            <v:textbox inset="0,0,0,0">
              <w:txbxContent>
                <w:p>
                  <w:pPr>
                    <w:spacing w:before="125"/>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2.2</w:t>
                  </w:r>
                </w:p>
              </w:txbxContent>
            </v:textbox>
            <v:fill type="solid"/>
            <w10:wrap type="topAndBottom"/>
          </v:shape>
        </w:pict>
      </w:r>
      <w:r>
        <w:rPr/>
        <w:drawing>
          <wp:anchor distT="0" distB="0" distL="0" distR="0" allowOverlap="1" layoutInCell="1" locked="0" behindDoc="0" simplePos="0" relativeHeight="19">
            <wp:simplePos x="0" y="0"/>
            <wp:positionH relativeFrom="page">
              <wp:posOffset>1253132</wp:posOffset>
            </wp:positionH>
            <wp:positionV relativeFrom="paragraph">
              <wp:posOffset>821425</wp:posOffset>
            </wp:positionV>
            <wp:extent cx="4968657" cy="3184398"/>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4968657" cy="3184398"/>
                    </a:xfrm>
                    <a:prstGeom prst="rect">
                      <a:avLst/>
                    </a:prstGeom>
                  </pic:spPr>
                </pic:pic>
              </a:graphicData>
            </a:graphic>
          </wp:anchor>
        </w:drawing>
      </w:r>
    </w:p>
    <w:p>
      <w:pPr>
        <w:pStyle w:val="BodyText"/>
        <w:spacing w:before="5"/>
        <w:rPr>
          <w:sz w:val="15"/>
        </w:rPr>
      </w:pPr>
    </w:p>
    <w:p>
      <w:pPr>
        <w:pStyle w:val="BodyText"/>
        <w:rPr>
          <w:sz w:val="20"/>
        </w:rPr>
      </w:pPr>
    </w:p>
    <w:p>
      <w:pPr>
        <w:pStyle w:val="BodyText"/>
        <w:spacing w:before="9"/>
        <w:rPr>
          <w:sz w:val="19"/>
        </w:rPr>
      </w:pPr>
    </w:p>
    <w:p>
      <w:pPr>
        <w:spacing w:line="333" w:lineRule="auto" w:before="69"/>
        <w:ind w:left="760" w:right="767" w:firstLine="0"/>
        <w:jc w:val="left"/>
        <w:rPr>
          <w:i/>
          <w:sz w:val="20"/>
        </w:rPr>
      </w:pPr>
      <w:r>
        <w:rPr>
          <w:i/>
          <w:sz w:val="20"/>
        </w:rPr>
        <w:t>Notes: The “Other” category includes all other currencies of denomination, including EUR, GBP,</w:t>
      </w:r>
      <w:r>
        <w:rPr>
          <w:i/>
          <w:sz w:val="20"/>
        </w:rPr>
        <w:t> </w:t>
      </w:r>
      <w:r>
        <w:rPr>
          <w:i/>
          <w:w w:val="105"/>
          <w:sz w:val="20"/>
        </w:rPr>
        <w:t>and</w:t>
      </w:r>
      <w:r>
        <w:rPr>
          <w:i/>
          <w:spacing w:val="-15"/>
          <w:w w:val="105"/>
          <w:sz w:val="20"/>
        </w:rPr>
        <w:t> </w:t>
      </w:r>
      <w:r>
        <w:rPr>
          <w:i/>
          <w:w w:val="105"/>
          <w:sz w:val="20"/>
        </w:rPr>
        <w:t>local</w:t>
      </w:r>
      <w:r>
        <w:rPr>
          <w:i/>
          <w:spacing w:val="-15"/>
          <w:w w:val="105"/>
          <w:sz w:val="20"/>
        </w:rPr>
        <w:t> </w:t>
      </w:r>
      <w:r>
        <w:rPr>
          <w:i/>
          <w:w w:val="105"/>
          <w:sz w:val="20"/>
        </w:rPr>
        <w:t>currencies</w:t>
      </w:r>
      <w:r>
        <w:rPr>
          <w:i/>
          <w:spacing w:val="-14"/>
          <w:w w:val="105"/>
          <w:sz w:val="20"/>
        </w:rPr>
        <w:t> </w:t>
      </w:r>
      <w:r>
        <w:rPr>
          <w:i/>
          <w:w w:val="105"/>
          <w:sz w:val="20"/>
        </w:rPr>
        <w:t>in</w:t>
      </w:r>
      <w:r>
        <w:rPr>
          <w:i/>
          <w:spacing w:val="-15"/>
          <w:w w:val="105"/>
          <w:sz w:val="20"/>
        </w:rPr>
        <w:t> </w:t>
      </w:r>
      <w:r>
        <w:rPr>
          <w:i/>
          <w:w w:val="105"/>
          <w:sz w:val="20"/>
        </w:rPr>
        <w:t>low-income</w:t>
      </w:r>
      <w:r>
        <w:rPr>
          <w:i/>
          <w:spacing w:val="-14"/>
          <w:w w:val="105"/>
          <w:sz w:val="20"/>
        </w:rPr>
        <w:t> </w:t>
      </w:r>
      <w:r>
        <w:rPr>
          <w:i/>
          <w:w w:val="105"/>
          <w:sz w:val="20"/>
        </w:rPr>
        <w:t>and</w:t>
      </w:r>
      <w:r>
        <w:rPr>
          <w:i/>
          <w:spacing w:val="-15"/>
          <w:w w:val="105"/>
          <w:sz w:val="20"/>
        </w:rPr>
        <w:t> </w:t>
      </w:r>
      <w:r>
        <w:rPr>
          <w:i/>
          <w:w w:val="105"/>
          <w:sz w:val="20"/>
        </w:rPr>
        <w:t>middle-income</w:t>
      </w:r>
      <w:r>
        <w:rPr>
          <w:i/>
          <w:spacing w:val="-15"/>
          <w:w w:val="105"/>
          <w:sz w:val="20"/>
        </w:rPr>
        <w:t> </w:t>
      </w:r>
      <w:r>
        <w:rPr>
          <w:i/>
          <w:w w:val="105"/>
          <w:sz w:val="20"/>
        </w:rPr>
        <w:t>countries.</w:t>
      </w:r>
    </w:p>
    <w:p>
      <w:pPr>
        <w:pStyle w:val="BodyText"/>
        <w:spacing w:before="8"/>
        <w:rPr>
          <w:i/>
          <w:sz w:val="27"/>
        </w:rPr>
      </w:pPr>
    </w:p>
    <w:p>
      <w:pPr>
        <w:pStyle w:val="BodyText"/>
        <w:spacing w:line="333" w:lineRule="auto"/>
        <w:ind w:left="760" w:right="767"/>
      </w:pPr>
      <w:r>
        <w:rPr/>
        <w:pict>
          <v:shape style="position:absolute;margin-left:90pt;margin-top:117.955734pt;width:144pt;height:.1pt;mso-position-horizontal-relative:page;mso-position-vertical-relative:paragraph;z-index:-15718400;mso-wrap-distance-left:0;mso-wrap-distance-right:0" id="docshape19" coordorigin="1800,2359" coordsize="2880,0" path="m1800,2359l4680,2359e" filled="false" stroked="true" strokeweight=".75pt" strokecolor="#000000">
            <v:path arrowok="t"/>
            <v:stroke dashstyle="solid"/>
            <w10:wrap type="topAndBottom"/>
          </v:shape>
        </w:pict>
      </w:r>
      <w:r>
        <w:rPr/>
        <w:t>The central role that foreign exchange reserves have played in the dramatic expansion of China’s 21st century overseas lending program raises several important questions. Are China’s foreign exchange reserves rising or falling? If they</w:t>
      </w:r>
      <w:r>
        <w:rPr>
          <w:spacing w:val="-1"/>
        </w:rPr>
        <w:t> </w:t>
      </w:r>
      <w:r>
        <w:rPr/>
        <w:t>are</w:t>
      </w:r>
      <w:r>
        <w:rPr>
          <w:spacing w:val="-1"/>
        </w:rPr>
        <w:t> </w:t>
      </w:r>
      <w:r>
        <w:rPr/>
        <w:t>rising,</w:t>
      </w:r>
      <w:r>
        <w:rPr>
          <w:spacing w:val="-1"/>
        </w:rPr>
        <w:t> </w:t>
      </w:r>
      <w:r>
        <w:rPr/>
        <w:t>how</w:t>
      </w:r>
      <w:r>
        <w:rPr>
          <w:spacing w:val="-1"/>
        </w:rPr>
        <w:t> </w:t>
      </w:r>
      <w:r>
        <w:rPr/>
        <w:t>are</w:t>
      </w:r>
      <w:r>
        <w:rPr>
          <w:spacing w:val="-1"/>
        </w:rPr>
        <w:t> </w:t>
      </w:r>
      <w:r>
        <w:rPr/>
        <w:t>they</w:t>
      </w:r>
      <w:r>
        <w:rPr>
          <w:spacing w:val="-1"/>
        </w:rPr>
        <w:t> </w:t>
      </w:r>
      <w:r>
        <w:rPr/>
        <w:t>being</w:t>
      </w:r>
      <w:r>
        <w:rPr>
          <w:spacing w:val="-1"/>
        </w:rPr>
        <w:t> </w:t>
      </w:r>
      <w:r>
        <w:rPr/>
        <w:t>invested?</w:t>
      </w:r>
      <w:r>
        <w:rPr>
          <w:spacing w:val="-1"/>
        </w:rPr>
        <w:t> </w:t>
      </w:r>
      <w:r>
        <w:rPr/>
        <w:t>Are</w:t>
      </w:r>
      <w:r>
        <w:rPr>
          <w:spacing w:val="-1"/>
        </w:rPr>
        <w:t> </w:t>
      </w:r>
      <w:r>
        <w:rPr/>
        <w:t>Chinese</w:t>
      </w:r>
      <w:r>
        <w:rPr>
          <w:spacing w:val="-1"/>
        </w:rPr>
        <w:t> </w:t>
      </w:r>
      <w:r>
        <w:rPr/>
        <w:t>state-owned</w:t>
      </w:r>
      <w:r>
        <w:rPr>
          <w:spacing w:val="-1"/>
        </w:rPr>
        <w:t> </w:t>
      </w:r>
      <w:r>
        <w:rPr/>
        <w:t>lenders being</w:t>
      </w:r>
      <w:r>
        <w:rPr>
          <w:spacing w:val="-4"/>
        </w:rPr>
        <w:t> </w:t>
      </w:r>
      <w:r>
        <w:rPr/>
        <w:t>recapitalized</w:t>
      </w:r>
      <w:r>
        <w:rPr>
          <w:spacing w:val="-4"/>
        </w:rPr>
        <w:t> </w:t>
      </w:r>
      <w:r>
        <w:rPr/>
        <w:t>with</w:t>
      </w:r>
      <w:r>
        <w:rPr>
          <w:spacing w:val="-4"/>
        </w:rPr>
        <w:t> </w:t>
      </w:r>
      <w:r>
        <w:rPr/>
        <w:t>these</w:t>
      </w:r>
      <w:r>
        <w:rPr>
          <w:spacing w:val="-4"/>
        </w:rPr>
        <w:t> </w:t>
      </w:r>
      <w:r>
        <w:rPr/>
        <w:t>reserves</w:t>
      </w:r>
      <w:r>
        <w:rPr>
          <w:spacing w:val="-4"/>
        </w:rPr>
        <w:t> </w:t>
      </w:r>
      <w:r>
        <w:rPr/>
        <w:t>and</w:t>
      </w:r>
      <w:r>
        <w:rPr>
          <w:spacing w:val="-4"/>
        </w:rPr>
        <w:t> </w:t>
      </w:r>
      <w:r>
        <w:rPr/>
        <w:t>tasked</w:t>
      </w:r>
      <w:r>
        <w:rPr>
          <w:spacing w:val="-4"/>
        </w:rPr>
        <w:t> </w:t>
      </w:r>
      <w:r>
        <w:rPr/>
        <w:t>with</w:t>
      </w:r>
      <w:r>
        <w:rPr>
          <w:spacing w:val="-4"/>
        </w:rPr>
        <w:t> </w:t>
      </w:r>
      <w:r>
        <w:rPr/>
        <w:t>using</w:t>
      </w:r>
      <w:r>
        <w:rPr>
          <w:spacing w:val="-4"/>
        </w:rPr>
        <w:t> </w:t>
      </w:r>
      <w:r>
        <w:rPr/>
        <w:t>these</w:t>
      </w:r>
      <w:r>
        <w:rPr>
          <w:spacing w:val="-4"/>
        </w:rPr>
        <w:t> </w:t>
      </w:r>
      <w:r>
        <w:rPr/>
        <w:t>reserves</w:t>
      </w:r>
      <w:r>
        <w:rPr>
          <w:spacing w:val="-4"/>
        </w:rPr>
        <w:t> </w:t>
      </w:r>
      <w:r>
        <w:rPr/>
        <w:t>to extend foreign currency-denominated loans to overseas borrowers?</w:t>
      </w:r>
    </w:p>
    <w:p>
      <w:pPr>
        <w:spacing w:line="249" w:lineRule="auto" w:before="107"/>
        <w:ind w:left="760" w:right="859" w:firstLine="0"/>
        <w:jc w:val="left"/>
        <w:rPr>
          <w:sz w:val="18"/>
        </w:rPr>
      </w:pPr>
      <w:r>
        <w:rPr>
          <w:sz w:val="18"/>
          <w:vertAlign w:val="superscript"/>
        </w:rPr>
        <w:t>107</w:t>
      </w:r>
      <w:r>
        <w:rPr>
          <w:sz w:val="18"/>
          <w:vertAlign w:val="baseline"/>
        </w:rPr>
        <w:t> However, SAFE is not the only source of foreign exchange that China's state-owned commercial banks have drawn upon to support foreign exchange-denominated overseas lending activities. Their balance sheet</w:t>
      </w:r>
      <w:r>
        <w:rPr>
          <w:spacing w:val="-5"/>
          <w:sz w:val="18"/>
          <w:vertAlign w:val="baseline"/>
        </w:rPr>
        <w:t> </w:t>
      </w:r>
      <w:r>
        <w:rPr>
          <w:sz w:val="18"/>
          <w:vertAlign w:val="baseline"/>
        </w:rPr>
        <w:t>data</w:t>
      </w:r>
      <w:r>
        <w:rPr>
          <w:spacing w:val="-5"/>
          <w:sz w:val="18"/>
          <w:vertAlign w:val="baseline"/>
        </w:rPr>
        <w:t> </w:t>
      </w:r>
      <w:r>
        <w:rPr>
          <w:sz w:val="18"/>
          <w:vertAlign w:val="baseline"/>
        </w:rPr>
        <w:t>demonstrates</w:t>
      </w:r>
      <w:r>
        <w:rPr>
          <w:spacing w:val="-5"/>
          <w:sz w:val="18"/>
          <w:vertAlign w:val="baseline"/>
        </w:rPr>
        <w:t> </w:t>
      </w:r>
      <w:r>
        <w:rPr>
          <w:sz w:val="18"/>
          <w:vertAlign w:val="baseline"/>
        </w:rPr>
        <w:t>that</w:t>
      </w:r>
      <w:r>
        <w:rPr>
          <w:spacing w:val="-5"/>
          <w:sz w:val="18"/>
          <w:vertAlign w:val="baseline"/>
        </w:rPr>
        <w:t> </w:t>
      </w:r>
      <w:r>
        <w:rPr>
          <w:sz w:val="18"/>
          <w:vertAlign w:val="baseline"/>
        </w:rPr>
        <w:t>they</w:t>
      </w:r>
      <w:r>
        <w:rPr>
          <w:spacing w:val="-5"/>
          <w:sz w:val="18"/>
          <w:vertAlign w:val="baseline"/>
        </w:rPr>
        <w:t> </w:t>
      </w:r>
      <w:r>
        <w:rPr>
          <w:sz w:val="18"/>
          <w:vertAlign w:val="baseline"/>
        </w:rPr>
        <w:t>also</w:t>
      </w:r>
      <w:r>
        <w:rPr>
          <w:spacing w:val="-5"/>
          <w:sz w:val="18"/>
          <w:vertAlign w:val="baseline"/>
        </w:rPr>
        <w:t> </w:t>
      </w:r>
      <w:r>
        <w:rPr>
          <w:sz w:val="18"/>
          <w:vertAlign w:val="baseline"/>
        </w:rPr>
        <w:t>have</w:t>
      </w:r>
      <w:r>
        <w:rPr>
          <w:spacing w:val="-5"/>
          <w:sz w:val="18"/>
          <w:vertAlign w:val="baseline"/>
        </w:rPr>
        <w:t> </w:t>
      </w:r>
      <w:r>
        <w:rPr>
          <w:sz w:val="18"/>
          <w:vertAlign w:val="baseline"/>
        </w:rPr>
        <w:t>access</w:t>
      </w:r>
      <w:r>
        <w:rPr>
          <w:spacing w:val="-5"/>
          <w:sz w:val="18"/>
          <w:vertAlign w:val="baseline"/>
        </w:rPr>
        <w:t> </w:t>
      </w:r>
      <w:r>
        <w:rPr>
          <w:sz w:val="18"/>
          <w:vertAlign w:val="baseline"/>
        </w:rPr>
        <w:t>to</w:t>
      </w:r>
      <w:r>
        <w:rPr>
          <w:spacing w:val="-5"/>
          <w:sz w:val="18"/>
          <w:vertAlign w:val="baseline"/>
        </w:rPr>
        <w:t> </w:t>
      </w:r>
      <w:r>
        <w:rPr>
          <w:sz w:val="18"/>
          <w:vertAlign w:val="baseline"/>
        </w:rPr>
        <w:t>domestic</w:t>
      </w:r>
      <w:r>
        <w:rPr>
          <w:spacing w:val="-5"/>
          <w:sz w:val="18"/>
          <w:vertAlign w:val="baseline"/>
        </w:rPr>
        <w:t> </w:t>
      </w:r>
      <w:r>
        <w:rPr>
          <w:sz w:val="18"/>
          <w:vertAlign w:val="baseline"/>
        </w:rPr>
        <w:t>foreign</w:t>
      </w:r>
      <w:r>
        <w:rPr>
          <w:spacing w:val="-5"/>
          <w:sz w:val="18"/>
          <w:vertAlign w:val="baseline"/>
        </w:rPr>
        <w:t> </w:t>
      </w:r>
      <w:r>
        <w:rPr>
          <w:sz w:val="18"/>
          <w:vertAlign w:val="baseline"/>
        </w:rPr>
        <w:t>exchange</w:t>
      </w:r>
      <w:r>
        <w:rPr>
          <w:spacing w:val="-5"/>
          <w:sz w:val="18"/>
          <w:vertAlign w:val="baseline"/>
        </w:rPr>
        <w:t> </w:t>
      </w:r>
      <w:r>
        <w:rPr>
          <w:sz w:val="18"/>
          <w:vertAlign w:val="baseline"/>
        </w:rPr>
        <w:t>deposits</w:t>
      </w:r>
      <w:r>
        <w:rPr>
          <w:spacing w:val="-5"/>
          <w:sz w:val="18"/>
          <w:vertAlign w:val="baseline"/>
        </w:rPr>
        <w:t> </w:t>
      </w:r>
      <w:r>
        <w:rPr>
          <w:sz w:val="18"/>
          <w:vertAlign w:val="baseline"/>
        </w:rPr>
        <w:t>(Setser</w:t>
      </w:r>
      <w:r>
        <w:rPr>
          <w:spacing w:val="-5"/>
          <w:sz w:val="18"/>
          <w:vertAlign w:val="baseline"/>
        </w:rPr>
        <w:t> </w:t>
      </w:r>
      <w:r>
        <w:rPr>
          <w:sz w:val="18"/>
          <w:vertAlign w:val="baseline"/>
        </w:rPr>
        <w:t>2023a).</w:t>
      </w:r>
    </w:p>
    <w:p>
      <w:pPr>
        <w:spacing w:after="0" w:line="249" w:lineRule="auto"/>
        <w:jc w:val="left"/>
        <w:rPr>
          <w:sz w:val="18"/>
        </w:rPr>
        <w:sectPr>
          <w:pgSz w:w="12240" w:h="15840"/>
          <w:pgMar w:header="0" w:footer="720" w:top="1400" w:bottom="920" w:left="1040" w:right="1040"/>
        </w:sectPr>
      </w:pPr>
    </w:p>
    <w:p>
      <w:pPr>
        <w:pStyle w:val="BodyText"/>
        <w:spacing w:line="333" w:lineRule="auto" w:before="27"/>
        <w:ind w:left="760" w:right="837"/>
      </w:pPr>
      <w:r>
        <w:rPr/>
        <w:t>China’s foreign currency reserves remain vast—approximately $3.1 trillion as of 2023. However, this ﬁgure only refers to the ofﬁcial, foreign currency reserve holdings of China’s central bank (the PBOC). It does not account for the country’s so-called “hidden reserves,” which include foreign currency that the PBOC</w:t>
      </w:r>
      <w:r>
        <w:rPr>
          <w:spacing w:val="-3"/>
        </w:rPr>
        <w:t> </w:t>
      </w:r>
      <w:r>
        <w:rPr/>
        <w:t>has</w:t>
      </w:r>
      <w:r>
        <w:rPr>
          <w:spacing w:val="-3"/>
        </w:rPr>
        <w:t> </w:t>
      </w:r>
      <w:r>
        <w:rPr/>
        <w:t>moved</w:t>
      </w:r>
      <w:r>
        <w:rPr>
          <w:spacing w:val="-3"/>
        </w:rPr>
        <w:t> </w:t>
      </w:r>
      <w:r>
        <w:rPr/>
        <w:t>out</w:t>
      </w:r>
      <w:r>
        <w:rPr>
          <w:spacing w:val="-3"/>
        </w:rPr>
        <w:t> </w:t>
      </w:r>
      <w:r>
        <w:rPr/>
        <w:t>of</w:t>
      </w:r>
      <w:r>
        <w:rPr>
          <w:spacing w:val="-3"/>
        </w:rPr>
        <w:t> </w:t>
      </w:r>
      <w:r>
        <w:rPr/>
        <w:t>its</w:t>
      </w:r>
      <w:r>
        <w:rPr>
          <w:spacing w:val="-3"/>
        </w:rPr>
        <w:t> </w:t>
      </w:r>
      <w:r>
        <w:rPr/>
        <w:t>ofﬁcial</w:t>
      </w:r>
      <w:r>
        <w:rPr>
          <w:spacing w:val="-3"/>
        </w:rPr>
        <w:t> </w:t>
      </w:r>
      <w:r>
        <w:rPr/>
        <w:t>reserve</w:t>
      </w:r>
      <w:r>
        <w:rPr>
          <w:spacing w:val="-3"/>
        </w:rPr>
        <w:t> </w:t>
      </w:r>
      <w:r>
        <w:rPr/>
        <w:t>holdings</w:t>
      </w:r>
      <w:r>
        <w:rPr>
          <w:spacing w:val="-3"/>
        </w:rPr>
        <w:t> </w:t>
      </w:r>
      <w:r>
        <w:rPr/>
        <w:t>(and</w:t>
      </w:r>
      <w:r>
        <w:rPr>
          <w:spacing w:val="-3"/>
        </w:rPr>
        <w:t> </w:t>
      </w:r>
      <w:r>
        <w:rPr/>
        <w:t>off</w:t>
      </w:r>
      <w:r>
        <w:rPr>
          <w:spacing w:val="-3"/>
        </w:rPr>
        <w:t> </w:t>
      </w:r>
      <w:r>
        <w:rPr/>
        <w:t>of</w:t>
      </w:r>
      <w:r>
        <w:rPr>
          <w:spacing w:val="-3"/>
        </w:rPr>
        <w:t> </w:t>
      </w:r>
      <w:r>
        <w:rPr/>
        <w:t>its</w:t>
      </w:r>
      <w:r>
        <w:rPr>
          <w:spacing w:val="-3"/>
        </w:rPr>
        <w:t> </w:t>
      </w:r>
      <w:r>
        <w:rPr/>
        <w:t>balance</w:t>
      </w:r>
      <w:r>
        <w:rPr>
          <w:spacing w:val="-3"/>
        </w:rPr>
        <w:t> </w:t>
      </w:r>
      <w:r>
        <w:rPr/>
        <w:t>sheet) by entrusting them to Chinese state-owned policy banks (like CDB and China Eximbank), state-owned commercial banks (like BOC, ICBC, and China Construction Bank), and state-owned funds (like the Silk Road Fund and CIC).</w:t>
      </w:r>
    </w:p>
    <w:p>
      <w:pPr>
        <w:pStyle w:val="BodyText"/>
        <w:spacing w:line="333" w:lineRule="auto"/>
        <w:ind w:left="760" w:right="767"/>
      </w:pPr>
      <w:r>
        <w:rPr>
          <w:spacing w:val="-2"/>
          <w:w w:val="105"/>
        </w:rPr>
        <w:t>Brad</w:t>
      </w:r>
      <w:r>
        <w:rPr>
          <w:spacing w:val="-12"/>
          <w:w w:val="105"/>
        </w:rPr>
        <w:t> </w:t>
      </w:r>
      <w:r>
        <w:rPr>
          <w:spacing w:val="-2"/>
          <w:w w:val="105"/>
        </w:rPr>
        <w:t>Setser</w:t>
      </w:r>
      <w:r>
        <w:rPr>
          <w:spacing w:val="-12"/>
          <w:w w:val="105"/>
        </w:rPr>
        <w:t> </w:t>
      </w:r>
      <w:r>
        <w:rPr>
          <w:spacing w:val="-2"/>
          <w:w w:val="105"/>
        </w:rPr>
        <w:t>of</w:t>
      </w:r>
      <w:r>
        <w:rPr>
          <w:spacing w:val="-12"/>
          <w:w w:val="105"/>
        </w:rPr>
        <w:t> </w:t>
      </w:r>
      <w:r>
        <w:rPr>
          <w:spacing w:val="-2"/>
          <w:w w:val="105"/>
        </w:rPr>
        <w:t>the</w:t>
      </w:r>
      <w:r>
        <w:rPr>
          <w:spacing w:val="-12"/>
          <w:w w:val="105"/>
        </w:rPr>
        <w:t> </w:t>
      </w:r>
      <w:r>
        <w:rPr>
          <w:spacing w:val="-2"/>
          <w:w w:val="105"/>
        </w:rPr>
        <w:t>Council</w:t>
      </w:r>
      <w:r>
        <w:rPr>
          <w:spacing w:val="-12"/>
          <w:w w:val="105"/>
        </w:rPr>
        <w:t> </w:t>
      </w:r>
      <w:r>
        <w:rPr>
          <w:spacing w:val="-2"/>
          <w:w w:val="105"/>
        </w:rPr>
        <w:t>on</w:t>
      </w:r>
      <w:r>
        <w:rPr>
          <w:spacing w:val="-12"/>
          <w:w w:val="105"/>
        </w:rPr>
        <w:t> </w:t>
      </w:r>
      <w:r>
        <w:rPr>
          <w:spacing w:val="-2"/>
          <w:w w:val="105"/>
        </w:rPr>
        <w:t>Foreign</w:t>
      </w:r>
      <w:r>
        <w:rPr>
          <w:spacing w:val="-12"/>
          <w:w w:val="105"/>
        </w:rPr>
        <w:t> </w:t>
      </w:r>
      <w:r>
        <w:rPr>
          <w:spacing w:val="-2"/>
          <w:w w:val="105"/>
        </w:rPr>
        <w:t>Relations</w:t>
      </w:r>
      <w:r>
        <w:rPr>
          <w:spacing w:val="-12"/>
          <w:w w:val="105"/>
        </w:rPr>
        <w:t> </w:t>
      </w:r>
      <w:r>
        <w:rPr>
          <w:spacing w:val="-2"/>
          <w:w w:val="105"/>
        </w:rPr>
        <w:t>argues</w:t>
      </w:r>
      <w:r>
        <w:rPr>
          <w:spacing w:val="-12"/>
          <w:w w:val="105"/>
        </w:rPr>
        <w:t> </w:t>
      </w:r>
      <w:r>
        <w:rPr>
          <w:spacing w:val="-2"/>
          <w:w w:val="105"/>
        </w:rPr>
        <w:t>that</w:t>
      </w:r>
      <w:r>
        <w:rPr>
          <w:spacing w:val="-12"/>
          <w:w w:val="105"/>
        </w:rPr>
        <w:t> </w:t>
      </w:r>
      <w:r>
        <w:rPr>
          <w:spacing w:val="-2"/>
          <w:w w:val="105"/>
        </w:rPr>
        <w:t>the</w:t>
      </w:r>
      <w:r>
        <w:rPr>
          <w:spacing w:val="-12"/>
          <w:w w:val="105"/>
        </w:rPr>
        <w:t> </w:t>
      </w:r>
      <w:r>
        <w:rPr>
          <w:spacing w:val="-2"/>
          <w:w w:val="105"/>
        </w:rPr>
        <w:t>country’s </w:t>
      </w:r>
      <w:r>
        <w:rPr>
          <w:w w:val="105"/>
        </w:rPr>
        <w:t>“hidden</w:t>
      </w:r>
      <w:r>
        <w:rPr>
          <w:spacing w:val="-9"/>
          <w:w w:val="105"/>
        </w:rPr>
        <w:t> </w:t>
      </w:r>
      <w:r>
        <w:rPr>
          <w:w w:val="105"/>
        </w:rPr>
        <w:t>reserves”</w:t>
      </w:r>
      <w:r>
        <w:rPr>
          <w:spacing w:val="-9"/>
          <w:w w:val="105"/>
        </w:rPr>
        <w:t> </w:t>
      </w:r>
      <w:r>
        <w:rPr>
          <w:w w:val="105"/>
        </w:rPr>
        <w:t>may</w:t>
      </w:r>
      <w:r>
        <w:rPr>
          <w:spacing w:val="-9"/>
          <w:w w:val="105"/>
        </w:rPr>
        <w:t> </w:t>
      </w:r>
      <w:r>
        <w:rPr>
          <w:w w:val="105"/>
        </w:rPr>
        <w:t>be</w:t>
      </w:r>
      <w:r>
        <w:rPr>
          <w:spacing w:val="-9"/>
          <w:w w:val="105"/>
        </w:rPr>
        <w:t> </w:t>
      </w:r>
      <w:r>
        <w:rPr>
          <w:w w:val="105"/>
        </w:rPr>
        <w:t>worth</w:t>
      </w:r>
      <w:r>
        <w:rPr>
          <w:spacing w:val="-9"/>
          <w:w w:val="105"/>
        </w:rPr>
        <w:t> </w:t>
      </w:r>
      <w:r>
        <w:rPr>
          <w:w w:val="105"/>
        </w:rPr>
        <w:t>an</w:t>
      </w:r>
      <w:r>
        <w:rPr>
          <w:spacing w:val="-9"/>
          <w:w w:val="105"/>
        </w:rPr>
        <w:t> </w:t>
      </w:r>
      <w:r>
        <w:rPr>
          <w:w w:val="105"/>
        </w:rPr>
        <w:t>additional</w:t>
      </w:r>
      <w:r>
        <w:rPr>
          <w:spacing w:val="-9"/>
          <w:w w:val="105"/>
        </w:rPr>
        <w:t> </w:t>
      </w:r>
      <w:r>
        <w:rPr>
          <w:w w:val="105"/>
        </w:rPr>
        <w:t>$3</w:t>
      </w:r>
      <w:r>
        <w:rPr>
          <w:spacing w:val="-9"/>
          <w:w w:val="105"/>
        </w:rPr>
        <w:t> </w:t>
      </w:r>
      <w:r>
        <w:rPr>
          <w:w w:val="105"/>
        </w:rPr>
        <w:t>trillion.</w:t>
      </w:r>
      <w:r>
        <w:rPr>
          <w:w w:val="105"/>
          <w:vertAlign w:val="superscript"/>
        </w:rPr>
        <w:t>108</w:t>
      </w:r>
      <w:r>
        <w:rPr>
          <w:spacing w:val="-10"/>
          <w:w w:val="105"/>
          <w:vertAlign w:val="baseline"/>
        </w:rPr>
        <w:t> </w:t>
      </w:r>
      <w:r>
        <w:rPr>
          <w:w w:val="105"/>
          <w:vertAlign w:val="baseline"/>
        </w:rPr>
        <w:t>He</w:t>
      </w:r>
      <w:r>
        <w:rPr>
          <w:spacing w:val="-9"/>
          <w:w w:val="105"/>
          <w:vertAlign w:val="baseline"/>
        </w:rPr>
        <w:t> </w:t>
      </w:r>
      <w:r>
        <w:rPr>
          <w:w w:val="105"/>
          <w:vertAlign w:val="baseline"/>
        </w:rPr>
        <w:t>also</w:t>
      </w:r>
      <w:r>
        <w:rPr>
          <w:spacing w:val="-9"/>
          <w:w w:val="105"/>
          <w:vertAlign w:val="baseline"/>
        </w:rPr>
        <w:t> </w:t>
      </w:r>
      <w:r>
        <w:rPr>
          <w:w w:val="105"/>
          <w:vertAlign w:val="baseline"/>
        </w:rPr>
        <w:t>provides </w:t>
      </w:r>
      <w:r>
        <w:rPr>
          <w:vertAlign w:val="baseline"/>
        </w:rPr>
        <w:t>evidence that these additional reserves have rapidly increased over the last </w:t>
      </w:r>
      <w:r>
        <w:rPr>
          <w:w w:val="105"/>
          <w:vertAlign w:val="baseline"/>
        </w:rPr>
        <w:t>decade,</w:t>
      </w:r>
      <w:r>
        <w:rPr>
          <w:spacing w:val="-16"/>
          <w:w w:val="105"/>
          <w:vertAlign w:val="baseline"/>
        </w:rPr>
        <w:t> </w:t>
      </w:r>
      <w:r>
        <w:rPr>
          <w:w w:val="105"/>
          <w:vertAlign w:val="baseline"/>
        </w:rPr>
        <w:t>which</w:t>
      </w:r>
      <w:r>
        <w:rPr>
          <w:spacing w:val="-16"/>
          <w:w w:val="105"/>
          <w:vertAlign w:val="baseline"/>
        </w:rPr>
        <w:t> </w:t>
      </w:r>
      <w:r>
        <w:rPr>
          <w:w w:val="105"/>
          <w:vertAlign w:val="baseline"/>
        </w:rPr>
        <w:t>may</w:t>
      </w:r>
      <w:r>
        <w:rPr>
          <w:spacing w:val="-16"/>
          <w:w w:val="105"/>
          <w:vertAlign w:val="baseline"/>
        </w:rPr>
        <w:t> </w:t>
      </w:r>
      <w:r>
        <w:rPr>
          <w:w w:val="105"/>
          <w:vertAlign w:val="baseline"/>
        </w:rPr>
        <w:t>explain</w:t>
      </w:r>
      <w:r>
        <w:rPr>
          <w:spacing w:val="-16"/>
          <w:w w:val="105"/>
          <w:vertAlign w:val="baseline"/>
        </w:rPr>
        <w:t> </w:t>
      </w:r>
      <w:r>
        <w:rPr>
          <w:w w:val="105"/>
          <w:vertAlign w:val="baseline"/>
        </w:rPr>
        <w:t>why</w:t>
      </w:r>
      <w:r>
        <w:rPr>
          <w:spacing w:val="-16"/>
          <w:w w:val="105"/>
          <w:vertAlign w:val="baseline"/>
        </w:rPr>
        <w:t> </w:t>
      </w:r>
      <w:r>
        <w:rPr>
          <w:w w:val="105"/>
          <w:vertAlign w:val="baseline"/>
        </w:rPr>
        <w:t>the</w:t>
      </w:r>
      <w:r>
        <w:rPr>
          <w:spacing w:val="-16"/>
          <w:w w:val="105"/>
          <w:vertAlign w:val="baseline"/>
        </w:rPr>
        <w:t> </w:t>
      </w:r>
      <w:r>
        <w:rPr>
          <w:w w:val="105"/>
          <w:vertAlign w:val="baseline"/>
        </w:rPr>
        <w:t>3.0</w:t>
      </w:r>
      <w:r>
        <w:rPr>
          <w:spacing w:val="-16"/>
          <w:w w:val="105"/>
          <w:vertAlign w:val="baseline"/>
        </w:rPr>
        <w:t> </w:t>
      </w:r>
      <w:r>
        <w:rPr>
          <w:w w:val="105"/>
          <w:vertAlign w:val="baseline"/>
        </w:rPr>
        <w:t>version</w:t>
      </w:r>
      <w:r>
        <w:rPr>
          <w:spacing w:val="-16"/>
          <w:w w:val="105"/>
          <w:vertAlign w:val="baseline"/>
        </w:rPr>
        <w:t> </w:t>
      </w:r>
      <w:r>
        <w:rPr>
          <w:w w:val="105"/>
          <w:vertAlign w:val="baseline"/>
        </w:rPr>
        <w:t>of</w:t>
      </w:r>
      <w:r>
        <w:rPr>
          <w:spacing w:val="-16"/>
          <w:w w:val="105"/>
          <w:vertAlign w:val="baseline"/>
        </w:rPr>
        <w:t> </w:t>
      </w:r>
      <w:r>
        <w:rPr>
          <w:w w:val="105"/>
          <w:vertAlign w:val="baseline"/>
        </w:rPr>
        <w:t>the</w:t>
      </w:r>
      <w:r>
        <w:rPr>
          <w:spacing w:val="-16"/>
          <w:w w:val="105"/>
          <w:vertAlign w:val="baseline"/>
        </w:rPr>
        <w:t> </w:t>
      </w:r>
      <w:r>
        <w:rPr>
          <w:w w:val="105"/>
          <w:vertAlign w:val="baseline"/>
        </w:rPr>
        <w:t>GCDF</w:t>
      </w:r>
      <w:r>
        <w:rPr>
          <w:spacing w:val="-16"/>
          <w:w w:val="105"/>
          <w:vertAlign w:val="baseline"/>
        </w:rPr>
        <w:t> </w:t>
      </w:r>
      <w:r>
        <w:rPr>
          <w:w w:val="105"/>
          <w:vertAlign w:val="baseline"/>
        </w:rPr>
        <w:t>dataset</w:t>
      </w:r>
      <w:r>
        <w:rPr>
          <w:spacing w:val="-16"/>
          <w:w w:val="105"/>
          <w:vertAlign w:val="baseline"/>
        </w:rPr>
        <w:t> </w:t>
      </w:r>
      <w:r>
        <w:rPr>
          <w:w w:val="105"/>
          <w:vertAlign w:val="baseline"/>
        </w:rPr>
        <w:t>does</w:t>
      </w:r>
      <w:r>
        <w:rPr>
          <w:spacing w:val="-16"/>
          <w:w w:val="105"/>
          <w:vertAlign w:val="baseline"/>
        </w:rPr>
        <w:t> </w:t>
      </w:r>
      <w:r>
        <w:rPr>
          <w:w w:val="105"/>
          <w:vertAlign w:val="baseline"/>
        </w:rPr>
        <w:t>not </w:t>
      </w:r>
      <w:r>
        <w:rPr>
          <w:vertAlign w:val="baseline"/>
        </w:rPr>
        <w:t>show</w:t>
      </w:r>
      <w:r>
        <w:rPr>
          <w:spacing w:val="-4"/>
          <w:vertAlign w:val="baseline"/>
        </w:rPr>
        <w:t> </w:t>
      </w:r>
      <w:r>
        <w:rPr>
          <w:vertAlign w:val="baseline"/>
        </w:rPr>
        <w:t>a</w:t>
      </w:r>
      <w:r>
        <w:rPr>
          <w:spacing w:val="-4"/>
          <w:vertAlign w:val="baseline"/>
        </w:rPr>
        <w:t> </w:t>
      </w:r>
      <w:r>
        <w:rPr>
          <w:vertAlign w:val="baseline"/>
        </w:rPr>
        <w:t>major</w:t>
      </w:r>
      <w:r>
        <w:rPr>
          <w:spacing w:val="-4"/>
          <w:vertAlign w:val="baseline"/>
        </w:rPr>
        <w:t> </w:t>
      </w:r>
      <w:r>
        <w:rPr>
          <w:vertAlign w:val="baseline"/>
        </w:rPr>
        <w:t>contraction</w:t>
      </w:r>
      <w:r>
        <w:rPr>
          <w:spacing w:val="-4"/>
          <w:vertAlign w:val="baseline"/>
        </w:rPr>
        <w:t> </w:t>
      </w:r>
      <w:r>
        <w:rPr>
          <w:vertAlign w:val="baseline"/>
        </w:rPr>
        <w:t>in</w:t>
      </w:r>
      <w:r>
        <w:rPr>
          <w:spacing w:val="-4"/>
          <w:vertAlign w:val="baseline"/>
        </w:rPr>
        <w:t> </w:t>
      </w:r>
      <w:r>
        <w:rPr>
          <w:vertAlign w:val="baseline"/>
        </w:rPr>
        <w:t>the</w:t>
      </w:r>
      <w:r>
        <w:rPr>
          <w:spacing w:val="-4"/>
          <w:vertAlign w:val="baseline"/>
        </w:rPr>
        <w:t> </w:t>
      </w:r>
      <w:r>
        <w:rPr>
          <w:vertAlign w:val="baseline"/>
        </w:rPr>
        <w:t>overall</w:t>
      </w:r>
      <w:r>
        <w:rPr>
          <w:spacing w:val="-4"/>
          <w:vertAlign w:val="baseline"/>
        </w:rPr>
        <w:t> </w:t>
      </w:r>
      <w:r>
        <w:rPr>
          <w:vertAlign w:val="baseline"/>
        </w:rPr>
        <w:t>size</w:t>
      </w:r>
      <w:r>
        <w:rPr>
          <w:spacing w:val="-4"/>
          <w:vertAlign w:val="baseline"/>
        </w:rPr>
        <w:t> </w:t>
      </w:r>
      <w:r>
        <w:rPr>
          <w:vertAlign w:val="baseline"/>
        </w:rPr>
        <w:t>of</w:t>
      </w:r>
      <w:r>
        <w:rPr>
          <w:spacing w:val="-4"/>
          <w:vertAlign w:val="baseline"/>
        </w:rPr>
        <w:t> </w:t>
      </w:r>
      <w:r>
        <w:rPr>
          <w:vertAlign w:val="baseline"/>
        </w:rPr>
        <w:t>China’s</w:t>
      </w:r>
      <w:r>
        <w:rPr>
          <w:spacing w:val="-4"/>
          <w:vertAlign w:val="baseline"/>
        </w:rPr>
        <w:t> </w:t>
      </w:r>
      <w:r>
        <w:rPr>
          <w:vertAlign w:val="baseline"/>
        </w:rPr>
        <w:t>overseas</w:t>
      </w:r>
      <w:r>
        <w:rPr>
          <w:spacing w:val="-4"/>
          <w:vertAlign w:val="baseline"/>
        </w:rPr>
        <w:t> </w:t>
      </w:r>
      <w:r>
        <w:rPr>
          <w:vertAlign w:val="baseline"/>
        </w:rPr>
        <w:t>lending</w:t>
      </w:r>
      <w:r>
        <w:rPr>
          <w:spacing w:val="-4"/>
          <w:vertAlign w:val="baseline"/>
        </w:rPr>
        <w:t> </w:t>
      </w:r>
      <w:r>
        <w:rPr>
          <w:vertAlign w:val="baseline"/>
        </w:rPr>
        <w:t>program in LICs and MICs.</w:t>
      </w:r>
      <w:r>
        <w:rPr>
          <w:vertAlign w:val="superscript"/>
        </w:rPr>
        <w:t>109</w:t>
      </w:r>
      <w:r>
        <w:rPr>
          <w:vertAlign w:val="baseline"/>
        </w:rPr>
        <w:t> Additionally, it may explain why China’s overseas lending program in high-income countries (HICs) and offshore ﬁnancial centers (OFCs) </w:t>
      </w:r>
      <w:r>
        <w:rPr>
          <w:w w:val="105"/>
          <w:vertAlign w:val="baseline"/>
        </w:rPr>
        <w:t>nearly</w:t>
      </w:r>
      <w:r>
        <w:rPr>
          <w:spacing w:val="-18"/>
          <w:w w:val="105"/>
          <w:vertAlign w:val="baseline"/>
        </w:rPr>
        <w:t> </w:t>
      </w:r>
      <w:r>
        <w:rPr>
          <w:w w:val="105"/>
          <w:vertAlign w:val="baseline"/>
        </w:rPr>
        <w:t>doubled</w:t>
      </w:r>
      <w:r>
        <w:rPr>
          <w:spacing w:val="-17"/>
          <w:w w:val="105"/>
          <w:vertAlign w:val="baseline"/>
        </w:rPr>
        <w:t> </w:t>
      </w:r>
      <w:r>
        <w:rPr>
          <w:w w:val="105"/>
          <w:vertAlign w:val="baseline"/>
        </w:rPr>
        <w:t>between</w:t>
      </w:r>
      <w:r>
        <w:rPr>
          <w:spacing w:val="-18"/>
          <w:w w:val="105"/>
          <w:vertAlign w:val="baseline"/>
        </w:rPr>
        <w:t> </w:t>
      </w:r>
      <w:r>
        <w:rPr>
          <w:w w:val="105"/>
          <w:vertAlign w:val="baseline"/>
        </w:rPr>
        <w:t>2015</w:t>
      </w:r>
      <w:r>
        <w:rPr>
          <w:spacing w:val="-18"/>
          <w:w w:val="105"/>
          <w:vertAlign w:val="baseline"/>
        </w:rPr>
        <w:t> </w:t>
      </w:r>
      <w:r>
        <w:rPr>
          <w:w w:val="105"/>
          <w:vertAlign w:val="baseline"/>
        </w:rPr>
        <w:t>and</w:t>
      </w:r>
      <w:r>
        <w:rPr>
          <w:spacing w:val="-17"/>
          <w:w w:val="105"/>
          <w:vertAlign w:val="baseline"/>
        </w:rPr>
        <w:t> </w:t>
      </w:r>
      <w:r>
        <w:rPr>
          <w:w w:val="105"/>
          <w:vertAlign w:val="baseline"/>
        </w:rPr>
        <w:t>2021</w:t>
      </w:r>
      <w:r>
        <w:rPr>
          <w:spacing w:val="-18"/>
          <w:w w:val="105"/>
          <w:vertAlign w:val="baseline"/>
        </w:rPr>
        <w:t> </w:t>
      </w:r>
      <w:r>
        <w:rPr>
          <w:w w:val="105"/>
          <w:vertAlign w:val="baseline"/>
        </w:rPr>
        <w:t>(see</w:t>
      </w:r>
      <w:r>
        <w:rPr>
          <w:spacing w:val="-17"/>
          <w:w w:val="105"/>
          <w:vertAlign w:val="baseline"/>
        </w:rPr>
        <w:t> </w:t>
      </w:r>
      <w:r>
        <w:rPr>
          <w:w w:val="105"/>
          <w:vertAlign w:val="baseline"/>
        </w:rPr>
        <w:t>Box</w:t>
      </w:r>
      <w:r>
        <w:rPr>
          <w:spacing w:val="-18"/>
          <w:w w:val="105"/>
          <w:vertAlign w:val="baseline"/>
        </w:rPr>
        <w:t> </w:t>
      </w:r>
      <w:r>
        <w:rPr>
          <w:w w:val="105"/>
          <w:vertAlign w:val="baseline"/>
        </w:rPr>
        <w:t>2a</w:t>
      </w:r>
      <w:r>
        <w:rPr>
          <w:spacing w:val="-17"/>
          <w:w w:val="105"/>
          <w:vertAlign w:val="baseline"/>
        </w:rPr>
        <w:t> </w:t>
      </w:r>
      <w:r>
        <w:rPr>
          <w:w w:val="105"/>
          <w:vertAlign w:val="baseline"/>
        </w:rPr>
        <w:t>and</w:t>
      </w:r>
      <w:r>
        <w:rPr>
          <w:spacing w:val="-18"/>
          <w:w w:val="105"/>
          <w:vertAlign w:val="baseline"/>
        </w:rPr>
        <w:t> </w:t>
      </w:r>
      <w:r>
        <w:rPr>
          <w:w w:val="105"/>
          <w:vertAlign w:val="baseline"/>
        </w:rPr>
        <w:t>Table</w:t>
      </w:r>
      <w:r>
        <w:rPr>
          <w:spacing w:val="-17"/>
          <w:w w:val="105"/>
          <w:vertAlign w:val="baseline"/>
        </w:rPr>
        <w:t> </w:t>
      </w:r>
      <w:r>
        <w:rPr>
          <w:w w:val="105"/>
          <w:vertAlign w:val="baseline"/>
        </w:rPr>
        <w:t>2.1).</w:t>
      </w:r>
    </w:p>
    <w:p>
      <w:pPr>
        <w:pStyle w:val="BodyText"/>
        <w:spacing w:before="3"/>
        <w:rPr>
          <w:sz w:val="25"/>
        </w:rPr>
      </w:pPr>
      <w:r>
        <w:rPr/>
        <w:pict>
          <v:shape style="position:absolute;margin-left:84pt;margin-top:15.766003pt;width:444pt;height:228.05pt;mso-position-horizontal-relative:page;mso-position-vertical-relative:paragraph;z-index:-15717888;mso-wrap-distance-left:0;mso-wrap-distance-right:0" type="#_x0000_t202" id="docshape20" filled="true" fillcolor="#f0f2f4" stroked="false">
            <v:textbox inset="0,0,0,0">
              <w:txbxContent>
                <w:p>
                  <w:pPr>
                    <w:spacing w:line="333" w:lineRule="auto" w:before="116"/>
                    <w:ind w:left="120" w:right="199" w:firstLine="0"/>
                    <w:jc w:val="left"/>
                    <w:rPr>
                      <w:b/>
                      <w:color w:val="000000"/>
                      <w:sz w:val="24"/>
                    </w:rPr>
                  </w:pPr>
                  <w:r>
                    <w:rPr>
                      <w:b/>
                      <w:color w:val="000000"/>
                      <w:spacing w:val="-8"/>
                      <w:sz w:val="24"/>
                    </w:rPr>
                    <w:t>Box 2b: The investment agency behind the curtain—China’s </w:t>
                  </w:r>
                  <w:r>
                    <w:rPr>
                      <w:b/>
                      <w:color w:val="000000"/>
                      <w:spacing w:val="-8"/>
                      <w:sz w:val="24"/>
                    </w:rPr>
                    <w:t>State </w:t>
                  </w:r>
                  <w:r>
                    <w:rPr>
                      <w:b/>
                      <w:color w:val="000000"/>
                      <w:spacing w:val="-4"/>
                      <w:sz w:val="24"/>
                    </w:rPr>
                    <w:t>Administration</w:t>
                  </w:r>
                  <w:r>
                    <w:rPr>
                      <w:b/>
                      <w:color w:val="000000"/>
                      <w:spacing w:val="-10"/>
                      <w:sz w:val="24"/>
                    </w:rPr>
                    <w:t> </w:t>
                  </w:r>
                  <w:r>
                    <w:rPr>
                      <w:b/>
                      <w:color w:val="000000"/>
                      <w:spacing w:val="-4"/>
                      <w:sz w:val="24"/>
                    </w:rPr>
                    <w:t>of</w:t>
                  </w:r>
                  <w:r>
                    <w:rPr>
                      <w:b/>
                      <w:color w:val="000000"/>
                      <w:spacing w:val="-10"/>
                      <w:sz w:val="24"/>
                    </w:rPr>
                    <w:t> </w:t>
                  </w:r>
                  <w:r>
                    <w:rPr>
                      <w:b/>
                      <w:color w:val="000000"/>
                      <w:spacing w:val="-4"/>
                      <w:sz w:val="24"/>
                    </w:rPr>
                    <w:t>Foreign</w:t>
                  </w:r>
                  <w:r>
                    <w:rPr>
                      <w:b/>
                      <w:color w:val="000000"/>
                      <w:spacing w:val="-10"/>
                      <w:sz w:val="24"/>
                    </w:rPr>
                    <w:t> </w:t>
                  </w:r>
                  <w:r>
                    <w:rPr>
                      <w:b/>
                      <w:color w:val="000000"/>
                      <w:spacing w:val="-4"/>
                      <w:sz w:val="24"/>
                    </w:rPr>
                    <w:t>Exchange</w:t>
                  </w:r>
                  <w:r>
                    <w:rPr>
                      <w:b/>
                      <w:color w:val="000000"/>
                      <w:spacing w:val="-10"/>
                      <w:sz w:val="24"/>
                    </w:rPr>
                    <w:t> </w:t>
                  </w:r>
                  <w:r>
                    <w:rPr>
                      <w:b/>
                      <w:color w:val="000000"/>
                      <w:spacing w:val="-4"/>
                      <w:sz w:val="24"/>
                    </w:rPr>
                    <w:t>(SAFE)</w:t>
                  </w:r>
                </w:p>
                <w:p>
                  <w:pPr>
                    <w:pStyle w:val="BodyText"/>
                    <w:spacing w:before="8"/>
                    <w:rPr>
                      <w:b/>
                      <w:color w:val="000000"/>
                      <w:sz w:val="20"/>
                    </w:rPr>
                  </w:pPr>
                </w:p>
                <w:p>
                  <w:pPr>
                    <w:spacing w:line="300" w:lineRule="auto" w:before="0"/>
                    <w:ind w:left="120" w:right="241" w:firstLine="0"/>
                    <w:jc w:val="left"/>
                    <w:rPr>
                      <w:color w:val="000000"/>
                      <w:sz w:val="20"/>
                    </w:rPr>
                  </w:pPr>
                  <w:r>
                    <w:rPr>
                      <w:color w:val="000000"/>
                      <w:sz w:val="20"/>
                    </w:rPr>
                    <w:t>China’s</w:t>
                  </w:r>
                  <w:r>
                    <w:rPr>
                      <w:color w:val="000000"/>
                      <w:spacing w:val="-9"/>
                      <w:sz w:val="20"/>
                    </w:rPr>
                    <w:t> </w:t>
                  </w:r>
                  <w:r>
                    <w:rPr>
                      <w:color w:val="000000"/>
                      <w:sz w:val="20"/>
                    </w:rPr>
                    <w:t>State</w:t>
                  </w:r>
                  <w:r>
                    <w:rPr>
                      <w:color w:val="000000"/>
                      <w:spacing w:val="-9"/>
                      <w:sz w:val="20"/>
                    </w:rPr>
                    <w:t> </w:t>
                  </w:r>
                  <w:r>
                    <w:rPr>
                      <w:color w:val="000000"/>
                      <w:sz w:val="20"/>
                    </w:rPr>
                    <w:t>Administration</w:t>
                  </w:r>
                  <w:r>
                    <w:rPr>
                      <w:color w:val="000000"/>
                      <w:spacing w:val="-9"/>
                      <w:sz w:val="20"/>
                    </w:rPr>
                    <w:t> </w:t>
                  </w:r>
                  <w:r>
                    <w:rPr>
                      <w:color w:val="000000"/>
                      <w:sz w:val="20"/>
                    </w:rPr>
                    <w:t>of</w:t>
                  </w:r>
                  <w:r>
                    <w:rPr>
                      <w:color w:val="000000"/>
                      <w:spacing w:val="-9"/>
                      <w:sz w:val="20"/>
                    </w:rPr>
                    <w:t> </w:t>
                  </w:r>
                  <w:r>
                    <w:rPr>
                      <w:color w:val="000000"/>
                      <w:sz w:val="20"/>
                    </w:rPr>
                    <w:t>Foreign</w:t>
                  </w:r>
                  <w:r>
                    <w:rPr>
                      <w:color w:val="000000"/>
                      <w:spacing w:val="-9"/>
                      <w:sz w:val="20"/>
                    </w:rPr>
                    <w:t> </w:t>
                  </w:r>
                  <w:r>
                    <w:rPr>
                      <w:color w:val="000000"/>
                      <w:sz w:val="20"/>
                    </w:rPr>
                    <w:t>Exchange</w:t>
                  </w:r>
                  <w:r>
                    <w:rPr>
                      <w:color w:val="000000"/>
                      <w:spacing w:val="-9"/>
                      <w:sz w:val="20"/>
                    </w:rPr>
                    <w:t> </w:t>
                  </w:r>
                  <w:r>
                    <w:rPr>
                      <w:color w:val="000000"/>
                      <w:sz w:val="20"/>
                    </w:rPr>
                    <w:t>(SAFE)</w:t>
                  </w:r>
                  <w:r>
                    <w:rPr>
                      <w:color w:val="000000"/>
                      <w:spacing w:val="-8"/>
                      <w:sz w:val="20"/>
                    </w:rPr>
                    <w:t> </w:t>
                  </w:r>
                  <w:r>
                    <w:rPr>
                      <w:color w:val="000000"/>
                      <w:sz w:val="20"/>
                    </w:rPr>
                    <w:t>is</w:t>
                  </w:r>
                  <w:r>
                    <w:rPr>
                      <w:color w:val="000000"/>
                      <w:spacing w:val="-9"/>
                      <w:sz w:val="20"/>
                    </w:rPr>
                    <w:t> </w:t>
                  </w:r>
                  <w:r>
                    <w:rPr>
                      <w:color w:val="000000"/>
                      <w:sz w:val="20"/>
                    </w:rPr>
                    <w:t>a</w:t>
                  </w:r>
                  <w:r>
                    <w:rPr>
                      <w:color w:val="000000"/>
                      <w:spacing w:val="-9"/>
                      <w:sz w:val="20"/>
                    </w:rPr>
                    <w:t> </w:t>
                  </w:r>
                  <w:r>
                    <w:rPr>
                      <w:color w:val="000000"/>
                      <w:sz w:val="20"/>
                    </w:rPr>
                    <w:t>vice</w:t>
                  </w:r>
                  <w:r>
                    <w:rPr>
                      <w:color w:val="000000"/>
                      <w:spacing w:val="-9"/>
                      <w:sz w:val="20"/>
                    </w:rPr>
                    <w:t> </w:t>
                  </w:r>
                  <w:r>
                    <w:rPr>
                      <w:color w:val="000000"/>
                      <w:sz w:val="20"/>
                    </w:rPr>
                    <w:t>ministry-level</w:t>
                  </w:r>
                  <w:r>
                    <w:rPr>
                      <w:color w:val="000000"/>
                      <w:spacing w:val="-8"/>
                      <w:sz w:val="20"/>
                    </w:rPr>
                    <w:t> </w:t>
                  </w:r>
                  <w:r>
                    <w:rPr>
                      <w:color w:val="000000"/>
                      <w:sz w:val="20"/>
                    </w:rPr>
                    <w:t>institution</w:t>
                  </w:r>
                  <w:r>
                    <w:rPr>
                      <w:color w:val="000000"/>
                      <w:spacing w:val="-9"/>
                      <w:sz w:val="20"/>
                    </w:rPr>
                    <w:t> </w:t>
                  </w:r>
                  <w:r>
                    <w:rPr>
                      <w:color w:val="000000"/>
                      <w:sz w:val="20"/>
                    </w:rPr>
                    <w:t>and</w:t>
                  </w:r>
                  <w:r>
                    <w:rPr>
                      <w:color w:val="000000"/>
                      <w:spacing w:val="-9"/>
                      <w:sz w:val="20"/>
                    </w:rPr>
                    <w:t> </w:t>
                  </w:r>
                  <w:r>
                    <w:rPr>
                      <w:color w:val="000000"/>
                      <w:sz w:val="20"/>
                    </w:rPr>
                    <w:t>a subsidiary of the PBOC; its original mandate in 1955 was to act as the country’s foreign exchange regulatory authority. However, prior to the opening up of China’s economy in the late 1970s, the country had limited foreign exchange reserves and the PBOC had limited central bank responsibilities.</w:t>
                  </w:r>
                  <w:r>
                    <w:rPr>
                      <w:color w:val="000000"/>
                      <w:sz w:val="20"/>
                      <w:vertAlign w:val="superscript"/>
                    </w:rPr>
                    <w:t>110</w:t>
                  </w:r>
                </w:p>
                <w:p>
                  <w:pPr>
                    <w:pStyle w:val="BodyText"/>
                    <w:spacing w:before="1"/>
                    <w:rPr>
                      <w:color w:val="000000"/>
                      <w:sz w:val="21"/>
                    </w:rPr>
                  </w:pPr>
                </w:p>
                <w:p>
                  <w:pPr>
                    <w:spacing w:line="300" w:lineRule="auto" w:before="0"/>
                    <w:ind w:left="120" w:right="86" w:firstLine="0"/>
                    <w:jc w:val="left"/>
                    <w:rPr>
                      <w:color w:val="000000"/>
                      <w:sz w:val="20"/>
                    </w:rPr>
                  </w:pPr>
                  <w:r>
                    <w:rPr>
                      <w:color w:val="000000"/>
                      <w:sz w:val="20"/>
                    </w:rPr>
                    <w:t>Despite</w:t>
                  </w:r>
                  <w:r>
                    <w:rPr>
                      <w:color w:val="000000"/>
                      <w:spacing w:val="-1"/>
                      <w:sz w:val="20"/>
                    </w:rPr>
                    <w:t> </w:t>
                  </w:r>
                  <w:r>
                    <w:rPr>
                      <w:color w:val="000000"/>
                      <w:sz w:val="20"/>
                    </w:rPr>
                    <w:t>its</w:t>
                  </w:r>
                  <w:r>
                    <w:rPr>
                      <w:color w:val="000000"/>
                      <w:spacing w:val="-1"/>
                      <w:sz w:val="20"/>
                    </w:rPr>
                    <w:t> </w:t>
                  </w:r>
                  <w:r>
                    <w:rPr>
                      <w:color w:val="000000"/>
                      <w:sz w:val="20"/>
                    </w:rPr>
                    <w:t>inauspicious</w:t>
                  </w:r>
                  <w:r>
                    <w:rPr>
                      <w:color w:val="000000"/>
                      <w:spacing w:val="-1"/>
                      <w:sz w:val="20"/>
                    </w:rPr>
                    <w:t> </w:t>
                  </w:r>
                  <w:r>
                    <w:rPr>
                      <w:color w:val="000000"/>
                      <w:sz w:val="20"/>
                    </w:rPr>
                    <w:t>beginnings,</w:t>
                  </w:r>
                  <w:r>
                    <w:rPr>
                      <w:color w:val="000000"/>
                      <w:spacing w:val="-1"/>
                      <w:sz w:val="20"/>
                    </w:rPr>
                    <w:t> </w:t>
                  </w:r>
                  <w:r>
                    <w:rPr>
                      <w:color w:val="000000"/>
                      <w:sz w:val="20"/>
                    </w:rPr>
                    <w:t>SAFE</w:t>
                  </w:r>
                  <w:r>
                    <w:rPr>
                      <w:color w:val="000000"/>
                      <w:spacing w:val="-1"/>
                      <w:sz w:val="20"/>
                    </w:rPr>
                    <w:t> </w:t>
                  </w:r>
                  <w:r>
                    <w:rPr>
                      <w:color w:val="000000"/>
                      <w:sz w:val="20"/>
                    </w:rPr>
                    <w:t>was</w:t>
                  </w:r>
                  <w:r>
                    <w:rPr>
                      <w:color w:val="000000"/>
                      <w:spacing w:val="-1"/>
                      <w:sz w:val="20"/>
                    </w:rPr>
                    <w:t> </w:t>
                  </w:r>
                  <w:r>
                    <w:rPr>
                      <w:color w:val="000000"/>
                      <w:sz w:val="20"/>
                    </w:rPr>
                    <w:t>eventually</w:t>
                  </w:r>
                  <w:r>
                    <w:rPr>
                      <w:color w:val="000000"/>
                      <w:spacing w:val="-1"/>
                      <w:sz w:val="20"/>
                    </w:rPr>
                    <w:t> </w:t>
                  </w:r>
                  <w:r>
                    <w:rPr>
                      <w:color w:val="000000"/>
                      <w:sz w:val="20"/>
                    </w:rPr>
                    <w:t>made</w:t>
                  </w:r>
                  <w:r>
                    <w:rPr>
                      <w:color w:val="000000"/>
                      <w:spacing w:val="-1"/>
                      <w:sz w:val="20"/>
                    </w:rPr>
                    <w:t> </w:t>
                  </w:r>
                  <w:r>
                    <w:rPr>
                      <w:color w:val="000000"/>
                      <w:sz w:val="20"/>
                    </w:rPr>
                    <w:t>responsible</w:t>
                  </w:r>
                  <w:r>
                    <w:rPr>
                      <w:color w:val="000000"/>
                      <w:spacing w:val="-1"/>
                      <w:sz w:val="20"/>
                    </w:rPr>
                    <w:t> </w:t>
                  </w:r>
                  <w:r>
                    <w:rPr>
                      <w:color w:val="000000"/>
                      <w:sz w:val="20"/>
                    </w:rPr>
                    <w:t>for</w:t>
                  </w:r>
                  <w:r>
                    <w:rPr>
                      <w:color w:val="000000"/>
                      <w:spacing w:val="-1"/>
                      <w:sz w:val="20"/>
                    </w:rPr>
                    <w:t> </w:t>
                  </w:r>
                  <w:r>
                    <w:rPr>
                      <w:color w:val="000000"/>
                      <w:sz w:val="20"/>
                    </w:rPr>
                    <w:t>the</w:t>
                  </w:r>
                  <w:r>
                    <w:rPr>
                      <w:color w:val="000000"/>
                      <w:spacing w:val="-1"/>
                      <w:sz w:val="20"/>
                    </w:rPr>
                    <w:t> </w:t>
                  </w:r>
                  <w:r>
                    <w:rPr>
                      <w:color w:val="000000"/>
                      <w:sz w:val="20"/>
                    </w:rPr>
                    <w:t>management </w:t>
                  </w:r>
                  <w:r>
                    <w:rPr>
                      <w:color w:val="000000"/>
                      <w:spacing w:val="-2"/>
                      <w:w w:val="105"/>
                      <w:sz w:val="20"/>
                    </w:rPr>
                    <w:t>of</w:t>
                  </w:r>
                  <w:r>
                    <w:rPr>
                      <w:color w:val="000000"/>
                      <w:spacing w:val="-8"/>
                      <w:w w:val="105"/>
                      <w:sz w:val="20"/>
                    </w:rPr>
                    <w:t> </w:t>
                  </w:r>
                  <w:r>
                    <w:rPr>
                      <w:color w:val="000000"/>
                      <w:spacing w:val="-2"/>
                      <w:w w:val="105"/>
                      <w:sz w:val="20"/>
                    </w:rPr>
                    <w:t>the</w:t>
                  </w:r>
                  <w:r>
                    <w:rPr>
                      <w:color w:val="000000"/>
                      <w:spacing w:val="-8"/>
                      <w:w w:val="105"/>
                      <w:sz w:val="20"/>
                    </w:rPr>
                    <w:t> </w:t>
                  </w:r>
                  <w:r>
                    <w:rPr>
                      <w:color w:val="000000"/>
                      <w:spacing w:val="-2"/>
                      <w:w w:val="105"/>
                      <w:sz w:val="20"/>
                    </w:rPr>
                    <w:t>world’s</w:t>
                  </w:r>
                  <w:r>
                    <w:rPr>
                      <w:color w:val="000000"/>
                      <w:spacing w:val="-8"/>
                      <w:w w:val="105"/>
                      <w:sz w:val="20"/>
                    </w:rPr>
                    <w:t> </w:t>
                  </w:r>
                  <w:r>
                    <w:rPr>
                      <w:color w:val="000000"/>
                      <w:spacing w:val="-2"/>
                      <w:w w:val="105"/>
                      <w:sz w:val="20"/>
                    </w:rPr>
                    <w:t>largest</w:t>
                  </w:r>
                  <w:r>
                    <w:rPr>
                      <w:color w:val="000000"/>
                      <w:spacing w:val="-8"/>
                      <w:w w:val="105"/>
                      <w:sz w:val="20"/>
                    </w:rPr>
                    <w:t> </w:t>
                  </w:r>
                  <w:r>
                    <w:rPr>
                      <w:color w:val="000000"/>
                      <w:spacing w:val="-2"/>
                      <w:w w:val="105"/>
                      <w:sz w:val="20"/>
                    </w:rPr>
                    <w:t>stockpile</w:t>
                  </w:r>
                  <w:r>
                    <w:rPr>
                      <w:color w:val="000000"/>
                      <w:spacing w:val="-8"/>
                      <w:w w:val="105"/>
                      <w:sz w:val="20"/>
                    </w:rPr>
                    <w:t> </w:t>
                  </w:r>
                  <w:r>
                    <w:rPr>
                      <w:color w:val="000000"/>
                      <w:spacing w:val="-2"/>
                      <w:w w:val="105"/>
                      <w:sz w:val="20"/>
                    </w:rPr>
                    <w:t>of</w:t>
                  </w:r>
                  <w:r>
                    <w:rPr>
                      <w:color w:val="000000"/>
                      <w:spacing w:val="-8"/>
                      <w:w w:val="105"/>
                      <w:sz w:val="20"/>
                    </w:rPr>
                    <w:t> </w:t>
                  </w:r>
                  <w:r>
                    <w:rPr>
                      <w:color w:val="000000"/>
                      <w:spacing w:val="-2"/>
                      <w:w w:val="105"/>
                      <w:sz w:val="20"/>
                    </w:rPr>
                    <w:t>foreign</w:t>
                  </w:r>
                  <w:r>
                    <w:rPr>
                      <w:color w:val="000000"/>
                      <w:spacing w:val="-8"/>
                      <w:w w:val="105"/>
                      <w:sz w:val="20"/>
                    </w:rPr>
                    <w:t> </w:t>
                  </w:r>
                  <w:r>
                    <w:rPr>
                      <w:color w:val="000000"/>
                      <w:spacing w:val="-2"/>
                      <w:w w:val="105"/>
                      <w:sz w:val="20"/>
                    </w:rPr>
                    <w:t>exchange</w:t>
                  </w:r>
                  <w:r>
                    <w:rPr>
                      <w:color w:val="000000"/>
                      <w:spacing w:val="-8"/>
                      <w:w w:val="105"/>
                      <w:sz w:val="20"/>
                    </w:rPr>
                    <w:t> </w:t>
                  </w:r>
                  <w:r>
                    <w:rPr>
                      <w:color w:val="000000"/>
                      <w:spacing w:val="-2"/>
                      <w:w w:val="105"/>
                      <w:sz w:val="20"/>
                    </w:rPr>
                    <w:t>reserves.</w:t>
                  </w:r>
                  <w:r>
                    <w:rPr>
                      <w:color w:val="000000"/>
                      <w:spacing w:val="-7"/>
                      <w:w w:val="105"/>
                      <w:sz w:val="20"/>
                    </w:rPr>
                    <w:t> </w:t>
                  </w:r>
                  <w:r>
                    <w:rPr>
                      <w:color w:val="000000"/>
                      <w:spacing w:val="-2"/>
                      <w:w w:val="105"/>
                      <w:sz w:val="20"/>
                    </w:rPr>
                    <w:t>It</w:t>
                  </w:r>
                  <w:r>
                    <w:rPr>
                      <w:color w:val="000000"/>
                      <w:spacing w:val="-8"/>
                      <w:w w:val="105"/>
                      <w:sz w:val="20"/>
                    </w:rPr>
                    <w:t> </w:t>
                  </w:r>
                  <w:r>
                    <w:rPr>
                      <w:color w:val="000000"/>
                      <w:spacing w:val="-2"/>
                      <w:w w:val="105"/>
                      <w:sz w:val="20"/>
                    </w:rPr>
                    <w:t>also</w:t>
                  </w:r>
                  <w:r>
                    <w:rPr>
                      <w:color w:val="000000"/>
                      <w:spacing w:val="-8"/>
                      <w:w w:val="105"/>
                      <w:sz w:val="20"/>
                    </w:rPr>
                    <w:t> </w:t>
                  </w:r>
                  <w:r>
                    <w:rPr>
                      <w:color w:val="000000"/>
                      <w:spacing w:val="-2"/>
                      <w:w w:val="105"/>
                      <w:sz w:val="20"/>
                    </w:rPr>
                    <w:t>became</w:t>
                  </w:r>
                  <w:r>
                    <w:rPr>
                      <w:color w:val="000000"/>
                      <w:spacing w:val="-8"/>
                      <w:w w:val="105"/>
                      <w:sz w:val="20"/>
                    </w:rPr>
                    <w:t> </w:t>
                  </w:r>
                  <w:r>
                    <w:rPr>
                      <w:color w:val="000000"/>
                      <w:spacing w:val="-2"/>
                      <w:w w:val="105"/>
                      <w:sz w:val="20"/>
                    </w:rPr>
                    <w:t>one</w:t>
                  </w:r>
                  <w:r>
                    <w:rPr>
                      <w:color w:val="000000"/>
                      <w:spacing w:val="-8"/>
                      <w:w w:val="105"/>
                      <w:sz w:val="20"/>
                    </w:rPr>
                    <w:t> </w:t>
                  </w:r>
                  <w:r>
                    <w:rPr>
                      <w:color w:val="000000"/>
                      <w:spacing w:val="-2"/>
                      <w:w w:val="105"/>
                      <w:sz w:val="20"/>
                    </w:rPr>
                    <w:t>of</w:t>
                  </w:r>
                  <w:r>
                    <w:rPr>
                      <w:color w:val="000000"/>
                      <w:spacing w:val="-8"/>
                      <w:w w:val="105"/>
                      <w:sz w:val="20"/>
                    </w:rPr>
                    <w:t> </w:t>
                  </w:r>
                  <w:r>
                    <w:rPr>
                      <w:color w:val="000000"/>
                      <w:spacing w:val="-2"/>
                      <w:w w:val="105"/>
                      <w:sz w:val="20"/>
                    </w:rPr>
                    <w:t>the</w:t>
                  </w:r>
                  <w:r>
                    <w:rPr>
                      <w:color w:val="000000"/>
                      <w:spacing w:val="-8"/>
                      <w:w w:val="105"/>
                      <w:sz w:val="20"/>
                    </w:rPr>
                    <w:t> </w:t>
                  </w:r>
                  <w:r>
                    <w:rPr>
                      <w:color w:val="000000"/>
                      <w:spacing w:val="-2"/>
                      <w:w w:val="105"/>
                      <w:sz w:val="20"/>
                    </w:rPr>
                    <w:t>most important</w:t>
                  </w:r>
                  <w:r>
                    <w:rPr>
                      <w:color w:val="000000"/>
                      <w:spacing w:val="-8"/>
                      <w:w w:val="105"/>
                      <w:sz w:val="20"/>
                    </w:rPr>
                    <w:t> </w:t>
                  </w:r>
                  <w:r>
                    <w:rPr>
                      <w:color w:val="000000"/>
                      <w:spacing w:val="-2"/>
                      <w:w w:val="105"/>
                      <w:sz w:val="20"/>
                    </w:rPr>
                    <w:t>investors</w:t>
                  </w:r>
                  <w:r>
                    <w:rPr>
                      <w:color w:val="000000"/>
                      <w:spacing w:val="-8"/>
                      <w:w w:val="105"/>
                      <w:sz w:val="20"/>
                    </w:rPr>
                    <w:t> </w:t>
                  </w:r>
                  <w:r>
                    <w:rPr>
                      <w:color w:val="000000"/>
                      <w:spacing w:val="-2"/>
                      <w:w w:val="105"/>
                      <w:sz w:val="20"/>
                    </w:rPr>
                    <w:t>in</w:t>
                  </w:r>
                  <w:r>
                    <w:rPr>
                      <w:color w:val="000000"/>
                      <w:spacing w:val="-8"/>
                      <w:w w:val="105"/>
                      <w:sz w:val="20"/>
                    </w:rPr>
                    <w:t> </w:t>
                  </w:r>
                  <w:r>
                    <w:rPr>
                      <w:color w:val="000000"/>
                      <w:spacing w:val="-2"/>
                      <w:w w:val="105"/>
                      <w:sz w:val="20"/>
                    </w:rPr>
                    <w:t>the</w:t>
                  </w:r>
                  <w:r>
                    <w:rPr>
                      <w:color w:val="000000"/>
                      <w:spacing w:val="-8"/>
                      <w:w w:val="105"/>
                      <w:sz w:val="20"/>
                    </w:rPr>
                    <w:t> </w:t>
                  </w:r>
                  <w:r>
                    <w:rPr>
                      <w:color w:val="000000"/>
                      <w:spacing w:val="-2"/>
                      <w:w w:val="105"/>
                      <w:sz w:val="20"/>
                    </w:rPr>
                    <w:t>world.</w:t>
                  </w:r>
                  <w:r>
                    <w:rPr>
                      <w:color w:val="000000"/>
                      <w:spacing w:val="-2"/>
                      <w:w w:val="105"/>
                      <w:sz w:val="20"/>
                      <w:vertAlign w:val="superscript"/>
                    </w:rPr>
                    <w:t>111</w:t>
                  </w:r>
                  <w:r>
                    <w:rPr>
                      <w:color w:val="000000"/>
                      <w:spacing w:val="-7"/>
                      <w:w w:val="105"/>
                      <w:sz w:val="20"/>
                      <w:vertAlign w:val="baseline"/>
                    </w:rPr>
                    <w:t> </w:t>
                  </w:r>
                  <w:r>
                    <w:rPr>
                      <w:color w:val="000000"/>
                      <w:spacing w:val="-2"/>
                      <w:w w:val="105"/>
                      <w:sz w:val="20"/>
                      <w:vertAlign w:val="baseline"/>
                    </w:rPr>
                    <w:t>Due</w:t>
                  </w:r>
                  <w:r>
                    <w:rPr>
                      <w:color w:val="000000"/>
                      <w:spacing w:val="-8"/>
                      <w:w w:val="105"/>
                      <w:sz w:val="20"/>
                      <w:vertAlign w:val="baseline"/>
                    </w:rPr>
                    <w:t> </w:t>
                  </w:r>
                  <w:r>
                    <w:rPr>
                      <w:color w:val="000000"/>
                      <w:spacing w:val="-2"/>
                      <w:w w:val="105"/>
                      <w:sz w:val="20"/>
                      <w:vertAlign w:val="baseline"/>
                    </w:rPr>
                    <w:t>to</w:t>
                  </w:r>
                  <w:r>
                    <w:rPr>
                      <w:color w:val="000000"/>
                      <w:spacing w:val="-8"/>
                      <w:w w:val="105"/>
                      <w:sz w:val="20"/>
                      <w:vertAlign w:val="baseline"/>
                    </w:rPr>
                    <w:t> </w:t>
                  </w:r>
                  <w:r>
                    <w:rPr>
                      <w:color w:val="000000"/>
                      <w:spacing w:val="-2"/>
                      <w:w w:val="105"/>
                      <w:sz w:val="20"/>
                      <w:vertAlign w:val="baseline"/>
                    </w:rPr>
                    <w:t>recurring</w:t>
                  </w:r>
                  <w:r>
                    <w:rPr>
                      <w:color w:val="000000"/>
                      <w:spacing w:val="-8"/>
                      <w:w w:val="105"/>
                      <w:sz w:val="20"/>
                      <w:vertAlign w:val="baseline"/>
                    </w:rPr>
                    <w:t> </w:t>
                  </w:r>
                  <w:r>
                    <w:rPr>
                      <w:color w:val="000000"/>
                      <w:spacing w:val="-2"/>
                      <w:w w:val="105"/>
                      <w:sz w:val="20"/>
                      <w:vertAlign w:val="baseline"/>
                    </w:rPr>
                    <w:t>current</w:t>
                  </w:r>
                  <w:r>
                    <w:rPr>
                      <w:color w:val="000000"/>
                      <w:spacing w:val="-8"/>
                      <w:w w:val="105"/>
                      <w:sz w:val="20"/>
                      <w:vertAlign w:val="baseline"/>
                    </w:rPr>
                    <w:t> </w:t>
                  </w:r>
                  <w:r>
                    <w:rPr>
                      <w:color w:val="000000"/>
                      <w:spacing w:val="-2"/>
                      <w:w w:val="105"/>
                      <w:sz w:val="20"/>
                      <w:vertAlign w:val="baseline"/>
                    </w:rPr>
                    <w:t>account</w:t>
                  </w:r>
                  <w:r>
                    <w:rPr>
                      <w:color w:val="000000"/>
                      <w:spacing w:val="-8"/>
                      <w:w w:val="105"/>
                      <w:sz w:val="20"/>
                      <w:vertAlign w:val="baseline"/>
                    </w:rPr>
                    <w:t> </w:t>
                  </w:r>
                  <w:r>
                    <w:rPr>
                      <w:color w:val="000000"/>
                      <w:spacing w:val="-2"/>
                      <w:w w:val="105"/>
                      <w:sz w:val="20"/>
                      <w:vertAlign w:val="baseline"/>
                    </w:rPr>
                    <w:t>surpluses</w:t>
                  </w:r>
                  <w:r>
                    <w:rPr>
                      <w:color w:val="000000"/>
                      <w:spacing w:val="-8"/>
                      <w:w w:val="105"/>
                      <w:sz w:val="20"/>
                      <w:vertAlign w:val="baseline"/>
                    </w:rPr>
                    <w:t> </w:t>
                  </w:r>
                  <w:r>
                    <w:rPr>
                      <w:color w:val="000000"/>
                      <w:spacing w:val="-2"/>
                      <w:w w:val="105"/>
                      <w:sz w:val="20"/>
                      <w:vertAlign w:val="baseline"/>
                    </w:rPr>
                    <w:t>and</w:t>
                  </w:r>
                  <w:r>
                    <w:rPr>
                      <w:color w:val="000000"/>
                      <w:spacing w:val="-8"/>
                      <w:w w:val="105"/>
                      <w:sz w:val="20"/>
                      <w:vertAlign w:val="baseline"/>
                    </w:rPr>
                    <w:t> </w:t>
                  </w:r>
                  <w:r>
                    <w:rPr>
                      <w:color w:val="000000"/>
                      <w:spacing w:val="-2"/>
                      <w:w w:val="105"/>
                      <w:sz w:val="20"/>
                      <w:vertAlign w:val="baseline"/>
                    </w:rPr>
                    <w:t>capital </w:t>
                  </w:r>
                  <w:r>
                    <w:rPr>
                      <w:color w:val="000000"/>
                      <w:sz w:val="20"/>
                      <w:vertAlign w:val="baseline"/>
                    </w:rPr>
                    <w:t>account</w:t>
                  </w:r>
                  <w:r>
                    <w:rPr>
                      <w:color w:val="000000"/>
                      <w:spacing w:val="-6"/>
                      <w:sz w:val="20"/>
                      <w:vertAlign w:val="baseline"/>
                    </w:rPr>
                    <w:t> </w:t>
                  </w:r>
                  <w:r>
                    <w:rPr>
                      <w:color w:val="000000"/>
                      <w:sz w:val="20"/>
                      <w:vertAlign w:val="baseline"/>
                    </w:rPr>
                    <w:t>surpluses,</w:t>
                  </w:r>
                  <w:r>
                    <w:rPr>
                      <w:color w:val="000000"/>
                      <w:spacing w:val="-6"/>
                      <w:sz w:val="20"/>
                      <w:vertAlign w:val="baseline"/>
                    </w:rPr>
                    <w:t> </w:t>
                  </w:r>
                  <w:r>
                    <w:rPr>
                      <w:color w:val="000000"/>
                      <w:sz w:val="20"/>
                      <w:vertAlign w:val="baseline"/>
                    </w:rPr>
                    <w:t>China’s</w:t>
                  </w:r>
                  <w:r>
                    <w:rPr>
                      <w:color w:val="000000"/>
                      <w:spacing w:val="-6"/>
                      <w:sz w:val="20"/>
                      <w:vertAlign w:val="baseline"/>
                    </w:rPr>
                    <w:t> </w:t>
                  </w:r>
                  <w:r>
                    <w:rPr>
                      <w:color w:val="000000"/>
                      <w:sz w:val="20"/>
                      <w:vertAlign w:val="baseline"/>
                    </w:rPr>
                    <w:t>stock</w:t>
                  </w:r>
                  <w:r>
                    <w:rPr>
                      <w:color w:val="000000"/>
                      <w:spacing w:val="-6"/>
                      <w:sz w:val="20"/>
                      <w:vertAlign w:val="baseline"/>
                    </w:rPr>
                    <w:t> </w:t>
                  </w:r>
                  <w:r>
                    <w:rPr>
                      <w:color w:val="000000"/>
                      <w:sz w:val="20"/>
                      <w:vertAlign w:val="baseline"/>
                    </w:rPr>
                    <w:t>of</w:t>
                  </w:r>
                  <w:r>
                    <w:rPr>
                      <w:color w:val="000000"/>
                      <w:spacing w:val="-6"/>
                      <w:sz w:val="20"/>
                      <w:vertAlign w:val="baseline"/>
                    </w:rPr>
                    <w:t> </w:t>
                  </w:r>
                  <w:r>
                    <w:rPr>
                      <w:color w:val="000000"/>
                      <w:sz w:val="20"/>
                      <w:vertAlign w:val="baseline"/>
                    </w:rPr>
                    <w:t>foreign</w:t>
                  </w:r>
                  <w:r>
                    <w:rPr>
                      <w:color w:val="000000"/>
                      <w:spacing w:val="-6"/>
                      <w:sz w:val="20"/>
                      <w:vertAlign w:val="baseline"/>
                    </w:rPr>
                    <w:t> </w:t>
                  </w:r>
                  <w:r>
                    <w:rPr>
                      <w:color w:val="000000"/>
                      <w:sz w:val="20"/>
                      <w:vertAlign w:val="baseline"/>
                    </w:rPr>
                    <w:t>exchange</w:t>
                  </w:r>
                  <w:r>
                    <w:rPr>
                      <w:color w:val="000000"/>
                      <w:spacing w:val="-6"/>
                      <w:sz w:val="20"/>
                      <w:vertAlign w:val="baseline"/>
                    </w:rPr>
                    <w:t> </w:t>
                  </w:r>
                  <w:r>
                    <w:rPr>
                      <w:color w:val="000000"/>
                      <w:sz w:val="20"/>
                      <w:vertAlign w:val="baseline"/>
                    </w:rPr>
                    <w:t>reserves</w:t>
                  </w:r>
                  <w:r>
                    <w:rPr>
                      <w:color w:val="000000"/>
                      <w:spacing w:val="-6"/>
                      <w:sz w:val="20"/>
                      <w:vertAlign w:val="baseline"/>
                    </w:rPr>
                    <w:t> </w:t>
                  </w:r>
                  <w:r>
                    <w:rPr>
                      <w:color w:val="000000"/>
                      <w:sz w:val="20"/>
                      <w:vertAlign w:val="baseline"/>
                    </w:rPr>
                    <w:t>skyrocketed</w:t>
                  </w:r>
                  <w:r>
                    <w:rPr>
                      <w:color w:val="000000"/>
                      <w:spacing w:val="-6"/>
                      <w:sz w:val="20"/>
                      <w:vertAlign w:val="baseline"/>
                    </w:rPr>
                    <w:t> </w:t>
                  </w:r>
                  <w:r>
                    <w:rPr>
                      <w:color w:val="000000"/>
                      <w:sz w:val="20"/>
                      <w:vertAlign w:val="baseline"/>
                    </w:rPr>
                    <w:t>from</w:t>
                  </w:r>
                  <w:r>
                    <w:rPr>
                      <w:color w:val="000000"/>
                      <w:spacing w:val="-6"/>
                      <w:sz w:val="20"/>
                      <w:vertAlign w:val="baseline"/>
                    </w:rPr>
                    <w:t> </w:t>
                  </w:r>
                  <w:r>
                    <w:rPr>
                      <w:color w:val="000000"/>
                      <w:sz w:val="20"/>
                      <w:vertAlign w:val="baseline"/>
                    </w:rPr>
                    <w:t>from</w:t>
                  </w:r>
                  <w:r>
                    <w:rPr>
                      <w:color w:val="000000"/>
                      <w:spacing w:val="-6"/>
                      <w:sz w:val="20"/>
                      <w:vertAlign w:val="baseline"/>
                    </w:rPr>
                    <w:t> </w:t>
                  </w:r>
                  <w:r>
                    <w:rPr>
                      <w:color w:val="000000"/>
                      <w:sz w:val="20"/>
                      <w:vertAlign w:val="baseline"/>
                    </w:rPr>
                    <w:t>$200</w:t>
                  </w:r>
                  <w:r>
                    <w:rPr>
                      <w:color w:val="000000"/>
                      <w:spacing w:val="-6"/>
                      <w:sz w:val="20"/>
                      <w:vertAlign w:val="baseline"/>
                    </w:rPr>
                    <w:t> </w:t>
                  </w:r>
                  <w:r>
                    <w:rPr>
                      <w:color w:val="000000"/>
                      <w:sz w:val="20"/>
                      <w:vertAlign w:val="baseline"/>
                    </w:rPr>
                    <w:t>billion </w:t>
                  </w:r>
                  <w:r>
                    <w:rPr>
                      <w:color w:val="000000"/>
                      <w:w w:val="105"/>
                      <w:sz w:val="20"/>
                      <w:vertAlign w:val="baseline"/>
                    </w:rPr>
                    <w:t>in</w:t>
                  </w:r>
                  <w:r>
                    <w:rPr>
                      <w:color w:val="000000"/>
                      <w:spacing w:val="-8"/>
                      <w:w w:val="105"/>
                      <w:sz w:val="20"/>
                      <w:vertAlign w:val="baseline"/>
                    </w:rPr>
                    <w:t> </w:t>
                  </w:r>
                  <w:r>
                    <w:rPr>
                      <w:color w:val="000000"/>
                      <w:w w:val="105"/>
                      <w:sz w:val="20"/>
                      <w:vertAlign w:val="baseline"/>
                    </w:rPr>
                    <w:t>2000</w:t>
                  </w:r>
                  <w:r>
                    <w:rPr>
                      <w:color w:val="000000"/>
                      <w:spacing w:val="-8"/>
                      <w:w w:val="105"/>
                      <w:sz w:val="20"/>
                      <w:vertAlign w:val="baseline"/>
                    </w:rPr>
                    <w:t> </w:t>
                  </w:r>
                  <w:r>
                    <w:rPr>
                      <w:color w:val="000000"/>
                      <w:w w:val="105"/>
                      <w:sz w:val="20"/>
                      <w:vertAlign w:val="baseline"/>
                    </w:rPr>
                    <w:t>to</w:t>
                  </w:r>
                  <w:r>
                    <w:rPr>
                      <w:color w:val="000000"/>
                      <w:spacing w:val="-8"/>
                      <w:w w:val="105"/>
                      <w:sz w:val="20"/>
                      <w:vertAlign w:val="baseline"/>
                    </w:rPr>
                    <w:t> </w:t>
                  </w:r>
                  <w:r>
                    <w:rPr>
                      <w:color w:val="000000"/>
                      <w:w w:val="105"/>
                      <w:sz w:val="20"/>
                      <w:vertAlign w:val="baseline"/>
                    </w:rPr>
                    <w:t>$1</w:t>
                  </w:r>
                  <w:r>
                    <w:rPr>
                      <w:color w:val="000000"/>
                      <w:spacing w:val="-8"/>
                      <w:w w:val="105"/>
                      <w:sz w:val="20"/>
                      <w:vertAlign w:val="baseline"/>
                    </w:rPr>
                    <w:t> </w:t>
                  </w:r>
                  <w:r>
                    <w:rPr>
                      <w:color w:val="000000"/>
                      <w:w w:val="105"/>
                      <w:sz w:val="20"/>
                      <w:vertAlign w:val="baseline"/>
                    </w:rPr>
                    <w:t>trillion</w:t>
                  </w:r>
                  <w:r>
                    <w:rPr>
                      <w:color w:val="000000"/>
                      <w:spacing w:val="-8"/>
                      <w:w w:val="105"/>
                      <w:sz w:val="20"/>
                      <w:vertAlign w:val="baseline"/>
                    </w:rPr>
                    <w:t> </w:t>
                  </w:r>
                  <w:r>
                    <w:rPr>
                      <w:color w:val="000000"/>
                      <w:w w:val="105"/>
                      <w:sz w:val="20"/>
                      <w:vertAlign w:val="baseline"/>
                    </w:rPr>
                    <w:t>in</w:t>
                  </w:r>
                  <w:r>
                    <w:rPr>
                      <w:color w:val="000000"/>
                      <w:spacing w:val="-8"/>
                      <w:w w:val="105"/>
                      <w:sz w:val="20"/>
                      <w:vertAlign w:val="baseline"/>
                    </w:rPr>
                    <w:t> </w:t>
                  </w:r>
                  <w:r>
                    <w:rPr>
                      <w:color w:val="000000"/>
                      <w:w w:val="105"/>
                      <w:sz w:val="20"/>
                      <w:vertAlign w:val="baseline"/>
                    </w:rPr>
                    <w:t>2006,</w:t>
                  </w:r>
                  <w:r>
                    <w:rPr>
                      <w:color w:val="000000"/>
                      <w:spacing w:val="-8"/>
                      <w:w w:val="105"/>
                      <w:sz w:val="20"/>
                      <w:vertAlign w:val="baseline"/>
                    </w:rPr>
                    <w:t> </w:t>
                  </w:r>
                  <w:r>
                    <w:rPr>
                      <w:color w:val="000000"/>
                      <w:w w:val="105"/>
                      <w:sz w:val="20"/>
                      <w:vertAlign w:val="baseline"/>
                    </w:rPr>
                    <w:t>$2</w:t>
                  </w:r>
                  <w:r>
                    <w:rPr>
                      <w:color w:val="000000"/>
                      <w:spacing w:val="-8"/>
                      <w:w w:val="105"/>
                      <w:sz w:val="20"/>
                      <w:vertAlign w:val="baseline"/>
                    </w:rPr>
                    <w:t> </w:t>
                  </w:r>
                  <w:r>
                    <w:rPr>
                      <w:color w:val="000000"/>
                      <w:w w:val="105"/>
                      <w:sz w:val="20"/>
                      <w:vertAlign w:val="baseline"/>
                    </w:rPr>
                    <w:t>trillion</w:t>
                  </w:r>
                  <w:r>
                    <w:rPr>
                      <w:color w:val="000000"/>
                      <w:spacing w:val="-8"/>
                      <w:w w:val="105"/>
                      <w:sz w:val="20"/>
                      <w:vertAlign w:val="baseline"/>
                    </w:rPr>
                    <w:t> </w:t>
                  </w:r>
                  <w:r>
                    <w:rPr>
                      <w:color w:val="000000"/>
                      <w:w w:val="105"/>
                      <w:sz w:val="20"/>
                      <w:vertAlign w:val="baseline"/>
                    </w:rPr>
                    <w:t>in</w:t>
                  </w:r>
                  <w:r>
                    <w:rPr>
                      <w:color w:val="000000"/>
                      <w:spacing w:val="-8"/>
                      <w:w w:val="105"/>
                      <w:sz w:val="20"/>
                      <w:vertAlign w:val="baseline"/>
                    </w:rPr>
                    <w:t> </w:t>
                  </w:r>
                  <w:r>
                    <w:rPr>
                      <w:color w:val="000000"/>
                      <w:w w:val="105"/>
                      <w:sz w:val="20"/>
                      <w:vertAlign w:val="baseline"/>
                    </w:rPr>
                    <w:t>2009,</w:t>
                  </w:r>
                  <w:r>
                    <w:rPr>
                      <w:color w:val="000000"/>
                      <w:spacing w:val="-8"/>
                      <w:w w:val="105"/>
                      <w:sz w:val="20"/>
                      <w:vertAlign w:val="baseline"/>
                    </w:rPr>
                    <w:t> </w:t>
                  </w:r>
                  <w:r>
                    <w:rPr>
                      <w:color w:val="000000"/>
                      <w:w w:val="105"/>
                      <w:sz w:val="20"/>
                      <w:vertAlign w:val="baseline"/>
                    </w:rPr>
                    <w:t>and</w:t>
                  </w:r>
                  <w:r>
                    <w:rPr>
                      <w:color w:val="000000"/>
                      <w:spacing w:val="-8"/>
                      <w:w w:val="105"/>
                      <w:sz w:val="20"/>
                      <w:vertAlign w:val="baseline"/>
                    </w:rPr>
                    <w:t> </w:t>
                  </w:r>
                  <w:r>
                    <w:rPr>
                      <w:color w:val="000000"/>
                      <w:w w:val="105"/>
                      <w:sz w:val="20"/>
                      <w:vertAlign w:val="baseline"/>
                    </w:rPr>
                    <w:t>$3</w:t>
                  </w:r>
                  <w:r>
                    <w:rPr>
                      <w:color w:val="000000"/>
                      <w:spacing w:val="-8"/>
                      <w:w w:val="105"/>
                      <w:sz w:val="20"/>
                      <w:vertAlign w:val="baseline"/>
                    </w:rPr>
                    <w:t> </w:t>
                  </w:r>
                  <w:r>
                    <w:rPr>
                      <w:color w:val="000000"/>
                      <w:w w:val="105"/>
                      <w:sz w:val="20"/>
                      <w:vertAlign w:val="baseline"/>
                    </w:rPr>
                    <w:t>trillion</w:t>
                  </w:r>
                  <w:r>
                    <w:rPr>
                      <w:color w:val="000000"/>
                      <w:spacing w:val="-8"/>
                      <w:w w:val="105"/>
                      <w:sz w:val="20"/>
                      <w:vertAlign w:val="baseline"/>
                    </w:rPr>
                    <w:t> </w:t>
                  </w:r>
                  <w:r>
                    <w:rPr>
                      <w:color w:val="000000"/>
                      <w:w w:val="105"/>
                      <w:sz w:val="20"/>
                      <w:vertAlign w:val="baseline"/>
                    </w:rPr>
                    <w:t>in</w:t>
                  </w:r>
                  <w:r>
                    <w:rPr>
                      <w:color w:val="000000"/>
                      <w:spacing w:val="-8"/>
                      <w:w w:val="105"/>
                      <w:sz w:val="20"/>
                      <w:vertAlign w:val="baseline"/>
                    </w:rPr>
                    <w:t> </w:t>
                  </w:r>
                  <w:r>
                    <w:rPr>
                      <w:color w:val="000000"/>
                      <w:w w:val="105"/>
                      <w:sz w:val="20"/>
                      <w:vertAlign w:val="baseline"/>
                    </w:rPr>
                    <w:t>2011.</w:t>
                  </w:r>
                  <w:r>
                    <w:rPr>
                      <w:color w:val="000000"/>
                      <w:spacing w:val="-8"/>
                      <w:w w:val="105"/>
                      <w:sz w:val="20"/>
                      <w:vertAlign w:val="baseline"/>
                    </w:rPr>
                    <w:t> </w:t>
                  </w:r>
                  <w:r>
                    <w:rPr>
                      <w:color w:val="000000"/>
                      <w:w w:val="105"/>
                      <w:sz w:val="20"/>
                      <w:vertAlign w:val="baseline"/>
                    </w:rPr>
                    <w:t>Keeping</w:t>
                  </w:r>
                  <w:r>
                    <w:rPr>
                      <w:color w:val="000000"/>
                      <w:spacing w:val="-8"/>
                      <w:w w:val="105"/>
                      <w:sz w:val="20"/>
                      <w:vertAlign w:val="baseline"/>
                    </w:rPr>
                    <w:t> </w:t>
                  </w:r>
                  <w:r>
                    <w:rPr>
                      <w:color w:val="000000"/>
                      <w:w w:val="105"/>
                      <w:sz w:val="20"/>
                      <w:vertAlign w:val="baseline"/>
                    </w:rPr>
                    <w:t>all</w:t>
                  </w:r>
                  <w:r>
                    <w:rPr>
                      <w:color w:val="000000"/>
                      <w:spacing w:val="-8"/>
                      <w:w w:val="105"/>
                      <w:sz w:val="20"/>
                      <w:vertAlign w:val="baseline"/>
                    </w:rPr>
                    <w:t> </w:t>
                  </w:r>
                  <w:r>
                    <w:rPr>
                      <w:color w:val="000000"/>
                      <w:w w:val="105"/>
                      <w:sz w:val="20"/>
                      <w:vertAlign w:val="baseline"/>
                    </w:rPr>
                    <w:t>of</w:t>
                  </w:r>
                  <w:r>
                    <w:rPr>
                      <w:color w:val="000000"/>
                      <w:spacing w:val="-8"/>
                      <w:w w:val="105"/>
                      <w:sz w:val="20"/>
                      <w:vertAlign w:val="baseline"/>
                    </w:rPr>
                    <w:t> </w:t>
                  </w:r>
                  <w:r>
                    <w:rPr>
                      <w:color w:val="000000"/>
                      <w:w w:val="105"/>
                      <w:sz w:val="20"/>
                      <w:vertAlign w:val="baseline"/>
                    </w:rPr>
                    <w:t>these </w:t>
                  </w:r>
                  <w:r>
                    <w:rPr>
                      <w:color w:val="000000"/>
                      <w:sz w:val="20"/>
                      <w:vertAlign w:val="baseline"/>
                    </w:rPr>
                    <w:t>reserves (mostly USD) onshore posed a currency appreciation risk and threatened to undermine</w:t>
                  </w:r>
                </w:p>
              </w:txbxContent>
            </v:textbox>
            <v:fill type="solid"/>
            <w10:wrap type="topAndBottom"/>
          </v:shape>
        </w:pict>
      </w:r>
      <w:r>
        <w:rPr/>
        <w:pict>
          <v:shape style="position:absolute;margin-left:90pt;margin-top:257.287506pt;width:144pt;height:.1pt;mso-position-horizontal-relative:page;mso-position-vertical-relative:paragraph;z-index:-15717376;mso-wrap-distance-left:0;mso-wrap-distance-right:0" id="docshape21" coordorigin="1800,5146" coordsize="2880,0" path="m1800,5146l4680,5146e" filled="false" stroked="true" strokeweight=".75pt" strokecolor="#000000">
            <v:path arrowok="t"/>
            <v:stroke dashstyle="solid"/>
            <w10:wrap type="topAndBottom"/>
          </v:shape>
        </w:pict>
      </w:r>
    </w:p>
    <w:p>
      <w:pPr>
        <w:pStyle w:val="BodyText"/>
        <w:spacing w:before="4"/>
        <w:rPr>
          <w:sz w:val="21"/>
        </w:rPr>
      </w:pPr>
    </w:p>
    <w:p>
      <w:pPr>
        <w:spacing w:line="249" w:lineRule="auto" w:before="101"/>
        <w:ind w:left="760" w:right="767" w:firstLine="0"/>
        <w:jc w:val="left"/>
        <w:rPr>
          <w:sz w:val="18"/>
        </w:rPr>
      </w:pPr>
      <w:r>
        <w:rPr>
          <w:sz w:val="18"/>
          <w:vertAlign w:val="superscript"/>
        </w:rPr>
        <w:t>108</w:t>
      </w:r>
      <w:r>
        <w:rPr>
          <w:spacing w:val="-13"/>
          <w:sz w:val="18"/>
          <w:vertAlign w:val="baseline"/>
        </w:rPr>
        <w:t> </w:t>
      </w:r>
      <w:r>
        <w:rPr>
          <w:sz w:val="18"/>
          <w:vertAlign w:val="baseline"/>
        </w:rPr>
        <w:t>Setser</w:t>
      </w:r>
      <w:r>
        <w:rPr>
          <w:spacing w:val="-11"/>
          <w:sz w:val="18"/>
          <w:vertAlign w:val="baseline"/>
        </w:rPr>
        <w:t> </w:t>
      </w:r>
      <w:r>
        <w:rPr>
          <w:sz w:val="18"/>
          <w:vertAlign w:val="baseline"/>
        </w:rPr>
        <w:t>(2023a)</w:t>
      </w:r>
      <w:r>
        <w:rPr>
          <w:spacing w:val="-12"/>
          <w:sz w:val="18"/>
          <w:vertAlign w:val="baseline"/>
        </w:rPr>
        <w:t> </w:t>
      </w:r>
      <w:r>
        <w:rPr>
          <w:sz w:val="18"/>
          <w:vertAlign w:val="baseline"/>
        </w:rPr>
        <w:t>argues</w:t>
      </w:r>
      <w:r>
        <w:rPr>
          <w:spacing w:val="-12"/>
          <w:sz w:val="18"/>
          <w:vertAlign w:val="baseline"/>
        </w:rPr>
        <w:t> </w:t>
      </w:r>
      <w:r>
        <w:rPr>
          <w:sz w:val="18"/>
          <w:vertAlign w:val="baseline"/>
        </w:rPr>
        <w:t>that</w:t>
      </w:r>
      <w:r>
        <w:rPr>
          <w:spacing w:val="-12"/>
          <w:sz w:val="18"/>
          <w:vertAlign w:val="baseline"/>
        </w:rPr>
        <w:t> </w:t>
      </w:r>
      <w:r>
        <w:rPr>
          <w:sz w:val="18"/>
          <w:vertAlign w:val="baseline"/>
        </w:rPr>
        <w:t>China’s</w:t>
      </w:r>
      <w:r>
        <w:rPr>
          <w:spacing w:val="-12"/>
          <w:sz w:val="18"/>
          <w:vertAlign w:val="baseline"/>
        </w:rPr>
        <w:t> </w:t>
      </w:r>
      <w:r>
        <w:rPr>
          <w:sz w:val="18"/>
          <w:vertAlign w:val="baseline"/>
        </w:rPr>
        <w:t>“hidden</w:t>
      </w:r>
      <w:r>
        <w:rPr>
          <w:spacing w:val="-12"/>
          <w:sz w:val="18"/>
          <w:vertAlign w:val="baseline"/>
        </w:rPr>
        <w:t> </w:t>
      </w:r>
      <w:r>
        <w:rPr>
          <w:sz w:val="18"/>
          <w:vertAlign w:val="baseline"/>
        </w:rPr>
        <w:t>reserves”</w:t>
      </w:r>
      <w:r>
        <w:rPr>
          <w:spacing w:val="-12"/>
          <w:sz w:val="18"/>
          <w:vertAlign w:val="baseline"/>
        </w:rPr>
        <w:t> </w:t>
      </w:r>
      <w:r>
        <w:rPr>
          <w:sz w:val="18"/>
          <w:vertAlign w:val="baseline"/>
        </w:rPr>
        <w:t>consist</w:t>
      </w:r>
      <w:r>
        <w:rPr>
          <w:spacing w:val="-12"/>
          <w:sz w:val="18"/>
          <w:vertAlign w:val="baseline"/>
        </w:rPr>
        <w:t> </w:t>
      </w:r>
      <w:r>
        <w:rPr>
          <w:sz w:val="18"/>
          <w:vertAlign w:val="baseline"/>
        </w:rPr>
        <w:t>of</w:t>
      </w:r>
      <w:r>
        <w:rPr>
          <w:spacing w:val="-12"/>
          <w:sz w:val="18"/>
          <w:vertAlign w:val="baseline"/>
        </w:rPr>
        <w:t> </w:t>
      </w:r>
      <w:r>
        <w:rPr>
          <w:sz w:val="18"/>
          <w:vertAlign w:val="baseline"/>
        </w:rPr>
        <w:t>(a)</w:t>
      </w:r>
      <w:r>
        <w:rPr>
          <w:spacing w:val="-12"/>
          <w:sz w:val="18"/>
          <w:vertAlign w:val="baseline"/>
        </w:rPr>
        <w:t> </w:t>
      </w:r>
      <w:r>
        <w:rPr>
          <w:sz w:val="18"/>
          <w:vertAlign w:val="baseline"/>
        </w:rPr>
        <w:t>non-reserve</w:t>
      </w:r>
      <w:r>
        <w:rPr>
          <w:spacing w:val="-12"/>
          <w:sz w:val="18"/>
          <w:vertAlign w:val="baseline"/>
        </w:rPr>
        <w:t> </w:t>
      </w:r>
      <w:r>
        <w:rPr>
          <w:sz w:val="18"/>
          <w:vertAlign w:val="baseline"/>
        </w:rPr>
        <w:t>foreign</w:t>
      </w:r>
      <w:r>
        <w:rPr>
          <w:spacing w:val="-12"/>
          <w:sz w:val="18"/>
          <w:vertAlign w:val="baseline"/>
        </w:rPr>
        <w:t> </w:t>
      </w:r>
      <w:r>
        <w:rPr>
          <w:sz w:val="18"/>
          <w:vertAlign w:val="baseline"/>
        </w:rPr>
        <w:t>exchange</w:t>
      </w:r>
      <w:r>
        <w:rPr>
          <w:spacing w:val="-12"/>
          <w:sz w:val="18"/>
          <w:vertAlign w:val="baseline"/>
        </w:rPr>
        <w:t> </w:t>
      </w:r>
      <w:r>
        <w:rPr>
          <w:sz w:val="18"/>
          <w:vertAlign w:val="baseline"/>
        </w:rPr>
        <w:t>assets that SAFE has provided to the policy banks, state-owned commercial banks, and state-owned investment funds to lend and invest abroad; (b) foreign assets that state-owned commercial banks have purchased to match their domestic foreign currency deposit base; and (c) foreign exchange that CIC purchased off the balance sheet of SAFE.</w:t>
      </w:r>
    </w:p>
    <w:p>
      <w:pPr>
        <w:spacing w:before="4"/>
        <w:ind w:left="760" w:right="0" w:firstLine="0"/>
        <w:jc w:val="left"/>
        <w:rPr>
          <w:sz w:val="18"/>
        </w:rPr>
      </w:pPr>
      <w:r>
        <w:rPr>
          <w:spacing w:val="-2"/>
          <w:sz w:val="18"/>
          <w:vertAlign w:val="superscript"/>
        </w:rPr>
        <w:t>109</w:t>
      </w:r>
      <w:r>
        <w:rPr>
          <w:spacing w:val="-9"/>
          <w:sz w:val="18"/>
          <w:vertAlign w:val="baseline"/>
        </w:rPr>
        <w:t> </w:t>
      </w:r>
      <w:r>
        <w:rPr>
          <w:spacing w:val="-2"/>
          <w:sz w:val="18"/>
          <w:vertAlign w:val="baseline"/>
        </w:rPr>
        <w:t>See</w:t>
      </w:r>
      <w:r>
        <w:rPr>
          <w:spacing w:val="-9"/>
          <w:sz w:val="18"/>
          <w:vertAlign w:val="baseline"/>
        </w:rPr>
        <w:t> </w:t>
      </w:r>
      <w:r>
        <w:rPr>
          <w:spacing w:val="-2"/>
          <w:sz w:val="18"/>
          <w:vertAlign w:val="baseline"/>
        </w:rPr>
        <w:t>Setser</w:t>
      </w:r>
      <w:r>
        <w:rPr>
          <w:spacing w:val="-8"/>
          <w:sz w:val="18"/>
          <w:vertAlign w:val="baseline"/>
        </w:rPr>
        <w:t> </w:t>
      </w:r>
      <w:r>
        <w:rPr>
          <w:spacing w:val="-2"/>
          <w:sz w:val="18"/>
          <w:vertAlign w:val="baseline"/>
        </w:rPr>
        <w:t>2023a,</w:t>
      </w:r>
      <w:r>
        <w:rPr>
          <w:spacing w:val="-8"/>
          <w:sz w:val="18"/>
          <w:vertAlign w:val="baseline"/>
        </w:rPr>
        <w:t> </w:t>
      </w:r>
      <w:r>
        <w:rPr>
          <w:spacing w:val="-2"/>
          <w:sz w:val="18"/>
          <w:vertAlign w:val="baseline"/>
        </w:rPr>
        <w:t>2023c.</w:t>
      </w:r>
    </w:p>
    <w:p>
      <w:pPr>
        <w:spacing w:line="249" w:lineRule="auto" w:before="9"/>
        <w:ind w:left="760" w:right="767" w:firstLine="0"/>
        <w:jc w:val="left"/>
        <w:rPr>
          <w:sz w:val="18"/>
        </w:rPr>
      </w:pPr>
      <w:r>
        <w:rPr>
          <w:sz w:val="18"/>
          <w:vertAlign w:val="superscript"/>
        </w:rPr>
        <w:t>110</w:t>
      </w:r>
      <w:r>
        <w:rPr>
          <w:sz w:val="18"/>
          <w:vertAlign w:val="baseline"/>
        </w:rPr>
        <w:t> At that time, the PBOC was a state-owned commercial bank operating under the supervision of </w:t>
      </w:r>
      <w:r>
        <w:rPr>
          <w:sz w:val="18"/>
          <w:vertAlign w:val="baseline"/>
        </w:rPr>
        <w:t>the Ministry of Finance. The PBOC did not ofﬁcially become China’s central bank until 1983.</w:t>
      </w:r>
    </w:p>
    <w:p>
      <w:pPr>
        <w:spacing w:before="1"/>
        <w:ind w:left="760" w:right="0" w:firstLine="0"/>
        <w:jc w:val="left"/>
        <w:rPr>
          <w:sz w:val="18"/>
        </w:rPr>
      </w:pPr>
      <w:r>
        <w:rPr>
          <w:sz w:val="18"/>
          <w:vertAlign w:val="superscript"/>
        </w:rPr>
        <w:t>111</w:t>
      </w:r>
      <w:r>
        <w:rPr>
          <w:spacing w:val="-7"/>
          <w:sz w:val="18"/>
          <w:vertAlign w:val="baseline"/>
        </w:rPr>
        <w:t> </w:t>
      </w:r>
      <w:r>
        <w:rPr>
          <w:sz w:val="18"/>
          <w:vertAlign w:val="baseline"/>
        </w:rPr>
        <w:t>Wei</w:t>
      </w:r>
      <w:r>
        <w:rPr>
          <w:spacing w:val="-6"/>
          <w:sz w:val="18"/>
          <w:vertAlign w:val="baseline"/>
        </w:rPr>
        <w:t> </w:t>
      </w:r>
      <w:r>
        <w:rPr>
          <w:sz w:val="18"/>
          <w:vertAlign w:val="baseline"/>
        </w:rPr>
        <w:t>2013;</w:t>
      </w:r>
      <w:r>
        <w:rPr>
          <w:spacing w:val="-5"/>
          <w:sz w:val="18"/>
          <w:vertAlign w:val="baseline"/>
        </w:rPr>
        <w:t> </w:t>
      </w:r>
      <w:r>
        <w:rPr>
          <w:sz w:val="18"/>
          <w:vertAlign w:val="baseline"/>
        </w:rPr>
        <w:t>Liu</w:t>
      </w:r>
      <w:r>
        <w:rPr>
          <w:spacing w:val="-6"/>
          <w:sz w:val="18"/>
          <w:vertAlign w:val="baseline"/>
        </w:rPr>
        <w:t> </w:t>
      </w:r>
      <w:r>
        <w:rPr>
          <w:spacing w:val="-2"/>
          <w:sz w:val="18"/>
          <w:vertAlign w:val="baseline"/>
        </w:rPr>
        <w:t>2023.</w:t>
      </w:r>
    </w:p>
    <w:p>
      <w:pPr>
        <w:spacing w:after="0"/>
        <w:jc w:val="left"/>
        <w:rPr>
          <w:sz w:val="18"/>
        </w:rPr>
        <w:sectPr>
          <w:pgSz w:w="12240" w:h="15840"/>
          <w:pgMar w:header="0" w:footer="720" w:top="1400" w:bottom="920" w:left="1040" w:right="1040"/>
        </w:sectPr>
      </w:pPr>
    </w:p>
    <w:p>
      <w:pPr>
        <w:spacing w:line="300" w:lineRule="auto" w:before="46"/>
        <w:ind w:left="760" w:right="767" w:firstLine="0"/>
        <w:jc w:val="left"/>
        <w:rPr>
          <w:sz w:val="20"/>
        </w:rPr>
      </w:pPr>
      <w:r>
        <w:rPr/>
        <w:pict>
          <v:group style="position:absolute;margin-left:84pt;margin-top:1.967886pt;width:444pt;height:578.050pt;mso-position-horizontal-relative:page;mso-position-vertical-relative:paragraph;z-index:-17136128" id="docshapegroup22" coordorigin="1680,39" coordsize="8880,11561">
            <v:shape style="position:absolute;left:1680;top:39;width:8880;height:3641" id="docshape23" coordorigin="1680,39" coordsize="8880,3641" path="m10560,39l1680,39,1680,339,1680,359,1680,3679,10560,3679,10560,339,10560,39xe" filled="true" fillcolor="#f0f2f4" stroked="false">
              <v:path arrowok="t"/>
              <v:fill type="solid"/>
            </v:shape>
            <v:shape style="position:absolute;left:1680;top:3679;width:8880;height:1260" id="docshape24" coordorigin="1680,3679" coordsize="8880,1260" path="m10560,3679l1680,3679,1680,4179,1680,4199,1680,4499,1680,4519,1680,4939,10560,4939,10560,4519,10560,4499,10560,4199,10560,4179,10560,3679xe" filled="true" fillcolor="#d0d3d4" stroked="false">
              <v:path arrowok="t"/>
              <v:fill type="solid"/>
            </v:shape>
            <v:rect style="position:absolute;left:1680;top:4939;width:8880;height:6660" id="docshape25" filled="true" fillcolor="#f0f2f4" stroked="false">
              <v:fill type="solid"/>
            </v:rect>
            <v:shape style="position:absolute;left:3240;top:5096;width:5760;height:6330" type="#_x0000_t75" id="docshape26" stroked="false">
              <v:imagedata r:id="rId10" o:title=""/>
            </v:shape>
            <w10:wrap type="none"/>
          </v:group>
        </w:pict>
      </w:r>
      <w:r>
        <w:rPr>
          <w:sz w:val="20"/>
        </w:rPr>
        <w:t>the</w:t>
      </w:r>
      <w:r>
        <w:rPr>
          <w:spacing w:val="-3"/>
          <w:sz w:val="20"/>
        </w:rPr>
        <w:t> </w:t>
      </w:r>
      <w:r>
        <w:rPr>
          <w:sz w:val="20"/>
        </w:rPr>
        <w:t>country’s</w:t>
      </w:r>
      <w:r>
        <w:rPr>
          <w:spacing w:val="-3"/>
          <w:sz w:val="20"/>
        </w:rPr>
        <w:t> </w:t>
      </w:r>
      <w:r>
        <w:rPr>
          <w:sz w:val="20"/>
        </w:rPr>
        <w:t>export-led</w:t>
      </w:r>
      <w:r>
        <w:rPr>
          <w:spacing w:val="-3"/>
          <w:sz w:val="20"/>
        </w:rPr>
        <w:t> </w:t>
      </w:r>
      <w:r>
        <w:rPr>
          <w:sz w:val="20"/>
        </w:rPr>
        <w:t>economic</w:t>
      </w:r>
      <w:r>
        <w:rPr>
          <w:spacing w:val="-3"/>
          <w:sz w:val="20"/>
        </w:rPr>
        <w:t> </w:t>
      </w:r>
      <w:r>
        <w:rPr>
          <w:sz w:val="20"/>
        </w:rPr>
        <w:t>growth</w:t>
      </w:r>
      <w:r>
        <w:rPr>
          <w:spacing w:val="-3"/>
          <w:sz w:val="20"/>
        </w:rPr>
        <w:t> </w:t>
      </w:r>
      <w:r>
        <w:rPr>
          <w:sz w:val="20"/>
        </w:rPr>
        <w:t>strategy,</w:t>
      </w:r>
      <w:r>
        <w:rPr>
          <w:spacing w:val="-3"/>
          <w:sz w:val="20"/>
        </w:rPr>
        <w:t> </w:t>
      </w:r>
      <w:r>
        <w:rPr>
          <w:sz w:val="20"/>
        </w:rPr>
        <w:t>so</w:t>
      </w:r>
      <w:r>
        <w:rPr>
          <w:spacing w:val="-3"/>
          <w:sz w:val="20"/>
        </w:rPr>
        <w:t> </w:t>
      </w:r>
      <w:r>
        <w:rPr>
          <w:sz w:val="20"/>
        </w:rPr>
        <w:t>SAFE</w:t>
      </w:r>
      <w:r>
        <w:rPr>
          <w:spacing w:val="-3"/>
          <w:sz w:val="20"/>
        </w:rPr>
        <w:t> </w:t>
      </w:r>
      <w:r>
        <w:rPr>
          <w:sz w:val="20"/>
        </w:rPr>
        <w:t>was</w:t>
      </w:r>
      <w:r>
        <w:rPr>
          <w:spacing w:val="-3"/>
          <w:sz w:val="20"/>
        </w:rPr>
        <w:t> </w:t>
      </w:r>
      <w:r>
        <w:rPr>
          <w:sz w:val="20"/>
        </w:rPr>
        <w:t>tasked</w:t>
      </w:r>
      <w:r>
        <w:rPr>
          <w:spacing w:val="-3"/>
          <w:sz w:val="20"/>
        </w:rPr>
        <w:t> </w:t>
      </w:r>
      <w:r>
        <w:rPr>
          <w:sz w:val="20"/>
        </w:rPr>
        <w:t>with</w:t>
      </w:r>
      <w:r>
        <w:rPr>
          <w:spacing w:val="-3"/>
          <w:sz w:val="20"/>
        </w:rPr>
        <w:t> </w:t>
      </w:r>
      <w:r>
        <w:rPr>
          <w:sz w:val="20"/>
        </w:rPr>
        <w:t>investing</w:t>
      </w:r>
      <w:r>
        <w:rPr>
          <w:spacing w:val="-3"/>
          <w:sz w:val="20"/>
        </w:rPr>
        <w:t> </w:t>
      </w:r>
      <w:r>
        <w:rPr>
          <w:sz w:val="20"/>
        </w:rPr>
        <w:t>surplus dollars in overseas assets that would yield attractive returns within acceptable risk levels.</w:t>
      </w:r>
      <w:r>
        <w:rPr>
          <w:sz w:val="20"/>
          <w:vertAlign w:val="superscript"/>
        </w:rPr>
        <w:t>112</w:t>
      </w:r>
    </w:p>
    <w:p>
      <w:pPr>
        <w:pStyle w:val="BodyText"/>
        <w:rPr>
          <w:sz w:val="21"/>
        </w:rPr>
      </w:pPr>
    </w:p>
    <w:p>
      <w:pPr>
        <w:spacing w:line="300" w:lineRule="auto" w:before="1"/>
        <w:ind w:left="760" w:right="774" w:firstLine="0"/>
        <w:jc w:val="left"/>
        <w:rPr>
          <w:sz w:val="20"/>
        </w:rPr>
      </w:pPr>
      <w:r>
        <w:rPr>
          <w:sz w:val="20"/>
        </w:rPr>
        <w:t>Figure 2.3 below presents </w:t>
      </w:r>
      <w:r>
        <w:rPr>
          <w:i/>
          <w:sz w:val="20"/>
        </w:rPr>
        <w:t>cumulative </w:t>
      </w:r>
      <w:r>
        <w:rPr>
          <w:sz w:val="20"/>
        </w:rPr>
        <w:t>lending commitments of China’s state-owned policy banks, state-owned commercial banks, and the Silk Road Fund to LICs and MICs, in relation to the timing of SAFE’s investments in these organizations. It does the same for Sinosure-backed lending commitments to LICs and MICs. One can see that </w:t>
      </w:r>
      <w:r>
        <w:rPr>
          <w:i/>
          <w:sz w:val="20"/>
        </w:rPr>
        <w:t>large cash injections from SAFE have</w:t>
      </w:r>
      <w:r>
        <w:rPr>
          <w:i/>
          <w:sz w:val="20"/>
        </w:rPr>
        <w:t> generally preceded increases in the overseas lending activities of China’s state-owned policy banks, state-owned commercial banks, and the Silk Road Fund</w:t>
      </w:r>
      <w:r>
        <w:rPr>
          <w:sz w:val="20"/>
        </w:rPr>
        <w:t>. An increase in Sinosure-backed lending to overseas borrowers also followed SAFE’s recapitalization of the state-owned credit insurance agency in 2010.</w:t>
      </w:r>
    </w:p>
    <w:p>
      <w:pPr>
        <w:pStyle w:val="BodyText"/>
        <w:rPr>
          <w:sz w:val="20"/>
        </w:rPr>
      </w:pPr>
    </w:p>
    <w:p>
      <w:pPr>
        <w:pStyle w:val="BodyText"/>
        <w:rPr>
          <w:sz w:val="20"/>
        </w:rPr>
      </w:pPr>
    </w:p>
    <w:p>
      <w:pPr>
        <w:pStyle w:val="BodyText"/>
        <w:spacing w:before="2"/>
        <w:rPr>
          <w:sz w:val="16"/>
        </w:rPr>
      </w:pPr>
    </w:p>
    <w:p>
      <w:pPr>
        <w:pStyle w:val="Heading5"/>
        <w:ind w:left="760"/>
      </w:pPr>
      <w:r>
        <w:rPr>
          <w:spacing w:val="-7"/>
        </w:rPr>
        <w:t>Figure</w:t>
      </w:r>
      <w:r>
        <w:rPr>
          <w:spacing w:val="-10"/>
        </w:rPr>
        <w:t> </w:t>
      </w:r>
      <w:r>
        <w:rPr>
          <w:spacing w:val="-5"/>
        </w:rPr>
        <w:t>2.3</w:t>
      </w:r>
    </w:p>
    <w:p>
      <w:pPr>
        <w:spacing w:line="333" w:lineRule="auto" w:before="107"/>
        <w:ind w:left="760" w:right="767" w:firstLine="0"/>
        <w:jc w:val="left"/>
        <w:rPr>
          <w:b/>
          <w:sz w:val="20"/>
        </w:rPr>
      </w:pPr>
      <w:r>
        <w:rPr>
          <w:b/>
          <w:spacing w:val="-8"/>
          <w:sz w:val="20"/>
        </w:rPr>
        <w:t>Cumulative</w:t>
      </w:r>
      <w:r>
        <w:rPr>
          <w:b/>
          <w:sz w:val="20"/>
        </w:rPr>
        <w:t> </w:t>
      </w:r>
      <w:r>
        <w:rPr>
          <w:b/>
          <w:spacing w:val="-8"/>
          <w:sz w:val="20"/>
        </w:rPr>
        <w:t>loan</w:t>
      </w:r>
      <w:r>
        <w:rPr>
          <w:b/>
          <w:sz w:val="20"/>
        </w:rPr>
        <w:t> </w:t>
      </w:r>
      <w:r>
        <w:rPr>
          <w:b/>
          <w:spacing w:val="-8"/>
          <w:sz w:val="20"/>
        </w:rPr>
        <w:t>commitments</w:t>
      </w:r>
      <w:r>
        <w:rPr>
          <w:b/>
          <w:sz w:val="20"/>
        </w:rPr>
        <w:t> </w:t>
      </w:r>
      <w:r>
        <w:rPr>
          <w:b/>
          <w:spacing w:val="-8"/>
          <w:sz w:val="20"/>
        </w:rPr>
        <w:t>to</w:t>
      </w:r>
      <w:r>
        <w:rPr>
          <w:b/>
          <w:sz w:val="20"/>
        </w:rPr>
        <w:t> </w:t>
      </w:r>
      <w:r>
        <w:rPr>
          <w:b/>
          <w:spacing w:val="-8"/>
          <w:sz w:val="20"/>
        </w:rPr>
        <w:t>LICs</w:t>
      </w:r>
      <w:r>
        <w:rPr>
          <w:b/>
          <w:sz w:val="20"/>
        </w:rPr>
        <w:t> </w:t>
      </w:r>
      <w:r>
        <w:rPr>
          <w:b/>
          <w:spacing w:val="-8"/>
          <w:sz w:val="20"/>
        </w:rPr>
        <w:t>and</w:t>
      </w:r>
      <w:r>
        <w:rPr>
          <w:b/>
          <w:sz w:val="20"/>
        </w:rPr>
        <w:t> </w:t>
      </w:r>
      <w:r>
        <w:rPr>
          <w:b/>
          <w:spacing w:val="-8"/>
          <w:sz w:val="20"/>
        </w:rPr>
        <w:t>MICs</w:t>
      </w:r>
      <w:r>
        <w:rPr>
          <w:b/>
          <w:sz w:val="20"/>
        </w:rPr>
        <w:t> </w:t>
      </w:r>
      <w:r>
        <w:rPr>
          <w:b/>
          <w:spacing w:val="-8"/>
          <w:sz w:val="20"/>
        </w:rPr>
        <w:t>by</w:t>
      </w:r>
      <w:r>
        <w:rPr>
          <w:b/>
          <w:sz w:val="20"/>
        </w:rPr>
        <w:t> </w:t>
      </w:r>
      <w:r>
        <w:rPr>
          <w:b/>
          <w:spacing w:val="-8"/>
          <w:sz w:val="20"/>
        </w:rPr>
        <w:t>ﬁnancial</w:t>
      </w:r>
      <w:r>
        <w:rPr>
          <w:b/>
          <w:sz w:val="20"/>
        </w:rPr>
        <w:t> </w:t>
      </w:r>
      <w:r>
        <w:rPr>
          <w:b/>
          <w:spacing w:val="-8"/>
          <w:sz w:val="20"/>
        </w:rPr>
        <w:t>institution</w:t>
      </w:r>
      <w:r>
        <w:rPr>
          <w:b/>
          <w:sz w:val="20"/>
        </w:rPr>
        <w:t> </w:t>
      </w:r>
      <w:r>
        <w:rPr>
          <w:b/>
          <w:spacing w:val="-8"/>
          <w:sz w:val="20"/>
        </w:rPr>
        <w:t>and</w:t>
      </w:r>
      <w:r>
        <w:rPr>
          <w:b/>
          <w:sz w:val="20"/>
        </w:rPr>
        <w:t> </w:t>
      </w:r>
      <w:r>
        <w:rPr>
          <w:b/>
          <w:spacing w:val="-8"/>
          <w:sz w:val="20"/>
        </w:rPr>
        <w:t>capital</w:t>
      </w:r>
      <w:r>
        <w:rPr>
          <w:b/>
          <w:sz w:val="20"/>
        </w:rPr>
        <w:t> </w:t>
      </w:r>
      <w:r>
        <w:rPr>
          <w:b/>
          <w:spacing w:val="-8"/>
          <w:sz w:val="20"/>
        </w:rPr>
        <w:t>injections </w:t>
      </w:r>
      <w:r>
        <w:rPr>
          <w:b/>
          <w:sz w:val="20"/>
        </w:rPr>
        <w:t>from SAFE, 2000-2021</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17"/>
        </w:rPr>
      </w:pPr>
      <w:r>
        <w:rPr/>
        <w:pict>
          <v:shape style="position:absolute;margin-left:90pt;margin-top:11.228565pt;width:144pt;height:.1pt;mso-position-horizontal-relative:page;mso-position-vertical-relative:paragraph;z-index:-15716864;mso-wrap-distance-left:0;mso-wrap-distance-right:0" id="docshape27" coordorigin="1800,225" coordsize="2880,0" path="m1800,225l4680,225e" filled="false" stroked="true" strokeweight=".75pt" strokecolor="#000000">
            <v:path arrowok="t"/>
            <v:stroke dashstyle="solid"/>
            <w10:wrap type="topAndBottom"/>
          </v:shape>
        </w:pict>
      </w:r>
    </w:p>
    <w:p>
      <w:pPr>
        <w:spacing w:line="249" w:lineRule="auto" w:before="110"/>
        <w:ind w:left="760" w:right="898" w:firstLine="0"/>
        <w:jc w:val="left"/>
        <w:rPr>
          <w:sz w:val="18"/>
        </w:rPr>
      </w:pPr>
      <w:r>
        <w:rPr>
          <w:sz w:val="18"/>
          <w:vertAlign w:val="superscript"/>
        </w:rPr>
        <w:t>112</w:t>
      </w:r>
      <w:r>
        <w:rPr>
          <w:sz w:val="18"/>
          <w:vertAlign w:val="baseline"/>
        </w:rPr>
        <w:t> China’s foreign exchange management law requires that the country’s ofﬁcial reserves be invested in highly</w:t>
      </w:r>
      <w:r>
        <w:rPr>
          <w:spacing w:val="-1"/>
          <w:sz w:val="18"/>
          <w:vertAlign w:val="baseline"/>
        </w:rPr>
        <w:t> </w:t>
      </w:r>
      <w:r>
        <w:rPr>
          <w:sz w:val="18"/>
          <w:vertAlign w:val="baseline"/>
        </w:rPr>
        <w:t>liquid</w:t>
      </w:r>
      <w:r>
        <w:rPr>
          <w:spacing w:val="-1"/>
          <w:sz w:val="18"/>
          <w:vertAlign w:val="baseline"/>
        </w:rPr>
        <w:t> </w:t>
      </w:r>
      <w:r>
        <w:rPr>
          <w:sz w:val="18"/>
          <w:vertAlign w:val="baseline"/>
        </w:rPr>
        <w:t>and</w:t>
      </w:r>
      <w:r>
        <w:rPr>
          <w:spacing w:val="-1"/>
          <w:sz w:val="18"/>
          <w:vertAlign w:val="baseline"/>
        </w:rPr>
        <w:t> </w:t>
      </w:r>
      <w:r>
        <w:rPr>
          <w:sz w:val="18"/>
          <w:vertAlign w:val="baseline"/>
        </w:rPr>
        <w:t>low-risk</w:t>
      </w:r>
      <w:r>
        <w:rPr>
          <w:spacing w:val="-1"/>
          <w:sz w:val="18"/>
          <w:vertAlign w:val="baseline"/>
        </w:rPr>
        <w:t> </w:t>
      </w:r>
      <w:r>
        <w:rPr>
          <w:sz w:val="18"/>
          <w:vertAlign w:val="baseline"/>
        </w:rPr>
        <w:t>assets</w:t>
      </w:r>
      <w:r>
        <w:rPr>
          <w:spacing w:val="-1"/>
          <w:sz w:val="18"/>
          <w:vertAlign w:val="baseline"/>
        </w:rPr>
        <w:t> </w:t>
      </w:r>
      <w:r>
        <w:rPr>
          <w:sz w:val="18"/>
          <w:vertAlign w:val="baseline"/>
        </w:rPr>
        <w:t>that</w:t>
      </w:r>
      <w:r>
        <w:rPr>
          <w:spacing w:val="-1"/>
          <w:sz w:val="18"/>
          <w:vertAlign w:val="baseline"/>
        </w:rPr>
        <w:t> </w:t>
      </w:r>
      <w:r>
        <w:rPr>
          <w:sz w:val="18"/>
          <w:vertAlign w:val="baseline"/>
        </w:rPr>
        <w:t>can</w:t>
      </w:r>
      <w:r>
        <w:rPr>
          <w:spacing w:val="-1"/>
          <w:sz w:val="18"/>
          <w:vertAlign w:val="baseline"/>
        </w:rPr>
        <w:t> </w:t>
      </w:r>
      <w:r>
        <w:rPr>
          <w:sz w:val="18"/>
          <w:vertAlign w:val="baseline"/>
        </w:rPr>
        <w:t>be</w:t>
      </w:r>
      <w:r>
        <w:rPr>
          <w:spacing w:val="-1"/>
          <w:sz w:val="18"/>
          <w:vertAlign w:val="baseline"/>
        </w:rPr>
        <w:t> </w:t>
      </w:r>
      <w:r>
        <w:rPr>
          <w:sz w:val="18"/>
          <w:vertAlign w:val="baseline"/>
        </w:rPr>
        <w:t>used</w:t>
      </w:r>
      <w:r>
        <w:rPr>
          <w:spacing w:val="-1"/>
          <w:sz w:val="18"/>
          <w:vertAlign w:val="baseline"/>
        </w:rPr>
        <w:t> </w:t>
      </w:r>
      <w:r>
        <w:rPr>
          <w:sz w:val="18"/>
          <w:vertAlign w:val="baseline"/>
        </w:rPr>
        <w:t>to</w:t>
      </w:r>
      <w:r>
        <w:rPr>
          <w:spacing w:val="-1"/>
          <w:sz w:val="18"/>
          <w:vertAlign w:val="baseline"/>
        </w:rPr>
        <w:t> </w:t>
      </w:r>
      <w:r>
        <w:rPr>
          <w:sz w:val="18"/>
          <w:vertAlign w:val="baseline"/>
        </w:rPr>
        <w:t>address</w:t>
      </w:r>
      <w:r>
        <w:rPr>
          <w:spacing w:val="-1"/>
          <w:sz w:val="18"/>
          <w:vertAlign w:val="baseline"/>
        </w:rPr>
        <w:t> </w:t>
      </w:r>
      <w:r>
        <w:rPr>
          <w:sz w:val="18"/>
          <w:vertAlign w:val="baseline"/>
        </w:rPr>
        <w:t>balance</w:t>
      </w:r>
      <w:r>
        <w:rPr>
          <w:spacing w:val="-1"/>
          <w:sz w:val="18"/>
          <w:vertAlign w:val="baseline"/>
        </w:rPr>
        <w:t> </w:t>
      </w:r>
      <w:r>
        <w:rPr>
          <w:sz w:val="18"/>
          <w:vertAlign w:val="baseline"/>
        </w:rPr>
        <w:t>of</w:t>
      </w:r>
      <w:r>
        <w:rPr>
          <w:spacing w:val="-1"/>
          <w:sz w:val="18"/>
          <w:vertAlign w:val="baseline"/>
        </w:rPr>
        <w:t> </w:t>
      </w:r>
      <w:r>
        <w:rPr>
          <w:sz w:val="18"/>
          <w:vertAlign w:val="baseline"/>
        </w:rPr>
        <w:t>payment</w:t>
      </w:r>
      <w:r>
        <w:rPr>
          <w:spacing w:val="-1"/>
          <w:sz w:val="18"/>
          <w:vertAlign w:val="baseline"/>
        </w:rPr>
        <w:t> </w:t>
      </w:r>
      <w:r>
        <w:rPr>
          <w:sz w:val="18"/>
          <w:vertAlign w:val="baseline"/>
        </w:rPr>
        <w:t>needs.</w:t>
      </w:r>
      <w:r>
        <w:rPr>
          <w:spacing w:val="-1"/>
          <w:sz w:val="18"/>
          <w:vertAlign w:val="baseline"/>
        </w:rPr>
        <w:t> </w:t>
      </w:r>
      <w:r>
        <w:rPr>
          <w:sz w:val="18"/>
          <w:vertAlign w:val="baseline"/>
        </w:rPr>
        <w:t>However,</w:t>
      </w:r>
      <w:r>
        <w:rPr>
          <w:spacing w:val="-1"/>
          <w:sz w:val="18"/>
          <w:vertAlign w:val="baseline"/>
        </w:rPr>
        <w:t> </w:t>
      </w:r>
      <w:r>
        <w:rPr>
          <w:sz w:val="18"/>
          <w:vertAlign w:val="baseline"/>
        </w:rPr>
        <w:t>foreign exchange reserves that are entrusted to a state-owned entity for investment purposes fall outside the ofﬁcial (IMF) deﬁnition of foreign exchange reserves. They can therefore be invested in higher-risk, illiquid assets (Liu 2023).</w:t>
      </w:r>
    </w:p>
    <w:p>
      <w:pPr>
        <w:spacing w:after="0" w:line="249" w:lineRule="auto"/>
        <w:jc w:val="left"/>
        <w:rPr>
          <w:sz w:val="18"/>
        </w:rPr>
        <w:sectPr>
          <w:pgSz w:w="12240" w:h="15840"/>
          <w:pgMar w:header="0" w:footer="720" w:top="1380" w:bottom="920" w:left="1040" w:right="1040"/>
        </w:sectPr>
      </w:pPr>
    </w:p>
    <w:p>
      <w:pPr>
        <w:spacing w:line="333" w:lineRule="auto" w:before="47"/>
        <w:ind w:left="760" w:right="767" w:firstLine="0"/>
        <w:jc w:val="left"/>
        <w:rPr>
          <w:i/>
          <w:sz w:val="18"/>
        </w:rPr>
      </w:pPr>
      <w:r>
        <w:rPr/>
        <w:pict>
          <v:shape style="position:absolute;margin-left:84.000008pt;margin-top:2.000408pt;width:444pt;height:490.05pt;mso-position-horizontal-relative:page;mso-position-vertical-relative:paragraph;z-index:-17135104" id="docshape28" coordorigin="1680,40" coordsize="8880,9801" path="m10560,40l1680,40,1680,340,1680,360,1680,9840,10560,9840,10560,340,10560,40xe" filled="true" fillcolor="#f0f2f4" stroked="false">
            <v:path arrowok="t"/>
            <v:fill type="solid"/>
            <w10:wrap type="none"/>
          </v:shape>
        </w:pict>
      </w:r>
      <w:r>
        <w:rPr>
          <w:i/>
          <w:sz w:val="18"/>
        </w:rPr>
        <w:t>Notes: This table presents cumulative lending commitments to LICs and MICs (in constant 2021 USD) from</w:t>
      </w:r>
      <w:r>
        <w:rPr>
          <w:i/>
          <w:sz w:val="18"/>
        </w:rPr>
        <w:t> selected Chinese state-owned policy banks, state-owned commercial banks, and state-owned funds. It also presents cumulative lending commitments to LICs and MICs (in constant 2021 USD) that are backed by credit</w:t>
      </w:r>
      <w:r>
        <w:rPr>
          <w:i/>
          <w:spacing w:val="-8"/>
          <w:sz w:val="18"/>
        </w:rPr>
        <w:t> </w:t>
      </w:r>
      <w:r>
        <w:rPr>
          <w:i/>
          <w:sz w:val="18"/>
        </w:rPr>
        <w:t>insurance</w:t>
      </w:r>
      <w:r>
        <w:rPr>
          <w:i/>
          <w:spacing w:val="-8"/>
          <w:sz w:val="18"/>
        </w:rPr>
        <w:t> </w:t>
      </w:r>
      <w:r>
        <w:rPr>
          <w:i/>
          <w:sz w:val="18"/>
        </w:rPr>
        <w:t>from</w:t>
      </w:r>
      <w:r>
        <w:rPr>
          <w:i/>
          <w:spacing w:val="-8"/>
          <w:sz w:val="18"/>
        </w:rPr>
        <w:t> </w:t>
      </w:r>
      <w:r>
        <w:rPr>
          <w:i/>
          <w:sz w:val="18"/>
        </w:rPr>
        <w:t>Sinosure.</w:t>
      </w:r>
      <w:r>
        <w:rPr>
          <w:i/>
          <w:spacing w:val="-8"/>
          <w:sz w:val="18"/>
        </w:rPr>
        <w:t> </w:t>
      </w:r>
      <w:r>
        <w:rPr>
          <w:i/>
          <w:sz w:val="18"/>
        </w:rPr>
        <w:t>The</w:t>
      </w:r>
      <w:r>
        <w:rPr>
          <w:i/>
          <w:spacing w:val="-8"/>
          <w:sz w:val="18"/>
        </w:rPr>
        <w:t> </w:t>
      </w:r>
      <w:r>
        <w:rPr>
          <w:i/>
          <w:sz w:val="18"/>
        </w:rPr>
        <w:t>vertical</w:t>
      </w:r>
      <w:r>
        <w:rPr>
          <w:i/>
          <w:spacing w:val="-8"/>
          <w:sz w:val="18"/>
        </w:rPr>
        <w:t> </w:t>
      </w:r>
      <w:r>
        <w:rPr>
          <w:i/>
          <w:sz w:val="18"/>
        </w:rPr>
        <w:t>dashed</w:t>
      </w:r>
      <w:r>
        <w:rPr>
          <w:i/>
          <w:spacing w:val="-8"/>
          <w:sz w:val="18"/>
        </w:rPr>
        <w:t> </w:t>
      </w:r>
      <w:r>
        <w:rPr>
          <w:i/>
          <w:sz w:val="18"/>
        </w:rPr>
        <w:t>lines</w:t>
      </w:r>
      <w:r>
        <w:rPr>
          <w:i/>
          <w:spacing w:val="-8"/>
          <w:sz w:val="18"/>
        </w:rPr>
        <w:t> </w:t>
      </w:r>
      <w:r>
        <w:rPr>
          <w:i/>
          <w:sz w:val="18"/>
        </w:rPr>
        <w:t>represent</w:t>
      </w:r>
      <w:r>
        <w:rPr>
          <w:i/>
          <w:spacing w:val="-8"/>
          <w:sz w:val="18"/>
        </w:rPr>
        <w:t> </w:t>
      </w:r>
      <w:r>
        <w:rPr>
          <w:i/>
          <w:sz w:val="18"/>
        </w:rPr>
        <w:t>years</w:t>
      </w:r>
      <w:r>
        <w:rPr>
          <w:i/>
          <w:spacing w:val="-8"/>
          <w:sz w:val="18"/>
        </w:rPr>
        <w:t> </w:t>
      </w:r>
      <w:r>
        <w:rPr>
          <w:i/>
          <w:sz w:val="18"/>
        </w:rPr>
        <w:t>in</w:t>
      </w:r>
      <w:r>
        <w:rPr>
          <w:i/>
          <w:spacing w:val="-8"/>
          <w:sz w:val="18"/>
        </w:rPr>
        <w:t> </w:t>
      </w:r>
      <w:r>
        <w:rPr>
          <w:i/>
          <w:sz w:val="18"/>
        </w:rPr>
        <w:t>which</w:t>
      </w:r>
      <w:r>
        <w:rPr>
          <w:i/>
          <w:spacing w:val="-8"/>
          <w:sz w:val="18"/>
        </w:rPr>
        <w:t> </w:t>
      </w:r>
      <w:r>
        <w:rPr>
          <w:i/>
          <w:sz w:val="18"/>
        </w:rPr>
        <w:t>a</w:t>
      </w:r>
      <w:r>
        <w:rPr>
          <w:i/>
          <w:spacing w:val="-8"/>
          <w:sz w:val="18"/>
        </w:rPr>
        <w:t> </w:t>
      </w:r>
      <w:r>
        <w:rPr>
          <w:i/>
          <w:sz w:val="18"/>
        </w:rPr>
        <w:t>SAFE</w:t>
      </w:r>
      <w:r>
        <w:rPr>
          <w:i/>
          <w:spacing w:val="-8"/>
          <w:sz w:val="18"/>
        </w:rPr>
        <w:t> </w:t>
      </w:r>
      <w:r>
        <w:rPr>
          <w:i/>
          <w:sz w:val="18"/>
        </w:rPr>
        <w:t>capital</w:t>
      </w:r>
      <w:r>
        <w:rPr>
          <w:i/>
          <w:spacing w:val="-8"/>
          <w:sz w:val="18"/>
        </w:rPr>
        <w:t> </w:t>
      </w:r>
      <w:r>
        <w:rPr>
          <w:i/>
          <w:sz w:val="18"/>
        </w:rPr>
        <w:t>injection</w:t>
      </w:r>
      <w:r>
        <w:rPr>
          <w:i/>
          <w:spacing w:val="-8"/>
          <w:sz w:val="18"/>
        </w:rPr>
        <w:t> </w:t>
      </w:r>
      <w:r>
        <w:rPr>
          <w:i/>
          <w:sz w:val="18"/>
        </w:rPr>
        <w:t>is </w:t>
      </w:r>
      <w:r>
        <w:rPr>
          <w:i/>
          <w:w w:val="105"/>
          <w:sz w:val="18"/>
        </w:rPr>
        <w:t>known</w:t>
      </w:r>
      <w:r>
        <w:rPr>
          <w:i/>
          <w:spacing w:val="-10"/>
          <w:w w:val="105"/>
          <w:sz w:val="18"/>
        </w:rPr>
        <w:t> </w:t>
      </w:r>
      <w:r>
        <w:rPr>
          <w:i/>
          <w:w w:val="105"/>
          <w:sz w:val="18"/>
        </w:rPr>
        <w:t>to</w:t>
      </w:r>
      <w:r>
        <w:rPr>
          <w:i/>
          <w:spacing w:val="-10"/>
          <w:w w:val="105"/>
          <w:sz w:val="18"/>
        </w:rPr>
        <w:t> </w:t>
      </w:r>
      <w:r>
        <w:rPr>
          <w:i/>
          <w:w w:val="105"/>
          <w:sz w:val="18"/>
        </w:rPr>
        <w:t>have</w:t>
      </w:r>
      <w:r>
        <w:rPr>
          <w:i/>
          <w:spacing w:val="-10"/>
          <w:w w:val="105"/>
          <w:sz w:val="18"/>
        </w:rPr>
        <w:t> </w:t>
      </w:r>
      <w:r>
        <w:rPr>
          <w:i/>
          <w:w w:val="105"/>
          <w:sz w:val="18"/>
        </w:rPr>
        <w:t>taken</w:t>
      </w:r>
      <w:r>
        <w:rPr>
          <w:i/>
          <w:spacing w:val="-10"/>
          <w:w w:val="105"/>
          <w:sz w:val="18"/>
        </w:rPr>
        <w:t> </w:t>
      </w:r>
      <w:r>
        <w:rPr>
          <w:i/>
          <w:w w:val="105"/>
          <w:sz w:val="18"/>
        </w:rPr>
        <w:t>place.</w:t>
      </w:r>
      <w:r>
        <w:rPr>
          <w:i/>
          <w:spacing w:val="-10"/>
          <w:w w:val="105"/>
          <w:sz w:val="18"/>
        </w:rPr>
        <w:t> </w:t>
      </w:r>
      <w:r>
        <w:rPr>
          <w:i/>
          <w:w w:val="105"/>
          <w:sz w:val="18"/>
        </w:rPr>
        <w:t>These</w:t>
      </w:r>
      <w:r>
        <w:rPr>
          <w:i/>
          <w:spacing w:val="-10"/>
          <w:w w:val="105"/>
          <w:sz w:val="18"/>
        </w:rPr>
        <w:t> </w:t>
      </w:r>
      <w:r>
        <w:rPr>
          <w:i/>
          <w:w w:val="105"/>
          <w:sz w:val="18"/>
        </w:rPr>
        <w:t>ﬁgures</w:t>
      </w:r>
      <w:r>
        <w:rPr>
          <w:i/>
          <w:spacing w:val="-10"/>
          <w:w w:val="105"/>
          <w:sz w:val="18"/>
        </w:rPr>
        <w:t> </w:t>
      </w:r>
      <w:r>
        <w:rPr>
          <w:i/>
          <w:w w:val="105"/>
          <w:sz w:val="18"/>
        </w:rPr>
        <w:t>exclude</w:t>
      </w:r>
      <w:r>
        <w:rPr>
          <w:i/>
          <w:spacing w:val="-10"/>
          <w:w w:val="105"/>
          <w:sz w:val="18"/>
        </w:rPr>
        <w:t> </w:t>
      </w:r>
      <w:r>
        <w:rPr>
          <w:i/>
          <w:w w:val="105"/>
          <w:sz w:val="18"/>
        </w:rPr>
        <w:t>short-term</w:t>
      </w:r>
      <w:r>
        <w:rPr>
          <w:i/>
          <w:spacing w:val="-10"/>
          <w:w w:val="105"/>
          <w:sz w:val="18"/>
        </w:rPr>
        <w:t> </w:t>
      </w:r>
      <w:r>
        <w:rPr>
          <w:i/>
          <w:w w:val="105"/>
          <w:sz w:val="18"/>
        </w:rPr>
        <w:t>"rollover"</w:t>
      </w:r>
      <w:r>
        <w:rPr>
          <w:i/>
          <w:spacing w:val="-10"/>
          <w:w w:val="105"/>
          <w:sz w:val="18"/>
        </w:rPr>
        <w:t> </w:t>
      </w:r>
      <w:r>
        <w:rPr>
          <w:i/>
          <w:w w:val="105"/>
          <w:sz w:val="18"/>
        </w:rPr>
        <w:t>facilities</w:t>
      </w:r>
      <w:r>
        <w:rPr>
          <w:i/>
          <w:spacing w:val="-10"/>
          <w:w w:val="105"/>
          <w:sz w:val="18"/>
        </w:rPr>
        <w:t> </w:t>
      </w:r>
      <w:r>
        <w:rPr>
          <w:i/>
          <w:w w:val="105"/>
          <w:sz w:val="18"/>
        </w:rPr>
        <w:t>to</w:t>
      </w:r>
      <w:r>
        <w:rPr>
          <w:i/>
          <w:spacing w:val="-10"/>
          <w:w w:val="105"/>
          <w:sz w:val="18"/>
        </w:rPr>
        <w:t> </w:t>
      </w:r>
      <w:r>
        <w:rPr>
          <w:i/>
          <w:w w:val="105"/>
          <w:sz w:val="18"/>
        </w:rPr>
        <w:t>reﬁnance</w:t>
      </w:r>
      <w:r>
        <w:rPr>
          <w:i/>
          <w:spacing w:val="-10"/>
          <w:w w:val="105"/>
          <w:sz w:val="18"/>
        </w:rPr>
        <w:t> </w:t>
      </w:r>
      <w:r>
        <w:rPr>
          <w:i/>
          <w:w w:val="105"/>
          <w:sz w:val="18"/>
        </w:rPr>
        <w:t>maturing debts</w:t>
      </w:r>
      <w:r>
        <w:rPr>
          <w:i/>
          <w:spacing w:val="-4"/>
          <w:w w:val="105"/>
          <w:sz w:val="18"/>
        </w:rPr>
        <w:t> </w:t>
      </w:r>
      <w:r>
        <w:rPr>
          <w:i/>
          <w:w w:val="105"/>
          <w:sz w:val="18"/>
        </w:rPr>
        <w:t>(see</w:t>
      </w:r>
      <w:r>
        <w:rPr>
          <w:i/>
          <w:spacing w:val="-4"/>
          <w:w w:val="105"/>
          <w:sz w:val="18"/>
        </w:rPr>
        <w:t> </w:t>
      </w:r>
      <w:r>
        <w:rPr>
          <w:i/>
          <w:w w:val="105"/>
          <w:sz w:val="18"/>
        </w:rPr>
        <w:t>Box</w:t>
      </w:r>
      <w:r>
        <w:rPr>
          <w:i/>
          <w:spacing w:val="-4"/>
          <w:w w:val="105"/>
          <w:sz w:val="18"/>
        </w:rPr>
        <w:t> </w:t>
      </w:r>
      <w:r>
        <w:rPr>
          <w:i/>
          <w:w w:val="105"/>
          <w:sz w:val="18"/>
        </w:rPr>
        <w:t>2c</w:t>
      </w:r>
      <w:r>
        <w:rPr>
          <w:i/>
          <w:spacing w:val="-4"/>
          <w:w w:val="105"/>
          <w:sz w:val="18"/>
        </w:rPr>
        <w:t> </w:t>
      </w:r>
      <w:r>
        <w:rPr>
          <w:i/>
          <w:w w:val="105"/>
          <w:sz w:val="18"/>
        </w:rPr>
        <w:t>and</w:t>
      </w:r>
      <w:r>
        <w:rPr>
          <w:i/>
          <w:spacing w:val="-4"/>
          <w:w w:val="105"/>
          <w:sz w:val="18"/>
        </w:rPr>
        <w:t> </w:t>
      </w:r>
      <w:r>
        <w:rPr>
          <w:i/>
          <w:w w:val="105"/>
          <w:sz w:val="18"/>
        </w:rPr>
        <w:t>Section</w:t>
      </w:r>
      <w:r>
        <w:rPr>
          <w:i/>
          <w:spacing w:val="-4"/>
          <w:w w:val="105"/>
          <w:sz w:val="18"/>
        </w:rPr>
        <w:t> </w:t>
      </w:r>
      <w:r>
        <w:rPr>
          <w:i/>
          <w:w w:val="105"/>
          <w:sz w:val="18"/>
        </w:rPr>
        <w:t>A-3</w:t>
      </w:r>
      <w:r>
        <w:rPr>
          <w:i/>
          <w:spacing w:val="-4"/>
          <w:w w:val="105"/>
          <w:sz w:val="18"/>
        </w:rPr>
        <w:t> </w:t>
      </w:r>
      <w:r>
        <w:rPr>
          <w:i/>
          <w:w w:val="105"/>
          <w:sz w:val="18"/>
        </w:rPr>
        <w:t>in</w:t>
      </w:r>
      <w:r>
        <w:rPr>
          <w:i/>
          <w:spacing w:val="-4"/>
          <w:w w:val="105"/>
          <w:sz w:val="18"/>
        </w:rPr>
        <w:t> </w:t>
      </w:r>
      <w:r>
        <w:rPr>
          <w:i/>
          <w:w w:val="105"/>
          <w:sz w:val="18"/>
        </w:rPr>
        <w:t>the</w:t>
      </w:r>
      <w:r>
        <w:rPr>
          <w:i/>
          <w:spacing w:val="-4"/>
          <w:w w:val="105"/>
          <w:sz w:val="18"/>
        </w:rPr>
        <w:t> </w:t>
      </w:r>
      <w:r>
        <w:rPr>
          <w:i/>
          <w:w w:val="105"/>
          <w:sz w:val="18"/>
        </w:rPr>
        <w:t>Appendix).</w:t>
      </w:r>
    </w:p>
    <w:p>
      <w:pPr>
        <w:pStyle w:val="BodyText"/>
        <w:rPr>
          <w:i/>
          <w:sz w:val="18"/>
        </w:rPr>
      </w:pPr>
    </w:p>
    <w:p>
      <w:pPr>
        <w:spacing w:line="300" w:lineRule="auto" w:before="110"/>
        <w:ind w:left="760" w:right="767" w:firstLine="0"/>
        <w:jc w:val="left"/>
        <w:rPr>
          <w:sz w:val="20"/>
        </w:rPr>
      </w:pPr>
      <w:r>
        <w:rPr>
          <w:sz w:val="20"/>
        </w:rPr>
        <w:t>SAFE’s ﬁrst major investment came in December 2003, when it capitalized the Central Huijin </w:t>
      </w:r>
      <w:r>
        <w:rPr>
          <w:w w:val="105"/>
          <w:sz w:val="20"/>
        </w:rPr>
        <w:t>Investment</w:t>
      </w:r>
      <w:r>
        <w:rPr>
          <w:spacing w:val="-15"/>
          <w:w w:val="105"/>
          <w:sz w:val="20"/>
        </w:rPr>
        <w:t> </w:t>
      </w:r>
      <w:r>
        <w:rPr>
          <w:w w:val="105"/>
          <w:sz w:val="20"/>
        </w:rPr>
        <w:t>Corporation</w:t>
      </w:r>
      <w:r>
        <w:rPr>
          <w:spacing w:val="-15"/>
          <w:w w:val="105"/>
          <w:sz w:val="20"/>
        </w:rPr>
        <w:t> </w:t>
      </w:r>
      <w:r>
        <w:rPr>
          <w:w w:val="105"/>
          <w:sz w:val="20"/>
        </w:rPr>
        <w:t>(Central</w:t>
      </w:r>
      <w:r>
        <w:rPr>
          <w:spacing w:val="-14"/>
          <w:w w:val="105"/>
          <w:sz w:val="20"/>
        </w:rPr>
        <w:t> </w:t>
      </w:r>
      <w:r>
        <w:rPr>
          <w:w w:val="105"/>
          <w:sz w:val="20"/>
        </w:rPr>
        <w:t>Huijin)</w:t>
      </w:r>
      <w:r>
        <w:rPr>
          <w:spacing w:val="-15"/>
          <w:w w:val="105"/>
          <w:sz w:val="20"/>
        </w:rPr>
        <w:t> </w:t>
      </w:r>
      <w:r>
        <w:rPr>
          <w:w w:val="105"/>
          <w:sz w:val="20"/>
        </w:rPr>
        <w:t>with</w:t>
      </w:r>
      <w:r>
        <w:rPr>
          <w:spacing w:val="-14"/>
          <w:w w:val="105"/>
          <w:sz w:val="20"/>
        </w:rPr>
        <w:t> </w:t>
      </w:r>
      <w:r>
        <w:rPr>
          <w:w w:val="105"/>
          <w:sz w:val="20"/>
        </w:rPr>
        <w:t>$45</w:t>
      </w:r>
      <w:r>
        <w:rPr>
          <w:spacing w:val="-15"/>
          <w:w w:val="105"/>
          <w:sz w:val="20"/>
        </w:rPr>
        <w:t> </w:t>
      </w:r>
      <w:r>
        <w:rPr>
          <w:w w:val="105"/>
          <w:sz w:val="20"/>
        </w:rPr>
        <w:t>billion,</w:t>
      </w:r>
      <w:r>
        <w:rPr>
          <w:spacing w:val="-15"/>
          <w:w w:val="105"/>
          <w:sz w:val="20"/>
        </w:rPr>
        <w:t> </w:t>
      </w:r>
      <w:r>
        <w:rPr>
          <w:w w:val="105"/>
          <w:sz w:val="20"/>
        </w:rPr>
        <w:t>which</w:t>
      </w:r>
      <w:r>
        <w:rPr>
          <w:spacing w:val="-14"/>
          <w:w w:val="105"/>
          <w:sz w:val="20"/>
        </w:rPr>
        <w:t> </w:t>
      </w:r>
      <w:r>
        <w:rPr>
          <w:w w:val="105"/>
          <w:sz w:val="20"/>
        </w:rPr>
        <w:t>in</w:t>
      </w:r>
      <w:r>
        <w:rPr>
          <w:spacing w:val="-15"/>
          <w:w w:val="105"/>
          <w:sz w:val="20"/>
        </w:rPr>
        <w:t> </w:t>
      </w:r>
      <w:r>
        <w:rPr>
          <w:w w:val="105"/>
          <w:sz w:val="20"/>
        </w:rPr>
        <w:t>turn</w:t>
      </w:r>
      <w:r>
        <w:rPr>
          <w:spacing w:val="-14"/>
          <w:w w:val="105"/>
          <w:sz w:val="20"/>
        </w:rPr>
        <w:t> </w:t>
      </w:r>
      <w:r>
        <w:rPr>
          <w:w w:val="105"/>
          <w:sz w:val="20"/>
        </w:rPr>
        <w:t>bought</w:t>
      </w:r>
      <w:r>
        <w:rPr>
          <w:spacing w:val="-15"/>
          <w:w w:val="105"/>
          <w:sz w:val="20"/>
        </w:rPr>
        <w:t> </w:t>
      </w:r>
      <w:r>
        <w:rPr>
          <w:w w:val="105"/>
          <w:sz w:val="20"/>
        </w:rPr>
        <w:t>equity</w:t>
      </w:r>
      <w:r>
        <w:rPr>
          <w:spacing w:val="-15"/>
          <w:w w:val="105"/>
          <w:sz w:val="20"/>
        </w:rPr>
        <w:t> </w:t>
      </w:r>
      <w:r>
        <w:rPr>
          <w:w w:val="105"/>
          <w:sz w:val="20"/>
        </w:rPr>
        <w:t>stakes</w:t>
      </w:r>
      <w:r>
        <w:rPr>
          <w:spacing w:val="-14"/>
          <w:w w:val="105"/>
          <w:sz w:val="20"/>
        </w:rPr>
        <w:t> </w:t>
      </w:r>
      <w:r>
        <w:rPr>
          <w:w w:val="105"/>
          <w:sz w:val="20"/>
        </w:rPr>
        <w:t>in</w:t>
      </w:r>
      <w:r>
        <w:rPr>
          <w:w w:val="105"/>
          <w:sz w:val="20"/>
        </w:rPr>
        <w:t> </w:t>
      </w:r>
      <w:r>
        <w:rPr>
          <w:sz w:val="20"/>
        </w:rPr>
        <w:t>two state-owned commercial banks: Bank of China ($22.5 billion) and China Construction Bank </w:t>
      </w:r>
      <w:r>
        <w:rPr>
          <w:w w:val="105"/>
          <w:sz w:val="20"/>
        </w:rPr>
        <w:t>($22.5</w:t>
      </w:r>
      <w:r>
        <w:rPr>
          <w:spacing w:val="-15"/>
          <w:w w:val="105"/>
          <w:sz w:val="20"/>
        </w:rPr>
        <w:t> </w:t>
      </w:r>
      <w:r>
        <w:rPr>
          <w:w w:val="105"/>
          <w:sz w:val="20"/>
        </w:rPr>
        <w:t>billion).</w:t>
      </w:r>
      <w:r>
        <w:rPr>
          <w:spacing w:val="-15"/>
          <w:w w:val="105"/>
          <w:sz w:val="20"/>
        </w:rPr>
        <w:t> </w:t>
      </w:r>
      <w:r>
        <w:rPr>
          <w:w w:val="105"/>
          <w:sz w:val="20"/>
        </w:rPr>
        <w:t>In</w:t>
      </w:r>
      <w:r>
        <w:rPr>
          <w:spacing w:val="-14"/>
          <w:w w:val="105"/>
          <w:sz w:val="20"/>
        </w:rPr>
        <w:t> </w:t>
      </w:r>
      <w:r>
        <w:rPr>
          <w:w w:val="105"/>
          <w:sz w:val="20"/>
        </w:rPr>
        <w:t>April</w:t>
      </w:r>
      <w:r>
        <w:rPr>
          <w:spacing w:val="-15"/>
          <w:w w:val="105"/>
          <w:sz w:val="20"/>
        </w:rPr>
        <w:t> </w:t>
      </w:r>
      <w:r>
        <w:rPr>
          <w:w w:val="105"/>
          <w:sz w:val="20"/>
        </w:rPr>
        <w:t>2005,</w:t>
      </w:r>
      <w:r>
        <w:rPr>
          <w:spacing w:val="-14"/>
          <w:w w:val="105"/>
          <w:sz w:val="20"/>
        </w:rPr>
        <w:t> </w:t>
      </w:r>
      <w:r>
        <w:rPr>
          <w:w w:val="105"/>
          <w:sz w:val="20"/>
        </w:rPr>
        <w:t>Central</w:t>
      </w:r>
      <w:r>
        <w:rPr>
          <w:spacing w:val="-15"/>
          <w:w w:val="105"/>
          <w:sz w:val="20"/>
        </w:rPr>
        <w:t> </w:t>
      </w:r>
      <w:r>
        <w:rPr>
          <w:w w:val="105"/>
          <w:sz w:val="20"/>
        </w:rPr>
        <w:t>Huijin</w:t>
      </w:r>
      <w:r>
        <w:rPr>
          <w:spacing w:val="-15"/>
          <w:w w:val="105"/>
          <w:sz w:val="20"/>
        </w:rPr>
        <w:t> </w:t>
      </w:r>
      <w:r>
        <w:rPr>
          <w:w w:val="105"/>
          <w:sz w:val="20"/>
        </w:rPr>
        <w:t>also</w:t>
      </w:r>
      <w:r>
        <w:rPr>
          <w:spacing w:val="-14"/>
          <w:w w:val="105"/>
          <w:sz w:val="20"/>
        </w:rPr>
        <w:t> </w:t>
      </w:r>
      <w:r>
        <w:rPr>
          <w:w w:val="105"/>
          <w:sz w:val="20"/>
        </w:rPr>
        <w:t>bought</w:t>
      </w:r>
      <w:r>
        <w:rPr>
          <w:spacing w:val="-15"/>
          <w:w w:val="105"/>
          <w:sz w:val="20"/>
        </w:rPr>
        <w:t> </w:t>
      </w:r>
      <w:r>
        <w:rPr>
          <w:w w:val="105"/>
          <w:sz w:val="20"/>
        </w:rPr>
        <w:t>an</w:t>
      </w:r>
      <w:r>
        <w:rPr>
          <w:spacing w:val="-14"/>
          <w:w w:val="105"/>
          <w:sz w:val="20"/>
        </w:rPr>
        <w:t> </w:t>
      </w:r>
      <w:r>
        <w:rPr>
          <w:w w:val="105"/>
          <w:sz w:val="20"/>
        </w:rPr>
        <w:t>equity</w:t>
      </w:r>
      <w:r>
        <w:rPr>
          <w:spacing w:val="-15"/>
          <w:w w:val="105"/>
          <w:sz w:val="20"/>
        </w:rPr>
        <w:t> </w:t>
      </w:r>
      <w:r>
        <w:rPr>
          <w:w w:val="105"/>
          <w:sz w:val="20"/>
        </w:rPr>
        <w:t>stake</w:t>
      </w:r>
      <w:r>
        <w:rPr>
          <w:spacing w:val="-15"/>
          <w:w w:val="105"/>
          <w:sz w:val="20"/>
        </w:rPr>
        <w:t> </w:t>
      </w:r>
      <w:r>
        <w:rPr>
          <w:w w:val="105"/>
          <w:sz w:val="20"/>
        </w:rPr>
        <w:t>in</w:t>
      </w:r>
      <w:r>
        <w:rPr>
          <w:spacing w:val="-14"/>
          <w:w w:val="105"/>
          <w:sz w:val="20"/>
        </w:rPr>
        <w:t> </w:t>
      </w:r>
      <w:r>
        <w:rPr>
          <w:w w:val="105"/>
          <w:sz w:val="20"/>
        </w:rPr>
        <w:t>ICBC</w:t>
      </w:r>
      <w:r>
        <w:rPr>
          <w:spacing w:val="-15"/>
          <w:w w:val="105"/>
          <w:sz w:val="20"/>
        </w:rPr>
        <w:t> </w:t>
      </w:r>
      <w:r>
        <w:rPr>
          <w:w w:val="105"/>
          <w:sz w:val="20"/>
        </w:rPr>
        <w:t>for</w:t>
      </w:r>
      <w:r>
        <w:rPr>
          <w:spacing w:val="-14"/>
          <w:w w:val="105"/>
          <w:sz w:val="20"/>
        </w:rPr>
        <w:t> </w:t>
      </w:r>
      <w:r>
        <w:rPr>
          <w:w w:val="105"/>
          <w:sz w:val="20"/>
        </w:rPr>
        <w:t>$15</w:t>
      </w:r>
      <w:r>
        <w:rPr>
          <w:spacing w:val="-15"/>
          <w:w w:val="105"/>
          <w:sz w:val="20"/>
        </w:rPr>
        <w:t> </w:t>
      </w:r>
      <w:r>
        <w:rPr>
          <w:w w:val="105"/>
          <w:sz w:val="20"/>
        </w:rPr>
        <w:t>billion. </w:t>
      </w:r>
      <w:r>
        <w:rPr>
          <w:spacing w:val="-2"/>
          <w:w w:val="105"/>
          <w:sz w:val="20"/>
        </w:rPr>
        <w:t>SAFE</w:t>
      </w:r>
      <w:r>
        <w:rPr>
          <w:spacing w:val="-12"/>
          <w:w w:val="105"/>
          <w:sz w:val="20"/>
        </w:rPr>
        <w:t> </w:t>
      </w:r>
      <w:r>
        <w:rPr>
          <w:spacing w:val="-2"/>
          <w:w w:val="105"/>
          <w:sz w:val="20"/>
        </w:rPr>
        <w:t>injected</w:t>
      </w:r>
      <w:r>
        <w:rPr>
          <w:spacing w:val="-12"/>
          <w:w w:val="105"/>
          <w:sz w:val="20"/>
        </w:rPr>
        <w:t> </w:t>
      </w:r>
      <w:r>
        <w:rPr>
          <w:spacing w:val="-2"/>
          <w:w w:val="105"/>
          <w:sz w:val="20"/>
        </w:rPr>
        <w:t>an</w:t>
      </w:r>
      <w:r>
        <w:rPr>
          <w:spacing w:val="-12"/>
          <w:w w:val="105"/>
          <w:sz w:val="20"/>
        </w:rPr>
        <w:t> </w:t>
      </w:r>
      <w:r>
        <w:rPr>
          <w:spacing w:val="-2"/>
          <w:w w:val="105"/>
          <w:sz w:val="20"/>
        </w:rPr>
        <w:t>additional</w:t>
      </w:r>
      <w:r>
        <w:rPr>
          <w:spacing w:val="-11"/>
          <w:w w:val="105"/>
          <w:sz w:val="20"/>
        </w:rPr>
        <w:t> </w:t>
      </w:r>
      <w:r>
        <w:rPr>
          <w:spacing w:val="-2"/>
          <w:w w:val="105"/>
          <w:sz w:val="20"/>
        </w:rPr>
        <w:t>$150</w:t>
      </w:r>
      <w:r>
        <w:rPr>
          <w:spacing w:val="-12"/>
          <w:w w:val="105"/>
          <w:sz w:val="20"/>
        </w:rPr>
        <w:t> </w:t>
      </w:r>
      <w:r>
        <w:rPr>
          <w:spacing w:val="-2"/>
          <w:w w:val="105"/>
          <w:sz w:val="20"/>
        </w:rPr>
        <w:t>billion</w:t>
      </w:r>
      <w:r>
        <w:rPr>
          <w:spacing w:val="-12"/>
          <w:w w:val="105"/>
          <w:sz w:val="20"/>
        </w:rPr>
        <w:t> </w:t>
      </w:r>
      <w:r>
        <w:rPr>
          <w:spacing w:val="-2"/>
          <w:w w:val="105"/>
          <w:sz w:val="20"/>
        </w:rPr>
        <w:t>into</w:t>
      </w:r>
      <w:r>
        <w:rPr>
          <w:spacing w:val="-12"/>
          <w:w w:val="105"/>
          <w:sz w:val="20"/>
        </w:rPr>
        <w:t> </w:t>
      </w:r>
      <w:r>
        <w:rPr>
          <w:spacing w:val="-2"/>
          <w:w w:val="105"/>
          <w:sz w:val="20"/>
        </w:rPr>
        <w:t>China’s</w:t>
      </w:r>
      <w:r>
        <w:rPr>
          <w:spacing w:val="-12"/>
          <w:w w:val="105"/>
          <w:sz w:val="20"/>
        </w:rPr>
        <w:t> </w:t>
      </w:r>
      <w:r>
        <w:rPr>
          <w:spacing w:val="-2"/>
          <w:w w:val="105"/>
          <w:sz w:val="20"/>
        </w:rPr>
        <w:t>state-owned</w:t>
      </w:r>
      <w:r>
        <w:rPr>
          <w:spacing w:val="-12"/>
          <w:w w:val="105"/>
          <w:sz w:val="20"/>
        </w:rPr>
        <w:t> </w:t>
      </w:r>
      <w:r>
        <w:rPr>
          <w:spacing w:val="-2"/>
          <w:w w:val="105"/>
          <w:sz w:val="20"/>
        </w:rPr>
        <w:t>commercial</w:t>
      </w:r>
      <w:r>
        <w:rPr>
          <w:spacing w:val="-11"/>
          <w:w w:val="105"/>
          <w:sz w:val="20"/>
        </w:rPr>
        <w:t> </w:t>
      </w:r>
      <w:r>
        <w:rPr>
          <w:spacing w:val="-2"/>
          <w:w w:val="105"/>
          <w:sz w:val="20"/>
        </w:rPr>
        <w:t>banks—by </w:t>
      </w:r>
      <w:r>
        <w:rPr>
          <w:sz w:val="20"/>
        </w:rPr>
        <w:t>swapping USD for RMB held by the banks—in late 2005 and 2006.</w:t>
      </w:r>
      <w:r>
        <w:rPr>
          <w:sz w:val="20"/>
          <w:vertAlign w:val="superscript"/>
        </w:rPr>
        <w:t>113</w:t>
      </w:r>
      <w:r>
        <w:rPr>
          <w:sz w:val="20"/>
          <w:vertAlign w:val="baseline"/>
        </w:rPr>
        <w:t> The ﬁrst known </w:t>
      </w:r>
      <w:r>
        <w:rPr>
          <w:spacing w:val="-2"/>
          <w:w w:val="105"/>
          <w:sz w:val="20"/>
          <w:vertAlign w:val="baseline"/>
        </w:rPr>
        <w:t>recapitalization</w:t>
      </w:r>
      <w:r>
        <w:rPr>
          <w:spacing w:val="-9"/>
          <w:w w:val="105"/>
          <w:sz w:val="20"/>
          <w:vertAlign w:val="baseline"/>
        </w:rPr>
        <w:t> </w:t>
      </w:r>
      <w:r>
        <w:rPr>
          <w:spacing w:val="-2"/>
          <w:w w:val="105"/>
          <w:sz w:val="20"/>
          <w:vertAlign w:val="baseline"/>
        </w:rPr>
        <w:t>of</w:t>
      </w:r>
      <w:r>
        <w:rPr>
          <w:spacing w:val="-9"/>
          <w:w w:val="105"/>
          <w:sz w:val="20"/>
          <w:vertAlign w:val="baseline"/>
        </w:rPr>
        <w:t> </w:t>
      </w:r>
      <w:r>
        <w:rPr>
          <w:spacing w:val="-2"/>
          <w:w w:val="105"/>
          <w:sz w:val="20"/>
          <w:vertAlign w:val="baseline"/>
        </w:rPr>
        <w:t>a</w:t>
      </w:r>
      <w:r>
        <w:rPr>
          <w:spacing w:val="-9"/>
          <w:w w:val="105"/>
          <w:sz w:val="20"/>
          <w:vertAlign w:val="baseline"/>
        </w:rPr>
        <w:t> </w:t>
      </w:r>
      <w:r>
        <w:rPr>
          <w:spacing w:val="-2"/>
          <w:w w:val="105"/>
          <w:sz w:val="20"/>
          <w:vertAlign w:val="baseline"/>
        </w:rPr>
        <w:t>state-owned</w:t>
      </w:r>
      <w:r>
        <w:rPr>
          <w:spacing w:val="-9"/>
          <w:w w:val="105"/>
          <w:sz w:val="20"/>
          <w:vertAlign w:val="baseline"/>
        </w:rPr>
        <w:t> </w:t>
      </w:r>
      <w:r>
        <w:rPr>
          <w:spacing w:val="-2"/>
          <w:w w:val="105"/>
          <w:sz w:val="20"/>
          <w:vertAlign w:val="baseline"/>
        </w:rPr>
        <w:t>policy</w:t>
      </w:r>
      <w:r>
        <w:rPr>
          <w:spacing w:val="-9"/>
          <w:w w:val="105"/>
          <w:sz w:val="20"/>
          <w:vertAlign w:val="baseline"/>
        </w:rPr>
        <w:t> </w:t>
      </w:r>
      <w:r>
        <w:rPr>
          <w:spacing w:val="-2"/>
          <w:w w:val="105"/>
          <w:sz w:val="20"/>
          <w:vertAlign w:val="baseline"/>
        </w:rPr>
        <w:t>bank</w:t>
      </w:r>
      <w:r>
        <w:rPr>
          <w:spacing w:val="-9"/>
          <w:w w:val="105"/>
          <w:sz w:val="20"/>
          <w:vertAlign w:val="baseline"/>
        </w:rPr>
        <w:t> </w:t>
      </w:r>
      <w:r>
        <w:rPr>
          <w:spacing w:val="-2"/>
          <w:w w:val="105"/>
          <w:sz w:val="20"/>
          <w:vertAlign w:val="baseline"/>
        </w:rPr>
        <w:t>came</w:t>
      </w:r>
      <w:r>
        <w:rPr>
          <w:spacing w:val="-9"/>
          <w:w w:val="105"/>
          <w:sz w:val="20"/>
          <w:vertAlign w:val="baseline"/>
        </w:rPr>
        <w:t> </w:t>
      </w:r>
      <w:r>
        <w:rPr>
          <w:spacing w:val="-2"/>
          <w:w w:val="105"/>
          <w:sz w:val="20"/>
          <w:vertAlign w:val="baseline"/>
        </w:rPr>
        <w:t>in</w:t>
      </w:r>
      <w:r>
        <w:rPr>
          <w:spacing w:val="-9"/>
          <w:w w:val="105"/>
          <w:sz w:val="20"/>
          <w:vertAlign w:val="baseline"/>
        </w:rPr>
        <w:t> </w:t>
      </w:r>
      <w:r>
        <w:rPr>
          <w:spacing w:val="-2"/>
          <w:w w:val="105"/>
          <w:sz w:val="20"/>
          <w:vertAlign w:val="baseline"/>
        </w:rPr>
        <w:t>July</w:t>
      </w:r>
      <w:r>
        <w:rPr>
          <w:spacing w:val="-9"/>
          <w:w w:val="105"/>
          <w:sz w:val="20"/>
          <w:vertAlign w:val="baseline"/>
        </w:rPr>
        <w:t> </w:t>
      </w:r>
      <w:r>
        <w:rPr>
          <w:spacing w:val="-2"/>
          <w:w w:val="105"/>
          <w:sz w:val="20"/>
          <w:vertAlign w:val="baseline"/>
        </w:rPr>
        <w:t>2005,</w:t>
      </w:r>
      <w:r>
        <w:rPr>
          <w:spacing w:val="-9"/>
          <w:w w:val="105"/>
          <w:sz w:val="20"/>
          <w:vertAlign w:val="baseline"/>
        </w:rPr>
        <w:t> </w:t>
      </w:r>
      <w:r>
        <w:rPr>
          <w:spacing w:val="-2"/>
          <w:w w:val="105"/>
          <w:sz w:val="20"/>
          <w:vertAlign w:val="baseline"/>
        </w:rPr>
        <w:t>when</w:t>
      </w:r>
      <w:r>
        <w:rPr>
          <w:spacing w:val="-9"/>
          <w:w w:val="105"/>
          <w:sz w:val="20"/>
          <w:vertAlign w:val="baseline"/>
        </w:rPr>
        <w:t> </w:t>
      </w:r>
      <w:r>
        <w:rPr>
          <w:spacing w:val="-2"/>
          <w:w w:val="105"/>
          <w:sz w:val="20"/>
          <w:vertAlign w:val="baseline"/>
        </w:rPr>
        <w:t>SAFE</w:t>
      </w:r>
      <w:r>
        <w:rPr>
          <w:spacing w:val="-9"/>
          <w:w w:val="105"/>
          <w:sz w:val="20"/>
          <w:vertAlign w:val="baseline"/>
        </w:rPr>
        <w:t> </w:t>
      </w:r>
      <w:r>
        <w:rPr>
          <w:spacing w:val="-2"/>
          <w:w w:val="105"/>
          <w:sz w:val="20"/>
          <w:vertAlign w:val="baseline"/>
        </w:rPr>
        <w:t>injected</w:t>
      </w:r>
      <w:r>
        <w:rPr>
          <w:spacing w:val="-9"/>
          <w:w w:val="105"/>
          <w:sz w:val="20"/>
          <w:vertAlign w:val="baseline"/>
        </w:rPr>
        <w:t> </w:t>
      </w:r>
      <w:r>
        <w:rPr>
          <w:spacing w:val="-2"/>
          <w:w w:val="105"/>
          <w:sz w:val="20"/>
          <w:vertAlign w:val="baseline"/>
        </w:rPr>
        <w:t>$5</w:t>
      </w:r>
      <w:r>
        <w:rPr>
          <w:spacing w:val="-9"/>
          <w:w w:val="105"/>
          <w:sz w:val="20"/>
          <w:vertAlign w:val="baseline"/>
        </w:rPr>
        <w:t> </w:t>
      </w:r>
      <w:r>
        <w:rPr>
          <w:spacing w:val="-2"/>
          <w:w w:val="105"/>
          <w:sz w:val="20"/>
          <w:vertAlign w:val="baseline"/>
        </w:rPr>
        <w:t>billion </w:t>
      </w:r>
      <w:r>
        <w:rPr>
          <w:sz w:val="20"/>
          <w:vertAlign w:val="baseline"/>
        </w:rPr>
        <w:t>into China Eximbank. Then, in December 2007, Central Huijin—a wholly-owned subsidiary of </w:t>
      </w:r>
      <w:r>
        <w:rPr>
          <w:spacing w:val="-2"/>
          <w:w w:val="105"/>
          <w:sz w:val="20"/>
          <w:vertAlign w:val="baseline"/>
        </w:rPr>
        <w:t>SAFE—injected</w:t>
      </w:r>
      <w:r>
        <w:rPr>
          <w:spacing w:val="-9"/>
          <w:w w:val="105"/>
          <w:sz w:val="20"/>
          <w:vertAlign w:val="baseline"/>
        </w:rPr>
        <w:t> </w:t>
      </w:r>
      <w:r>
        <w:rPr>
          <w:spacing w:val="-2"/>
          <w:w w:val="105"/>
          <w:sz w:val="20"/>
          <w:vertAlign w:val="baseline"/>
        </w:rPr>
        <w:t>$20</w:t>
      </w:r>
      <w:r>
        <w:rPr>
          <w:spacing w:val="-9"/>
          <w:w w:val="105"/>
          <w:sz w:val="20"/>
          <w:vertAlign w:val="baseline"/>
        </w:rPr>
        <w:t> </w:t>
      </w:r>
      <w:r>
        <w:rPr>
          <w:spacing w:val="-2"/>
          <w:w w:val="105"/>
          <w:sz w:val="20"/>
          <w:vertAlign w:val="baseline"/>
        </w:rPr>
        <w:t>billion</w:t>
      </w:r>
      <w:r>
        <w:rPr>
          <w:spacing w:val="-9"/>
          <w:w w:val="105"/>
          <w:sz w:val="20"/>
          <w:vertAlign w:val="baseline"/>
        </w:rPr>
        <w:t> </w:t>
      </w:r>
      <w:r>
        <w:rPr>
          <w:spacing w:val="-2"/>
          <w:w w:val="105"/>
          <w:sz w:val="20"/>
          <w:vertAlign w:val="baseline"/>
        </w:rPr>
        <w:t>into</w:t>
      </w:r>
      <w:r>
        <w:rPr>
          <w:spacing w:val="-9"/>
          <w:w w:val="105"/>
          <w:sz w:val="20"/>
          <w:vertAlign w:val="baseline"/>
        </w:rPr>
        <w:t> </w:t>
      </w:r>
      <w:r>
        <w:rPr>
          <w:spacing w:val="-2"/>
          <w:w w:val="105"/>
          <w:sz w:val="20"/>
          <w:vertAlign w:val="baseline"/>
        </w:rPr>
        <w:t>CDB.</w:t>
      </w:r>
      <w:r>
        <w:rPr>
          <w:spacing w:val="-9"/>
          <w:w w:val="105"/>
          <w:sz w:val="20"/>
          <w:vertAlign w:val="baseline"/>
        </w:rPr>
        <w:t> </w:t>
      </w:r>
      <w:r>
        <w:rPr>
          <w:spacing w:val="-2"/>
          <w:w w:val="105"/>
          <w:sz w:val="20"/>
          <w:vertAlign w:val="baseline"/>
        </w:rPr>
        <w:t>Six</w:t>
      </w:r>
      <w:r>
        <w:rPr>
          <w:spacing w:val="-9"/>
          <w:w w:val="105"/>
          <w:sz w:val="20"/>
          <w:vertAlign w:val="baseline"/>
        </w:rPr>
        <w:t> </w:t>
      </w:r>
      <w:r>
        <w:rPr>
          <w:spacing w:val="-2"/>
          <w:w w:val="105"/>
          <w:sz w:val="20"/>
          <w:vertAlign w:val="baseline"/>
        </w:rPr>
        <w:t>months</w:t>
      </w:r>
      <w:r>
        <w:rPr>
          <w:spacing w:val="-9"/>
          <w:w w:val="105"/>
          <w:sz w:val="20"/>
          <w:vertAlign w:val="baseline"/>
        </w:rPr>
        <w:t> </w:t>
      </w:r>
      <w:r>
        <w:rPr>
          <w:spacing w:val="-2"/>
          <w:w w:val="105"/>
          <w:sz w:val="20"/>
          <w:vertAlign w:val="baseline"/>
        </w:rPr>
        <w:t>later,</w:t>
      </w:r>
      <w:r>
        <w:rPr>
          <w:spacing w:val="-9"/>
          <w:w w:val="105"/>
          <w:sz w:val="20"/>
          <w:vertAlign w:val="baseline"/>
        </w:rPr>
        <w:t> </w:t>
      </w:r>
      <w:r>
        <w:rPr>
          <w:spacing w:val="-2"/>
          <w:w w:val="105"/>
          <w:sz w:val="20"/>
          <w:vertAlign w:val="baseline"/>
        </w:rPr>
        <w:t>SAFE</w:t>
      </w:r>
      <w:r>
        <w:rPr>
          <w:spacing w:val="-9"/>
          <w:w w:val="105"/>
          <w:sz w:val="20"/>
          <w:vertAlign w:val="baseline"/>
        </w:rPr>
        <w:t> </w:t>
      </w:r>
      <w:r>
        <w:rPr>
          <w:spacing w:val="-2"/>
          <w:w w:val="105"/>
          <w:sz w:val="20"/>
          <w:vertAlign w:val="baseline"/>
        </w:rPr>
        <w:t>agreed</w:t>
      </w:r>
      <w:r>
        <w:rPr>
          <w:spacing w:val="-9"/>
          <w:w w:val="105"/>
          <w:sz w:val="20"/>
          <w:vertAlign w:val="baseline"/>
        </w:rPr>
        <w:t> </w:t>
      </w:r>
      <w:r>
        <w:rPr>
          <w:spacing w:val="-2"/>
          <w:w w:val="105"/>
          <w:sz w:val="20"/>
          <w:vertAlign w:val="baseline"/>
        </w:rPr>
        <w:t>to</w:t>
      </w:r>
      <w:r>
        <w:rPr>
          <w:spacing w:val="-9"/>
          <w:w w:val="105"/>
          <w:sz w:val="20"/>
          <w:vertAlign w:val="baseline"/>
        </w:rPr>
        <w:t> </w:t>
      </w:r>
      <w:r>
        <w:rPr>
          <w:spacing w:val="-2"/>
          <w:w w:val="105"/>
          <w:sz w:val="20"/>
          <w:vertAlign w:val="baseline"/>
        </w:rPr>
        <w:t>provide</w:t>
      </w:r>
      <w:r>
        <w:rPr>
          <w:spacing w:val="-9"/>
          <w:w w:val="105"/>
          <w:sz w:val="20"/>
          <w:vertAlign w:val="baseline"/>
        </w:rPr>
        <w:t> </w:t>
      </w:r>
      <w:r>
        <w:rPr>
          <w:spacing w:val="-2"/>
          <w:w w:val="105"/>
          <w:sz w:val="20"/>
          <w:vertAlign w:val="baseline"/>
        </w:rPr>
        <w:t>additional </w:t>
      </w:r>
      <w:r>
        <w:rPr>
          <w:sz w:val="20"/>
          <w:vertAlign w:val="baseline"/>
        </w:rPr>
        <w:t>funding (worth an estimated $166.5 billion) to CDB via entrusted loan agreements to support the overseas</w:t>
      </w:r>
      <w:r>
        <w:rPr>
          <w:spacing w:val="-3"/>
          <w:sz w:val="20"/>
          <w:vertAlign w:val="baseline"/>
        </w:rPr>
        <w:t> </w:t>
      </w:r>
      <w:r>
        <w:rPr>
          <w:sz w:val="20"/>
          <w:vertAlign w:val="baseline"/>
        </w:rPr>
        <w:t>activities</w:t>
      </w:r>
      <w:r>
        <w:rPr>
          <w:spacing w:val="-3"/>
          <w:sz w:val="20"/>
          <w:vertAlign w:val="baseline"/>
        </w:rPr>
        <w:t> </w:t>
      </w:r>
      <w:r>
        <w:rPr>
          <w:sz w:val="20"/>
          <w:vertAlign w:val="baseline"/>
        </w:rPr>
        <w:t>of</w:t>
      </w:r>
      <w:r>
        <w:rPr>
          <w:spacing w:val="-3"/>
          <w:sz w:val="20"/>
          <w:vertAlign w:val="baseline"/>
        </w:rPr>
        <w:t> </w:t>
      </w:r>
      <w:r>
        <w:rPr>
          <w:sz w:val="20"/>
          <w:vertAlign w:val="baseline"/>
        </w:rPr>
        <w:t>Chinese</w:t>
      </w:r>
      <w:r>
        <w:rPr>
          <w:spacing w:val="-3"/>
          <w:sz w:val="20"/>
          <w:vertAlign w:val="baseline"/>
        </w:rPr>
        <w:t> </w:t>
      </w:r>
      <w:r>
        <w:rPr>
          <w:sz w:val="20"/>
          <w:vertAlign w:val="baseline"/>
        </w:rPr>
        <w:t>companies.</w:t>
      </w:r>
      <w:r>
        <w:rPr>
          <w:sz w:val="20"/>
          <w:vertAlign w:val="superscript"/>
        </w:rPr>
        <w:t>114</w:t>
      </w:r>
      <w:r>
        <w:rPr>
          <w:spacing w:val="-2"/>
          <w:sz w:val="20"/>
          <w:vertAlign w:val="baseline"/>
        </w:rPr>
        <w:t> </w:t>
      </w:r>
      <w:r>
        <w:rPr>
          <w:sz w:val="20"/>
          <w:vertAlign w:val="baseline"/>
        </w:rPr>
        <w:t>Under</w:t>
      </w:r>
      <w:r>
        <w:rPr>
          <w:spacing w:val="-3"/>
          <w:sz w:val="20"/>
          <w:vertAlign w:val="baseline"/>
        </w:rPr>
        <w:t> </w:t>
      </w:r>
      <w:r>
        <w:rPr>
          <w:sz w:val="20"/>
          <w:vertAlign w:val="baseline"/>
        </w:rPr>
        <w:t>these</w:t>
      </w:r>
      <w:r>
        <w:rPr>
          <w:spacing w:val="-3"/>
          <w:sz w:val="20"/>
          <w:vertAlign w:val="baseline"/>
        </w:rPr>
        <w:t> </w:t>
      </w:r>
      <w:r>
        <w:rPr>
          <w:sz w:val="20"/>
          <w:vertAlign w:val="baseline"/>
        </w:rPr>
        <w:t>agreements,</w:t>
      </w:r>
      <w:r>
        <w:rPr>
          <w:spacing w:val="-3"/>
          <w:sz w:val="20"/>
          <w:vertAlign w:val="baseline"/>
        </w:rPr>
        <w:t> </w:t>
      </w:r>
      <w:r>
        <w:rPr>
          <w:sz w:val="20"/>
          <w:vertAlign w:val="baseline"/>
        </w:rPr>
        <w:t>CDB</w:t>
      </w:r>
      <w:r>
        <w:rPr>
          <w:spacing w:val="-3"/>
          <w:sz w:val="20"/>
          <w:vertAlign w:val="baseline"/>
        </w:rPr>
        <w:t> </w:t>
      </w:r>
      <w:r>
        <w:rPr>
          <w:sz w:val="20"/>
          <w:vertAlign w:val="baseline"/>
        </w:rPr>
        <w:t>acted</w:t>
      </w:r>
      <w:r>
        <w:rPr>
          <w:spacing w:val="-3"/>
          <w:sz w:val="20"/>
          <w:vertAlign w:val="baseline"/>
        </w:rPr>
        <w:t> </w:t>
      </w:r>
      <w:r>
        <w:rPr>
          <w:sz w:val="20"/>
          <w:vertAlign w:val="baseline"/>
        </w:rPr>
        <w:t>as</w:t>
      </w:r>
      <w:r>
        <w:rPr>
          <w:spacing w:val="-3"/>
          <w:sz w:val="20"/>
          <w:vertAlign w:val="baseline"/>
        </w:rPr>
        <w:t> </w:t>
      </w:r>
      <w:r>
        <w:rPr>
          <w:sz w:val="20"/>
          <w:vertAlign w:val="baseline"/>
        </w:rPr>
        <w:t>a</w:t>
      </w:r>
      <w:r>
        <w:rPr>
          <w:spacing w:val="-3"/>
          <w:sz w:val="20"/>
          <w:vertAlign w:val="baseline"/>
        </w:rPr>
        <w:t> </w:t>
      </w:r>
      <w:r>
        <w:rPr>
          <w:sz w:val="20"/>
          <w:vertAlign w:val="baseline"/>
        </w:rPr>
        <w:t>custodian </w:t>
      </w:r>
      <w:r>
        <w:rPr>
          <w:spacing w:val="-2"/>
          <w:w w:val="105"/>
          <w:sz w:val="20"/>
          <w:vertAlign w:val="baseline"/>
        </w:rPr>
        <w:t>of</w:t>
      </w:r>
      <w:r>
        <w:rPr>
          <w:spacing w:val="-10"/>
          <w:w w:val="105"/>
          <w:sz w:val="20"/>
          <w:vertAlign w:val="baseline"/>
        </w:rPr>
        <w:t> </w:t>
      </w:r>
      <w:r>
        <w:rPr>
          <w:spacing w:val="-2"/>
          <w:w w:val="105"/>
          <w:sz w:val="20"/>
          <w:vertAlign w:val="baseline"/>
        </w:rPr>
        <w:t>funds</w:t>
      </w:r>
      <w:r>
        <w:rPr>
          <w:spacing w:val="-10"/>
          <w:w w:val="105"/>
          <w:sz w:val="20"/>
          <w:vertAlign w:val="baseline"/>
        </w:rPr>
        <w:t> </w:t>
      </w:r>
      <w:r>
        <w:rPr>
          <w:spacing w:val="-2"/>
          <w:w w:val="105"/>
          <w:sz w:val="20"/>
          <w:vertAlign w:val="baseline"/>
        </w:rPr>
        <w:t>for</w:t>
      </w:r>
      <w:r>
        <w:rPr>
          <w:spacing w:val="-10"/>
          <w:w w:val="105"/>
          <w:sz w:val="20"/>
          <w:vertAlign w:val="baseline"/>
        </w:rPr>
        <w:t> </w:t>
      </w:r>
      <w:r>
        <w:rPr>
          <w:spacing w:val="-2"/>
          <w:w w:val="105"/>
          <w:sz w:val="20"/>
          <w:vertAlign w:val="baseline"/>
        </w:rPr>
        <w:t>SAFE,</w:t>
      </w:r>
      <w:r>
        <w:rPr>
          <w:spacing w:val="-10"/>
          <w:w w:val="105"/>
          <w:sz w:val="20"/>
          <w:vertAlign w:val="baseline"/>
        </w:rPr>
        <w:t> </w:t>
      </w:r>
      <w:r>
        <w:rPr>
          <w:spacing w:val="-2"/>
          <w:w w:val="105"/>
          <w:sz w:val="20"/>
          <w:vertAlign w:val="baseline"/>
        </w:rPr>
        <w:t>disbursing</w:t>
      </w:r>
      <w:r>
        <w:rPr>
          <w:spacing w:val="-10"/>
          <w:w w:val="105"/>
          <w:sz w:val="20"/>
          <w:vertAlign w:val="baseline"/>
        </w:rPr>
        <w:t> </w:t>
      </w:r>
      <w:r>
        <w:rPr>
          <w:spacing w:val="-2"/>
          <w:w w:val="105"/>
          <w:sz w:val="20"/>
          <w:vertAlign w:val="baseline"/>
        </w:rPr>
        <w:t>loans</w:t>
      </w:r>
      <w:r>
        <w:rPr>
          <w:spacing w:val="-10"/>
          <w:w w:val="105"/>
          <w:sz w:val="20"/>
          <w:vertAlign w:val="baseline"/>
        </w:rPr>
        <w:t> </w:t>
      </w:r>
      <w:r>
        <w:rPr>
          <w:spacing w:val="-2"/>
          <w:w w:val="105"/>
          <w:sz w:val="20"/>
          <w:vertAlign w:val="baseline"/>
        </w:rPr>
        <w:t>to</w:t>
      </w:r>
      <w:r>
        <w:rPr>
          <w:spacing w:val="-10"/>
          <w:w w:val="105"/>
          <w:sz w:val="20"/>
          <w:vertAlign w:val="baseline"/>
        </w:rPr>
        <w:t> </w:t>
      </w:r>
      <w:r>
        <w:rPr>
          <w:spacing w:val="-2"/>
          <w:w w:val="105"/>
          <w:sz w:val="20"/>
          <w:vertAlign w:val="baseline"/>
        </w:rPr>
        <w:t>borrowers,</w:t>
      </w:r>
      <w:r>
        <w:rPr>
          <w:spacing w:val="-10"/>
          <w:w w:val="105"/>
          <w:sz w:val="20"/>
          <w:vertAlign w:val="baseline"/>
        </w:rPr>
        <w:t> </w:t>
      </w:r>
      <w:r>
        <w:rPr>
          <w:spacing w:val="-2"/>
          <w:w w:val="105"/>
          <w:sz w:val="20"/>
          <w:vertAlign w:val="baseline"/>
        </w:rPr>
        <w:t>supervising</w:t>
      </w:r>
      <w:r>
        <w:rPr>
          <w:spacing w:val="-10"/>
          <w:w w:val="105"/>
          <w:sz w:val="20"/>
          <w:vertAlign w:val="baseline"/>
        </w:rPr>
        <w:t> </w:t>
      </w:r>
      <w:r>
        <w:rPr>
          <w:spacing w:val="-2"/>
          <w:w w:val="105"/>
          <w:sz w:val="20"/>
          <w:vertAlign w:val="baseline"/>
        </w:rPr>
        <w:t>the</w:t>
      </w:r>
      <w:r>
        <w:rPr>
          <w:spacing w:val="-10"/>
          <w:w w:val="105"/>
          <w:sz w:val="20"/>
          <w:vertAlign w:val="baseline"/>
        </w:rPr>
        <w:t> </w:t>
      </w:r>
      <w:r>
        <w:rPr>
          <w:spacing w:val="-2"/>
          <w:w w:val="105"/>
          <w:sz w:val="20"/>
          <w:vertAlign w:val="baseline"/>
        </w:rPr>
        <w:t>use</w:t>
      </w:r>
      <w:r>
        <w:rPr>
          <w:spacing w:val="-10"/>
          <w:w w:val="105"/>
          <w:sz w:val="20"/>
          <w:vertAlign w:val="baseline"/>
        </w:rPr>
        <w:t> </w:t>
      </w:r>
      <w:r>
        <w:rPr>
          <w:spacing w:val="-2"/>
          <w:w w:val="105"/>
          <w:sz w:val="20"/>
          <w:vertAlign w:val="baseline"/>
        </w:rPr>
        <w:t>of</w:t>
      </w:r>
      <w:r>
        <w:rPr>
          <w:spacing w:val="-10"/>
          <w:w w:val="105"/>
          <w:sz w:val="20"/>
          <w:vertAlign w:val="baseline"/>
        </w:rPr>
        <w:t> </w:t>
      </w:r>
      <w:r>
        <w:rPr>
          <w:spacing w:val="-2"/>
          <w:w w:val="105"/>
          <w:sz w:val="20"/>
          <w:vertAlign w:val="baseline"/>
        </w:rPr>
        <w:t>the</w:t>
      </w:r>
      <w:r>
        <w:rPr>
          <w:spacing w:val="-10"/>
          <w:w w:val="105"/>
          <w:sz w:val="20"/>
          <w:vertAlign w:val="baseline"/>
        </w:rPr>
        <w:t> </w:t>
      </w:r>
      <w:r>
        <w:rPr>
          <w:spacing w:val="-2"/>
          <w:w w:val="105"/>
          <w:sz w:val="20"/>
          <w:vertAlign w:val="baseline"/>
        </w:rPr>
        <w:t>funds,</w:t>
      </w:r>
      <w:r>
        <w:rPr>
          <w:spacing w:val="-10"/>
          <w:w w:val="105"/>
          <w:sz w:val="20"/>
          <w:vertAlign w:val="baseline"/>
        </w:rPr>
        <w:t> </w:t>
      </w:r>
      <w:r>
        <w:rPr>
          <w:spacing w:val="-2"/>
          <w:w w:val="105"/>
          <w:sz w:val="20"/>
          <w:vertAlign w:val="baseline"/>
        </w:rPr>
        <w:t>and </w:t>
      </w:r>
      <w:r>
        <w:rPr>
          <w:sz w:val="20"/>
          <w:vertAlign w:val="baseline"/>
        </w:rPr>
        <w:t>managing repayments.</w:t>
      </w:r>
      <w:r>
        <w:rPr>
          <w:sz w:val="20"/>
          <w:vertAlign w:val="superscript"/>
        </w:rPr>
        <w:t>115</w:t>
      </w:r>
      <w:r>
        <w:rPr>
          <w:sz w:val="20"/>
          <w:vertAlign w:val="baseline"/>
        </w:rPr>
        <w:t> SAFE eventually expanded its use of entrusted loan agreements to </w:t>
      </w:r>
      <w:r>
        <w:rPr>
          <w:w w:val="105"/>
          <w:sz w:val="20"/>
          <w:vertAlign w:val="baseline"/>
        </w:rPr>
        <w:t>other</w:t>
      </w:r>
      <w:r>
        <w:rPr>
          <w:spacing w:val="-14"/>
          <w:w w:val="105"/>
          <w:sz w:val="20"/>
          <w:vertAlign w:val="baseline"/>
        </w:rPr>
        <w:t> </w:t>
      </w:r>
      <w:r>
        <w:rPr>
          <w:w w:val="105"/>
          <w:sz w:val="20"/>
          <w:vertAlign w:val="baseline"/>
        </w:rPr>
        <w:t>state-owned</w:t>
      </w:r>
      <w:r>
        <w:rPr>
          <w:spacing w:val="-14"/>
          <w:w w:val="105"/>
          <w:sz w:val="20"/>
          <w:vertAlign w:val="baseline"/>
        </w:rPr>
        <w:t> </w:t>
      </w:r>
      <w:r>
        <w:rPr>
          <w:w w:val="105"/>
          <w:sz w:val="20"/>
          <w:vertAlign w:val="baseline"/>
        </w:rPr>
        <w:t>banks.</w:t>
      </w:r>
      <w:r>
        <w:rPr>
          <w:w w:val="105"/>
          <w:sz w:val="20"/>
          <w:vertAlign w:val="superscript"/>
        </w:rPr>
        <w:t>116</w:t>
      </w:r>
      <w:r>
        <w:rPr>
          <w:spacing w:val="-13"/>
          <w:w w:val="105"/>
          <w:sz w:val="20"/>
          <w:vertAlign w:val="baseline"/>
        </w:rPr>
        <w:t> </w:t>
      </w:r>
      <w:r>
        <w:rPr>
          <w:w w:val="105"/>
          <w:sz w:val="20"/>
          <w:vertAlign w:val="baseline"/>
        </w:rPr>
        <w:t>By</w:t>
      </w:r>
      <w:r>
        <w:rPr>
          <w:spacing w:val="-14"/>
          <w:w w:val="105"/>
          <w:sz w:val="20"/>
          <w:vertAlign w:val="baseline"/>
        </w:rPr>
        <w:t> </w:t>
      </w:r>
      <w:r>
        <w:rPr>
          <w:w w:val="105"/>
          <w:sz w:val="20"/>
          <w:vertAlign w:val="baseline"/>
        </w:rPr>
        <w:t>2010,</w:t>
      </w:r>
      <w:r>
        <w:rPr>
          <w:spacing w:val="-14"/>
          <w:w w:val="105"/>
          <w:sz w:val="20"/>
          <w:vertAlign w:val="baseline"/>
        </w:rPr>
        <w:t> </w:t>
      </w:r>
      <w:r>
        <w:rPr>
          <w:w w:val="105"/>
          <w:sz w:val="20"/>
          <w:vertAlign w:val="baseline"/>
        </w:rPr>
        <w:t>it</w:t>
      </w:r>
      <w:r>
        <w:rPr>
          <w:spacing w:val="-14"/>
          <w:w w:val="105"/>
          <w:sz w:val="20"/>
          <w:vertAlign w:val="baseline"/>
        </w:rPr>
        <w:t> </w:t>
      </w:r>
      <w:r>
        <w:rPr>
          <w:w w:val="105"/>
          <w:sz w:val="20"/>
          <w:vertAlign w:val="baseline"/>
        </w:rPr>
        <w:t>had</w:t>
      </w:r>
      <w:r>
        <w:rPr>
          <w:spacing w:val="-14"/>
          <w:w w:val="105"/>
          <w:sz w:val="20"/>
          <w:vertAlign w:val="baseline"/>
        </w:rPr>
        <w:t> </w:t>
      </w:r>
      <w:r>
        <w:rPr>
          <w:w w:val="105"/>
          <w:sz w:val="20"/>
          <w:vertAlign w:val="baseline"/>
        </w:rPr>
        <w:t>“taken</w:t>
      </w:r>
      <w:r>
        <w:rPr>
          <w:spacing w:val="-14"/>
          <w:w w:val="105"/>
          <w:sz w:val="20"/>
          <w:vertAlign w:val="baseline"/>
        </w:rPr>
        <w:t> </w:t>
      </w:r>
      <w:r>
        <w:rPr>
          <w:w w:val="105"/>
          <w:sz w:val="20"/>
          <w:vertAlign w:val="baseline"/>
        </w:rPr>
        <w:t>initial</w:t>
      </w:r>
      <w:r>
        <w:rPr>
          <w:spacing w:val="-13"/>
          <w:w w:val="105"/>
          <w:sz w:val="20"/>
          <w:vertAlign w:val="baseline"/>
        </w:rPr>
        <w:t> </w:t>
      </w:r>
      <w:r>
        <w:rPr>
          <w:w w:val="105"/>
          <w:sz w:val="20"/>
          <w:vertAlign w:val="baseline"/>
        </w:rPr>
        <w:t>steps</w:t>
      </w:r>
      <w:r>
        <w:rPr>
          <w:spacing w:val="-14"/>
          <w:w w:val="105"/>
          <w:sz w:val="20"/>
          <w:vertAlign w:val="baseline"/>
        </w:rPr>
        <w:t> </w:t>
      </w:r>
      <w:r>
        <w:rPr>
          <w:w w:val="105"/>
          <w:sz w:val="20"/>
          <w:vertAlign w:val="baseline"/>
        </w:rPr>
        <w:t>toward</w:t>
      </w:r>
      <w:r>
        <w:rPr>
          <w:spacing w:val="-14"/>
          <w:w w:val="105"/>
          <w:sz w:val="20"/>
          <w:vertAlign w:val="baseline"/>
        </w:rPr>
        <w:t> </w:t>
      </w:r>
      <w:r>
        <w:rPr>
          <w:w w:val="105"/>
          <w:sz w:val="20"/>
          <w:vertAlign w:val="baseline"/>
        </w:rPr>
        <w:t>giving</w:t>
      </w:r>
      <w:r>
        <w:rPr>
          <w:spacing w:val="-14"/>
          <w:w w:val="105"/>
          <w:sz w:val="20"/>
          <w:vertAlign w:val="baseline"/>
        </w:rPr>
        <w:t> </w:t>
      </w:r>
      <w:r>
        <w:rPr>
          <w:w w:val="105"/>
          <w:sz w:val="20"/>
          <w:vertAlign w:val="baseline"/>
        </w:rPr>
        <w:t>policy</w:t>
      </w:r>
      <w:r>
        <w:rPr>
          <w:spacing w:val="-14"/>
          <w:w w:val="105"/>
          <w:sz w:val="20"/>
          <w:vertAlign w:val="baseline"/>
        </w:rPr>
        <w:t> </w:t>
      </w:r>
      <w:r>
        <w:rPr>
          <w:w w:val="105"/>
          <w:sz w:val="20"/>
          <w:vertAlign w:val="baseline"/>
        </w:rPr>
        <w:t>and commercial</w:t>
      </w:r>
      <w:r>
        <w:rPr>
          <w:spacing w:val="-15"/>
          <w:w w:val="105"/>
          <w:sz w:val="20"/>
          <w:vertAlign w:val="baseline"/>
        </w:rPr>
        <w:t> </w:t>
      </w:r>
      <w:r>
        <w:rPr>
          <w:w w:val="105"/>
          <w:sz w:val="20"/>
          <w:vertAlign w:val="baseline"/>
        </w:rPr>
        <w:t>banks</w:t>
      </w:r>
      <w:r>
        <w:rPr>
          <w:spacing w:val="-15"/>
          <w:w w:val="105"/>
          <w:sz w:val="20"/>
          <w:vertAlign w:val="baseline"/>
        </w:rPr>
        <w:t> </w:t>
      </w:r>
      <w:r>
        <w:rPr>
          <w:w w:val="105"/>
          <w:sz w:val="20"/>
          <w:vertAlign w:val="baseline"/>
        </w:rPr>
        <w:t>authority</w:t>
      </w:r>
      <w:r>
        <w:rPr>
          <w:spacing w:val="-14"/>
          <w:w w:val="105"/>
          <w:sz w:val="20"/>
          <w:vertAlign w:val="baseline"/>
        </w:rPr>
        <w:t> </w:t>
      </w:r>
      <w:r>
        <w:rPr>
          <w:w w:val="105"/>
          <w:sz w:val="20"/>
          <w:vertAlign w:val="baseline"/>
        </w:rPr>
        <w:t>to</w:t>
      </w:r>
      <w:r>
        <w:rPr>
          <w:spacing w:val="-15"/>
          <w:w w:val="105"/>
          <w:sz w:val="20"/>
          <w:vertAlign w:val="baseline"/>
        </w:rPr>
        <w:t> </w:t>
      </w:r>
      <w:r>
        <w:rPr>
          <w:w w:val="105"/>
          <w:sz w:val="20"/>
          <w:vertAlign w:val="baseline"/>
        </w:rPr>
        <w:t>handle</w:t>
      </w:r>
      <w:r>
        <w:rPr>
          <w:spacing w:val="-14"/>
          <w:w w:val="105"/>
          <w:sz w:val="20"/>
          <w:vertAlign w:val="baseline"/>
        </w:rPr>
        <w:t> </w:t>
      </w:r>
      <w:r>
        <w:rPr>
          <w:w w:val="105"/>
          <w:sz w:val="20"/>
          <w:vertAlign w:val="baseline"/>
        </w:rPr>
        <w:t>loans</w:t>
      </w:r>
      <w:r>
        <w:rPr>
          <w:spacing w:val="-15"/>
          <w:w w:val="105"/>
          <w:sz w:val="20"/>
          <w:vertAlign w:val="baseline"/>
        </w:rPr>
        <w:t> </w:t>
      </w:r>
      <w:r>
        <w:rPr>
          <w:w w:val="105"/>
          <w:sz w:val="20"/>
          <w:vertAlign w:val="baseline"/>
        </w:rPr>
        <w:t>for</w:t>
      </w:r>
      <w:r>
        <w:rPr>
          <w:spacing w:val="-15"/>
          <w:w w:val="105"/>
          <w:sz w:val="20"/>
          <w:vertAlign w:val="baseline"/>
        </w:rPr>
        <w:t> </w:t>
      </w:r>
      <w:r>
        <w:rPr>
          <w:w w:val="105"/>
          <w:sz w:val="20"/>
          <w:vertAlign w:val="baseline"/>
        </w:rPr>
        <w:t>intergovernmental</w:t>
      </w:r>
      <w:r>
        <w:rPr>
          <w:spacing w:val="-14"/>
          <w:w w:val="105"/>
          <w:sz w:val="20"/>
          <w:vertAlign w:val="baseline"/>
        </w:rPr>
        <w:t> </w:t>
      </w:r>
      <w:r>
        <w:rPr>
          <w:w w:val="105"/>
          <w:sz w:val="20"/>
          <w:vertAlign w:val="baseline"/>
        </w:rPr>
        <w:t>cooperation</w:t>
      </w:r>
      <w:r>
        <w:rPr>
          <w:spacing w:val="-15"/>
          <w:w w:val="105"/>
          <w:sz w:val="20"/>
          <w:vertAlign w:val="baseline"/>
        </w:rPr>
        <w:t> </w:t>
      </w:r>
      <w:r>
        <w:rPr>
          <w:w w:val="105"/>
          <w:sz w:val="20"/>
          <w:vertAlign w:val="baseline"/>
        </w:rPr>
        <w:t>projects”</w:t>
      </w:r>
      <w:r>
        <w:rPr>
          <w:spacing w:val="-14"/>
          <w:w w:val="105"/>
          <w:sz w:val="20"/>
          <w:vertAlign w:val="baseline"/>
        </w:rPr>
        <w:t> </w:t>
      </w:r>
      <w:r>
        <w:rPr>
          <w:w w:val="105"/>
          <w:sz w:val="20"/>
          <w:vertAlign w:val="baseline"/>
        </w:rPr>
        <w:t>and moved</w:t>
      </w:r>
      <w:r>
        <w:rPr>
          <w:spacing w:val="-15"/>
          <w:w w:val="105"/>
          <w:sz w:val="20"/>
          <w:vertAlign w:val="baseline"/>
        </w:rPr>
        <w:t> </w:t>
      </w:r>
      <w:r>
        <w:rPr>
          <w:w w:val="105"/>
          <w:sz w:val="20"/>
          <w:vertAlign w:val="baseline"/>
        </w:rPr>
        <w:t>“beyond</w:t>
      </w:r>
      <w:r>
        <w:rPr>
          <w:spacing w:val="-14"/>
          <w:w w:val="105"/>
          <w:sz w:val="20"/>
          <w:vertAlign w:val="baseline"/>
        </w:rPr>
        <w:t> </w:t>
      </w:r>
      <w:r>
        <w:rPr>
          <w:w w:val="105"/>
          <w:sz w:val="20"/>
          <w:vertAlign w:val="baseline"/>
        </w:rPr>
        <w:t>its</w:t>
      </w:r>
      <w:r>
        <w:rPr>
          <w:spacing w:val="-15"/>
          <w:w w:val="105"/>
          <w:sz w:val="20"/>
          <w:vertAlign w:val="baseline"/>
        </w:rPr>
        <w:t> </w:t>
      </w:r>
      <w:r>
        <w:rPr>
          <w:w w:val="105"/>
          <w:sz w:val="20"/>
          <w:vertAlign w:val="baseline"/>
        </w:rPr>
        <w:t>traditional</w:t>
      </w:r>
      <w:r>
        <w:rPr>
          <w:spacing w:val="-14"/>
          <w:w w:val="105"/>
          <w:sz w:val="20"/>
          <w:vertAlign w:val="baseline"/>
        </w:rPr>
        <w:t> </w:t>
      </w:r>
      <w:r>
        <w:rPr>
          <w:w w:val="105"/>
          <w:sz w:val="20"/>
          <w:vertAlign w:val="baseline"/>
        </w:rPr>
        <w:t>role</w:t>
      </w:r>
      <w:r>
        <w:rPr>
          <w:spacing w:val="-14"/>
          <w:w w:val="105"/>
          <w:sz w:val="20"/>
          <w:vertAlign w:val="baseline"/>
        </w:rPr>
        <w:t> </w:t>
      </w:r>
      <w:r>
        <w:rPr>
          <w:w w:val="105"/>
          <w:sz w:val="20"/>
          <w:vertAlign w:val="baseline"/>
        </w:rPr>
        <w:t>of</w:t>
      </w:r>
      <w:r>
        <w:rPr>
          <w:spacing w:val="-15"/>
          <w:w w:val="105"/>
          <w:sz w:val="20"/>
          <w:vertAlign w:val="baseline"/>
        </w:rPr>
        <w:t> </w:t>
      </w:r>
      <w:r>
        <w:rPr>
          <w:w w:val="105"/>
          <w:sz w:val="20"/>
          <w:vertAlign w:val="baseline"/>
        </w:rPr>
        <w:t>managing</w:t>
      </w:r>
      <w:r>
        <w:rPr>
          <w:spacing w:val="-14"/>
          <w:w w:val="105"/>
          <w:sz w:val="20"/>
          <w:vertAlign w:val="baseline"/>
        </w:rPr>
        <w:t> </w:t>
      </w:r>
      <w:r>
        <w:rPr>
          <w:w w:val="105"/>
          <w:sz w:val="20"/>
          <w:vertAlign w:val="baseline"/>
        </w:rPr>
        <w:t>foreign</w:t>
      </w:r>
      <w:r>
        <w:rPr>
          <w:spacing w:val="-15"/>
          <w:w w:val="105"/>
          <w:sz w:val="20"/>
          <w:vertAlign w:val="baseline"/>
        </w:rPr>
        <w:t> </w:t>
      </w:r>
      <w:r>
        <w:rPr>
          <w:w w:val="105"/>
          <w:sz w:val="20"/>
          <w:vertAlign w:val="baseline"/>
        </w:rPr>
        <w:t>exchange</w:t>
      </w:r>
      <w:r>
        <w:rPr>
          <w:spacing w:val="-14"/>
          <w:w w:val="105"/>
          <w:sz w:val="20"/>
          <w:vertAlign w:val="baseline"/>
        </w:rPr>
        <w:t> </w:t>
      </w:r>
      <w:r>
        <w:rPr>
          <w:w w:val="105"/>
          <w:sz w:val="20"/>
          <w:vertAlign w:val="baseline"/>
        </w:rPr>
        <w:t>reserves,</w:t>
      </w:r>
      <w:r>
        <w:rPr>
          <w:spacing w:val="-15"/>
          <w:w w:val="105"/>
          <w:sz w:val="20"/>
          <w:vertAlign w:val="baseline"/>
        </w:rPr>
        <w:t> </w:t>
      </w:r>
      <w:r>
        <w:rPr>
          <w:w w:val="105"/>
          <w:sz w:val="20"/>
          <w:vertAlign w:val="baseline"/>
        </w:rPr>
        <w:t>effectively </w:t>
      </w:r>
      <w:r>
        <w:rPr>
          <w:spacing w:val="-2"/>
          <w:w w:val="105"/>
          <w:sz w:val="20"/>
          <w:vertAlign w:val="baseline"/>
        </w:rPr>
        <w:t>[becoming]</w:t>
      </w:r>
      <w:r>
        <w:rPr>
          <w:spacing w:val="-9"/>
          <w:w w:val="105"/>
          <w:sz w:val="20"/>
          <w:vertAlign w:val="baseline"/>
        </w:rPr>
        <w:t> </w:t>
      </w:r>
      <w:r>
        <w:rPr>
          <w:spacing w:val="-2"/>
          <w:w w:val="105"/>
          <w:sz w:val="20"/>
          <w:vertAlign w:val="baseline"/>
        </w:rPr>
        <w:t>a</w:t>
      </w:r>
      <w:r>
        <w:rPr>
          <w:spacing w:val="-10"/>
          <w:w w:val="105"/>
          <w:sz w:val="20"/>
          <w:vertAlign w:val="baseline"/>
        </w:rPr>
        <w:t> </w:t>
      </w:r>
      <w:r>
        <w:rPr>
          <w:spacing w:val="-2"/>
          <w:w w:val="105"/>
          <w:sz w:val="20"/>
          <w:vertAlign w:val="baseline"/>
        </w:rPr>
        <w:t>foreign-currency</w:t>
      </w:r>
      <w:r>
        <w:rPr>
          <w:spacing w:val="-10"/>
          <w:w w:val="105"/>
          <w:sz w:val="20"/>
          <w:vertAlign w:val="baseline"/>
        </w:rPr>
        <w:t> </w:t>
      </w:r>
      <w:r>
        <w:rPr>
          <w:spacing w:val="-2"/>
          <w:w w:val="105"/>
          <w:sz w:val="20"/>
          <w:vertAlign w:val="baseline"/>
        </w:rPr>
        <w:t>lender”</w:t>
      </w:r>
      <w:r>
        <w:rPr>
          <w:spacing w:val="-10"/>
          <w:w w:val="105"/>
          <w:sz w:val="20"/>
          <w:vertAlign w:val="baseline"/>
        </w:rPr>
        <w:t> </w:t>
      </w:r>
      <w:r>
        <w:rPr>
          <w:spacing w:val="-2"/>
          <w:w w:val="105"/>
          <w:sz w:val="20"/>
          <w:vertAlign w:val="baseline"/>
        </w:rPr>
        <w:t>(Yuzhe</w:t>
      </w:r>
      <w:r>
        <w:rPr>
          <w:spacing w:val="-10"/>
          <w:w w:val="105"/>
          <w:sz w:val="20"/>
          <w:vertAlign w:val="baseline"/>
        </w:rPr>
        <w:t> </w:t>
      </w:r>
      <w:r>
        <w:rPr>
          <w:spacing w:val="-2"/>
          <w:w w:val="105"/>
          <w:sz w:val="20"/>
          <w:vertAlign w:val="baseline"/>
        </w:rPr>
        <w:t>2010).</w:t>
      </w:r>
      <w:r>
        <w:rPr>
          <w:spacing w:val="-2"/>
          <w:w w:val="105"/>
          <w:sz w:val="20"/>
          <w:vertAlign w:val="superscript"/>
        </w:rPr>
        <w:t>117</w:t>
      </w:r>
    </w:p>
    <w:p>
      <w:pPr>
        <w:pStyle w:val="BodyText"/>
        <w:spacing w:before="7"/>
        <w:rPr>
          <w:sz w:val="21"/>
        </w:rPr>
      </w:pPr>
    </w:p>
    <w:p>
      <w:pPr>
        <w:spacing w:line="300" w:lineRule="auto" w:before="0"/>
        <w:ind w:left="760" w:right="767" w:firstLine="0"/>
        <w:jc w:val="left"/>
        <w:rPr>
          <w:sz w:val="20"/>
        </w:rPr>
      </w:pPr>
      <w:r>
        <w:rPr>
          <w:spacing w:val="-2"/>
          <w:w w:val="105"/>
          <w:sz w:val="20"/>
        </w:rPr>
        <w:t>Then,</w:t>
      </w:r>
      <w:r>
        <w:rPr>
          <w:spacing w:val="-7"/>
          <w:w w:val="105"/>
          <w:sz w:val="20"/>
        </w:rPr>
        <w:t> </w:t>
      </w:r>
      <w:r>
        <w:rPr>
          <w:spacing w:val="-2"/>
          <w:w w:val="105"/>
          <w:sz w:val="20"/>
        </w:rPr>
        <w:t>in</w:t>
      </w:r>
      <w:r>
        <w:rPr>
          <w:spacing w:val="-7"/>
          <w:w w:val="105"/>
          <w:sz w:val="20"/>
        </w:rPr>
        <w:t> </w:t>
      </w:r>
      <w:r>
        <w:rPr>
          <w:spacing w:val="-2"/>
          <w:w w:val="105"/>
          <w:sz w:val="20"/>
        </w:rPr>
        <w:t>April</w:t>
      </w:r>
      <w:r>
        <w:rPr>
          <w:spacing w:val="-6"/>
          <w:w w:val="105"/>
          <w:sz w:val="20"/>
        </w:rPr>
        <w:t> </w:t>
      </w:r>
      <w:r>
        <w:rPr>
          <w:spacing w:val="-2"/>
          <w:w w:val="105"/>
          <w:sz w:val="20"/>
        </w:rPr>
        <w:t>2010,</w:t>
      </w:r>
      <w:r>
        <w:rPr>
          <w:spacing w:val="-7"/>
          <w:w w:val="105"/>
          <w:sz w:val="20"/>
        </w:rPr>
        <w:t> </w:t>
      </w:r>
      <w:r>
        <w:rPr>
          <w:spacing w:val="-2"/>
          <w:w w:val="105"/>
          <w:sz w:val="20"/>
        </w:rPr>
        <w:t>Central</w:t>
      </w:r>
      <w:r>
        <w:rPr>
          <w:spacing w:val="-6"/>
          <w:w w:val="105"/>
          <w:sz w:val="20"/>
        </w:rPr>
        <w:t> </w:t>
      </w:r>
      <w:r>
        <w:rPr>
          <w:spacing w:val="-2"/>
          <w:w w:val="105"/>
          <w:sz w:val="20"/>
        </w:rPr>
        <w:t>Huijin</w:t>
      </w:r>
      <w:r>
        <w:rPr>
          <w:spacing w:val="-7"/>
          <w:w w:val="105"/>
          <w:sz w:val="20"/>
        </w:rPr>
        <w:t> </w:t>
      </w:r>
      <w:r>
        <w:rPr>
          <w:spacing w:val="-2"/>
          <w:w w:val="105"/>
          <w:sz w:val="20"/>
        </w:rPr>
        <w:t>injected</w:t>
      </w:r>
      <w:r>
        <w:rPr>
          <w:spacing w:val="-7"/>
          <w:w w:val="105"/>
          <w:sz w:val="20"/>
        </w:rPr>
        <w:t> </w:t>
      </w:r>
      <w:r>
        <w:rPr>
          <w:spacing w:val="-2"/>
          <w:w w:val="105"/>
          <w:sz w:val="20"/>
        </w:rPr>
        <w:t>$11.7</w:t>
      </w:r>
      <w:r>
        <w:rPr>
          <w:spacing w:val="-7"/>
          <w:w w:val="105"/>
          <w:sz w:val="20"/>
        </w:rPr>
        <w:t> </w:t>
      </w:r>
      <w:r>
        <w:rPr>
          <w:spacing w:val="-2"/>
          <w:w w:val="105"/>
          <w:sz w:val="20"/>
        </w:rPr>
        <w:t>billion</w:t>
      </w:r>
      <w:r>
        <w:rPr>
          <w:spacing w:val="-7"/>
          <w:w w:val="105"/>
          <w:sz w:val="20"/>
        </w:rPr>
        <w:t> </w:t>
      </w:r>
      <w:r>
        <w:rPr>
          <w:spacing w:val="-2"/>
          <w:w w:val="105"/>
          <w:sz w:val="20"/>
        </w:rPr>
        <w:t>(RMB</w:t>
      </w:r>
      <w:r>
        <w:rPr>
          <w:spacing w:val="-7"/>
          <w:w w:val="105"/>
          <w:sz w:val="20"/>
        </w:rPr>
        <w:t> </w:t>
      </w:r>
      <w:r>
        <w:rPr>
          <w:spacing w:val="-2"/>
          <w:w w:val="105"/>
          <w:sz w:val="20"/>
        </w:rPr>
        <w:t>80</w:t>
      </w:r>
      <w:r>
        <w:rPr>
          <w:spacing w:val="-7"/>
          <w:w w:val="105"/>
          <w:sz w:val="20"/>
        </w:rPr>
        <w:t> </w:t>
      </w:r>
      <w:r>
        <w:rPr>
          <w:spacing w:val="-2"/>
          <w:w w:val="105"/>
          <w:sz w:val="20"/>
        </w:rPr>
        <w:t>billion)</w:t>
      </w:r>
      <w:r>
        <w:rPr>
          <w:spacing w:val="-6"/>
          <w:w w:val="105"/>
          <w:sz w:val="20"/>
        </w:rPr>
        <w:t> </w:t>
      </w:r>
      <w:r>
        <w:rPr>
          <w:spacing w:val="-2"/>
          <w:w w:val="105"/>
          <w:sz w:val="20"/>
        </w:rPr>
        <w:t>into</w:t>
      </w:r>
      <w:r>
        <w:rPr>
          <w:spacing w:val="-7"/>
          <w:w w:val="105"/>
          <w:sz w:val="20"/>
        </w:rPr>
        <w:t> </w:t>
      </w:r>
      <w:r>
        <w:rPr>
          <w:spacing w:val="-2"/>
          <w:w w:val="105"/>
          <w:sz w:val="20"/>
        </w:rPr>
        <w:t>China</w:t>
      </w:r>
      <w:r>
        <w:rPr>
          <w:spacing w:val="-7"/>
          <w:w w:val="105"/>
          <w:sz w:val="20"/>
        </w:rPr>
        <w:t> </w:t>
      </w:r>
      <w:r>
        <w:rPr>
          <w:spacing w:val="-2"/>
          <w:w w:val="105"/>
          <w:sz w:val="20"/>
        </w:rPr>
        <w:t>Eximbank </w:t>
      </w:r>
      <w:r>
        <w:rPr>
          <w:sz w:val="20"/>
        </w:rPr>
        <w:t>and Sinosure to help them clean up bad loans on their balance sheets. Fourteen months later, in June 2011, China Investment Corporation—another state-owned entity responsible for investing </w:t>
      </w:r>
      <w:r>
        <w:rPr>
          <w:spacing w:val="-2"/>
          <w:w w:val="105"/>
          <w:sz w:val="20"/>
        </w:rPr>
        <w:t>the</w:t>
      </w:r>
      <w:r>
        <w:rPr>
          <w:spacing w:val="-9"/>
          <w:w w:val="105"/>
          <w:sz w:val="20"/>
        </w:rPr>
        <w:t> </w:t>
      </w:r>
      <w:r>
        <w:rPr>
          <w:spacing w:val="-2"/>
          <w:w w:val="105"/>
          <w:sz w:val="20"/>
        </w:rPr>
        <w:t>country's</w:t>
      </w:r>
      <w:r>
        <w:rPr>
          <w:spacing w:val="-9"/>
          <w:w w:val="105"/>
          <w:sz w:val="20"/>
        </w:rPr>
        <w:t> </w:t>
      </w:r>
      <w:r>
        <w:rPr>
          <w:spacing w:val="-2"/>
          <w:w w:val="105"/>
          <w:sz w:val="20"/>
        </w:rPr>
        <w:t>foreign</w:t>
      </w:r>
      <w:r>
        <w:rPr>
          <w:spacing w:val="-9"/>
          <w:w w:val="105"/>
          <w:sz w:val="20"/>
        </w:rPr>
        <w:t> </w:t>
      </w:r>
      <w:r>
        <w:rPr>
          <w:spacing w:val="-2"/>
          <w:w w:val="105"/>
          <w:sz w:val="20"/>
        </w:rPr>
        <w:t>exchange</w:t>
      </w:r>
      <w:r>
        <w:rPr>
          <w:spacing w:val="-9"/>
          <w:w w:val="105"/>
          <w:sz w:val="20"/>
        </w:rPr>
        <w:t> </w:t>
      </w:r>
      <w:r>
        <w:rPr>
          <w:spacing w:val="-2"/>
          <w:w w:val="105"/>
          <w:sz w:val="20"/>
        </w:rPr>
        <w:t>reserves—injected</w:t>
      </w:r>
      <w:r>
        <w:rPr>
          <w:spacing w:val="-9"/>
          <w:w w:val="105"/>
          <w:sz w:val="20"/>
        </w:rPr>
        <w:t> </w:t>
      </w:r>
      <w:r>
        <w:rPr>
          <w:spacing w:val="-2"/>
          <w:w w:val="105"/>
          <w:sz w:val="20"/>
        </w:rPr>
        <w:t>an</w:t>
      </w:r>
      <w:r>
        <w:rPr>
          <w:spacing w:val="-9"/>
          <w:w w:val="105"/>
          <w:sz w:val="20"/>
        </w:rPr>
        <w:t> </w:t>
      </w:r>
      <w:r>
        <w:rPr>
          <w:spacing w:val="-2"/>
          <w:w w:val="105"/>
          <w:sz w:val="20"/>
        </w:rPr>
        <w:t>additional</w:t>
      </w:r>
      <w:r>
        <w:rPr>
          <w:spacing w:val="-8"/>
          <w:w w:val="105"/>
          <w:sz w:val="20"/>
        </w:rPr>
        <w:t> </w:t>
      </w:r>
      <w:r>
        <w:rPr>
          <w:spacing w:val="-2"/>
          <w:w w:val="105"/>
          <w:sz w:val="20"/>
        </w:rPr>
        <w:t>$3.15</w:t>
      </w:r>
      <w:r>
        <w:rPr>
          <w:spacing w:val="-9"/>
          <w:w w:val="105"/>
          <w:sz w:val="20"/>
        </w:rPr>
        <w:t> </w:t>
      </w:r>
      <w:r>
        <w:rPr>
          <w:spacing w:val="-2"/>
          <w:w w:val="105"/>
          <w:sz w:val="20"/>
        </w:rPr>
        <w:t>billion</w:t>
      </w:r>
      <w:r>
        <w:rPr>
          <w:spacing w:val="-9"/>
          <w:w w:val="105"/>
          <w:sz w:val="20"/>
        </w:rPr>
        <w:t> </w:t>
      </w:r>
      <w:r>
        <w:rPr>
          <w:spacing w:val="-2"/>
          <w:w w:val="105"/>
          <w:sz w:val="20"/>
        </w:rPr>
        <w:t>(RMB</w:t>
      </w:r>
      <w:r>
        <w:rPr>
          <w:spacing w:val="-9"/>
          <w:w w:val="105"/>
          <w:sz w:val="20"/>
        </w:rPr>
        <w:t> </w:t>
      </w:r>
      <w:r>
        <w:rPr>
          <w:spacing w:val="-2"/>
          <w:w w:val="105"/>
          <w:sz w:val="20"/>
        </w:rPr>
        <w:t>20</w:t>
      </w:r>
      <w:r>
        <w:rPr>
          <w:spacing w:val="-9"/>
          <w:w w:val="105"/>
          <w:sz w:val="20"/>
        </w:rPr>
        <w:t> </w:t>
      </w:r>
      <w:r>
        <w:rPr>
          <w:spacing w:val="-2"/>
          <w:w w:val="105"/>
          <w:sz w:val="20"/>
        </w:rPr>
        <w:t>billion) into</w:t>
      </w:r>
      <w:r>
        <w:rPr>
          <w:spacing w:val="-11"/>
          <w:w w:val="105"/>
          <w:sz w:val="20"/>
        </w:rPr>
        <w:t> </w:t>
      </w:r>
      <w:r>
        <w:rPr>
          <w:spacing w:val="-2"/>
          <w:w w:val="105"/>
          <w:sz w:val="20"/>
        </w:rPr>
        <w:t>Sinosure.</w:t>
      </w:r>
      <w:r>
        <w:rPr>
          <w:spacing w:val="-11"/>
          <w:w w:val="105"/>
          <w:sz w:val="20"/>
        </w:rPr>
        <w:t> </w:t>
      </w:r>
      <w:r>
        <w:rPr>
          <w:spacing w:val="-2"/>
          <w:w w:val="105"/>
          <w:sz w:val="20"/>
        </w:rPr>
        <w:t>Then,</w:t>
      </w:r>
      <w:r>
        <w:rPr>
          <w:spacing w:val="-11"/>
          <w:w w:val="105"/>
          <w:sz w:val="20"/>
        </w:rPr>
        <w:t> </w:t>
      </w:r>
      <w:r>
        <w:rPr>
          <w:spacing w:val="-2"/>
          <w:w w:val="105"/>
          <w:sz w:val="20"/>
        </w:rPr>
        <w:t>in</w:t>
      </w:r>
      <w:r>
        <w:rPr>
          <w:spacing w:val="-11"/>
          <w:w w:val="105"/>
          <w:sz w:val="20"/>
        </w:rPr>
        <w:t> </w:t>
      </w:r>
      <w:r>
        <w:rPr>
          <w:spacing w:val="-2"/>
          <w:w w:val="105"/>
          <w:sz w:val="20"/>
        </w:rPr>
        <w:t>December</w:t>
      </w:r>
      <w:r>
        <w:rPr>
          <w:spacing w:val="-11"/>
          <w:w w:val="105"/>
          <w:sz w:val="20"/>
        </w:rPr>
        <w:t> </w:t>
      </w:r>
      <w:r>
        <w:rPr>
          <w:spacing w:val="-2"/>
          <w:w w:val="105"/>
          <w:sz w:val="20"/>
        </w:rPr>
        <w:t>2014,</w:t>
      </w:r>
      <w:r>
        <w:rPr>
          <w:spacing w:val="-11"/>
          <w:w w:val="105"/>
          <w:sz w:val="20"/>
        </w:rPr>
        <w:t> </w:t>
      </w:r>
      <w:r>
        <w:rPr>
          <w:spacing w:val="-2"/>
          <w:w w:val="105"/>
          <w:sz w:val="20"/>
        </w:rPr>
        <w:t>SAFE</w:t>
      </w:r>
      <w:r>
        <w:rPr>
          <w:spacing w:val="-11"/>
          <w:w w:val="105"/>
          <w:sz w:val="20"/>
        </w:rPr>
        <w:t> </w:t>
      </w:r>
      <w:r>
        <w:rPr>
          <w:spacing w:val="-2"/>
          <w:w w:val="105"/>
          <w:sz w:val="20"/>
        </w:rPr>
        <w:t>injected</w:t>
      </w:r>
      <w:r>
        <w:rPr>
          <w:spacing w:val="-11"/>
          <w:w w:val="105"/>
          <w:sz w:val="20"/>
        </w:rPr>
        <w:t> </w:t>
      </w:r>
      <w:r>
        <w:rPr>
          <w:spacing w:val="-2"/>
          <w:w w:val="105"/>
          <w:sz w:val="20"/>
        </w:rPr>
        <w:t>$40</w:t>
      </w:r>
      <w:r>
        <w:rPr>
          <w:spacing w:val="-11"/>
          <w:w w:val="105"/>
          <w:sz w:val="20"/>
        </w:rPr>
        <w:t> </w:t>
      </w:r>
      <w:r>
        <w:rPr>
          <w:spacing w:val="-2"/>
          <w:w w:val="105"/>
          <w:sz w:val="20"/>
        </w:rPr>
        <w:t>billion</w:t>
      </w:r>
      <w:r>
        <w:rPr>
          <w:spacing w:val="-11"/>
          <w:w w:val="105"/>
          <w:sz w:val="20"/>
        </w:rPr>
        <w:t> </w:t>
      </w:r>
      <w:r>
        <w:rPr>
          <w:spacing w:val="-2"/>
          <w:w w:val="105"/>
          <w:sz w:val="20"/>
        </w:rPr>
        <w:t>into</w:t>
      </w:r>
      <w:r>
        <w:rPr>
          <w:spacing w:val="-11"/>
          <w:w w:val="105"/>
          <w:sz w:val="20"/>
        </w:rPr>
        <w:t> </w:t>
      </w:r>
      <w:r>
        <w:rPr>
          <w:spacing w:val="-2"/>
          <w:w w:val="105"/>
          <w:sz w:val="20"/>
        </w:rPr>
        <w:t>the</w:t>
      </w:r>
      <w:r>
        <w:rPr>
          <w:spacing w:val="-11"/>
          <w:w w:val="105"/>
          <w:sz w:val="20"/>
        </w:rPr>
        <w:t> </w:t>
      </w:r>
      <w:r>
        <w:rPr>
          <w:spacing w:val="-2"/>
          <w:w w:val="105"/>
          <w:sz w:val="20"/>
        </w:rPr>
        <w:t>Silk</w:t>
      </w:r>
      <w:r>
        <w:rPr>
          <w:spacing w:val="-11"/>
          <w:w w:val="105"/>
          <w:sz w:val="20"/>
        </w:rPr>
        <w:t> </w:t>
      </w:r>
      <w:r>
        <w:rPr>
          <w:spacing w:val="-2"/>
          <w:w w:val="105"/>
          <w:sz w:val="20"/>
        </w:rPr>
        <w:t>Road</w:t>
      </w:r>
      <w:r>
        <w:rPr>
          <w:spacing w:val="-11"/>
          <w:w w:val="105"/>
          <w:sz w:val="20"/>
        </w:rPr>
        <w:t> </w:t>
      </w:r>
      <w:r>
        <w:rPr>
          <w:spacing w:val="-2"/>
          <w:w w:val="105"/>
          <w:sz w:val="20"/>
        </w:rPr>
        <w:t>Fund </w:t>
      </w:r>
      <w:r>
        <w:rPr>
          <w:sz w:val="20"/>
        </w:rPr>
        <w:t>through a subsidiary known as Buttonwood Investment Holding Company Ltd.</w:t>
      </w:r>
      <w:r>
        <w:rPr>
          <w:sz w:val="20"/>
          <w:vertAlign w:val="superscript"/>
        </w:rPr>
        <w:t>118</w:t>
      </w:r>
      <w:r>
        <w:rPr>
          <w:sz w:val="20"/>
          <w:vertAlign w:val="baseline"/>
        </w:rPr>
        <w:t> SAFE injected</w:t>
      </w:r>
    </w:p>
    <w:p>
      <w:pPr>
        <w:spacing w:line="300" w:lineRule="auto" w:before="3"/>
        <w:ind w:left="760" w:right="767" w:firstLine="0"/>
        <w:jc w:val="left"/>
        <w:rPr>
          <w:sz w:val="20"/>
        </w:rPr>
      </w:pPr>
      <w:r>
        <w:rPr>
          <w:sz w:val="20"/>
        </w:rPr>
        <w:t>$48 billion into CDB and $45 billion into China Eximbank in July 2015 through wholly-owned subsidiaries (known as Wutongshu Investment Platform Co. Ltd, Sycamore Tree Investment Platform, and Buttonwood Investment Holding Company Ltd.). SAFE also purchased equity</w:t>
      </w:r>
    </w:p>
    <w:p>
      <w:pPr>
        <w:pStyle w:val="BodyText"/>
        <w:spacing w:before="1"/>
        <w:rPr>
          <w:sz w:val="16"/>
        </w:rPr>
      </w:pPr>
      <w:r>
        <w:rPr/>
        <w:pict>
          <v:shape style="position:absolute;margin-left:90pt;margin-top:10.470410pt;width:144pt;height:.1pt;mso-position-horizontal-relative:page;mso-position-vertical-relative:paragraph;z-index:-15715840;mso-wrap-distance-left:0;mso-wrap-distance-right:0" id="docshape29" coordorigin="1800,209" coordsize="2880,0" path="m1800,209l4680,209e" filled="false" stroked="true" strokeweight=".75pt" strokecolor="#000000">
            <v:path arrowok="t"/>
            <v:stroke dashstyle="solid"/>
            <w10:wrap type="topAndBottom"/>
          </v:shape>
        </w:pict>
      </w:r>
    </w:p>
    <w:p>
      <w:pPr>
        <w:spacing w:line="249" w:lineRule="auto" w:before="110"/>
        <w:ind w:left="760" w:right="838" w:firstLine="0"/>
        <w:jc w:val="left"/>
        <w:rPr>
          <w:sz w:val="18"/>
        </w:rPr>
      </w:pPr>
      <w:r>
        <w:rPr>
          <w:sz w:val="18"/>
          <w:vertAlign w:val="superscript"/>
        </w:rPr>
        <w:t>113</w:t>
      </w:r>
      <w:r>
        <w:rPr>
          <w:sz w:val="18"/>
          <w:vertAlign w:val="baseline"/>
        </w:rPr>
        <w:t> Central Huijin injected RMB 130 billion ($19 billion) into the Agricultural Bank of China in </w:t>
      </w:r>
      <w:r>
        <w:rPr>
          <w:sz w:val="18"/>
          <w:vertAlign w:val="baseline"/>
        </w:rPr>
        <w:t>November </w:t>
      </w:r>
      <w:r>
        <w:rPr>
          <w:w w:val="105"/>
          <w:sz w:val="18"/>
          <w:vertAlign w:val="baseline"/>
        </w:rPr>
        <w:t>2008.</w:t>
      </w:r>
      <w:r>
        <w:rPr>
          <w:spacing w:val="-12"/>
          <w:w w:val="105"/>
          <w:sz w:val="18"/>
          <w:vertAlign w:val="baseline"/>
        </w:rPr>
        <w:t> </w:t>
      </w:r>
      <w:r>
        <w:rPr>
          <w:w w:val="105"/>
          <w:sz w:val="18"/>
          <w:vertAlign w:val="baseline"/>
        </w:rPr>
        <w:t>However,</w:t>
      </w:r>
      <w:r>
        <w:rPr>
          <w:spacing w:val="-12"/>
          <w:w w:val="105"/>
          <w:sz w:val="18"/>
          <w:vertAlign w:val="baseline"/>
        </w:rPr>
        <w:t> </w:t>
      </w:r>
      <w:r>
        <w:rPr>
          <w:w w:val="105"/>
          <w:sz w:val="18"/>
          <w:vertAlign w:val="baseline"/>
        </w:rPr>
        <w:t>it</w:t>
      </w:r>
      <w:r>
        <w:rPr>
          <w:spacing w:val="-12"/>
          <w:w w:val="105"/>
          <w:sz w:val="18"/>
          <w:vertAlign w:val="baseline"/>
        </w:rPr>
        <w:t> </w:t>
      </w:r>
      <w:r>
        <w:rPr>
          <w:w w:val="105"/>
          <w:sz w:val="18"/>
          <w:vertAlign w:val="baseline"/>
        </w:rPr>
        <w:t>was</w:t>
      </w:r>
      <w:r>
        <w:rPr>
          <w:spacing w:val="-12"/>
          <w:w w:val="105"/>
          <w:sz w:val="18"/>
          <w:vertAlign w:val="baseline"/>
        </w:rPr>
        <w:t> </w:t>
      </w:r>
      <w:r>
        <w:rPr>
          <w:w w:val="105"/>
          <w:sz w:val="18"/>
          <w:vertAlign w:val="baseline"/>
        </w:rPr>
        <w:t>no</w:t>
      </w:r>
      <w:r>
        <w:rPr>
          <w:spacing w:val="-12"/>
          <w:w w:val="105"/>
          <w:sz w:val="18"/>
          <w:vertAlign w:val="baseline"/>
        </w:rPr>
        <w:t> </w:t>
      </w:r>
      <w:r>
        <w:rPr>
          <w:w w:val="105"/>
          <w:sz w:val="18"/>
          <w:vertAlign w:val="baseline"/>
        </w:rPr>
        <w:t>longer</w:t>
      </w:r>
      <w:r>
        <w:rPr>
          <w:spacing w:val="-12"/>
          <w:w w:val="105"/>
          <w:sz w:val="18"/>
          <w:vertAlign w:val="baseline"/>
        </w:rPr>
        <w:t> </w:t>
      </w:r>
      <w:r>
        <w:rPr>
          <w:w w:val="105"/>
          <w:sz w:val="18"/>
          <w:vertAlign w:val="baseline"/>
        </w:rPr>
        <w:t>a</w:t>
      </w:r>
      <w:r>
        <w:rPr>
          <w:spacing w:val="-12"/>
          <w:w w:val="105"/>
          <w:sz w:val="18"/>
          <w:vertAlign w:val="baseline"/>
        </w:rPr>
        <w:t> </w:t>
      </w:r>
      <w:r>
        <w:rPr>
          <w:w w:val="105"/>
          <w:sz w:val="18"/>
          <w:vertAlign w:val="baseline"/>
        </w:rPr>
        <w:t>wholly-owned</w:t>
      </w:r>
      <w:r>
        <w:rPr>
          <w:spacing w:val="-12"/>
          <w:w w:val="105"/>
          <w:sz w:val="18"/>
          <w:vertAlign w:val="baseline"/>
        </w:rPr>
        <w:t> </w:t>
      </w:r>
      <w:r>
        <w:rPr>
          <w:w w:val="105"/>
          <w:sz w:val="18"/>
          <w:vertAlign w:val="baseline"/>
        </w:rPr>
        <w:t>subsidiary</w:t>
      </w:r>
      <w:r>
        <w:rPr>
          <w:spacing w:val="-12"/>
          <w:w w:val="105"/>
          <w:sz w:val="18"/>
          <w:vertAlign w:val="baseline"/>
        </w:rPr>
        <w:t> </w:t>
      </w:r>
      <w:r>
        <w:rPr>
          <w:w w:val="105"/>
          <w:sz w:val="18"/>
          <w:vertAlign w:val="baseline"/>
        </w:rPr>
        <w:t>of</w:t>
      </w:r>
      <w:r>
        <w:rPr>
          <w:spacing w:val="-12"/>
          <w:w w:val="105"/>
          <w:sz w:val="18"/>
          <w:vertAlign w:val="baseline"/>
        </w:rPr>
        <w:t> </w:t>
      </w:r>
      <w:r>
        <w:rPr>
          <w:w w:val="105"/>
          <w:sz w:val="18"/>
          <w:vertAlign w:val="baseline"/>
        </w:rPr>
        <w:t>SAFE</w:t>
      </w:r>
      <w:r>
        <w:rPr>
          <w:spacing w:val="-12"/>
          <w:w w:val="105"/>
          <w:sz w:val="18"/>
          <w:vertAlign w:val="baseline"/>
        </w:rPr>
        <w:t> </w:t>
      </w:r>
      <w:r>
        <w:rPr>
          <w:w w:val="105"/>
          <w:sz w:val="18"/>
          <w:vertAlign w:val="baseline"/>
        </w:rPr>
        <w:t>at</w:t>
      </w:r>
      <w:r>
        <w:rPr>
          <w:spacing w:val="-12"/>
          <w:w w:val="105"/>
          <w:sz w:val="18"/>
          <w:vertAlign w:val="baseline"/>
        </w:rPr>
        <w:t> </w:t>
      </w:r>
      <w:r>
        <w:rPr>
          <w:w w:val="105"/>
          <w:sz w:val="18"/>
          <w:vertAlign w:val="baseline"/>
        </w:rPr>
        <w:t>the</w:t>
      </w:r>
      <w:r>
        <w:rPr>
          <w:spacing w:val="-12"/>
          <w:w w:val="105"/>
          <w:sz w:val="18"/>
          <w:vertAlign w:val="baseline"/>
        </w:rPr>
        <w:t> </w:t>
      </w:r>
      <w:r>
        <w:rPr>
          <w:w w:val="105"/>
          <w:sz w:val="18"/>
          <w:vertAlign w:val="baseline"/>
        </w:rPr>
        <w:t>time.</w:t>
      </w:r>
    </w:p>
    <w:p>
      <w:pPr>
        <w:spacing w:before="1"/>
        <w:ind w:left="760" w:right="0" w:firstLine="0"/>
        <w:jc w:val="left"/>
        <w:rPr>
          <w:sz w:val="18"/>
        </w:rPr>
      </w:pPr>
      <w:r>
        <w:rPr>
          <w:sz w:val="18"/>
          <w:vertAlign w:val="superscript"/>
        </w:rPr>
        <w:t>114</w:t>
      </w:r>
      <w:r>
        <w:rPr>
          <w:spacing w:val="-5"/>
          <w:sz w:val="18"/>
          <w:vertAlign w:val="baseline"/>
        </w:rPr>
        <w:t> </w:t>
      </w:r>
      <w:r>
        <w:rPr>
          <w:sz w:val="18"/>
          <w:vertAlign w:val="baseline"/>
        </w:rPr>
        <w:t>Nine</w:t>
      </w:r>
      <w:r>
        <w:rPr>
          <w:spacing w:val="-3"/>
          <w:sz w:val="18"/>
          <w:vertAlign w:val="baseline"/>
        </w:rPr>
        <w:t> </w:t>
      </w:r>
      <w:r>
        <w:rPr>
          <w:sz w:val="18"/>
          <w:vertAlign w:val="baseline"/>
        </w:rPr>
        <w:t>foreign</w:t>
      </w:r>
      <w:r>
        <w:rPr>
          <w:spacing w:val="-4"/>
          <w:sz w:val="18"/>
          <w:vertAlign w:val="baseline"/>
        </w:rPr>
        <w:t> </w:t>
      </w:r>
      <w:r>
        <w:rPr>
          <w:sz w:val="18"/>
          <w:vertAlign w:val="baseline"/>
        </w:rPr>
        <w:t>reserve</w:t>
      </w:r>
      <w:r>
        <w:rPr>
          <w:spacing w:val="-3"/>
          <w:sz w:val="18"/>
          <w:vertAlign w:val="baseline"/>
        </w:rPr>
        <w:t> </w:t>
      </w:r>
      <w:r>
        <w:rPr>
          <w:sz w:val="18"/>
          <w:vertAlign w:val="baseline"/>
        </w:rPr>
        <w:t>entrusted</w:t>
      </w:r>
      <w:r>
        <w:rPr>
          <w:spacing w:val="-3"/>
          <w:sz w:val="18"/>
          <w:vertAlign w:val="baseline"/>
        </w:rPr>
        <w:t> </w:t>
      </w:r>
      <w:r>
        <w:rPr>
          <w:sz w:val="18"/>
          <w:vertAlign w:val="baseline"/>
        </w:rPr>
        <w:t>loan</w:t>
      </w:r>
      <w:r>
        <w:rPr>
          <w:spacing w:val="-4"/>
          <w:sz w:val="18"/>
          <w:vertAlign w:val="baseline"/>
        </w:rPr>
        <w:t> </w:t>
      </w:r>
      <w:r>
        <w:rPr>
          <w:sz w:val="18"/>
          <w:vertAlign w:val="baseline"/>
        </w:rPr>
        <w:t>agreements</w:t>
      </w:r>
      <w:r>
        <w:rPr>
          <w:spacing w:val="-3"/>
          <w:sz w:val="18"/>
          <w:vertAlign w:val="baseline"/>
        </w:rPr>
        <w:t> </w:t>
      </w:r>
      <w:r>
        <w:rPr>
          <w:sz w:val="18"/>
          <w:vertAlign w:val="baseline"/>
        </w:rPr>
        <w:t>were</w:t>
      </w:r>
      <w:r>
        <w:rPr>
          <w:spacing w:val="-4"/>
          <w:sz w:val="18"/>
          <w:vertAlign w:val="baseline"/>
        </w:rPr>
        <w:t> </w:t>
      </w:r>
      <w:r>
        <w:rPr>
          <w:sz w:val="18"/>
          <w:vertAlign w:val="baseline"/>
        </w:rPr>
        <w:t>signed</w:t>
      </w:r>
      <w:r>
        <w:rPr>
          <w:spacing w:val="-3"/>
          <w:sz w:val="18"/>
          <w:vertAlign w:val="baseline"/>
        </w:rPr>
        <w:t> </w:t>
      </w:r>
      <w:r>
        <w:rPr>
          <w:sz w:val="18"/>
          <w:vertAlign w:val="baseline"/>
        </w:rPr>
        <w:t>by</w:t>
      </w:r>
      <w:r>
        <w:rPr>
          <w:spacing w:val="-3"/>
          <w:sz w:val="18"/>
          <w:vertAlign w:val="baseline"/>
        </w:rPr>
        <w:t> </w:t>
      </w:r>
      <w:r>
        <w:rPr>
          <w:sz w:val="18"/>
          <w:vertAlign w:val="baseline"/>
        </w:rPr>
        <w:t>SAFE</w:t>
      </w:r>
      <w:r>
        <w:rPr>
          <w:spacing w:val="-4"/>
          <w:sz w:val="18"/>
          <w:vertAlign w:val="baseline"/>
        </w:rPr>
        <w:t> </w:t>
      </w:r>
      <w:r>
        <w:rPr>
          <w:sz w:val="18"/>
          <w:vertAlign w:val="baseline"/>
        </w:rPr>
        <w:t>and</w:t>
      </w:r>
      <w:r>
        <w:rPr>
          <w:spacing w:val="-3"/>
          <w:sz w:val="18"/>
          <w:vertAlign w:val="baseline"/>
        </w:rPr>
        <w:t> </w:t>
      </w:r>
      <w:r>
        <w:rPr>
          <w:sz w:val="18"/>
          <w:vertAlign w:val="baseline"/>
        </w:rPr>
        <w:t>CDB</w:t>
      </w:r>
      <w:r>
        <w:rPr>
          <w:spacing w:val="-4"/>
          <w:sz w:val="18"/>
          <w:vertAlign w:val="baseline"/>
        </w:rPr>
        <w:t> </w:t>
      </w:r>
      <w:r>
        <w:rPr>
          <w:sz w:val="18"/>
          <w:vertAlign w:val="baseline"/>
        </w:rPr>
        <w:t>in</w:t>
      </w:r>
      <w:r>
        <w:rPr>
          <w:spacing w:val="-3"/>
          <w:sz w:val="18"/>
          <w:vertAlign w:val="baseline"/>
        </w:rPr>
        <w:t> </w:t>
      </w:r>
      <w:r>
        <w:rPr>
          <w:sz w:val="18"/>
          <w:vertAlign w:val="baseline"/>
        </w:rPr>
        <w:t>May</w:t>
      </w:r>
      <w:r>
        <w:rPr>
          <w:spacing w:val="-3"/>
          <w:sz w:val="18"/>
          <w:vertAlign w:val="baseline"/>
        </w:rPr>
        <w:t> </w:t>
      </w:r>
      <w:r>
        <w:rPr>
          <w:spacing w:val="-2"/>
          <w:sz w:val="18"/>
          <w:vertAlign w:val="baseline"/>
        </w:rPr>
        <w:t>2010.</w:t>
      </w:r>
    </w:p>
    <w:p>
      <w:pPr>
        <w:spacing w:line="249" w:lineRule="auto" w:before="10"/>
        <w:ind w:left="760" w:right="767" w:firstLine="0"/>
        <w:jc w:val="left"/>
        <w:rPr>
          <w:sz w:val="18"/>
        </w:rPr>
      </w:pPr>
      <w:r>
        <w:rPr>
          <w:sz w:val="18"/>
          <w:vertAlign w:val="superscript"/>
        </w:rPr>
        <w:t>115</w:t>
      </w:r>
      <w:r>
        <w:rPr>
          <w:spacing w:val="-8"/>
          <w:sz w:val="18"/>
          <w:vertAlign w:val="baseline"/>
        </w:rPr>
        <w:t> </w:t>
      </w:r>
      <w:r>
        <w:rPr>
          <w:sz w:val="18"/>
          <w:vertAlign w:val="baseline"/>
        </w:rPr>
        <w:t>However,</w:t>
      </w:r>
      <w:r>
        <w:rPr>
          <w:spacing w:val="-7"/>
          <w:sz w:val="18"/>
          <w:vertAlign w:val="baseline"/>
        </w:rPr>
        <w:t> </w:t>
      </w:r>
      <w:r>
        <w:rPr>
          <w:sz w:val="18"/>
          <w:vertAlign w:val="baseline"/>
        </w:rPr>
        <w:t>as</w:t>
      </w:r>
      <w:r>
        <w:rPr>
          <w:spacing w:val="-7"/>
          <w:sz w:val="18"/>
          <w:vertAlign w:val="baseline"/>
        </w:rPr>
        <w:t> </w:t>
      </w:r>
      <w:r>
        <w:rPr>
          <w:sz w:val="18"/>
          <w:vertAlign w:val="baseline"/>
        </w:rPr>
        <w:t>a</w:t>
      </w:r>
      <w:r>
        <w:rPr>
          <w:spacing w:val="-7"/>
          <w:sz w:val="18"/>
          <w:vertAlign w:val="baseline"/>
        </w:rPr>
        <w:t> </w:t>
      </w:r>
      <w:r>
        <w:rPr>
          <w:sz w:val="18"/>
          <w:vertAlign w:val="baseline"/>
        </w:rPr>
        <w:t>ﬁduciary</w:t>
      </w:r>
      <w:r>
        <w:rPr>
          <w:spacing w:val="-7"/>
          <w:sz w:val="18"/>
          <w:vertAlign w:val="baseline"/>
        </w:rPr>
        <w:t> </w:t>
      </w:r>
      <w:r>
        <w:rPr>
          <w:sz w:val="18"/>
          <w:vertAlign w:val="baseline"/>
        </w:rPr>
        <w:t>acting</w:t>
      </w:r>
      <w:r>
        <w:rPr>
          <w:spacing w:val="-7"/>
          <w:sz w:val="18"/>
          <w:vertAlign w:val="baseline"/>
        </w:rPr>
        <w:t> </w:t>
      </w:r>
      <w:r>
        <w:rPr>
          <w:sz w:val="18"/>
          <w:vertAlign w:val="baseline"/>
        </w:rPr>
        <w:t>on</w:t>
      </w:r>
      <w:r>
        <w:rPr>
          <w:spacing w:val="-7"/>
          <w:sz w:val="18"/>
          <w:vertAlign w:val="baseline"/>
        </w:rPr>
        <w:t> </w:t>
      </w:r>
      <w:r>
        <w:rPr>
          <w:sz w:val="18"/>
          <w:vertAlign w:val="baseline"/>
        </w:rPr>
        <w:t>behalf</w:t>
      </w:r>
      <w:r>
        <w:rPr>
          <w:spacing w:val="-7"/>
          <w:sz w:val="18"/>
          <w:vertAlign w:val="baseline"/>
        </w:rPr>
        <w:t> </w:t>
      </w:r>
      <w:r>
        <w:rPr>
          <w:sz w:val="18"/>
          <w:vertAlign w:val="baseline"/>
        </w:rPr>
        <w:t>of</w:t>
      </w:r>
      <w:r>
        <w:rPr>
          <w:spacing w:val="-7"/>
          <w:sz w:val="18"/>
          <w:vertAlign w:val="baseline"/>
        </w:rPr>
        <w:t> </w:t>
      </w:r>
      <w:r>
        <w:rPr>
          <w:sz w:val="18"/>
          <w:vertAlign w:val="baseline"/>
        </w:rPr>
        <w:t>SAFE</w:t>
      </w:r>
      <w:r>
        <w:rPr>
          <w:spacing w:val="-7"/>
          <w:sz w:val="18"/>
          <w:vertAlign w:val="baseline"/>
        </w:rPr>
        <w:t> </w:t>
      </w:r>
      <w:r>
        <w:rPr>
          <w:sz w:val="18"/>
          <w:vertAlign w:val="baseline"/>
        </w:rPr>
        <w:t>(in</w:t>
      </w:r>
      <w:r>
        <w:rPr>
          <w:spacing w:val="-7"/>
          <w:sz w:val="18"/>
          <w:vertAlign w:val="baseline"/>
        </w:rPr>
        <w:t> </w:t>
      </w:r>
      <w:r>
        <w:rPr>
          <w:sz w:val="18"/>
          <w:vertAlign w:val="baseline"/>
        </w:rPr>
        <w:t>exchange</w:t>
      </w:r>
      <w:r>
        <w:rPr>
          <w:spacing w:val="-7"/>
          <w:sz w:val="18"/>
          <w:vertAlign w:val="baseline"/>
        </w:rPr>
        <w:t> </w:t>
      </w:r>
      <w:r>
        <w:rPr>
          <w:sz w:val="18"/>
          <w:vertAlign w:val="baseline"/>
        </w:rPr>
        <w:t>for</w:t>
      </w:r>
      <w:r>
        <w:rPr>
          <w:spacing w:val="-7"/>
          <w:sz w:val="18"/>
          <w:vertAlign w:val="baseline"/>
        </w:rPr>
        <w:t> </w:t>
      </w:r>
      <w:r>
        <w:rPr>
          <w:sz w:val="18"/>
          <w:vertAlign w:val="baseline"/>
        </w:rPr>
        <w:t>a</w:t>
      </w:r>
      <w:r>
        <w:rPr>
          <w:spacing w:val="-7"/>
          <w:sz w:val="18"/>
          <w:vertAlign w:val="baseline"/>
        </w:rPr>
        <w:t> </w:t>
      </w:r>
      <w:r>
        <w:rPr>
          <w:sz w:val="18"/>
          <w:vertAlign w:val="baseline"/>
        </w:rPr>
        <w:t>commission),</w:t>
      </w:r>
      <w:r>
        <w:rPr>
          <w:spacing w:val="-7"/>
          <w:sz w:val="18"/>
          <w:vertAlign w:val="baseline"/>
        </w:rPr>
        <w:t> </w:t>
      </w:r>
      <w:r>
        <w:rPr>
          <w:sz w:val="18"/>
          <w:vertAlign w:val="baseline"/>
        </w:rPr>
        <w:t>it</w:t>
      </w:r>
      <w:r>
        <w:rPr>
          <w:spacing w:val="-7"/>
          <w:sz w:val="18"/>
          <w:vertAlign w:val="baseline"/>
        </w:rPr>
        <w:t> </w:t>
      </w:r>
      <w:r>
        <w:rPr>
          <w:sz w:val="18"/>
          <w:vertAlign w:val="baseline"/>
        </w:rPr>
        <w:t>does</w:t>
      </w:r>
      <w:r>
        <w:rPr>
          <w:spacing w:val="-7"/>
          <w:sz w:val="18"/>
          <w:vertAlign w:val="baseline"/>
        </w:rPr>
        <w:t> </w:t>
      </w:r>
      <w:r>
        <w:rPr>
          <w:sz w:val="18"/>
          <w:vertAlign w:val="baseline"/>
        </w:rPr>
        <w:t>not</w:t>
      </w:r>
      <w:r>
        <w:rPr>
          <w:spacing w:val="-7"/>
          <w:sz w:val="18"/>
          <w:vertAlign w:val="baseline"/>
        </w:rPr>
        <w:t> </w:t>
      </w:r>
      <w:r>
        <w:rPr>
          <w:sz w:val="18"/>
          <w:vertAlign w:val="baseline"/>
        </w:rPr>
        <w:t>assume</w:t>
      </w:r>
      <w:r>
        <w:rPr>
          <w:spacing w:val="-7"/>
          <w:sz w:val="18"/>
          <w:vertAlign w:val="baseline"/>
        </w:rPr>
        <w:t> </w:t>
      </w:r>
      <w:r>
        <w:rPr>
          <w:sz w:val="18"/>
          <w:vertAlign w:val="baseline"/>
        </w:rPr>
        <w:t>any of the risks or rewards of the entrusted loans. As such, CDB records entrusted loans as off-balance sheet </w:t>
      </w:r>
      <w:r>
        <w:rPr>
          <w:spacing w:val="-2"/>
          <w:sz w:val="18"/>
          <w:vertAlign w:val="baseline"/>
        </w:rPr>
        <w:t>items.</w:t>
      </w:r>
    </w:p>
    <w:p>
      <w:pPr>
        <w:spacing w:line="249" w:lineRule="auto" w:before="2"/>
        <w:ind w:left="760" w:right="855" w:firstLine="0"/>
        <w:jc w:val="left"/>
        <w:rPr>
          <w:sz w:val="18"/>
        </w:rPr>
      </w:pPr>
      <w:r>
        <w:rPr>
          <w:sz w:val="18"/>
          <w:vertAlign w:val="superscript"/>
        </w:rPr>
        <w:t>116</w:t>
      </w:r>
      <w:r>
        <w:rPr>
          <w:sz w:val="18"/>
          <w:vertAlign w:val="baseline"/>
        </w:rPr>
        <w:t> According to Liu (2023: 174), “SAFE does have a minimum return target for the foreign exchange entrusted loans of about 2.5 percent, calculated as a spread of several basis points above the international benchmark</w:t>
      </w:r>
      <w:r>
        <w:rPr>
          <w:spacing w:val="-1"/>
          <w:sz w:val="18"/>
          <w:vertAlign w:val="baseline"/>
        </w:rPr>
        <w:t> </w:t>
      </w:r>
      <w:r>
        <w:rPr>
          <w:sz w:val="18"/>
          <w:vertAlign w:val="baseline"/>
        </w:rPr>
        <w:t>bank-lending</w:t>
      </w:r>
      <w:r>
        <w:rPr>
          <w:spacing w:val="-1"/>
          <w:sz w:val="18"/>
          <w:vertAlign w:val="baseline"/>
        </w:rPr>
        <w:t> </w:t>
      </w:r>
      <w:r>
        <w:rPr>
          <w:sz w:val="18"/>
          <w:vertAlign w:val="baseline"/>
        </w:rPr>
        <w:t>rate,</w:t>
      </w:r>
      <w:r>
        <w:rPr>
          <w:spacing w:val="-1"/>
          <w:sz w:val="18"/>
          <w:vertAlign w:val="baseline"/>
        </w:rPr>
        <w:t> </w:t>
      </w:r>
      <w:r>
        <w:rPr>
          <w:sz w:val="18"/>
          <w:vertAlign w:val="baseline"/>
        </w:rPr>
        <w:t>LIBOR.</w:t>
      </w:r>
      <w:r>
        <w:rPr>
          <w:spacing w:val="-1"/>
          <w:sz w:val="18"/>
          <w:vertAlign w:val="baseline"/>
        </w:rPr>
        <w:t> </w:t>
      </w:r>
      <w:r>
        <w:rPr>
          <w:sz w:val="18"/>
          <w:vertAlign w:val="baseline"/>
        </w:rPr>
        <w:t>In</w:t>
      </w:r>
      <w:r>
        <w:rPr>
          <w:spacing w:val="-1"/>
          <w:sz w:val="18"/>
          <w:vertAlign w:val="baseline"/>
        </w:rPr>
        <w:t> </w:t>
      </w:r>
      <w:r>
        <w:rPr>
          <w:sz w:val="18"/>
          <w:vertAlign w:val="baseline"/>
        </w:rPr>
        <w:t>2012</w:t>
      </w:r>
      <w:r>
        <w:rPr>
          <w:spacing w:val="-1"/>
          <w:sz w:val="18"/>
          <w:vertAlign w:val="baseline"/>
        </w:rPr>
        <w:t> </w:t>
      </w:r>
      <w:r>
        <w:rPr>
          <w:sz w:val="18"/>
          <w:vertAlign w:val="baseline"/>
        </w:rPr>
        <w:t>and</w:t>
      </w:r>
      <w:r>
        <w:rPr>
          <w:spacing w:val="-1"/>
          <w:sz w:val="18"/>
          <w:vertAlign w:val="baseline"/>
        </w:rPr>
        <w:t> </w:t>
      </w:r>
      <w:r>
        <w:rPr>
          <w:sz w:val="18"/>
          <w:vertAlign w:val="baseline"/>
        </w:rPr>
        <w:t>2013,</w:t>
      </w:r>
      <w:r>
        <w:rPr>
          <w:spacing w:val="-1"/>
          <w:sz w:val="18"/>
          <w:vertAlign w:val="baseline"/>
        </w:rPr>
        <w:t> </w:t>
      </w:r>
      <w:r>
        <w:rPr>
          <w:sz w:val="18"/>
          <w:vertAlign w:val="baseline"/>
        </w:rPr>
        <w:t>an</w:t>
      </w:r>
      <w:r>
        <w:rPr>
          <w:spacing w:val="-1"/>
          <w:sz w:val="18"/>
          <w:vertAlign w:val="baseline"/>
        </w:rPr>
        <w:t> </w:t>
      </w:r>
      <w:r>
        <w:rPr>
          <w:sz w:val="18"/>
          <w:vertAlign w:val="baseline"/>
        </w:rPr>
        <w:t>interest</w:t>
      </w:r>
      <w:r>
        <w:rPr>
          <w:spacing w:val="-1"/>
          <w:sz w:val="18"/>
          <w:vertAlign w:val="baseline"/>
        </w:rPr>
        <w:t> </w:t>
      </w:r>
      <w:r>
        <w:rPr>
          <w:sz w:val="18"/>
          <w:vertAlign w:val="baseline"/>
        </w:rPr>
        <w:t>rate</w:t>
      </w:r>
      <w:r>
        <w:rPr>
          <w:spacing w:val="-1"/>
          <w:sz w:val="18"/>
          <w:vertAlign w:val="baseline"/>
        </w:rPr>
        <w:t> </w:t>
      </w:r>
      <w:r>
        <w:rPr>
          <w:sz w:val="18"/>
          <w:vertAlign w:val="baseline"/>
        </w:rPr>
        <w:t>of</w:t>
      </w:r>
      <w:r>
        <w:rPr>
          <w:spacing w:val="-1"/>
          <w:sz w:val="18"/>
          <w:vertAlign w:val="baseline"/>
        </w:rPr>
        <w:t> </w:t>
      </w:r>
      <w:r>
        <w:rPr>
          <w:sz w:val="18"/>
          <w:vertAlign w:val="baseline"/>
        </w:rPr>
        <w:t>2.5</w:t>
      </w:r>
      <w:r>
        <w:rPr>
          <w:spacing w:val="-1"/>
          <w:sz w:val="18"/>
          <w:vertAlign w:val="baseline"/>
        </w:rPr>
        <w:t> </w:t>
      </w:r>
      <w:r>
        <w:rPr>
          <w:sz w:val="18"/>
          <w:vertAlign w:val="baseline"/>
        </w:rPr>
        <w:t>percent</w:t>
      </w:r>
      <w:r>
        <w:rPr>
          <w:spacing w:val="-1"/>
          <w:sz w:val="18"/>
          <w:vertAlign w:val="baseline"/>
        </w:rPr>
        <w:t> </w:t>
      </w:r>
      <w:r>
        <w:rPr>
          <w:sz w:val="18"/>
          <w:vertAlign w:val="baseline"/>
        </w:rPr>
        <w:t>was</w:t>
      </w:r>
      <w:r>
        <w:rPr>
          <w:spacing w:val="-1"/>
          <w:sz w:val="18"/>
          <w:vertAlign w:val="baseline"/>
        </w:rPr>
        <w:t> </w:t>
      </w:r>
      <w:r>
        <w:rPr>
          <w:sz w:val="18"/>
          <w:vertAlign w:val="baseline"/>
        </w:rPr>
        <w:t>not</w:t>
      </w:r>
      <w:r>
        <w:rPr>
          <w:spacing w:val="-1"/>
          <w:sz w:val="18"/>
          <w:vertAlign w:val="baseline"/>
        </w:rPr>
        <w:t> </w:t>
      </w:r>
      <w:r>
        <w:rPr>
          <w:sz w:val="18"/>
          <w:vertAlign w:val="baseline"/>
        </w:rPr>
        <w:t>particularly low in an environment of quantitative easing in the EU and the United States; at the end of 2012 the US ten-year Treasury note, a proxy for the risk-free rate, was only 1.5 percent.”</w:t>
      </w:r>
    </w:p>
    <w:p>
      <w:pPr>
        <w:spacing w:line="249" w:lineRule="auto" w:before="3"/>
        <w:ind w:left="760" w:right="794" w:firstLine="0"/>
        <w:jc w:val="left"/>
        <w:rPr>
          <w:sz w:val="18"/>
        </w:rPr>
      </w:pPr>
      <w:r>
        <w:rPr>
          <w:sz w:val="18"/>
          <w:vertAlign w:val="superscript"/>
        </w:rPr>
        <w:t>117</w:t>
      </w:r>
      <w:r>
        <w:rPr>
          <w:spacing w:val="-2"/>
          <w:sz w:val="18"/>
          <w:vertAlign w:val="baseline"/>
        </w:rPr>
        <w:t> </w:t>
      </w:r>
      <w:r>
        <w:rPr>
          <w:sz w:val="18"/>
          <w:vertAlign w:val="baseline"/>
        </w:rPr>
        <w:t>At</w:t>
      </w:r>
      <w:r>
        <w:rPr>
          <w:spacing w:val="-1"/>
          <w:sz w:val="18"/>
          <w:vertAlign w:val="baseline"/>
        </w:rPr>
        <w:t> </w:t>
      </w:r>
      <w:r>
        <w:rPr>
          <w:sz w:val="18"/>
          <w:vertAlign w:val="baseline"/>
        </w:rPr>
        <w:t>that</w:t>
      </w:r>
      <w:r>
        <w:rPr>
          <w:spacing w:val="-1"/>
          <w:sz w:val="18"/>
          <w:vertAlign w:val="baseline"/>
        </w:rPr>
        <w:t> </w:t>
      </w:r>
      <w:r>
        <w:rPr>
          <w:sz w:val="18"/>
          <w:vertAlign w:val="baseline"/>
        </w:rPr>
        <w:t>time,</w:t>
      </w:r>
      <w:r>
        <w:rPr>
          <w:spacing w:val="-1"/>
          <w:sz w:val="18"/>
          <w:vertAlign w:val="baseline"/>
        </w:rPr>
        <w:t> </w:t>
      </w:r>
      <w:r>
        <w:rPr>
          <w:sz w:val="18"/>
          <w:vertAlign w:val="baseline"/>
        </w:rPr>
        <w:t>SAFE</w:t>
      </w:r>
      <w:r>
        <w:rPr>
          <w:spacing w:val="-1"/>
          <w:sz w:val="18"/>
          <w:vertAlign w:val="baseline"/>
        </w:rPr>
        <w:t> </w:t>
      </w:r>
      <w:r>
        <w:rPr>
          <w:sz w:val="18"/>
          <w:vertAlign w:val="baseline"/>
        </w:rPr>
        <w:t>also</w:t>
      </w:r>
      <w:r>
        <w:rPr>
          <w:spacing w:val="-1"/>
          <w:sz w:val="18"/>
          <w:vertAlign w:val="baseline"/>
        </w:rPr>
        <w:t> </w:t>
      </w:r>
      <w:r>
        <w:rPr>
          <w:sz w:val="18"/>
          <w:vertAlign w:val="baseline"/>
        </w:rPr>
        <w:t>agreed</w:t>
      </w:r>
      <w:r>
        <w:rPr>
          <w:spacing w:val="-1"/>
          <w:sz w:val="18"/>
          <w:vertAlign w:val="baseline"/>
        </w:rPr>
        <w:t> </w:t>
      </w:r>
      <w:r>
        <w:rPr>
          <w:sz w:val="18"/>
          <w:vertAlign w:val="baseline"/>
        </w:rPr>
        <w:t>to</w:t>
      </w:r>
      <w:r>
        <w:rPr>
          <w:spacing w:val="-1"/>
          <w:sz w:val="18"/>
          <w:vertAlign w:val="baseline"/>
        </w:rPr>
        <w:t> </w:t>
      </w:r>
      <w:r>
        <w:rPr>
          <w:sz w:val="18"/>
          <w:vertAlign w:val="baseline"/>
        </w:rPr>
        <w:t>"act</w:t>
      </w:r>
      <w:r>
        <w:rPr>
          <w:spacing w:val="-1"/>
          <w:sz w:val="18"/>
          <w:vertAlign w:val="baseline"/>
        </w:rPr>
        <w:t> </w:t>
      </w:r>
      <w:r>
        <w:rPr>
          <w:sz w:val="18"/>
          <w:vertAlign w:val="baseline"/>
        </w:rPr>
        <w:t>as</w:t>
      </w:r>
      <w:r>
        <w:rPr>
          <w:spacing w:val="-1"/>
          <w:sz w:val="18"/>
          <w:vertAlign w:val="baseline"/>
        </w:rPr>
        <w:t> </w:t>
      </w:r>
      <w:r>
        <w:rPr>
          <w:sz w:val="18"/>
          <w:vertAlign w:val="baseline"/>
        </w:rPr>
        <w:t>the</w:t>
      </w:r>
      <w:r>
        <w:rPr>
          <w:spacing w:val="-1"/>
          <w:sz w:val="18"/>
          <w:vertAlign w:val="baseline"/>
        </w:rPr>
        <w:t> </w:t>
      </w:r>
      <w:r>
        <w:rPr>
          <w:sz w:val="18"/>
          <w:vertAlign w:val="baseline"/>
        </w:rPr>
        <w:t>organizer</w:t>
      </w:r>
      <w:r>
        <w:rPr>
          <w:spacing w:val="-1"/>
          <w:sz w:val="18"/>
          <w:vertAlign w:val="baseline"/>
        </w:rPr>
        <w:t> </w:t>
      </w:r>
      <w:r>
        <w:rPr>
          <w:sz w:val="18"/>
          <w:vertAlign w:val="baseline"/>
        </w:rPr>
        <w:t>and</w:t>
      </w:r>
      <w:r>
        <w:rPr>
          <w:spacing w:val="-1"/>
          <w:sz w:val="18"/>
          <w:vertAlign w:val="baseline"/>
        </w:rPr>
        <w:t> </w:t>
      </w:r>
      <w:r>
        <w:rPr>
          <w:sz w:val="18"/>
          <w:vertAlign w:val="baseline"/>
        </w:rPr>
        <w:t>primary</w:t>
      </w:r>
      <w:r>
        <w:rPr>
          <w:spacing w:val="-1"/>
          <w:sz w:val="18"/>
          <w:vertAlign w:val="baseline"/>
        </w:rPr>
        <w:t> </w:t>
      </w:r>
      <w:r>
        <w:rPr>
          <w:sz w:val="18"/>
          <w:vertAlign w:val="baseline"/>
        </w:rPr>
        <w:t>arranger</w:t>
      </w:r>
      <w:r>
        <w:rPr>
          <w:spacing w:val="-1"/>
          <w:sz w:val="18"/>
          <w:vertAlign w:val="baseline"/>
        </w:rPr>
        <w:t> </w:t>
      </w:r>
      <w:r>
        <w:rPr>
          <w:sz w:val="18"/>
          <w:vertAlign w:val="baseline"/>
        </w:rPr>
        <w:t>of</w:t>
      </w:r>
      <w:r>
        <w:rPr>
          <w:spacing w:val="-1"/>
          <w:sz w:val="18"/>
          <w:vertAlign w:val="baseline"/>
        </w:rPr>
        <w:t> </w:t>
      </w:r>
      <w:r>
        <w:rPr>
          <w:sz w:val="18"/>
          <w:vertAlign w:val="baseline"/>
        </w:rPr>
        <w:t>syndicated</w:t>
      </w:r>
      <w:r>
        <w:rPr>
          <w:spacing w:val="-1"/>
          <w:sz w:val="18"/>
          <w:vertAlign w:val="baseline"/>
        </w:rPr>
        <w:t> </w:t>
      </w:r>
      <w:r>
        <w:rPr>
          <w:sz w:val="18"/>
          <w:vertAlign w:val="baseline"/>
        </w:rPr>
        <w:t>loans</w:t>
      </w:r>
      <w:r>
        <w:rPr>
          <w:spacing w:val="-1"/>
          <w:sz w:val="18"/>
          <w:vertAlign w:val="baseline"/>
        </w:rPr>
        <w:t> </w:t>
      </w:r>
      <w:r>
        <w:rPr>
          <w:sz w:val="18"/>
          <w:vertAlign w:val="baseline"/>
        </w:rPr>
        <w:t>under entrust agreements” (Yuzhe 2010).</w:t>
      </w:r>
    </w:p>
    <w:p>
      <w:pPr>
        <w:spacing w:line="249" w:lineRule="auto" w:before="2"/>
        <w:ind w:left="760" w:right="767" w:firstLine="0"/>
        <w:jc w:val="left"/>
        <w:rPr>
          <w:sz w:val="18"/>
        </w:rPr>
      </w:pPr>
      <w:r>
        <w:rPr>
          <w:sz w:val="18"/>
          <w:vertAlign w:val="superscript"/>
        </w:rPr>
        <w:t>118</w:t>
      </w:r>
      <w:r>
        <w:rPr>
          <w:sz w:val="18"/>
          <w:vertAlign w:val="baseline"/>
        </w:rPr>
        <w:t> In May 2017, the Chinese Government announced that it would inject another RMB 100 billion into </w:t>
      </w:r>
      <w:r>
        <w:rPr>
          <w:sz w:val="18"/>
          <w:vertAlign w:val="baseline"/>
        </w:rPr>
        <w:t>the Silk Road Fund. The entity responsible for the injection is unknown.</w:t>
      </w:r>
    </w:p>
    <w:p>
      <w:pPr>
        <w:spacing w:after="0" w:line="249" w:lineRule="auto"/>
        <w:jc w:val="left"/>
        <w:rPr>
          <w:sz w:val="18"/>
        </w:rPr>
        <w:sectPr>
          <w:pgSz w:w="12240" w:h="15840"/>
          <w:pgMar w:header="0" w:footer="720" w:top="1380" w:bottom="920" w:left="1040" w:right="1040"/>
        </w:sectPr>
      </w:pPr>
    </w:p>
    <w:p>
      <w:pPr>
        <w:spacing w:line="300" w:lineRule="auto" w:before="46"/>
        <w:ind w:left="760" w:right="767" w:firstLine="0"/>
        <w:jc w:val="left"/>
        <w:rPr>
          <w:sz w:val="20"/>
        </w:rPr>
      </w:pPr>
      <w:r>
        <w:rPr/>
        <w:pict>
          <v:shape style="position:absolute;margin-left:84.000008pt;margin-top:1.968413pt;width:444pt;height:371.05pt;mso-position-horizontal-relative:page;mso-position-vertical-relative:paragraph;z-index:-17134080" id="docshape30" coordorigin="1680,39" coordsize="8880,7421" path="m10560,39l1680,39,1680,339,1680,359,1680,7459,10560,7459,10560,339,10560,39xe" filled="true" fillcolor="#f0f2f4" stroked="false">
            <v:path arrowok="t"/>
            <v:fill type="solid"/>
            <w10:wrap type="none"/>
          </v:shape>
        </w:pict>
      </w:r>
      <w:r>
        <w:rPr>
          <w:sz w:val="20"/>
        </w:rPr>
        <w:t>stakes</w:t>
      </w:r>
      <w:r>
        <w:rPr>
          <w:spacing w:val="-3"/>
          <w:sz w:val="20"/>
        </w:rPr>
        <w:t> </w:t>
      </w:r>
      <w:r>
        <w:rPr>
          <w:sz w:val="20"/>
        </w:rPr>
        <w:t>in</w:t>
      </w:r>
      <w:r>
        <w:rPr>
          <w:spacing w:val="-3"/>
          <w:sz w:val="20"/>
        </w:rPr>
        <w:t> </w:t>
      </w:r>
      <w:r>
        <w:rPr>
          <w:sz w:val="20"/>
        </w:rPr>
        <w:t>ICBC</w:t>
      </w:r>
      <w:r>
        <w:rPr>
          <w:spacing w:val="-3"/>
          <w:sz w:val="20"/>
        </w:rPr>
        <w:t> </w:t>
      </w:r>
      <w:r>
        <w:rPr>
          <w:sz w:val="20"/>
        </w:rPr>
        <w:t>and</w:t>
      </w:r>
      <w:r>
        <w:rPr>
          <w:spacing w:val="-3"/>
          <w:sz w:val="20"/>
        </w:rPr>
        <w:t> </w:t>
      </w:r>
      <w:r>
        <w:rPr>
          <w:sz w:val="20"/>
        </w:rPr>
        <w:t>Bank</w:t>
      </w:r>
      <w:r>
        <w:rPr>
          <w:spacing w:val="-3"/>
          <w:sz w:val="20"/>
        </w:rPr>
        <w:t> </w:t>
      </w:r>
      <w:r>
        <w:rPr>
          <w:sz w:val="20"/>
        </w:rPr>
        <w:t>of</w:t>
      </w:r>
      <w:r>
        <w:rPr>
          <w:spacing w:val="-3"/>
          <w:sz w:val="20"/>
        </w:rPr>
        <w:t> </w:t>
      </w:r>
      <w:r>
        <w:rPr>
          <w:sz w:val="20"/>
        </w:rPr>
        <w:t>China—via</w:t>
      </w:r>
      <w:r>
        <w:rPr>
          <w:spacing w:val="-3"/>
          <w:sz w:val="20"/>
        </w:rPr>
        <w:t> </w:t>
      </w:r>
      <w:r>
        <w:rPr>
          <w:sz w:val="20"/>
        </w:rPr>
        <w:t>Wutongshu</w:t>
      </w:r>
      <w:r>
        <w:rPr>
          <w:spacing w:val="-3"/>
          <w:sz w:val="20"/>
        </w:rPr>
        <w:t> </w:t>
      </w:r>
      <w:r>
        <w:rPr>
          <w:sz w:val="20"/>
        </w:rPr>
        <w:t>Investment</w:t>
      </w:r>
      <w:r>
        <w:rPr>
          <w:spacing w:val="-3"/>
          <w:sz w:val="20"/>
        </w:rPr>
        <w:t> </w:t>
      </w:r>
      <w:r>
        <w:rPr>
          <w:sz w:val="20"/>
        </w:rPr>
        <w:t>Platform</w:t>
      </w:r>
      <w:r>
        <w:rPr>
          <w:spacing w:val="-3"/>
          <w:sz w:val="20"/>
        </w:rPr>
        <w:t> </w:t>
      </w:r>
      <w:r>
        <w:rPr>
          <w:sz w:val="20"/>
        </w:rPr>
        <w:t>Co.</w:t>
      </w:r>
      <w:r>
        <w:rPr>
          <w:spacing w:val="-3"/>
          <w:sz w:val="20"/>
        </w:rPr>
        <w:t> </w:t>
      </w:r>
      <w:r>
        <w:rPr>
          <w:sz w:val="20"/>
        </w:rPr>
        <w:t>Ltd—during</w:t>
      </w:r>
      <w:r>
        <w:rPr>
          <w:spacing w:val="-3"/>
          <w:sz w:val="20"/>
        </w:rPr>
        <w:t> </w:t>
      </w:r>
      <w:r>
        <w:rPr>
          <w:sz w:val="20"/>
        </w:rPr>
        <w:t>the</w:t>
      </w:r>
      <w:r>
        <w:rPr>
          <w:spacing w:val="-3"/>
          <w:sz w:val="20"/>
        </w:rPr>
        <w:t> </w:t>
      </w:r>
      <w:r>
        <w:rPr>
          <w:sz w:val="20"/>
        </w:rPr>
        <w:t>last quarter of 2015.</w:t>
      </w:r>
      <w:r>
        <w:rPr>
          <w:sz w:val="20"/>
          <w:vertAlign w:val="superscript"/>
        </w:rPr>
        <w:t>119</w:t>
      </w:r>
    </w:p>
    <w:p>
      <w:pPr>
        <w:pStyle w:val="BodyText"/>
        <w:rPr>
          <w:sz w:val="21"/>
        </w:rPr>
      </w:pPr>
    </w:p>
    <w:p>
      <w:pPr>
        <w:spacing w:before="0"/>
        <w:ind w:left="760" w:right="0" w:firstLine="0"/>
        <w:jc w:val="left"/>
        <w:rPr>
          <w:sz w:val="20"/>
        </w:rPr>
      </w:pPr>
      <w:r>
        <w:rPr>
          <w:sz w:val="20"/>
        </w:rPr>
        <w:t>Since</w:t>
      </w:r>
      <w:r>
        <w:rPr>
          <w:spacing w:val="-12"/>
          <w:sz w:val="20"/>
        </w:rPr>
        <w:t> </w:t>
      </w:r>
      <w:r>
        <w:rPr>
          <w:sz w:val="20"/>
        </w:rPr>
        <w:t>2015,</w:t>
      </w:r>
      <w:r>
        <w:rPr>
          <w:spacing w:val="-11"/>
          <w:sz w:val="20"/>
        </w:rPr>
        <w:t> </w:t>
      </w:r>
      <w:r>
        <w:rPr>
          <w:sz w:val="20"/>
        </w:rPr>
        <w:t>SAFE</w:t>
      </w:r>
      <w:r>
        <w:rPr>
          <w:spacing w:val="-11"/>
          <w:sz w:val="20"/>
        </w:rPr>
        <w:t> </w:t>
      </w:r>
      <w:r>
        <w:rPr>
          <w:sz w:val="20"/>
        </w:rPr>
        <w:t>has</w:t>
      </w:r>
      <w:r>
        <w:rPr>
          <w:spacing w:val="-11"/>
          <w:sz w:val="20"/>
        </w:rPr>
        <w:t> </w:t>
      </w:r>
      <w:r>
        <w:rPr>
          <w:sz w:val="20"/>
        </w:rPr>
        <w:t>not</w:t>
      </w:r>
      <w:r>
        <w:rPr>
          <w:spacing w:val="-11"/>
          <w:sz w:val="20"/>
        </w:rPr>
        <w:t> </w:t>
      </w:r>
      <w:r>
        <w:rPr>
          <w:sz w:val="20"/>
        </w:rPr>
        <w:t>publicly</w:t>
      </w:r>
      <w:r>
        <w:rPr>
          <w:spacing w:val="-11"/>
          <w:sz w:val="20"/>
        </w:rPr>
        <w:t> </w:t>
      </w:r>
      <w:r>
        <w:rPr>
          <w:sz w:val="20"/>
        </w:rPr>
        <w:t>announced</w:t>
      </w:r>
      <w:r>
        <w:rPr>
          <w:spacing w:val="-11"/>
          <w:sz w:val="20"/>
        </w:rPr>
        <w:t> </w:t>
      </w:r>
      <w:r>
        <w:rPr>
          <w:sz w:val="20"/>
        </w:rPr>
        <w:t>any</w:t>
      </w:r>
      <w:r>
        <w:rPr>
          <w:spacing w:val="-12"/>
          <w:sz w:val="20"/>
        </w:rPr>
        <w:t> </w:t>
      </w:r>
      <w:r>
        <w:rPr>
          <w:sz w:val="20"/>
        </w:rPr>
        <w:t>additional</w:t>
      </w:r>
      <w:r>
        <w:rPr>
          <w:spacing w:val="-10"/>
          <w:sz w:val="20"/>
        </w:rPr>
        <w:t> </w:t>
      </w:r>
      <w:r>
        <w:rPr>
          <w:sz w:val="20"/>
        </w:rPr>
        <w:t>cash</w:t>
      </w:r>
      <w:r>
        <w:rPr>
          <w:spacing w:val="-11"/>
          <w:sz w:val="20"/>
        </w:rPr>
        <w:t> </w:t>
      </w:r>
      <w:r>
        <w:rPr>
          <w:sz w:val="20"/>
        </w:rPr>
        <w:t>infusions</w:t>
      </w:r>
      <w:r>
        <w:rPr>
          <w:spacing w:val="-11"/>
          <w:sz w:val="20"/>
        </w:rPr>
        <w:t> </w:t>
      </w:r>
      <w:r>
        <w:rPr>
          <w:sz w:val="20"/>
        </w:rPr>
        <w:t>into</w:t>
      </w:r>
      <w:r>
        <w:rPr>
          <w:spacing w:val="-11"/>
          <w:sz w:val="20"/>
        </w:rPr>
        <w:t> </w:t>
      </w:r>
      <w:r>
        <w:rPr>
          <w:spacing w:val="-2"/>
          <w:sz w:val="20"/>
        </w:rPr>
        <w:t>China’s</w:t>
      </w:r>
    </w:p>
    <w:p>
      <w:pPr>
        <w:spacing w:line="300" w:lineRule="auto" w:before="58"/>
        <w:ind w:left="760" w:right="1073" w:firstLine="0"/>
        <w:jc w:val="left"/>
        <w:rPr>
          <w:sz w:val="20"/>
        </w:rPr>
      </w:pPr>
      <w:r>
        <w:rPr>
          <w:sz w:val="20"/>
        </w:rPr>
        <w:t>state-owned policy banks, state-owned commercial banks, or its state-owned credit insurance agency. An ongoing source of speculation and debate is whether SAFE is worried about “throwing good money after bad.”</w:t>
      </w:r>
      <w:r>
        <w:rPr>
          <w:sz w:val="20"/>
          <w:vertAlign w:val="superscript"/>
        </w:rPr>
        <w:t>120</w:t>
      </w:r>
      <w:r>
        <w:rPr>
          <w:sz w:val="20"/>
          <w:vertAlign w:val="baseline"/>
        </w:rPr>
        <w:t> There are some indications that the country’s largest state-owned</w:t>
      </w:r>
      <w:r>
        <w:rPr>
          <w:spacing w:val="-11"/>
          <w:sz w:val="20"/>
          <w:vertAlign w:val="baseline"/>
        </w:rPr>
        <w:t> </w:t>
      </w:r>
      <w:r>
        <w:rPr>
          <w:sz w:val="20"/>
          <w:vertAlign w:val="baseline"/>
        </w:rPr>
        <w:t>banks</w:t>
      </w:r>
      <w:r>
        <w:rPr>
          <w:spacing w:val="-11"/>
          <w:sz w:val="20"/>
          <w:vertAlign w:val="baseline"/>
        </w:rPr>
        <w:t> </w:t>
      </w:r>
      <w:r>
        <w:rPr>
          <w:sz w:val="20"/>
          <w:vertAlign w:val="baseline"/>
        </w:rPr>
        <w:t>and</w:t>
      </w:r>
      <w:r>
        <w:rPr>
          <w:spacing w:val="-11"/>
          <w:sz w:val="20"/>
          <w:vertAlign w:val="baseline"/>
        </w:rPr>
        <w:t> </w:t>
      </w:r>
      <w:r>
        <w:rPr>
          <w:sz w:val="20"/>
          <w:vertAlign w:val="baseline"/>
        </w:rPr>
        <w:t>Sinosure,</w:t>
      </w:r>
      <w:r>
        <w:rPr>
          <w:spacing w:val="-11"/>
          <w:sz w:val="20"/>
          <w:vertAlign w:val="baseline"/>
        </w:rPr>
        <w:t> </w:t>
      </w:r>
      <w:r>
        <w:rPr>
          <w:sz w:val="20"/>
          <w:vertAlign w:val="baseline"/>
        </w:rPr>
        <w:t>which</w:t>
      </w:r>
      <w:r>
        <w:rPr>
          <w:spacing w:val="-11"/>
          <w:sz w:val="20"/>
          <w:vertAlign w:val="baseline"/>
        </w:rPr>
        <w:t> </w:t>
      </w:r>
      <w:r>
        <w:rPr>
          <w:sz w:val="20"/>
          <w:vertAlign w:val="baseline"/>
        </w:rPr>
        <w:t>are</w:t>
      </w:r>
      <w:r>
        <w:rPr>
          <w:spacing w:val="-11"/>
          <w:sz w:val="20"/>
          <w:vertAlign w:val="baseline"/>
        </w:rPr>
        <w:t> </w:t>
      </w:r>
      <w:r>
        <w:rPr>
          <w:sz w:val="20"/>
          <w:vertAlign w:val="baseline"/>
        </w:rPr>
        <w:t>stewarding</w:t>
      </w:r>
      <w:r>
        <w:rPr>
          <w:spacing w:val="-11"/>
          <w:sz w:val="20"/>
          <w:vertAlign w:val="baseline"/>
        </w:rPr>
        <w:t> </w:t>
      </w:r>
      <w:r>
        <w:rPr>
          <w:sz w:val="20"/>
          <w:vertAlign w:val="baseline"/>
        </w:rPr>
        <w:t>foreign</w:t>
      </w:r>
      <w:r>
        <w:rPr>
          <w:spacing w:val="-11"/>
          <w:sz w:val="20"/>
          <w:vertAlign w:val="baseline"/>
        </w:rPr>
        <w:t> </w:t>
      </w:r>
      <w:r>
        <w:rPr>
          <w:sz w:val="20"/>
          <w:vertAlign w:val="baseline"/>
        </w:rPr>
        <w:t>exchange</w:t>
      </w:r>
      <w:r>
        <w:rPr>
          <w:spacing w:val="-11"/>
          <w:sz w:val="20"/>
          <w:vertAlign w:val="baseline"/>
        </w:rPr>
        <w:t> </w:t>
      </w:r>
      <w:r>
        <w:rPr>
          <w:sz w:val="20"/>
          <w:vertAlign w:val="baseline"/>
        </w:rPr>
        <w:t>reserves</w:t>
      </w:r>
      <w:r>
        <w:rPr>
          <w:spacing w:val="-11"/>
          <w:sz w:val="20"/>
          <w:vertAlign w:val="baseline"/>
        </w:rPr>
        <w:t> </w:t>
      </w:r>
      <w:r>
        <w:rPr>
          <w:sz w:val="20"/>
          <w:vertAlign w:val="baseline"/>
        </w:rPr>
        <w:t>from</w:t>
      </w:r>
      <w:r>
        <w:rPr>
          <w:spacing w:val="-11"/>
          <w:sz w:val="20"/>
          <w:vertAlign w:val="baseline"/>
        </w:rPr>
        <w:t> </w:t>
      </w:r>
      <w:r>
        <w:rPr>
          <w:sz w:val="20"/>
          <w:vertAlign w:val="baseline"/>
        </w:rPr>
        <w:t>SAFE,</w:t>
      </w:r>
    </w:p>
    <w:p>
      <w:pPr>
        <w:spacing w:line="300" w:lineRule="auto" w:before="2"/>
        <w:ind w:left="760" w:right="820" w:firstLine="0"/>
        <w:jc w:val="left"/>
        <w:rPr>
          <w:sz w:val="20"/>
        </w:rPr>
      </w:pPr>
      <w:r>
        <w:rPr>
          <w:sz w:val="20"/>
        </w:rPr>
        <w:t>may have high levels of cross-border exposure to non-performing loans on the balance sheets of Chinese</w:t>
      </w:r>
      <w:r>
        <w:rPr>
          <w:spacing w:val="-1"/>
          <w:sz w:val="20"/>
        </w:rPr>
        <w:t> </w:t>
      </w:r>
      <w:r>
        <w:rPr>
          <w:sz w:val="20"/>
        </w:rPr>
        <w:t>banks.</w:t>
      </w:r>
      <w:r>
        <w:rPr>
          <w:sz w:val="20"/>
          <w:vertAlign w:val="superscript"/>
        </w:rPr>
        <w:t>121</w:t>
      </w:r>
      <w:r>
        <w:rPr>
          <w:sz w:val="20"/>
          <w:vertAlign w:val="baseline"/>
        </w:rPr>
        <w:t> In</w:t>
      </w:r>
      <w:r>
        <w:rPr>
          <w:spacing w:val="-1"/>
          <w:sz w:val="20"/>
          <w:vertAlign w:val="baseline"/>
        </w:rPr>
        <w:t> </w:t>
      </w:r>
      <w:r>
        <w:rPr>
          <w:sz w:val="20"/>
          <w:vertAlign w:val="baseline"/>
        </w:rPr>
        <w:t>November</w:t>
      </w:r>
      <w:r>
        <w:rPr>
          <w:spacing w:val="-1"/>
          <w:sz w:val="20"/>
          <w:vertAlign w:val="baseline"/>
        </w:rPr>
        <w:t> </w:t>
      </w:r>
      <w:r>
        <w:rPr>
          <w:sz w:val="20"/>
          <w:vertAlign w:val="baseline"/>
        </w:rPr>
        <w:t>2017,</w:t>
      </w:r>
      <w:r>
        <w:rPr>
          <w:spacing w:val="-1"/>
          <w:sz w:val="20"/>
          <w:vertAlign w:val="baseline"/>
        </w:rPr>
        <w:t> </w:t>
      </w:r>
      <w:r>
        <w:rPr>
          <w:sz w:val="20"/>
          <w:vertAlign w:val="baseline"/>
        </w:rPr>
        <w:t>China</w:t>
      </w:r>
      <w:r>
        <w:rPr>
          <w:spacing w:val="-1"/>
          <w:sz w:val="20"/>
          <w:vertAlign w:val="baseline"/>
        </w:rPr>
        <w:t> </w:t>
      </w:r>
      <w:r>
        <w:rPr>
          <w:sz w:val="20"/>
          <w:vertAlign w:val="baseline"/>
        </w:rPr>
        <w:t>Banking</w:t>
      </w:r>
      <w:r>
        <w:rPr>
          <w:spacing w:val="-1"/>
          <w:sz w:val="20"/>
          <w:vertAlign w:val="baseline"/>
        </w:rPr>
        <w:t> </w:t>
      </w:r>
      <w:r>
        <w:rPr>
          <w:sz w:val="20"/>
          <w:vertAlign w:val="baseline"/>
        </w:rPr>
        <w:t>Regulatory</w:t>
      </w:r>
      <w:r>
        <w:rPr>
          <w:spacing w:val="-1"/>
          <w:sz w:val="20"/>
          <w:vertAlign w:val="baseline"/>
        </w:rPr>
        <w:t> </w:t>
      </w:r>
      <w:r>
        <w:rPr>
          <w:sz w:val="20"/>
          <w:vertAlign w:val="baseline"/>
        </w:rPr>
        <w:t>Commission</w:t>
      </w:r>
      <w:r>
        <w:rPr>
          <w:spacing w:val="-1"/>
          <w:sz w:val="20"/>
          <w:vertAlign w:val="baseline"/>
        </w:rPr>
        <w:t> </w:t>
      </w:r>
      <w:r>
        <w:rPr>
          <w:sz w:val="20"/>
          <w:vertAlign w:val="baseline"/>
        </w:rPr>
        <w:t>(CBRC)—the country's top banking regulator—publicly called upon CDB and China Eximbank to put in place more robust risk management procedures (Xueqing 2017).</w:t>
      </w:r>
      <w:r>
        <w:rPr>
          <w:sz w:val="20"/>
          <w:vertAlign w:val="superscript"/>
        </w:rPr>
        <w:t>122</w:t>
      </w:r>
      <w:r>
        <w:rPr>
          <w:sz w:val="20"/>
          <w:vertAlign w:val="baseline"/>
        </w:rPr>
        <w:t> Then, in 2018, Sinosure’s Chief Economist took the extraordinary step of publicly admonishing China’s policy banks for their “downright inadequate” due diligence procedures (Pilling and Feng 2018). Another sign of potential peril is the fact that the </w:t>
      </w:r>
      <w:r>
        <w:rPr>
          <w:i/>
          <w:sz w:val="20"/>
          <w:vertAlign w:val="baseline"/>
        </w:rPr>
        <w:t>annual </w:t>
      </w:r>
      <w:r>
        <w:rPr>
          <w:sz w:val="20"/>
          <w:vertAlign w:val="baseline"/>
        </w:rPr>
        <w:t>overseas lending commitments of CDB, China</w:t>
      </w:r>
      <w:r>
        <w:rPr>
          <w:spacing w:val="40"/>
          <w:sz w:val="20"/>
          <w:vertAlign w:val="baseline"/>
        </w:rPr>
        <w:t> </w:t>
      </w:r>
      <w:r>
        <w:rPr>
          <w:sz w:val="20"/>
          <w:vertAlign w:val="baseline"/>
        </w:rPr>
        <w:t>Eximbank, Bank of China, and ICBC sharply declined </w:t>
      </w:r>
      <w:r>
        <w:rPr>
          <w:i/>
          <w:sz w:val="20"/>
          <w:vertAlign w:val="baseline"/>
        </w:rPr>
        <w:t>after </w:t>
      </w:r>
      <w:r>
        <w:rPr>
          <w:sz w:val="20"/>
          <w:vertAlign w:val="baseline"/>
        </w:rPr>
        <w:t>they received large cash infusions</w:t>
      </w:r>
      <w:r>
        <w:rPr>
          <w:sz w:val="20"/>
          <w:vertAlign w:val="baseline"/>
        </w:rPr>
        <w:t> from SAFE in 2015 (see Figure A31). One potential explanation for this unusual pattern is that SAFE’s money was used to clean up bad debts on the balance sheets of these banks instead of supporting new overseas lending commitments.</w:t>
      </w:r>
    </w:p>
    <w:p>
      <w:pPr>
        <w:pStyle w:val="BodyText"/>
        <w:spacing w:before="6"/>
        <w:rPr>
          <w:sz w:val="21"/>
        </w:rPr>
      </w:pPr>
    </w:p>
    <w:p>
      <w:pPr>
        <w:spacing w:line="300" w:lineRule="auto" w:before="0"/>
        <w:ind w:left="760" w:right="794" w:firstLine="0"/>
        <w:jc w:val="left"/>
        <w:rPr>
          <w:sz w:val="20"/>
        </w:rPr>
      </w:pPr>
      <w:r>
        <w:rPr>
          <w:sz w:val="20"/>
        </w:rPr>
        <w:t>SAFE is discreet about the returns that it has earned via overseas investments, due to domestic political concerns about whether China’s “xuè hàn qián” (the hard-earned money of Chinese workers) is being effectively stewarded. It “tries to limit its investments outside [U.S. government securities] to amounts small enough to hide from the public in case the bets go bad” (Wei 2013). However, in 2021, SAFE disclosed that it had earned an average annual return on its foreign exchange reserve portfolio of 3.35% between 2008 and 2017 and 4.11% between 1998 and</w:t>
      </w:r>
    </w:p>
    <w:p>
      <w:pPr>
        <w:pStyle w:val="BodyText"/>
        <w:spacing w:before="10"/>
        <w:rPr>
          <w:sz w:val="16"/>
        </w:rPr>
      </w:pPr>
      <w:r>
        <w:rPr/>
        <w:pict>
          <v:shape style="position:absolute;margin-left:90pt;margin-top:10.929542pt;width:144pt;height:.1pt;mso-position-horizontal-relative:page;mso-position-vertical-relative:paragraph;z-index:-15714816;mso-wrap-distance-left:0;mso-wrap-distance-right:0" id="docshape31" coordorigin="1800,219" coordsize="2880,0" path="m1800,219l4680,219e" filled="false" stroked="true" strokeweight=".75pt" strokecolor="#000000">
            <v:path arrowok="t"/>
            <v:stroke dashstyle="solid"/>
            <w10:wrap type="topAndBottom"/>
          </v:shape>
        </w:pict>
      </w:r>
    </w:p>
    <w:p>
      <w:pPr>
        <w:spacing w:line="249" w:lineRule="auto" w:before="103"/>
        <w:ind w:left="760" w:right="767" w:firstLine="0"/>
        <w:jc w:val="left"/>
        <w:rPr>
          <w:sz w:val="18"/>
        </w:rPr>
      </w:pPr>
      <w:r>
        <w:rPr>
          <w:sz w:val="18"/>
          <w:vertAlign w:val="superscript"/>
        </w:rPr>
        <w:t>119</w:t>
      </w:r>
      <w:r>
        <w:rPr>
          <w:spacing w:val="-6"/>
          <w:sz w:val="18"/>
          <w:vertAlign w:val="baseline"/>
        </w:rPr>
        <w:t> </w:t>
      </w:r>
      <w:r>
        <w:rPr>
          <w:sz w:val="18"/>
          <w:vertAlign w:val="baseline"/>
        </w:rPr>
        <w:t>The</w:t>
      </w:r>
      <w:r>
        <w:rPr>
          <w:spacing w:val="-5"/>
          <w:sz w:val="18"/>
          <w:vertAlign w:val="baseline"/>
        </w:rPr>
        <w:t> </w:t>
      </w:r>
      <w:r>
        <w:rPr>
          <w:sz w:val="18"/>
          <w:vertAlign w:val="baseline"/>
        </w:rPr>
        <w:t>bank</w:t>
      </w:r>
      <w:r>
        <w:rPr>
          <w:spacing w:val="-5"/>
          <w:sz w:val="18"/>
          <w:vertAlign w:val="baseline"/>
        </w:rPr>
        <w:t> </w:t>
      </w:r>
      <w:r>
        <w:rPr>
          <w:sz w:val="18"/>
          <w:vertAlign w:val="baseline"/>
        </w:rPr>
        <w:t>(re)capitalization</w:t>
      </w:r>
      <w:r>
        <w:rPr>
          <w:spacing w:val="-5"/>
          <w:sz w:val="18"/>
          <w:vertAlign w:val="baseline"/>
        </w:rPr>
        <w:t> </w:t>
      </w:r>
      <w:r>
        <w:rPr>
          <w:sz w:val="18"/>
          <w:vertAlign w:val="baseline"/>
        </w:rPr>
        <w:t>information</w:t>
      </w:r>
      <w:r>
        <w:rPr>
          <w:spacing w:val="-5"/>
          <w:sz w:val="18"/>
          <w:vertAlign w:val="baseline"/>
        </w:rPr>
        <w:t> </w:t>
      </w:r>
      <w:r>
        <w:rPr>
          <w:sz w:val="18"/>
          <w:vertAlign w:val="baseline"/>
        </w:rPr>
        <w:t>in</w:t>
      </w:r>
      <w:r>
        <w:rPr>
          <w:spacing w:val="-5"/>
          <w:sz w:val="18"/>
          <w:vertAlign w:val="baseline"/>
        </w:rPr>
        <w:t> </w:t>
      </w:r>
      <w:r>
        <w:rPr>
          <w:sz w:val="18"/>
          <w:vertAlign w:val="baseline"/>
        </w:rPr>
        <w:t>Box</w:t>
      </w:r>
      <w:r>
        <w:rPr>
          <w:spacing w:val="-5"/>
          <w:sz w:val="18"/>
          <w:vertAlign w:val="baseline"/>
        </w:rPr>
        <w:t> </w:t>
      </w:r>
      <w:r>
        <w:rPr>
          <w:sz w:val="18"/>
          <w:vertAlign w:val="baseline"/>
        </w:rPr>
        <w:t>2b</w:t>
      </w:r>
      <w:r>
        <w:rPr>
          <w:spacing w:val="-5"/>
          <w:sz w:val="18"/>
          <w:vertAlign w:val="baseline"/>
        </w:rPr>
        <w:t> </w:t>
      </w:r>
      <w:r>
        <w:rPr>
          <w:sz w:val="18"/>
          <w:vertAlign w:val="baseline"/>
        </w:rPr>
        <w:t>was</w:t>
      </w:r>
      <w:r>
        <w:rPr>
          <w:spacing w:val="-5"/>
          <w:sz w:val="18"/>
          <w:vertAlign w:val="baseline"/>
        </w:rPr>
        <w:t> </w:t>
      </w:r>
      <w:r>
        <w:rPr>
          <w:sz w:val="18"/>
          <w:vertAlign w:val="baseline"/>
        </w:rPr>
        <w:t>drawn</w:t>
      </w:r>
      <w:r>
        <w:rPr>
          <w:spacing w:val="-5"/>
          <w:sz w:val="18"/>
          <w:vertAlign w:val="baseline"/>
        </w:rPr>
        <w:t> </w:t>
      </w:r>
      <w:r>
        <w:rPr>
          <w:sz w:val="18"/>
          <w:vertAlign w:val="baseline"/>
        </w:rPr>
        <w:t>from</w:t>
      </w:r>
      <w:r>
        <w:rPr>
          <w:spacing w:val="-5"/>
          <w:sz w:val="18"/>
          <w:vertAlign w:val="baseline"/>
        </w:rPr>
        <w:t> </w:t>
      </w:r>
      <w:r>
        <w:rPr>
          <w:sz w:val="18"/>
          <w:vertAlign w:val="baseline"/>
        </w:rPr>
        <w:t>SAFE</w:t>
      </w:r>
      <w:r>
        <w:rPr>
          <w:spacing w:val="-5"/>
          <w:sz w:val="18"/>
          <w:vertAlign w:val="baseline"/>
        </w:rPr>
        <w:t> </w:t>
      </w:r>
      <w:r>
        <w:rPr>
          <w:sz w:val="18"/>
          <w:vertAlign w:val="baseline"/>
        </w:rPr>
        <w:t>2004,</w:t>
      </w:r>
      <w:r>
        <w:rPr>
          <w:spacing w:val="-5"/>
          <w:sz w:val="18"/>
          <w:vertAlign w:val="baseline"/>
        </w:rPr>
        <w:t> </w:t>
      </w:r>
      <w:r>
        <w:rPr>
          <w:sz w:val="18"/>
          <w:vertAlign w:val="baseline"/>
        </w:rPr>
        <w:t>2017a,</w:t>
      </w:r>
      <w:r>
        <w:rPr>
          <w:spacing w:val="-5"/>
          <w:sz w:val="18"/>
          <w:vertAlign w:val="baseline"/>
        </w:rPr>
        <w:t> </w:t>
      </w:r>
      <w:r>
        <w:rPr>
          <w:sz w:val="18"/>
          <w:vertAlign w:val="baseline"/>
        </w:rPr>
        <w:t>2017b;</w:t>
      </w:r>
      <w:r>
        <w:rPr>
          <w:spacing w:val="-5"/>
          <w:sz w:val="18"/>
          <w:vertAlign w:val="baseline"/>
        </w:rPr>
        <w:t> </w:t>
      </w:r>
      <w:r>
        <w:rPr>
          <w:sz w:val="18"/>
          <w:vertAlign w:val="baseline"/>
        </w:rPr>
        <w:t>Ma</w:t>
      </w:r>
      <w:r>
        <w:rPr>
          <w:spacing w:val="-5"/>
          <w:sz w:val="18"/>
          <w:vertAlign w:val="baseline"/>
        </w:rPr>
        <w:t> </w:t>
      </w:r>
      <w:r>
        <w:rPr>
          <w:sz w:val="18"/>
          <w:vertAlign w:val="baseline"/>
        </w:rPr>
        <w:t>2006; PBOC 2007, 2012; Ying 2008; China Daily 2009; Reuters 2009, 2010a, 2010b, 2016; Parson 2010; Shan</w:t>
      </w:r>
    </w:p>
    <w:p>
      <w:pPr>
        <w:spacing w:line="249" w:lineRule="auto" w:before="2"/>
        <w:ind w:left="760" w:right="767" w:firstLine="0"/>
        <w:jc w:val="left"/>
        <w:rPr>
          <w:sz w:val="18"/>
        </w:rPr>
      </w:pPr>
      <w:r>
        <w:rPr>
          <w:sz w:val="18"/>
        </w:rPr>
        <w:t>2011;</w:t>
      </w:r>
      <w:r>
        <w:rPr>
          <w:spacing w:val="-8"/>
          <w:sz w:val="18"/>
        </w:rPr>
        <w:t> </w:t>
      </w:r>
      <w:r>
        <w:rPr>
          <w:sz w:val="18"/>
        </w:rPr>
        <w:t>Yuan</w:t>
      </w:r>
      <w:r>
        <w:rPr>
          <w:spacing w:val="-8"/>
          <w:sz w:val="18"/>
        </w:rPr>
        <w:t> </w:t>
      </w:r>
      <w:r>
        <w:rPr>
          <w:sz w:val="18"/>
        </w:rPr>
        <w:t>2014;</w:t>
      </w:r>
      <w:r>
        <w:rPr>
          <w:spacing w:val="-8"/>
          <w:sz w:val="18"/>
        </w:rPr>
        <w:t> </w:t>
      </w:r>
      <w:r>
        <w:rPr>
          <w:sz w:val="18"/>
        </w:rPr>
        <w:t>Tangjun</w:t>
      </w:r>
      <w:r>
        <w:rPr>
          <w:spacing w:val="-8"/>
          <w:sz w:val="18"/>
        </w:rPr>
        <w:t> </w:t>
      </w:r>
      <w:r>
        <w:rPr>
          <w:sz w:val="18"/>
        </w:rPr>
        <w:t>et</w:t>
      </w:r>
      <w:r>
        <w:rPr>
          <w:spacing w:val="-8"/>
          <w:sz w:val="18"/>
        </w:rPr>
        <w:t> </w:t>
      </w:r>
      <w:r>
        <w:rPr>
          <w:sz w:val="18"/>
        </w:rPr>
        <w:t>al.</w:t>
      </w:r>
      <w:r>
        <w:rPr>
          <w:spacing w:val="-8"/>
          <w:sz w:val="18"/>
        </w:rPr>
        <w:t> </w:t>
      </w:r>
      <w:r>
        <w:rPr>
          <w:sz w:val="18"/>
        </w:rPr>
        <w:t>2014;</w:t>
      </w:r>
      <w:r>
        <w:rPr>
          <w:spacing w:val="-8"/>
          <w:sz w:val="18"/>
        </w:rPr>
        <w:t> </w:t>
      </w:r>
      <w:r>
        <w:rPr>
          <w:sz w:val="18"/>
        </w:rPr>
        <w:t>Jia</w:t>
      </w:r>
      <w:r>
        <w:rPr>
          <w:spacing w:val="-8"/>
          <w:sz w:val="18"/>
        </w:rPr>
        <w:t> </w:t>
      </w:r>
      <w:r>
        <w:rPr>
          <w:sz w:val="18"/>
        </w:rPr>
        <w:t>2015;</w:t>
      </w:r>
      <w:r>
        <w:rPr>
          <w:spacing w:val="-8"/>
          <w:sz w:val="18"/>
        </w:rPr>
        <w:t> </w:t>
      </w:r>
      <w:r>
        <w:rPr>
          <w:sz w:val="18"/>
        </w:rPr>
        <w:t>Xinhua</w:t>
      </w:r>
      <w:r>
        <w:rPr>
          <w:spacing w:val="-8"/>
          <w:sz w:val="18"/>
        </w:rPr>
        <w:t> </w:t>
      </w:r>
      <w:r>
        <w:rPr>
          <w:sz w:val="18"/>
        </w:rPr>
        <w:t>2015;</w:t>
      </w:r>
      <w:r>
        <w:rPr>
          <w:spacing w:val="-8"/>
          <w:sz w:val="18"/>
        </w:rPr>
        <w:t> </w:t>
      </w:r>
      <w:r>
        <w:rPr>
          <w:sz w:val="18"/>
        </w:rPr>
        <w:t>Xiao</w:t>
      </w:r>
      <w:r>
        <w:rPr>
          <w:spacing w:val="-8"/>
          <w:sz w:val="18"/>
        </w:rPr>
        <w:t> </w:t>
      </w:r>
      <w:r>
        <w:rPr>
          <w:sz w:val="18"/>
        </w:rPr>
        <w:t>2016;</w:t>
      </w:r>
      <w:r>
        <w:rPr>
          <w:spacing w:val="-8"/>
          <w:sz w:val="18"/>
        </w:rPr>
        <w:t> </w:t>
      </w:r>
      <w:r>
        <w:rPr>
          <w:sz w:val="18"/>
        </w:rPr>
        <w:t>Xie</w:t>
      </w:r>
      <w:r>
        <w:rPr>
          <w:spacing w:val="-8"/>
          <w:sz w:val="18"/>
        </w:rPr>
        <w:t> </w:t>
      </w:r>
      <w:r>
        <w:rPr>
          <w:sz w:val="18"/>
        </w:rPr>
        <w:t>and</w:t>
      </w:r>
      <w:r>
        <w:rPr>
          <w:spacing w:val="-8"/>
          <w:sz w:val="18"/>
        </w:rPr>
        <w:t> </w:t>
      </w:r>
      <w:r>
        <w:rPr>
          <w:sz w:val="18"/>
        </w:rPr>
        <w:t>Lamar</w:t>
      </w:r>
      <w:r>
        <w:rPr>
          <w:spacing w:val="-8"/>
          <w:sz w:val="18"/>
        </w:rPr>
        <w:t> </w:t>
      </w:r>
      <w:r>
        <w:rPr>
          <w:sz w:val="18"/>
        </w:rPr>
        <w:t>2016;</w:t>
      </w:r>
      <w:r>
        <w:rPr>
          <w:spacing w:val="-8"/>
          <w:sz w:val="18"/>
        </w:rPr>
        <w:t> </w:t>
      </w:r>
      <w:r>
        <w:rPr>
          <w:sz w:val="18"/>
        </w:rPr>
        <w:t>Chen</w:t>
      </w:r>
      <w:r>
        <w:rPr>
          <w:spacing w:val="-8"/>
          <w:sz w:val="18"/>
        </w:rPr>
        <w:t> </w:t>
      </w:r>
      <w:r>
        <w:rPr>
          <w:sz w:val="18"/>
        </w:rPr>
        <w:t>2014; Kong and Gallagher 2017; Ofﬁce of the Leading Group for Promoting the Belt and Road Initiative 2019; Embassy of the People's Republic of China in the Republic of the Philippines 2019; Liu 2023; and Setser </w:t>
      </w:r>
      <w:r>
        <w:rPr>
          <w:spacing w:val="-2"/>
          <w:sz w:val="18"/>
        </w:rPr>
        <w:t>2023a.</w:t>
      </w:r>
    </w:p>
    <w:p>
      <w:pPr>
        <w:spacing w:line="249" w:lineRule="auto" w:before="3"/>
        <w:ind w:left="760" w:right="767" w:firstLine="0"/>
        <w:jc w:val="left"/>
        <w:rPr>
          <w:sz w:val="18"/>
        </w:rPr>
      </w:pPr>
      <w:r>
        <w:rPr>
          <w:sz w:val="18"/>
          <w:vertAlign w:val="superscript"/>
        </w:rPr>
        <w:t>120</w:t>
      </w:r>
      <w:r>
        <w:rPr>
          <w:sz w:val="18"/>
          <w:vertAlign w:val="baseline"/>
        </w:rPr>
        <w:t> SAFE has a particularly high level of exposure to non-performing loans on China Eximbank’s balance sheet. According to a bond prospectus that China Eximbank issued in March 2017, “the ownership of the Ministry</w:t>
      </w:r>
      <w:r>
        <w:rPr>
          <w:spacing w:val="-5"/>
          <w:sz w:val="18"/>
          <w:vertAlign w:val="baseline"/>
        </w:rPr>
        <w:t> </w:t>
      </w:r>
      <w:r>
        <w:rPr>
          <w:sz w:val="18"/>
          <w:vertAlign w:val="baseline"/>
        </w:rPr>
        <w:t>of</w:t>
      </w:r>
      <w:r>
        <w:rPr>
          <w:spacing w:val="-5"/>
          <w:sz w:val="18"/>
          <w:vertAlign w:val="baseline"/>
        </w:rPr>
        <w:t> </w:t>
      </w:r>
      <w:r>
        <w:rPr>
          <w:sz w:val="18"/>
          <w:vertAlign w:val="baseline"/>
        </w:rPr>
        <w:t>Finance</w:t>
      </w:r>
      <w:r>
        <w:rPr>
          <w:spacing w:val="-5"/>
          <w:sz w:val="18"/>
          <w:vertAlign w:val="baseline"/>
        </w:rPr>
        <w:t> </w:t>
      </w:r>
      <w:r>
        <w:rPr>
          <w:sz w:val="18"/>
          <w:vertAlign w:val="baseline"/>
        </w:rPr>
        <w:t>in</w:t>
      </w:r>
      <w:r>
        <w:rPr>
          <w:spacing w:val="-5"/>
          <w:sz w:val="18"/>
          <w:vertAlign w:val="baseline"/>
        </w:rPr>
        <w:t> </w:t>
      </w:r>
      <w:r>
        <w:rPr>
          <w:sz w:val="18"/>
          <w:vertAlign w:val="baseline"/>
        </w:rPr>
        <w:t>China</w:t>
      </w:r>
      <w:r>
        <w:rPr>
          <w:spacing w:val="-5"/>
          <w:sz w:val="18"/>
          <w:vertAlign w:val="baseline"/>
        </w:rPr>
        <w:t> </w:t>
      </w:r>
      <w:r>
        <w:rPr>
          <w:sz w:val="18"/>
          <w:vertAlign w:val="baseline"/>
        </w:rPr>
        <w:t>Eximbank</w:t>
      </w:r>
      <w:r>
        <w:rPr>
          <w:spacing w:val="-5"/>
          <w:sz w:val="18"/>
          <w:vertAlign w:val="baseline"/>
        </w:rPr>
        <w:t> </w:t>
      </w:r>
      <w:r>
        <w:rPr>
          <w:sz w:val="18"/>
          <w:vertAlign w:val="baseline"/>
        </w:rPr>
        <w:t>is</w:t>
      </w:r>
      <w:r>
        <w:rPr>
          <w:spacing w:val="-5"/>
          <w:sz w:val="18"/>
          <w:vertAlign w:val="baseline"/>
        </w:rPr>
        <w:t> </w:t>
      </w:r>
      <w:r>
        <w:rPr>
          <w:sz w:val="18"/>
          <w:vertAlign w:val="baseline"/>
        </w:rPr>
        <w:t>approximately</w:t>
      </w:r>
      <w:r>
        <w:rPr>
          <w:spacing w:val="-5"/>
          <w:sz w:val="18"/>
          <w:vertAlign w:val="baseline"/>
        </w:rPr>
        <w:t> </w:t>
      </w:r>
      <w:r>
        <w:rPr>
          <w:sz w:val="18"/>
          <w:vertAlign w:val="baseline"/>
        </w:rPr>
        <w:t>10.7%</w:t>
      </w:r>
      <w:r>
        <w:rPr>
          <w:spacing w:val="-5"/>
          <w:sz w:val="18"/>
          <w:vertAlign w:val="baseline"/>
        </w:rPr>
        <w:t> </w:t>
      </w:r>
      <w:r>
        <w:rPr>
          <w:sz w:val="18"/>
          <w:vertAlign w:val="baseline"/>
        </w:rPr>
        <w:t>while</w:t>
      </w:r>
      <w:r>
        <w:rPr>
          <w:spacing w:val="-5"/>
          <w:sz w:val="18"/>
          <w:vertAlign w:val="baseline"/>
        </w:rPr>
        <w:t> </w:t>
      </w:r>
      <w:r>
        <w:rPr>
          <w:sz w:val="18"/>
          <w:vertAlign w:val="baseline"/>
        </w:rPr>
        <w:t>[...]</w:t>
      </w:r>
      <w:r>
        <w:rPr>
          <w:spacing w:val="-5"/>
          <w:sz w:val="18"/>
          <w:vertAlign w:val="baseline"/>
        </w:rPr>
        <w:t> </w:t>
      </w:r>
      <w:r>
        <w:rPr>
          <w:sz w:val="18"/>
          <w:vertAlign w:val="baseline"/>
        </w:rPr>
        <w:t>SAFE</w:t>
      </w:r>
      <w:r>
        <w:rPr>
          <w:spacing w:val="-5"/>
          <w:sz w:val="18"/>
          <w:vertAlign w:val="baseline"/>
        </w:rPr>
        <w:t> </w:t>
      </w:r>
      <w:r>
        <w:rPr>
          <w:sz w:val="18"/>
          <w:vertAlign w:val="baseline"/>
        </w:rPr>
        <w:t>owns</w:t>
      </w:r>
      <w:r>
        <w:rPr>
          <w:spacing w:val="-5"/>
          <w:sz w:val="18"/>
          <w:vertAlign w:val="baseline"/>
        </w:rPr>
        <w:t> </w:t>
      </w:r>
      <w:r>
        <w:rPr>
          <w:sz w:val="18"/>
          <w:vertAlign w:val="baseline"/>
        </w:rPr>
        <w:t>approximately</w:t>
      </w:r>
      <w:r>
        <w:rPr>
          <w:spacing w:val="-5"/>
          <w:sz w:val="18"/>
          <w:vertAlign w:val="baseline"/>
        </w:rPr>
        <w:t> </w:t>
      </w:r>
      <w:r>
        <w:rPr>
          <w:sz w:val="18"/>
          <w:vertAlign w:val="baseline"/>
        </w:rPr>
        <w:t>89.3%</w:t>
      </w:r>
      <w:r>
        <w:rPr>
          <w:spacing w:val="-5"/>
          <w:sz w:val="18"/>
          <w:vertAlign w:val="baseline"/>
        </w:rPr>
        <w:t> </w:t>
      </w:r>
      <w:r>
        <w:rPr>
          <w:sz w:val="18"/>
          <w:vertAlign w:val="baseline"/>
        </w:rPr>
        <w:t>of China Eximbank through its investment platform” (Export-Import Bank of China 2017: 20). SAFE is also exposed to non-performing CDB loans, but its exposure is related to its use of CDB as a ﬁduciary for entrusted loans and CDB’s own balance sheet. SAFE holds a 27.1% ownership stake in CDB through Buttonwood Investment Holding Company Ltd. It purchased this stake on July 15, 2015, when Buttonwood Investment Holding Company Ltd. injected $48 billion of share capital into CDB (CDB 2020).</w:t>
      </w:r>
    </w:p>
    <w:p>
      <w:pPr>
        <w:spacing w:line="249" w:lineRule="auto" w:before="5"/>
        <w:ind w:left="760" w:right="767" w:firstLine="0"/>
        <w:jc w:val="left"/>
        <w:rPr>
          <w:sz w:val="18"/>
        </w:rPr>
      </w:pPr>
      <w:r>
        <w:rPr>
          <w:sz w:val="18"/>
          <w:vertAlign w:val="superscript"/>
        </w:rPr>
        <w:t>121</w:t>
      </w:r>
      <w:r>
        <w:rPr>
          <w:sz w:val="18"/>
          <w:vertAlign w:val="baseline"/>
        </w:rPr>
        <w:t> During the primary data collection effort for the 3.0 version of the GCDF dataset, AidData uncovered evidence</w:t>
      </w:r>
      <w:r>
        <w:rPr>
          <w:spacing w:val="-1"/>
          <w:sz w:val="18"/>
          <w:vertAlign w:val="baseline"/>
        </w:rPr>
        <w:t> </w:t>
      </w:r>
      <w:r>
        <w:rPr>
          <w:sz w:val="18"/>
          <w:vertAlign w:val="baseline"/>
        </w:rPr>
        <w:t>of</w:t>
      </w:r>
      <w:r>
        <w:rPr>
          <w:spacing w:val="-1"/>
          <w:sz w:val="18"/>
          <w:vertAlign w:val="baseline"/>
        </w:rPr>
        <w:t> </w:t>
      </w:r>
      <w:r>
        <w:rPr>
          <w:sz w:val="18"/>
          <w:vertAlign w:val="baseline"/>
        </w:rPr>
        <w:t>Sinosure</w:t>
      </w:r>
      <w:r>
        <w:rPr>
          <w:spacing w:val="-1"/>
          <w:sz w:val="18"/>
          <w:vertAlign w:val="baseline"/>
        </w:rPr>
        <w:t> </w:t>
      </w:r>
      <w:r>
        <w:rPr>
          <w:sz w:val="18"/>
          <w:vertAlign w:val="baseline"/>
        </w:rPr>
        <w:t>in</w:t>
      </w:r>
      <w:r>
        <w:rPr>
          <w:spacing w:val="-1"/>
          <w:sz w:val="18"/>
          <w:vertAlign w:val="baseline"/>
        </w:rPr>
        <w:t> </w:t>
      </w:r>
      <w:r>
        <w:rPr>
          <w:sz w:val="18"/>
          <w:vertAlign w:val="baseline"/>
        </w:rPr>
        <w:t>recent</w:t>
      </w:r>
      <w:r>
        <w:rPr>
          <w:spacing w:val="-1"/>
          <w:sz w:val="18"/>
          <w:vertAlign w:val="baseline"/>
        </w:rPr>
        <w:t> </w:t>
      </w:r>
      <w:r>
        <w:rPr>
          <w:sz w:val="18"/>
          <w:vertAlign w:val="baseline"/>
        </w:rPr>
        <w:t>years</w:t>
      </w:r>
      <w:r>
        <w:rPr>
          <w:spacing w:val="-1"/>
          <w:sz w:val="18"/>
          <w:vertAlign w:val="baseline"/>
        </w:rPr>
        <w:t> </w:t>
      </w:r>
      <w:r>
        <w:rPr>
          <w:sz w:val="18"/>
          <w:vertAlign w:val="baseline"/>
        </w:rPr>
        <w:t>providing</w:t>
      </w:r>
      <w:r>
        <w:rPr>
          <w:spacing w:val="-1"/>
          <w:sz w:val="18"/>
          <w:vertAlign w:val="baseline"/>
        </w:rPr>
        <w:t> </w:t>
      </w:r>
      <w:r>
        <w:rPr>
          <w:sz w:val="18"/>
          <w:vertAlign w:val="baseline"/>
        </w:rPr>
        <w:t>credit</w:t>
      </w:r>
      <w:r>
        <w:rPr>
          <w:spacing w:val="-1"/>
          <w:sz w:val="18"/>
          <w:vertAlign w:val="baseline"/>
        </w:rPr>
        <w:t> </w:t>
      </w:r>
      <w:r>
        <w:rPr>
          <w:sz w:val="18"/>
          <w:vertAlign w:val="baseline"/>
        </w:rPr>
        <w:t>insurance</w:t>
      </w:r>
      <w:r>
        <w:rPr>
          <w:spacing w:val="-1"/>
          <w:sz w:val="18"/>
          <w:vertAlign w:val="baseline"/>
        </w:rPr>
        <w:t> </w:t>
      </w:r>
      <w:r>
        <w:rPr>
          <w:sz w:val="18"/>
          <w:vertAlign w:val="baseline"/>
        </w:rPr>
        <w:t>for</w:t>
      </w:r>
      <w:r>
        <w:rPr>
          <w:spacing w:val="-1"/>
          <w:sz w:val="18"/>
          <w:vertAlign w:val="baseline"/>
        </w:rPr>
        <w:t> </w:t>
      </w:r>
      <w:r>
        <w:rPr>
          <w:sz w:val="18"/>
          <w:vertAlign w:val="baseline"/>
        </w:rPr>
        <w:t>loans</w:t>
      </w:r>
      <w:r>
        <w:rPr>
          <w:spacing w:val="-1"/>
          <w:sz w:val="18"/>
          <w:vertAlign w:val="baseline"/>
        </w:rPr>
        <w:t> </w:t>
      </w:r>
      <w:r>
        <w:rPr>
          <w:sz w:val="18"/>
          <w:vertAlign w:val="baseline"/>
        </w:rPr>
        <w:t>issued</w:t>
      </w:r>
      <w:r>
        <w:rPr>
          <w:spacing w:val="-1"/>
          <w:sz w:val="18"/>
          <w:vertAlign w:val="baseline"/>
        </w:rPr>
        <w:t> </w:t>
      </w:r>
      <w:r>
        <w:rPr>
          <w:sz w:val="18"/>
          <w:vertAlign w:val="baseline"/>
        </w:rPr>
        <w:t>by</w:t>
      </w:r>
      <w:r>
        <w:rPr>
          <w:spacing w:val="-1"/>
          <w:sz w:val="18"/>
          <w:vertAlign w:val="baseline"/>
        </w:rPr>
        <w:t> </w:t>
      </w:r>
      <w:r>
        <w:rPr>
          <w:i/>
          <w:sz w:val="18"/>
          <w:vertAlign w:val="baseline"/>
        </w:rPr>
        <w:t>non-Chinese</w:t>
      </w:r>
      <w:r>
        <w:rPr>
          <w:i/>
          <w:spacing w:val="-1"/>
          <w:sz w:val="18"/>
          <w:vertAlign w:val="baseline"/>
        </w:rPr>
        <w:t> </w:t>
      </w:r>
      <w:r>
        <w:rPr>
          <w:i/>
          <w:sz w:val="18"/>
          <w:vertAlign w:val="baseline"/>
        </w:rPr>
        <w:t>banks</w:t>
      </w:r>
      <w:r>
        <w:rPr>
          <w:i/>
          <w:spacing w:val="-1"/>
          <w:sz w:val="18"/>
          <w:vertAlign w:val="baseline"/>
        </w:rPr>
        <w:t> </w:t>
      </w:r>
      <w:r>
        <w:rPr>
          <w:sz w:val="18"/>
          <w:vertAlign w:val="baseline"/>
        </w:rPr>
        <w:t>for projects being implemented by Chinese contractors. These loan commitments are not included in the </w:t>
      </w:r>
      <w:r>
        <w:rPr>
          <w:sz w:val="18"/>
          <w:vertAlign w:val="baseline"/>
        </w:rPr>
        <w:t>3.0 version of AidData’s GCDF dataset.</w:t>
      </w:r>
    </w:p>
    <w:p>
      <w:pPr>
        <w:spacing w:line="249" w:lineRule="auto" w:before="4"/>
        <w:ind w:left="760" w:right="745" w:firstLine="0"/>
        <w:jc w:val="left"/>
        <w:rPr>
          <w:sz w:val="18"/>
        </w:rPr>
      </w:pPr>
      <w:r>
        <w:rPr>
          <w:w w:val="105"/>
          <w:sz w:val="18"/>
          <w:vertAlign w:val="superscript"/>
        </w:rPr>
        <w:t>122</w:t>
      </w:r>
      <w:r>
        <w:rPr>
          <w:spacing w:val="-14"/>
          <w:w w:val="105"/>
          <w:sz w:val="18"/>
          <w:vertAlign w:val="baseline"/>
        </w:rPr>
        <w:t> </w:t>
      </w:r>
      <w:r>
        <w:rPr>
          <w:w w:val="105"/>
          <w:sz w:val="18"/>
          <w:vertAlign w:val="baseline"/>
        </w:rPr>
        <w:t>Zhou</w:t>
      </w:r>
      <w:r>
        <w:rPr>
          <w:spacing w:val="-13"/>
          <w:w w:val="105"/>
          <w:sz w:val="18"/>
          <w:vertAlign w:val="baseline"/>
        </w:rPr>
        <w:t> </w:t>
      </w:r>
      <w:r>
        <w:rPr>
          <w:w w:val="105"/>
          <w:sz w:val="18"/>
          <w:vertAlign w:val="baseline"/>
        </w:rPr>
        <w:t>Minyuan,</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head</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CBRC's</w:t>
      </w:r>
      <w:r>
        <w:rPr>
          <w:spacing w:val="-13"/>
          <w:w w:val="105"/>
          <w:sz w:val="18"/>
          <w:vertAlign w:val="baseline"/>
        </w:rPr>
        <w:t> </w:t>
      </w:r>
      <w:r>
        <w:rPr>
          <w:w w:val="105"/>
          <w:sz w:val="18"/>
          <w:vertAlign w:val="baseline"/>
        </w:rPr>
        <w:t>policy</w:t>
      </w:r>
      <w:r>
        <w:rPr>
          <w:spacing w:val="-14"/>
          <w:w w:val="105"/>
          <w:sz w:val="18"/>
          <w:vertAlign w:val="baseline"/>
        </w:rPr>
        <w:t> </w:t>
      </w:r>
      <w:r>
        <w:rPr>
          <w:w w:val="105"/>
          <w:sz w:val="18"/>
          <w:vertAlign w:val="baseline"/>
        </w:rPr>
        <w:t>banks</w:t>
      </w:r>
      <w:r>
        <w:rPr>
          <w:spacing w:val="-13"/>
          <w:w w:val="105"/>
          <w:sz w:val="18"/>
          <w:vertAlign w:val="baseline"/>
        </w:rPr>
        <w:t> </w:t>
      </w:r>
      <w:r>
        <w:rPr>
          <w:w w:val="105"/>
          <w:sz w:val="18"/>
          <w:vertAlign w:val="baseline"/>
        </w:rPr>
        <w:t>supervision</w:t>
      </w:r>
      <w:r>
        <w:rPr>
          <w:spacing w:val="-13"/>
          <w:w w:val="105"/>
          <w:sz w:val="18"/>
          <w:vertAlign w:val="baseline"/>
        </w:rPr>
        <w:t> </w:t>
      </w:r>
      <w:r>
        <w:rPr>
          <w:w w:val="105"/>
          <w:sz w:val="18"/>
          <w:vertAlign w:val="baseline"/>
        </w:rPr>
        <w:t>department,</w:t>
      </w:r>
      <w:r>
        <w:rPr>
          <w:spacing w:val="-13"/>
          <w:w w:val="105"/>
          <w:sz w:val="18"/>
          <w:vertAlign w:val="baseline"/>
        </w:rPr>
        <w:t> </w:t>
      </w:r>
      <w:r>
        <w:rPr>
          <w:w w:val="105"/>
          <w:sz w:val="18"/>
          <w:vertAlign w:val="baseline"/>
        </w:rPr>
        <w:t>announced</w:t>
      </w:r>
      <w:r>
        <w:rPr>
          <w:spacing w:val="-13"/>
          <w:w w:val="105"/>
          <w:sz w:val="18"/>
          <w:vertAlign w:val="baseline"/>
        </w:rPr>
        <w:t> </w:t>
      </w:r>
      <w:r>
        <w:rPr>
          <w:w w:val="105"/>
          <w:sz w:val="18"/>
          <w:vertAlign w:val="baseline"/>
        </w:rPr>
        <w:t>at</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time</w:t>
      </w:r>
      <w:r>
        <w:rPr>
          <w:spacing w:val="-13"/>
          <w:w w:val="105"/>
          <w:sz w:val="18"/>
          <w:vertAlign w:val="baseline"/>
        </w:rPr>
        <w:t> </w:t>
      </w:r>
      <w:r>
        <w:rPr>
          <w:w w:val="105"/>
          <w:sz w:val="18"/>
          <w:vertAlign w:val="baseline"/>
        </w:rPr>
        <w:t>that</w:t>
      </w:r>
      <w:r>
        <w:rPr>
          <w:spacing w:val="-14"/>
          <w:w w:val="105"/>
          <w:sz w:val="18"/>
          <w:vertAlign w:val="baseline"/>
        </w:rPr>
        <w:t> </w:t>
      </w:r>
      <w:r>
        <w:rPr>
          <w:w w:val="105"/>
          <w:sz w:val="18"/>
          <w:vertAlign w:val="baseline"/>
        </w:rPr>
        <w:t>it </w:t>
      </w:r>
      <w:r>
        <w:rPr>
          <w:sz w:val="18"/>
          <w:vertAlign w:val="baseline"/>
        </w:rPr>
        <w:t>“required both banks to fully identify overseas business risks, step up compliance management, completely </w:t>
      </w:r>
      <w:r>
        <w:rPr>
          <w:w w:val="105"/>
          <w:sz w:val="18"/>
          <w:vertAlign w:val="baseline"/>
        </w:rPr>
        <w:t>understand</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operational</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ﬁnancial</w:t>
      </w:r>
      <w:r>
        <w:rPr>
          <w:spacing w:val="-13"/>
          <w:w w:val="105"/>
          <w:sz w:val="18"/>
          <w:vertAlign w:val="baseline"/>
        </w:rPr>
        <w:t> </w:t>
      </w:r>
      <w:r>
        <w:rPr>
          <w:w w:val="105"/>
          <w:sz w:val="18"/>
          <w:vertAlign w:val="baseline"/>
        </w:rPr>
        <w:t>status</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their</w:t>
      </w:r>
      <w:r>
        <w:rPr>
          <w:spacing w:val="-13"/>
          <w:w w:val="105"/>
          <w:sz w:val="18"/>
          <w:vertAlign w:val="baseline"/>
        </w:rPr>
        <w:t> </w:t>
      </w:r>
      <w:r>
        <w:rPr>
          <w:w w:val="105"/>
          <w:sz w:val="18"/>
          <w:vertAlign w:val="baseline"/>
        </w:rPr>
        <w:t>clients</w:t>
      </w:r>
      <w:r>
        <w:rPr>
          <w:spacing w:val="-13"/>
          <w:w w:val="105"/>
          <w:sz w:val="18"/>
          <w:vertAlign w:val="baseline"/>
        </w:rPr>
        <w:t> </w:t>
      </w:r>
      <w:r>
        <w:rPr>
          <w:w w:val="105"/>
          <w:sz w:val="18"/>
          <w:vertAlign w:val="baseline"/>
        </w:rPr>
        <w:t>as</w:t>
      </w:r>
      <w:r>
        <w:rPr>
          <w:spacing w:val="-13"/>
          <w:w w:val="105"/>
          <w:sz w:val="18"/>
          <w:vertAlign w:val="baseline"/>
        </w:rPr>
        <w:t> </w:t>
      </w:r>
      <w:r>
        <w:rPr>
          <w:w w:val="105"/>
          <w:sz w:val="18"/>
          <w:vertAlign w:val="baseline"/>
        </w:rPr>
        <w:t>well</w:t>
      </w:r>
      <w:r>
        <w:rPr>
          <w:spacing w:val="-13"/>
          <w:w w:val="105"/>
          <w:sz w:val="18"/>
          <w:vertAlign w:val="baseline"/>
        </w:rPr>
        <w:t> </w:t>
      </w:r>
      <w:r>
        <w:rPr>
          <w:w w:val="105"/>
          <w:sz w:val="18"/>
          <w:vertAlign w:val="baseline"/>
        </w:rPr>
        <w:t>as</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laws</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regulations</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host </w:t>
      </w:r>
      <w:r>
        <w:rPr>
          <w:sz w:val="18"/>
          <w:vertAlign w:val="baseline"/>
        </w:rPr>
        <w:t>countries, strictly observe the local environmental and industrial regulations, and strengthen </w:t>
      </w:r>
      <w:r>
        <w:rPr>
          <w:sz w:val="18"/>
          <w:vertAlign w:val="baseline"/>
        </w:rPr>
        <w:t>communication </w:t>
      </w:r>
      <w:r>
        <w:rPr>
          <w:spacing w:val="-2"/>
          <w:w w:val="105"/>
          <w:sz w:val="18"/>
          <w:vertAlign w:val="baseline"/>
        </w:rPr>
        <w:t>with</w:t>
      </w:r>
      <w:r>
        <w:rPr>
          <w:spacing w:val="-4"/>
          <w:w w:val="105"/>
          <w:sz w:val="18"/>
          <w:vertAlign w:val="baseline"/>
        </w:rPr>
        <w:t> </w:t>
      </w:r>
      <w:r>
        <w:rPr>
          <w:spacing w:val="-2"/>
          <w:w w:val="105"/>
          <w:sz w:val="18"/>
          <w:vertAlign w:val="baseline"/>
        </w:rPr>
        <w:t>local</w:t>
      </w:r>
      <w:r>
        <w:rPr>
          <w:spacing w:val="-4"/>
          <w:w w:val="105"/>
          <w:sz w:val="18"/>
          <w:vertAlign w:val="baseline"/>
        </w:rPr>
        <w:t> </w:t>
      </w:r>
      <w:r>
        <w:rPr>
          <w:spacing w:val="-2"/>
          <w:w w:val="105"/>
          <w:sz w:val="18"/>
          <w:vertAlign w:val="baseline"/>
        </w:rPr>
        <w:t>regulators”</w:t>
      </w:r>
      <w:r>
        <w:rPr>
          <w:spacing w:val="-4"/>
          <w:w w:val="105"/>
          <w:sz w:val="18"/>
          <w:vertAlign w:val="baseline"/>
        </w:rPr>
        <w:t> </w:t>
      </w:r>
      <w:r>
        <w:rPr>
          <w:spacing w:val="-2"/>
          <w:w w:val="105"/>
          <w:sz w:val="18"/>
          <w:vertAlign w:val="baseline"/>
        </w:rPr>
        <w:t>(Xueqing</w:t>
      </w:r>
      <w:r>
        <w:rPr>
          <w:spacing w:val="-4"/>
          <w:w w:val="105"/>
          <w:sz w:val="18"/>
          <w:vertAlign w:val="baseline"/>
        </w:rPr>
        <w:t> </w:t>
      </w:r>
      <w:r>
        <w:rPr>
          <w:spacing w:val="-2"/>
          <w:w w:val="105"/>
          <w:sz w:val="18"/>
          <w:vertAlign w:val="baseline"/>
        </w:rPr>
        <w:t>2017).</w:t>
      </w:r>
      <w:r>
        <w:rPr>
          <w:spacing w:val="-4"/>
          <w:w w:val="105"/>
          <w:sz w:val="18"/>
          <w:vertAlign w:val="baseline"/>
        </w:rPr>
        <w:t> </w:t>
      </w:r>
      <w:r>
        <w:rPr>
          <w:spacing w:val="-2"/>
          <w:w w:val="105"/>
          <w:sz w:val="18"/>
          <w:vertAlign w:val="baseline"/>
        </w:rPr>
        <w:t>CBRC</w:t>
      </w:r>
      <w:r>
        <w:rPr>
          <w:spacing w:val="-4"/>
          <w:w w:val="105"/>
          <w:sz w:val="18"/>
          <w:vertAlign w:val="baseline"/>
        </w:rPr>
        <w:t> </w:t>
      </w:r>
      <w:r>
        <w:rPr>
          <w:spacing w:val="-2"/>
          <w:w w:val="105"/>
          <w:sz w:val="18"/>
          <w:vertAlign w:val="baseline"/>
        </w:rPr>
        <w:t>also</w:t>
      </w:r>
      <w:r>
        <w:rPr>
          <w:spacing w:val="-4"/>
          <w:w w:val="105"/>
          <w:sz w:val="18"/>
          <w:vertAlign w:val="baseline"/>
        </w:rPr>
        <w:t> </w:t>
      </w:r>
      <w:r>
        <w:rPr>
          <w:spacing w:val="-2"/>
          <w:w w:val="105"/>
          <w:sz w:val="18"/>
          <w:vertAlign w:val="baseline"/>
        </w:rPr>
        <w:t>“demanded</w:t>
      </w:r>
      <w:r>
        <w:rPr>
          <w:spacing w:val="-4"/>
          <w:w w:val="105"/>
          <w:sz w:val="18"/>
          <w:vertAlign w:val="baseline"/>
        </w:rPr>
        <w:t> </w:t>
      </w:r>
      <w:r>
        <w:rPr>
          <w:spacing w:val="-2"/>
          <w:w w:val="105"/>
          <w:sz w:val="18"/>
          <w:vertAlign w:val="baseline"/>
        </w:rPr>
        <w:t>the</w:t>
      </w:r>
      <w:r>
        <w:rPr>
          <w:spacing w:val="-4"/>
          <w:w w:val="105"/>
          <w:sz w:val="18"/>
          <w:vertAlign w:val="baseline"/>
        </w:rPr>
        <w:t> </w:t>
      </w:r>
      <w:r>
        <w:rPr>
          <w:spacing w:val="-2"/>
          <w:w w:val="105"/>
          <w:sz w:val="18"/>
          <w:vertAlign w:val="baseline"/>
        </w:rPr>
        <w:t>banks</w:t>
      </w:r>
      <w:r>
        <w:rPr>
          <w:spacing w:val="-4"/>
          <w:w w:val="105"/>
          <w:sz w:val="18"/>
          <w:vertAlign w:val="baseline"/>
        </w:rPr>
        <w:t> </w:t>
      </w:r>
      <w:r>
        <w:rPr>
          <w:spacing w:val="-2"/>
          <w:w w:val="105"/>
          <w:sz w:val="18"/>
          <w:vertAlign w:val="baseline"/>
        </w:rPr>
        <w:t>enhance</w:t>
      </w:r>
      <w:r>
        <w:rPr>
          <w:spacing w:val="-4"/>
          <w:w w:val="105"/>
          <w:sz w:val="18"/>
          <w:vertAlign w:val="baseline"/>
        </w:rPr>
        <w:t> </w:t>
      </w:r>
      <w:r>
        <w:rPr>
          <w:spacing w:val="-2"/>
          <w:w w:val="105"/>
          <w:sz w:val="18"/>
          <w:vertAlign w:val="baseline"/>
        </w:rPr>
        <w:t>capital</w:t>
      </w:r>
      <w:r>
        <w:rPr>
          <w:spacing w:val="-4"/>
          <w:w w:val="105"/>
          <w:sz w:val="18"/>
          <w:vertAlign w:val="baseline"/>
        </w:rPr>
        <w:t> </w:t>
      </w:r>
      <w:r>
        <w:rPr>
          <w:spacing w:val="-2"/>
          <w:w w:val="105"/>
          <w:sz w:val="18"/>
          <w:vertAlign w:val="baseline"/>
        </w:rPr>
        <w:t>supervision</w:t>
      </w:r>
      <w:r>
        <w:rPr>
          <w:spacing w:val="-4"/>
          <w:w w:val="105"/>
          <w:sz w:val="18"/>
          <w:vertAlign w:val="baseline"/>
        </w:rPr>
        <w:t> </w:t>
      </w:r>
      <w:r>
        <w:rPr>
          <w:spacing w:val="-2"/>
          <w:w w:val="105"/>
          <w:sz w:val="18"/>
          <w:vertAlign w:val="baseline"/>
        </w:rPr>
        <w:t>via</w:t>
      </w:r>
    </w:p>
    <w:p>
      <w:pPr>
        <w:spacing w:before="4"/>
        <w:ind w:left="760" w:right="0" w:firstLine="0"/>
        <w:jc w:val="left"/>
        <w:rPr>
          <w:sz w:val="18"/>
        </w:rPr>
      </w:pPr>
      <w:r>
        <w:rPr>
          <w:sz w:val="18"/>
        </w:rPr>
        <w:t>on-site</w:t>
      </w:r>
      <w:r>
        <w:rPr>
          <w:spacing w:val="-5"/>
          <w:sz w:val="18"/>
        </w:rPr>
        <w:t> </w:t>
      </w:r>
      <w:r>
        <w:rPr>
          <w:sz w:val="18"/>
        </w:rPr>
        <w:t>inspections</w:t>
      </w:r>
      <w:r>
        <w:rPr>
          <w:spacing w:val="-5"/>
          <w:sz w:val="18"/>
        </w:rPr>
        <w:t> </w:t>
      </w:r>
      <w:r>
        <w:rPr>
          <w:sz w:val="18"/>
        </w:rPr>
        <w:t>and</w:t>
      </w:r>
      <w:r>
        <w:rPr>
          <w:spacing w:val="-5"/>
          <w:sz w:val="18"/>
        </w:rPr>
        <w:t> </w:t>
      </w:r>
      <w:r>
        <w:rPr>
          <w:sz w:val="18"/>
        </w:rPr>
        <w:t>investigations,</w:t>
      </w:r>
      <w:r>
        <w:rPr>
          <w:spacing w:val="-4"/>
          <w:sz w:val="18"/>
        </w:rPr>
        <w:t> </w:t>
      </w:r>
      <w:r>
        <w:rPr>
          <w:sz w:val="18"/>
        </w:rPr>
        <w:t>effectively</w:t>
      </w:r>
      <w:r>
        <w:rPr>
          <w:spacing w:val="-5"/>
          <w:sz w:val="18"/>
        </w:rPr>
        <w:t> </w:t>
      </w:r>
      <w:r>
        <w:rPr>
          <w:sz w:val="18"/>
        </w:rPr>
        <w:t>prevent</w:t>
      </w:r>
      <w:r>
        <w:rPr>
          <w:spacing w:val="-5"/>
          <w:sz w:val="18"/>
        </w:rPr>
        <w:t> </w:t>
      </w:r>
      <w:r>
        <w:rPr>
          <w:sz w:val="18"/>
        </w:rPr>
        <w:t>and</w:t>
      </w:r>
      <w:r>
        <w:rPr>
          <w:spacing w:val="-4"/>
          <w:sz w:val="18"/>
        </w:rPr>
        <w:t> </w:t>
      </w:r>
      <w:r>
        <w:rPr>
          <w:sz w:val="18"/>
        </w:rPr>
        <w:t>control</w:t>
      </w:r>
      <w:r>
        <w:rPr>
          <w:spacing w:val="-5"/>
          <w:sz w:val="18"/>
        </w:rPr>
        <w:t> </w:t>
      </w:r>
      <w:r>
        <w:rPr>
          <w:sz w:val="18"/>
        </w:rPr>
        <w:t>overseas</w:t>
      </w:r>
      <w:r>
        <w:rPr>
          <w:spacing w:val="-5"/>
          <w:sz w:val="18"/>
        </w:rPr>
        <w:t> </w:t>
      </w:r>
      <w:r>
        <w:rPr>
          <w:sz w:val="18"/>
        </w:rPr>
        <w:t>business</w:t>
      </w:r>
      <w:r>
        <w:rPr>
          <w:spacing w:val="-4"/>
          <w:sz w:val="18"/>
        </w:rPr>
        <w:t> </w:t>
      </w:r>
      <w:r>
        <w:rPr>
          <w:sz w:val="18"/>
        </w:rPr>
        <w:t>risks</w:t>
      </w:r>
      <w:r>
        <w:rPr>
          <w:spacing w:val="-5"/>
          <w:sz w:val="18"/>
        </w:rPr>
        <w:t> </w:t>
      </w:r>
      <w:r>
        <w:rPr>
          <w:sz w:val="18"/>
        </w:rPr>
        <w:t>by</w:t>
      </w:r>
      <w:r>
        <w:rPr>
          <w:spacing w:val="-5"/>
          <w:sz w:val="18"/>
        </w:rPr>
        <w:t> </w:t>
      </w:r>
      <w:r>
        <w:rPr>
          <w:spacing w:val="-2"/>
          <w:sz w:val="18"/>
        </w:rPr>
        <w:t>taking</w:t>
      </w:r>
    </w:p>
    <w:p>
      <w:pPr>
        <w:spacing w:line="249" w:lineRule="auto" w:before="9"/>
        <w:ind w:left="760" w:right="767" w:firstLine="0"/>
        <w:jc w:val="left"/>
        <w:rPr>
          <w:sz w:val="18"/>
        </w:rPr>
      </w:pPr>
      <w:r>
        <w:rPr>
          <w:sz w:val="18"/>
        </w:rPr>
        <w:t>risk-sharing</w:t>
      </w:r>
      <w:r>
        <w:rPr>
          <w:spacing w:val="-5"/>
          <w:sz w:val="18"/>
        </w:rPr>
        <w:t> </w:t>
      </w:r>
      <w:r>
        <w:rPr>
          <w:sz w:val="18"/>
        </w:rPr>
        <w:t>measures,</w:t>
      </w:r>
      <w:r>
        <w:rPr>
          <w:spacing w:val="-5"/>
          <w:sz w:val="18"/>
        </w:rPr>
        <w:t> </w:t>
      </w:r>
      <w:r>
        <w:rPr>
          <w:sz w:val="18"/>
        </w:rPr>
        <w:t>prudentially</w:t>
      </w:r>
      <w:r>
        <w:rPr>
          <w:spacing w:val="-5"/>
          <w:sz w:val="18"/>
        </w:rPr>
        <w:t> </w:t>
      </w:r>
      <w:r>
        <w:rPr>
          <w:sz w:val="18"/>
        </w:rPr>
        <w:t>evaluate</w:t>
      </w:r>
      <w:r>
        <w:rPr>
          <w:spacing w:val="-5"/>
          <w:sz w:val="18"/>
        </w:rPr>
        <w:t> </w:t>
      </w:r>
      <w:r>
        <w:rPr>
          <w:sz w:val="18"/>
        </w:rPr>
        <w:t>the</w:t>
      </w:r>
      <w:r>
        <w:rPr>
          <w:spacing w:val="-5"/>
          <w:sz w:val="18"/>
        </w:rPr>
        <w:t> </w:t>
      </w:r>
      <w:r>
        <w:rPr>
          <w:sz w:val="18"/>
        </w:rPr>
        <w:t>feasibility</w:t>
      </w:r>
      <w:r>
        <w:rPr>
          <w:spacing w:val="-5"/>
          <w:sz w:val="18"/>
        </w:rPr>
        <w:t> </w:t>
      </w:r>
      <w:r>
        <w:rPr>
          <w:sz w:val="18"/>
        </w:rPr>
        <w:t>and</w:t>
      </w:r>
      <w:r>
        <w:rPr>
          <w:spacing w:val="-5"/>
          <w:sz w:val="18"/>
        </w:rPr>
        <w:t> </w:t>
      </w:r>
      <w:r>
        <w:rPr>
          <w:sz w:val="18"/>
        </w:rPr>
        <w:t>compliance</w:t>
      </w:r>
      <w:r>
        <w:rPr>
          <w:spacing w:val="-5"/>
          <w:sz w:val="18"/>
        </w:rPr>
        <w:t> </w:t>
      </w:r>
      <w:r>
        <w:rPr>
          <w:sz w:val="18"/>
        </w:rPr>
        <w:t>of</w:t>
      </w:r>
      <w:r>
        <w:rPr>
          <w:spacing w:val="-5"/>
          <w:sz w:val="18"/>
        </w:rPr>
        <w:t> </w:t>
      </w:r>
      <w:r>
        <w:rPr>
          <w:sz w:val="18"/>
        </w:rPr>
        <w:t>relevant</w:t>
      </w:r>
      <w:r>
        <w:rPr>
          <w:spacing w:val="-5"/>
          <w:sz w:val="18"/>
        </w:rPr>
        <w:t> </w:t>
      </w:r>
      <w:r>
        <w:rPr>
          <w:sz w:val="18"/>
        </w:rPr>
        <w:t>guarantee</w:t>
      </w:r>
      <w:r>
        <w:rPr>
          <w:spacing w:val="-5"/>
          <w:sz w:val="18"/>
        </w:rPr>
        <w:t> </w:t>
      </w:r>
      <w:r>
        <w:rPr>
          <w:sz w:val="18"/>
        </w:rPr>
        <w:t>measures, and improve their emergency response mechanism” (Xueqing 2017).</w:t>
      </w:r>
    </w:p>
    <w:p>
      <w:pPr>
        <w:spacing w:after="0" w:line="249" w:lineRule="auto"/>
        <w:jc w:val="left"/>
        <w:rPr>
          <w:sz w:val="18"/>
        </w:rPr>
        <w:sectPr>
          <w:pgSz w:w="12240" w:h="15840"/>
          <w:pgMar w:header="0" w:footer="720" w:top="1380" w:bottom="920" w:left="1040" w:right="1040"/>
        </w:sectPr>
      </w:pPr>
    </w:p>
    <w:p>
      <w:pPr>
        <w:pStyle w:val="BodyText"/>
        <w:ind w:left="640"/>
        <w:rPr>
          <w:sz w:val="20"/>
        </w:rPr>
      </w:pPr>
      <w:r>
        <w:rPr>
          <w:sz w:val="20"/>
        </w:rPr>
        <w:pict>
          <v:shape style="width:444pt;height:321pt;mso-position-horizontal-relative:char;mso-position-vertical-relative:line" type="#_x0000_t202" id="docshape32" filled="true" fillcolor="#f0f2f4" stroked="false">
            <w10:anchorlock/>
            <v:textbox inset="0,0,0,0">
              <w:txbxContent>
                <w:p>
                  <w:pPr>
                    <w:spacing w:line="300" w:lineRule="auto" w:before="6"/>
                    <w:ind w:left="120" w:right="136" w:firstLine="0"/>
                    <w:jc w:val="left"/>
                    <w:rPr>
                      <w:color w:val="000000"/>
                      <w:sz w:val="20"/>
                    </w:rPr>
                  </w:pPr>
                  <w:r>
                    <w:rPr>
                      <w:color w:val="000000"/>
                      <w:sz w:val="20"/>
                    </w:rPr>
                    <w:t>2017 (SAFE 2021: 53). At the time, it characterized the rate of return as being at a “relatively good</w:t>
                  </w:r>
                  <w:r>
                    <w:rPr>
                      <w:color w:val="000000"/>
                      <w:spacing w:val="-7"/>
                      <w:sz w:val="20"/>
                    </w:rPr>
                    <w:t> </w:t>
                  </w:r>
                  <w:r>
                    <w:rPr>
                      <w:color w:val="000000"/>
                      <w:sz w:val="20"/>
                    </w:rPr>
                    <w:t>level”</w:t>
                  </w:r>
                  <w:r>
                    <w:rPr>
                      <w:color w:val="000000"/>
                      <w:spacing w:val="-7"/>
                      <w:sz w:val="20"/>
                    </w:rPr>
                    <w:t> </w:t>
                  </w:r>
                  <w:r>
                    <w:rPr>
                      <w:color w:val="000000"/>
                      <w:sz w:val="20"/>
                    </w:rPr>
                    <w:t>(SAFE</w:t>
                  </w:r>
                  <w:r>
                    <w:rPr>
                      <w:color w:val="000000"/>
                      <w:spacing w:val="-7"/>
                      <w:sz w:val="20"/>
                    </w:rPr>
                    <w:t> </w:t>
                  </w:r>
                  <w:r>
                    <w:rPr>
                      <w:color w:val="000000"/>
                      <w:sz w:val="20"/>
                    </w:rPr>
                    <w:t>2021:</w:t>
                  </w:r>
                  <w:r>
                    <w:rPr>
                      <w:color w:val="000000"/>
                      <w:spacing w:val="-7"/>
                      <w:sz w:val="20"/>
                    </w:rPr>
                    <w:t> </w:t>
                  </w:r>
                  <w:r>
                    <w:rPr>
                      <w:color w:val="000000"/>
                      <w:sz w:val="20"/>
                    </w:rPr>
                    <w:t>53).</w:t>
                  </w:r>
                  <w:r>
                    <w:rPr>
                      <w:color w:val="000000"/>
                      <w:spacing w:val="-7"/>
                      <w:sz w:val="20"/>
                    </w:rPr>
                    <w:t> </w:t>
                  </w:r>
                  <w:r>
                    <w:rPr>
                      <w:color w:val="000000"/>
                      <w:sz w:val="20"/>
                    </w:rPr>
                    <w:t>SAFE</w:t>
                  </w:r>
                  <w:r>
                    <w:rPr>
                      <w:color w:val="000000"/>
                      <w:spacing w:val="-7"/>
                      <w:sz w:val="20"/>
                    </w:rPr>
                    <w:t> </w:t>
                  </w:r>
                  <w:r>
                    <w:rPr>
                      <w:color w:val="000000"/>
                      <w:sz w:val="20"/>
                    </w:rPr>
                    <w:t>has</w:t>
                  </w:r>
                  <w:r>
                    <w:rPr>
                      <w:color w:val="000000"/>
                      <w:spacing w:val="-7"/>
                      <w:sz w:val="20"/>
                    </w:rPr>
                    <w:t> </w:t>
                  </w:r>
                  <w:r>
                    <w:rPr>
                      <w:color w:val="000000"/>
                      <w:sz w:val="20"/>
                    </w:rPr>
                    <w:t>not</w:t>
                  </w:r>
                  <w:r>
                    <w:rPr>
                      <w:color w:val="000000"/>
                      <w:spacing w:val="-7"/>
                      <w:sz w:val="20"/>
                    </w:rPr>
                    <w:t> </w:t>
                  </w:r>
                  <w:r>
                    <w:rPr>
                      <w:color w:val="000000"/>
                      <w:sz w:val="20"/>
                    </w:rPr>
                    <w:t>released</w:t>
                  </w:r>
                  <w:r>
                    <w:rPr>
                      <w:color w:val="000000"/>
                      <w:spacing w:val="-7"/>
                      <w:sz w:val="20"/>
                    </w:rPr>
                    <w:t> </w:t>
                  </w:r>
                  <w:r>
                    <w:rPr>
                      <w:color w:val="000000"/>
                      <w:sz w:val="20"/>
                    </w:rPr>
                    <w:t>any</w:t>
                  </w:r>
                  <w:r>
                    <w:rPr>
                      <w:color w:val="000000"/>
                      <w:spacing w:val="-7"/>
                      <w:sz w:val="20"/>
                    </w:rPr>
                    <w:t> </w:t>
                  </w:r>
                  <w:r>
                    <w:rPr>
                      <w:color w:val="000000"/>
                      <w:sz w:val="20"/>
                    </w:rPr>
                    <w:t>data</w:t>
                  </w:r>
                  <w:r>
                    <w:rPr>
                      <w:color w:val="000000"/>
                      <w:spacing w:val="-7"/>
                      <w:sz w:val="20"/>
                    </w:rPr>
                    <w:t> </w:t>
                  </w:r>
                  <w:r>
                    <w:rPr>
                      <w:color w:val="000000"/>
                      <w:sz w:val="20"/>
                    </w:rPr>
                    <w:t>on</w:t>
                  </w:r>
                  <w:r>
                    <w:rPr>
                      <w:color w:val="000000"/>
                      <w:spacing w:val="-7"/>
                      <w:sz w:val="20"/>
                    </w:rPr>
                    <w:t> </w:t>
                  </w:r>
                  <w:r>
                    <w:rPr>
                      <w:color w:val="000000"/>
                      <w:sz w:val="20"/>
                    </w:rPr>
                    <w:t>average</w:t>
                  </w:r>
                  <w:r>
                    <w:rPr>
                      <w:color w:val="000000"/>
                      <w:spacing w:val="-7"/>
                      <w:sz w:val="20"/>
                    </w:rPr>
                    <w:t> </w:t>
                  </w:r>
                  <w:r>
                    <w:rPr>
                      <w:color w:val="000000"/>
                      <w:sz w:val="20"/>
                    </w:rPr>
                    <w:t>annual</w:t>
                  </w:r>
                  <w:r>
                    <w:rPr>
                      <w:color w:val="000000"/>
                      <w:spacing w:val="-6"/>
                      <w:sz w:val="20"/>
                    </w:rPr>
                    <w:t> </w:t>
                  </w:r>
                  <w:r>
                    <w:rPr>
                      <w:color w:val="000000"/>
                      <w:sz w:val="20"/>
                    </w:rPr>
                    <w:t>returns</w:t>
                  </w:r>
                  <w:r>
                    <w:rPr>
                      <w:color w:val="000000"/>
                      <w:spacing w:val="-7"/>
                      <w:sz w:val="20"/>
                    </w:rPr>
                    <w:t> </w:t>
                  </w:r>
                  <w:r>
                    <w:rPr>
                      <w:color w:val="000000"/>
                      <w:sz w:val="20"/>
                    </w:rPr>
                    <w:t>for</w:t>
                  </w:r>
                  <w:r>
                    <w:rPr>
                      <w:color w:val="000000"/>
                      <w:spacing w:val="-7"/>
                      <w:sz w:val="20"/>
                    </w:rPr>
                    <w:t> </w:t>
                  </w:r>
                  <w:r>
                    <w:rPr>
                      <w:color w:val="000000"/>
                      <w:sz w:val="20"/>
                    </w:rPr>
                    <w:t>2018 or any subsequent years.</w:t>
                  </w:r>
                </w:p>
                <w:p>
                  <w:pPr>
                    <w:pStyle w:val="BodyText"/>
                    <w:rPr>
                      <w:color w:val="000000"/>
                      <w:sz w:val="21"/>
                    </w:rPr>
                  </w:pPr>
                </w:p>
                <w:p>
                  <w:pPr>
                    <w:spacing w:line="300" w:lineRule="auto" w:before="0"/>
                    <w:ind w:left="120" w:right="164" w:firstLine="0"/>
                    <w:jc w:val="left"/>
                    <w:rPr>
                      <w:color w:val="000000"/>
                      <w:sz w:val="20"/>
                    </w:rPr>
                  </w:pPr>
                  <w:r>
                    <w:rPr>
                      <w:color w:val="000000"/>
                      <w:sz w:val="20"/>
                    </w:rPr>
                    <w:t>Another important question that remains unanswered is the extent to which SAFE owns the bonded debt of the LIC and MIC governments of Emerging Market and Developing Economies (EMDEs)—either through direct purchases or secondary market purchases (i.e., via investment funds like PIMCO, Blackrock, AllianceBernstein, Fidelity Investments, and Amundi Asset Management). There are several reasons to believe that SAFE’s holdings of bonded EMDE sovereign debt may be signiﬁcant. First, when SAFE agreed to buy $300 million of bonded debt from the Government of Costa Rica in 2008, it attempted to hide the purchase (Anderlini 2008). The</w:t>
                  </w:r>
                  <w:r>
                    <w:rPr>
                      <w:color w:val="000000"/>
                      <w:spacing w:val="-5"/>
                      <w:sz w:val="20"/>
                    </w:rPr>
                    <w:t> </w:t>
                  </w:r>
                  <w:r>
                    <w:rPr>
                      <w:color w:val="000000"/>
                      <w:sz w:val="20"/>
                    </w:rPr>
                    <w:t>Deputy</w:t>
                  </w:r>
                  <w:r>
                    <w:rPr>
                      <w:color w:val="000000"/>
                      <w:spacing w:val="-5"/>
                      <w:sz w:val="20"/>
                    </w:rPr>
                    <w:t> </w:t>
                  </w:r>
                  <w:r>
                    <w:rPr>
                      <w:color w:val="000000"/>
                      <w:sz w:val="20"/>
                    </w:rPr>
                    <w:t>Administrator</w:t>
                  </w:r>
                  <w:r>
                    <w:rPr>
                      <w:color w:val="000000"/>
                      <w:spacing w:val="-5"/>
                      <w:sz w:val="20"/>
                    </w:rPr>
                    <w:t> </w:t>
                  </w:r>
                  <w:r>
                    <w:rPr>
                      <w:color w:val="000000"/>
                      <w:sz w:val="20"/>
                    </w:rPr>
                    <w:t>of</w:t>
                  </w:r>
                  <w:r>
                    <w:rPr>
                      <w:color w:val="000000"/>
                      <w:spacing w:val="-5"/>
                      <w:sz w:val="20"/>
                    </w:rPr>
                    <w:t> </w:t>
                  </w:r>
                  <w:r>
                    <w:rPr>
                      <w:color w:val="000000"/>
                      <w:sz w:val="20"/>
                    </w:rPr>
                    <w:t>SAFE,</w:t>
                  </w:r>
                  <w:r>
                    <w:rPr>
                      <w:color w:val="000000"/>
                      <w:spacing w:val="-5"/>
                      <w:sz w:val="20"/>
                    </w:rPr>
                    <w:t> </w:t>
                  </w:r>
                  <w:r>
                    <w:rPr>
                      <w:color w:val="000000"/>
                      <w:sz w:val="20"/>
                    </w:rPr>
                    <w:t>Fang</w:t>
                  </w:r>
                  <w:r>
                    <w:rPr>
                      <w:color w:val="000000"/>
                      <w:spacing w:val="-5"/>
                      <w:sz w:val="20"/>
                    </w:rPr>
                    <w:t> </w:t>
                  </w:r>
                  <w:r>
                    <w:rPr>
                      <w:color w:val="000000"/>
                      <w:sz w:val="20"/>
                    </w:rPr>
                    <w:t>Shangpu,</w:t>
                  </w:r>
                  <w:r>
                    <w:rPr>
                      <w:color w:val="000000"/>
                      <w:spacing w:val="-5"/>
                      <w:sz w:val="20"/>
                    </w:rPr>
                    <w:t> </w:t>
                  </w:r>
                  <w:r>
                    <w:rPr>
                      <w:color w:val="000000"/>
                      <w:sz w:val="20"/>
                    </w:rPr>
                    <w:t>sought</w:t>
                  </w:r>
                  <w:r>
                    <w:rPr>
                      <w:color w:val="000000"/>
                      <w:spacing w:val="-5"/>
                      <w:sz w:val="20"/>
                    </w:rPr>
                    <w:t> </w:t>
                  </w:r>
                  <w:r>
                    <w:rPr>
                      <w:color w:val="000000"/>
                      <w:sz w:val="20"/>
                    </w:rPr>
                    <w:t>and</w:t>
                  </w:r>
                  <w:r>
                    <w:rPr>
                      <w:color w:val="000000"/>
                      <w:spacing w:val="-5"/>
                      <w:sz w:val="20"/>
                    </w:rPr>
                    <w:t> </w:t>
                  </w:r>
                  <w:r>
                    <w:rPr>
                      <w:color w:val="000000"/>
                      <w:sz w:val="20"/>
                    </w:rPr>
                    <w:t>secured</w:t>
                  </w:r>
                  <w:r>
                    <w:rPr>
                      <w:color w:val="000000"/>
                      <w:spacing w:val="-5"/>
                      <w:sz w:val="20"/>
                    </w:rPr>
                    <w:t> </w:t>
                  </w:r>
                  <w:r>
                    <w:rPr>
                      <w:color w:val="000000"/>
                      <w:sz w:val="20"/>
                    </w:rPr>
                    <w:t>a</w:t>
                  </w:r>
                  <w:r>
                    <w:rPr>
                      <w:color w:val="000000"/>
                      <w:spacing w:val="-5"/>
                      <w:sz w:val="20"/>
                    </w:rPr>
                    <w:t> </w:t>
                  </w:r>
                  <w:r>
                    <w:rPr>
                      <w:color w:val="000000"/>
                      <w:sz w:val="20"/>
                    </w:rPr>
                    <w:t>written</w:t>
                  </w:r>
                  <w:r>
                    <w:rPr>
                      <w:color w:val="000000"/>
                      <w:spacing w:val="-5"/>
                      <w:sz w:val="20"/>
                    </w:rPr>
                    <w:t> </w:t>
                  </w:r>
                  <w:r>
                    <w:rPr>
                      <w:color w:val="000000"/>
                      <w:sz w:val="20"/>
                    </w:rPr>
                    <w:t>assurance</w:t>
                  </w:r>
                  <w:r>
                    <w:rPr>
                      <w:color w:val="000000"/>
                      <w:spacing w:val="-5"/>
                      <w:sz w:val="20"/>
                    </w:rPr>
                    <w:t> </w:t>
                  </w:r>
                  <w:r>
                    <w:rPr>
                      <w:color w:val="000000"/>
                      <w:sz w:val="20"/>
                    </w:rPr>
                    <w:t>from the Government of Costa Rica that it would “take necessary measures to prevent the disclosure of</w:t>
                  </w:r>
                  <w:r>
                    <w:rPr>
                      <w:color w:val="000000"/>
                      <w:spacing w:val="-4"/>
                      <w:sz w:val="20"/>
                    </w:rPr>
                    <w:t> </w:t>
                  </w:r>
                  <w:r>
                    <w:rPr>
                      <w:color w:val="000000"/>
                      <w:sz w:val="20"/>
                    </w:rPr>
                    <w:t>the</w:t>
                  </w:r>
                  <w:r>
                    <w:rPr>
                      <w:color w:val="000000"/>
                      <w:spacing w:val="-4"/>
                      <w:sz w:val="20"/>
                    </w:rPr>
                    <w:t> </w:t>
                  </w:r>
                  <w:r>
                    <w:rPr>
                      <w:color w:val="000000"/>
                      <w:sz w:val="20"/>
                    </w:rPr>
                    <w:t>ﬁnancial</w:t>
                  </w:r>
                  <w:r>
                    <w:rPr>
                      <w:color w:val="000000"/>
                      <w:spacing w:val="-2"/>
                      <w:sz w:val="20"/>
                    </w:rPr>
                    <w:t> </w:t>
                  </w:r>
                  <w:r>
                    <w:rPr>
                      <w:color w:val="000000"/>
                      <w:sz w:val="20"/>
                    </w:rPr>
                    <w:t>terms</w:t>
                  </w:r>
                  <w:r>
                    <w:rPr>
                      <w:color w:val="000000"/>
                      <w:spacing w:val="-4"/>
                      <w:sz w:val="20"/>
                    </w:rPr>
                    <w:t> </w:t>
                  </w:r>
                  <w:r>
                    <w:rPr>
                      <w:color w:val="000000"/>
                      <w:sz w:val="20"/>
                    </w:rPr>
                    <w:t>of</w:t>
                  </w:r>
                  <w:r>
                    <w:rPr>
                      <w:color w:val="000000"/>
                      <w:spacing w:val="-4"/>
                      <w:sz w:val="20"/>
                    </w:rPr>
                    <w:t> </w:t>
                  </w:r>
                  <w:r>
                    <w:rPr>
                      <w:color w:val="000000"/>
                      <w:sz w:val="20"/>
                    </w:rPr>
                    <w:t>this</w:t>
                  </w:r>
                  <w:r>
                    <w:rPr>
                      <w:color w:val="000000"/>
                      <w:spacing w:val="-4"/>
                      <w:sz w:val="20"/>
                    </w:rPr>
                    <w:t> </w:t>
                  </w:r>
                  <w:r>
                    <w:rPr>
                      <w:color w:val="000000"/>
                      <w:sz w:val="20"/>
                    </w:rPr>
                    <w:t>operation</w:t>
                  </w:r>
                  <w:r>
                    <w:rPr>
                      <w:color w:val="000000"/>
                      <w:spacing w:val="-4"/>
                      <w:sz w:val="20"/>
                    </w:rPr>
                    <w:t> </w:t>
                  </w:r>
                  <w:r>
                    <w:rPr>
                      <w:color w:val="000000"/>
                      <w:sz w:val="20"/>
                    </w:rPr>
                    <w:t>and</w:t>
                  </w:r>
                  <w:r>
                    <w:rPr>
                      <w:color w:val="000000"/>
                      <w:spacing w:val="-4"/>
                      <w:sz w:val="20"/>
                    </w:rPr>
                    <w:t> </w:t>
                  </w:r>
                  <w:r>
                    <w:rPr>
                      <w:color w:val="000000"/>
                      <w:sz w:val="20"/>
                    </w:rPr>
                    <w:t>of</w:t>
                  </w:r>
                  <w:r>
                    <w:rPr>
                      <w:color w:val="000000"/>
                      <w:spacing w:val="-4"/>
                      <w:sz w:val="20"/>
                    </w:rPr>
                    <w:t> </w:t>
                  </w:r>
                  <w:r>
                    <w:rPr>
                      <w:color w:val="000000"/>
                      <w:sz w:val="20"/>
                    </w:rPr>
                    <w:t>SAFE</w:t>
                  </w:r>
                  <w:r>
                    <w:rPr>
                      <w:color w:val="000000"/>
                      <w:spacing w:val="-4"/>
                      <w:sz w:val="20"/>
                    </w:rPr>
                    <w:t> </w:t>
                  </w:r>
                  <w:r>
                    <w:rPr>
                      <w:color w:val="000000"/>
                      <w:sz w:val="20"/>
                    </w:rPr>
                    <w:t>as</w:t>
                  </w:r>
                  <w:r>
                    <w:rPr>
                      <w:color w:val="000000"/>
                      <w:spacing w:val="-4"/>
                      <w:sz w:val="20"/>
                    </w:rPr>
                    <w:t> </w:t>
                  </w:r>
                  <w:r>
                    <w:rPr>
                      <w:color w:val="000000"/>
                      <w:sz w:val="20"/>
                    </w:rPr>
                    <w:t>a</w:t>
                  </w:r>
                  <w:r>
                    <w:rPr>
                      <w:color w:val="000000"/>
                      <w:spacing w:val="-4"/>
                      <w:sz w:val="20"/>
                    </w:rPr>
                    <w:t> </w:t>
                  </w:r>
                  <w:r>
                    <w:rPr>
                      <w:color w:val="000000"/>
                      <w:sz w:val="20"/>
                    </w:rPr>
                    <w:t>purchaser</w:t>
                  </w:r>
                  <w:r>
                    <w:rPr>
                      <w:color w:val="000000"/>
                      <w:spacing w:val="-4"/>
                      <w:sz w:val="20"/>
                    </w:rPr>
                    <w:t> </w:t>
                  </w:r>
                  <w:r>
                    <w:rPr>
                      <w:color w:val="000000"/>
                      <w:sz w:val="20"/>
                    </w:rPr>
                    <w:t>of</w:t>
                  </w:r>
                  <w:r>
                    <w:rPr>
                      <w:color w:val="000000"/>
                      <w:spacing w:val="-4"/>
                      <w:sz w:val="20"/>
                    </w:rPr>
                    <w:t> </w:t>
                  </w:r>
                  <w:r>
                    <w:rPr>
                      <w:color w:val="000000"/>
                      <w:sz w:val="20"/>
                    </w:rPr>
                    <w:t>the</w:t>
                  </w:r>
                  <w:r>
                    <w:rPr>
                      <w:color w:val="000000"/>
                      <w:spacing w:val="-4"/>
                      <w:sz w:val="20"/>
                    </w:rPr>
                    <w:t> </w:t>
                  </w:r>
                  <w:r>
                    <w:rPr>
                      <w:color w:val="000000"/>
                      <w:sz w:val="20"/>
                    </w:rPr>
                    <w:t>bonds”</w:t>
                  </w:r>
                  <w:r>
                    <w:rPr>
                      <w:color w:val="000000"/>
                      <w:spacing w:val="-4"/>
                      <w:sz w:val="20"/>
                    </w:rPr>
                    <w:t> </w:t>
                  </w:r>
                  <w:r>
                    <w:rPr>
                      <w:color w:val="000000"/>
                      <w:sz w:val="20"/>
                    </w:rPr>
                    <w:t>(SAFE</w:t>
                  </w:r>
                  <w:r>
                    <w:rPr>
                      <w:color w:val="000000"/>
                      <w:spacing w:val="-4"/>
                      <w:sz w:val="20"/>
                    </w:rPr>
                    <w:t> </w:t>
                  </w:r>
                  <w:r>
                    <w:rPr>
                      <w:color w:val="000000"/>
                      <w:sz w:val="20"/>
                    </w:rPr>
                    <w:t>2008).</w:t>
                  </w:r>
                  <w:r>
                    <w:rPr>
                      <w:color w:val="000000"/>
                      <w:sz w:val="20"/>
                      <w:vertAlign w:val="superscript"/>
                    </w:rPr>
                    <w:t>123</w:t>
                  </w:r>
                  <w:r>
                    <w:rPr>
                      <w:color w:val="000000"/>
                      <w:sz w:val="20"/>
                      <w:vertAlign w:val="baseline"/>
                    </w:rPr>
                    <w:t> The purchase was only made public because of a court order. When SAFE was asked to comment on the matter, it said that there was nothing unusual about the purchase because it “owns bonds issued by many other governments” (Batson 2008). Second, SAFE’s Chief Investment Ofﬁcer from 2010 to 2014 was a bond trader at PIMCO (and right-hand man of PIMCO co-founder Bill Gross) from 2006 to 2009 (Wei 2013). Third, SAFE opened an ofﬁce on Fifth Avenue in New York City in 2013, and shortly thereafter it became an open secret among the world’s largest asset managers—like PIMCO and BlackRock—that SAFE was one of their</w:t>
                  </w:r>
                  <w:r>
                    <w:rPr>
                      <w:color w:val="000000"/>
                      <w:sz w:val="20"/>
                      <w:vertAlign w:val="baseline"/>
                    </w:rPr>
                    <w:t> most important conﬁdential clients.</w:t>
                  </w:r>
                </w:p>
              </w:txbxContent>
            </v:textbox>
            <v:fill type="solid"/>
          </v:shape>
        </w:pict>
      </w:r>
      <w:r>
        <w:rPr>
          <w:sz w:val="20"/>
        </w:rPr>
      </w:r>
    </w:p>
    <w:p>
      <w:pPr>
        <w:pStyle w:val="BodyText"/>
        <w:spacing w:before="7"/>
        <w:rPr>
          <w:sz w:val="15"/>
        </w:rPr>
      </w:pPr>
    </w:p>
    <w:p>
      <w:pPr>
        <w:pStyle w:val="Heading3"/>
        <w:spacing w:line="312" w:lineRule="auto" w:before="42"/>
      </w:pPr>
      <w:r>
        <w:rPr/>
        <w:t>Section</w:t>
      </w:r>
      <w:r>
        <w:rPr>
          <w:spacing w:val="-11"/>
        </w:rPr>
        <w:t> </w:t>
      </w:r>
      <w:r>
        <w:rPr/>
        <w:t>2:</w:t>
      </w:r>
      <w:r>
        <w:rPr>
          <w:spacing w:val="-10"/>
        </w:rPr>
        <w:t> </w:t>
      </w:r>
      <w:r>
        <w:rPr/>
        <w:t>Major</w:t>
      </w:r>
      <w:r>
        <w:rPr>
          <w:spacing w:val="-10"/>
        </w:rPr>
        <w:t> </w:t>
      </w:r>
      <w:r>
        <w:rPr/>
        <w:t>changes</w:t>
      </w:r>
      <w:r>
        <w:rPr>
          <w:spacing w:val="-10"/>
        </w:rPr>
        <w:t> </w:t>
      </w:r>
      <w:r>
        <w:rPr/>
        <w:t>in</w:t>
      </w:r>
      <w:r>
        <w:rPr>
          <w:spacing w:val="-11"/>
        </w:rPr>
        <w:t> </w:t>
      </w:r>
      <w:r>
        <w:rPr/>
        <w:t>Beijing’s</w:t>
      </w:r>
      <w:r>
        <w:rPr>
          <w:spacing w:val="-10"/>
        </w:rPr>
        <w:t> </w:t>
      </w:r>
      <w:r>
        <w:rPr/>
        <w:t>overseas</w:t>
      </w:r>
      <w:r>
        <w:rPr>
          <w:spacing w:val="-10"/>
        </w:rPr>
        <w:t> </w:t>
      </w:r>
      <w:r>
        <w:rPr/>
        <w:t>lending portfolio during the BRI 2.0 era</w:t>
      </w:r>
    </w:p>
    <w:p>
      <w:pPr>
        <w:pStyle w:val="BodyText"/>
        <w:spacing w:line="333" w:lineRule="auto" w:before="162"/>
        <w:ind w:left="760" w:right="898"/>
      </w:pPr>
      <w:r>
        <w:rPr/>
        <w:t>Our goal in the remainder of this chapter is to explain how China is </w:t>
      </w:r>
      <w:r>
        <w:rPr/>
        <w:t>responding to the rising tide of debt distress in the developing world and identify the</w:t>
      </w:r>
      <w:r>
        <w:rPr>
          <w:spacing w:val="40"/>
        </w:rPr>
        <w:t> </w:t>
      </w:r>
      <w:r>
        <w:rPr/>
        <w:t>measures it is taking to de-risk its overseas lending portfolio. However, before we do so, it is important to understand some of the major changes in Beijing’s overseas lending portfolio that have recently transpired. Three changes, which have become hallmarks of the BRI 2.0 era, merit special attention:</w:t>
      </w:r>
    </w:p>
    <w:p>
      <w:pPr>
        <w:pStyle w:val="BodyText"/>
        <w:spacing w:before="6"/>
        <w:rPr>
          <w:sz w:val="27"/>
        </w:rPr>
      </w:pPr>
    </w:p>
    <w:p>
      <w:pPr>
        <w:pStyle w:val="ListParagraph"/>
        <w:numPr>
          <w:ilvl w:val="0"/>
          <w:numId w:val="3"/>
        </w:numPr>
        <w:tabs>
          <w:tab w:pos="1480" w:val="left" w:leader="none"/>
        </w:tabs>
        <w:spacing w:line="333" w:lineRule="auto" w:before="0" w:after="0"/>
        <w:ind w:left="1480" w:right="1726" w:hanging="360"/>
        <w:jc w:val="left"/>
        <w:rPr>
          <w:sz w:val="24"/>
        </w:rPr>
      </w:pPr>
      <w:r>
        <w:rPr>
          <w:sz w:val="24"/>
        </w:rPr>
        <w:t>China’s</w:t>
      </w:r>
      <w:r>
        <w:rPr>
          <w:spacing w:val="-4"/>
          <w:sz w:val="24"/>
        </w:rPr>
        <w:t> </w:t>
      </w:r>
      <w:r>
        <w:rPr>
          <w:sz w:val="24"/>
        </w:rPr>
        <w:t>new</w:t>
      </w:r>
      <w:r>
        <w:rPr>
          <w:spacing w:val="-4"/>
          <w:sz w:val="24"/>
        </w:rPr>
        <w:t> </w:t>
      </w:r>
      <w:r>
        <w:rPr>
          <w:sz w:val="24"/>
        </w:rPr>
        <w:t>and</w:t>
      </w:r>
      <w:r>
        <w:rPr>
          <w:spacing w:val="-4"/>
          <w:sz w:val="24"/>
        </w:rPr>
        <w:t> </w:t>
      </w:r>
      <w:r>
        <w:rPr>
          <w:sz w:val="24"/>
        </w:rPr>
        <w:t>unfamiliar</w:t>
      </w:r>
      <w:r>
        <w:rPr>
          <w:spacing w:val="-4"/>
          <w:sz w:val="24"/>
        </w:rPr>
        <w:t> </w:t>
      </w:r>
      <w:r>
        <w:rPr>
          <w:sz w:val="24"/>
        </w:rPr>
        <w:t>role</w:t>
      </w:r>
      <w:r>
        <w:rPr>
          <w:spacing w:val="-4"/>
          <w:sz w:val="24"/>
        </w:rPr>
        <w:t> </w:t>
      </w:r>
      <w:r>
        <w:rPr>
          <w:sz w:val="24"/>
        </w:rPr>
        <w:t>as</w:t>
      </w:r>
      <w:r>
        <w:rPr>
          <w:spacing w:val="-4"/>
          <w:sz w:val="24"/>
        </w:rPr>
        <w:t> </w:t>
      </w:r>
      <w:r>
        <w:rPr>
          <w:sz w:val="24"/>
        </w:rPr>
        <w:t>the</w:t>
      </w:r>
      <w:r>
        <w:rPr>
          <w:spacing w:val="-4"/>
          <w:sz w:val="24"/>
        </w:rPr>
        <w:t> </w:t>
      </w:r>
      <w:r>
        <w:rPr>
          <w:sz w:val="24"/>
        </w:rPr>
        <w:t>world’s</w:t>
      </w:r>
      <w:r>
        <w:rPr>
          <w:spacing w:val="-4"/>
          <w:sz w:val="24"/>
        </w:rPr>
        <w:t> </w:t>
      </w:r>
      <w:r>
        <w:rPr>
          <w:sz w:val="24"/>
        </w:rPr>
        <w:t>largest</w:t>
      </w:r>
      <w:r>
        <w:rPr>
          <w:spacing w:val="-4"/>
          <w:sz w:val="24"/>
        </w:rPr>
        <w:t> </w:t>
      </w:r>
      <w:r>
        <w:rPr>
          <w:sz w:val="24"/>
        </w:rPr>
        <w:t>ofﬁcial</w:t>
      </w:r>
      <w:r>
        <w:rPr>
          <w:spacing w:val="-4"/>
          <w:sz w:val="24"/>
        </w:rPr>
        <w:t> </w:t>
      </w:r>
      <w:r>
        <w:rPr>
          <w:sz w:val="24"/>
        </w:rPr>
        <w:t>debt</w:t>
      </w:r>
      <w:r>
        <w:rPr>
          <w:sz w:val="24"/>
        </w:rPr>
        <w:t> </w:t>
      </w:r>
      <w:r>
        <w:rPr>
          <w:spacing w:val="-2"/>
          <w:sz w:val="24"/>
        </w:rPr>
        <w:t>collector</w:t>
      </w:r>
    </w:p>
    <w:p>
      <w:pPr>
        <w:pStyle w:val="BodyText"/>
        <w:rPr>
          <w:sz w:val="20"/>
        </w:rPr>
      </w:pPr>
    </w:p>
    <w:p>
      <w:pPr>
        <w:pStyle w:val="BodyText"/>
        <w:rPr>
          <w:sz w:val="20"/>
        </w:rPr>
      </w:pPr>
    </w:p>
    <w:p>
      <w:pPr>
        <w:pStyle w:val="BodyText"/>
        <w:spacing w:before="3"/>
        <w:rPr>
          <w:sz w:val="25"/>
        </w:rPr>
      </w:pPr>
      <w:r>
        <w:rPr/>
        <w:pict>
          <v:shape style="position:absolute;margin-left:90pt;margin-top:15.748536pt;width:144pt;height:.1pt;mso-position-horizontal-relative:page;mso-position-vertical-relative:paragraph;z-index:-15713280;mso-wrap-distance-left:0;mso-wrap-distance-right:0" id="docshape33" coordorigin="1800,315" coordsize="2880,0" path="m1800,315l4680,315e" filled="false" stroked="true" strokeweight=".75pt" strokecolor="#000000">
            <v:path arrowok="t"/>
            <v:stroke dashstyle="solid"/>
            <w10:wrap type="topAndBottom"/>
          </v:shape>
        </w:pict>
      </w:r>
    </w:p>
    <w:p>
      <w:pPr>
        <w:spacing w:line="249" w:lineRule="auto" w:before="104"/>
        <w:ind w:left="760" w:right="818" w:firstLine="0"/>
        <w:jc w:val="left"/>
        <w:rPr>
          <w:sz w:val="18"/>
        </w:rPr>
      </w:pPr>
      <w:r>
        <w:rPr>
          <w:sz w:val="18"/>
          <w:vertAlign w:val="superscript"/>
        </w:rPr>
        <w:t>123</w:t>
      </w:r>
      <w:r>
        <w:rPr>
          <w:sz w:val="18"/>
          <w:vertAlign w:val="baseline"/>
        </w:rPr>
        <w:t> Also see Government of Costa Rica (2007, 2008). We have made the ofﬁcial correspondence between SAFE and Costa Rica’s Ministry of Finance in January 2008 accessible via </w:t>
      </w:r>
      <w:hyperlink r:id="rId11">
        <w:r>
          <w:rPr>
            <w:color w:val="1154CC"/>
            <w:spacing w:val="-2"/>
            <w:sz w:val="18"/>
            <w:u w:val="thick" w:color="1154CC"/>
            <w:vertAlign w:val="baseline"/>
          </w:rPr>
          <w:t>https://www.dropbox.com/scl/ﬁ/a20fdxb2lecowt8tp5lym/2-January-2008-SAFE-Letter-to-Minister-of-Financ</w:t>
        </w:r>
      </w:hyperlink>
      <w:r>
        <w:rPr>
          <w:color w:val="1154CC"/>
          <w:spacing w:val="80"/>
          <w:sz w:val="18"/>
          <w:vertAlign w:val="baseline"/>
        </w:rPr>
        <w:t>  </w:t>
      </w:r>
      <w:hyperlink r:id="rId11">
        <w:r>
          <w:rPr>
            <w:color w:val="1154CC"/>
            <w:sz w:val="18"/>
            <w:u w:val="thick" w:color="1154CC"/>
            <w:vertAlign w:val="baseline"/>
          </w:rPr>
          <w:t>e-of-Costa-Rica.pdf?rlkey=y9ywdrrhap4rdkt0cyqj4mj4y&amp;dl=0</w:t>
        </w:r>
      </w:hyperlink>
      <w:r>
        <w:rPr>
          <w:color w:val="1154CC"/>
          <w:sz w:val="18"/>
          <w:vertAlign w:val="baseline"/>
        </w:rPr>
        <w:t> </w:t>
      </w:r>
      <w:r>
        <w:rPr>
          <w:sz w:val="18"/>
          <w:vertAlign w:val="baseline"/>
        </w:rPr>
        <w:t>and </w:t>
      </w:r>
      <w:hyperlink r:id="rId12">
        <w:r>
          <w:rPr>
            <w:color w:val="1154CC"/>
            <w:spacing w:val="-2"/>
            <w:sz w:val="18"/>
            <w:u w:val="thick" w:color="1154CC"/>
            <w:vertAlign w:val="baseline"/>
          </w:rPr>
          <w:t>https://www.dropbox.com/scl/ﬁ/48qdeslzwim9t6dqhyk0m/7-January-2008-Letter-from-Minister-of-Finance-</w:t>
        </w:r>
      </w:hyperlink>
      <w:r>
        <w:rPr>
          <w:color w:val="1154CC"/>
          <w:spacing w:val="80"/>
          <w:sz w:val="18"/>
          <w:vertAlign w:val="baseline"/>
        </w:rPr>
        <w:t>  </w:t>
      </w:r>
      <w:hyperlink r:id="rId12">
        <w:r>
          <w:rPr>
            <w:color w:val="1154CC"/>
            <w:spacing w:val="-2"/>
            <w:sz w:val="18"/>
            <w:u w:val="thick" w:color="1154CC"/>
            <w:vertAlign w:val="baseline"/>
          </w:rPr>
          <w:t>of-Costa-Rica-to-SAFE.pdf?rlkey=pr3p4advi1wfzzwjr5t8gva5m&amp;dl=0</w:t>
        </w:r>
      </w:hyperlink>
      <w:r>
        <w:rPr>
          <w:spacing w:val="-2"/>
          <w:sz w:val="18"/>
          <w:vertAlign w:val="baseline"/>
        </w:rPr>
        <w:t>.</w:t>
      </w:r>
    </w:p>
    <w:p>
      <w:pPr>
        <w:spacing w:after="0" w:line="249" w:lineRule="auto"/>
        <w:jc w:val="left"/>
        <w:rPr>
          <w:sz w:val="18"/>
        </w:rPr>
        <w:sectPr>
          <w:pgSz w:w="12240" w:h="15840"/>
          <w:pgMar w:header="0" w:footer="720" w:top="1420" w:bottom="920" w:left="1040" w:right="1040"/>
        </w:sectPr>
      </w:pPr>
    </w:p>
    <w:p>
      <w:pPr>
        <w:pStyle w:val="ListParagraph"/>
        <w:numPr>
          <w:ilvl w:val="0"/>
          <w:numId w:val="3"/>
        </w:numPr>
        <w:tabs>
          <w:tab w:pos="1480" w:val="left" w:leader="none"/>
        </w:tabs>
        <w:spacing w:line="333" w:lineRule="auto" w:before="27" w:after="0"/>
        <w:ind w:left="1480" w:right="833" w:hanging="360"/>
        <w:jc w:val="left"/>
        <w:rPr>
          <w:sz w:val="24"/>
        </w:rPr>
      </w:pPr>
      <w:r>
        <w:rPr>
          <w:sz w:val="24"/>
        </w:rPr>
        <w:t>The rise of emergency rescue lending and the fall of infrastructure </w:t>
      </w:r>
      <w:r>
        <w:rPr>
          <w:sz w:val="24"/>
        </w:rPr>
        <w:t>project</w:t>
      </w:r>
      <w:r>
        <w:rPr>
          <w:sz w:val="24"/>
        </w:rPr>
        <w:t> </w:t>
      </w:r>
      <w:r>
        <w:rPr>
          <w:spacing w:val="-2"/>
          <w:sz w:val="24"/>
        </w:rPr>
        <w:t>lending</w:t>
      </w:r>
    </w:p>
    <w:p>
      <w:pPr>
        <w:pStyle w:val="BodyText"/>
        <w:spacing w:before="8"/>
        <w:rPr>
          <w:sz w:val="27"/>
        </w:rPr>
      </w:pPr>
    </w:p>
    <w:p>
      <w:pPr>
        <w:pStyle w:val="ListParagraph"/>
        <w:numPr>
          <w:ilvl w:val="0"/>
          <w:numId w:val="3"/>
        </w:numPr>
        <w:tabs>
          <w:tab w:pos="1480" w:val="left" w:leader="none"/>
        </w:tabs>
        <w:spacing w:line="333" w:lineRule="auto" w:before="0" w:after="0"/>
        <w:ind w:left="1480" w:right="2208" w:hanging="360"/>
        <w:jc w:val="left"/>
        <w:rPr>
          <w:sz w:val="24"/>
        </w:rPr>
      </w:pPr>
      <w:r>
        <w:rPr>
          <w:sz w:val="24"/>
        </w:rPr>
        <w:t>A strategic pivot from USD-denominated bilateral lending </w:t>
      </w:r>
      <w:r>
        <w:rPr>
          <w:sz w:val="24"/>
        </w:rPr>
        <w:t>to</w:t>
      </w:r>
      <w:r>
        <w:rPr>
          <w:sz w:val="24"/>
        </w:rPr>
        <w:t> </w:t>
      </w:r>
      <w:r>
        <w:rPr>
          <w:w w:val="105"/>
          <w:sz w:val="24"/>
        </w:rPr>
        <w:t>RMB-denominated bilateral lending</w:t>
      </w:r>
    </w:p>
    <w:p>
      <w:pPr>
        <w:pStyle w:val="BodyText"/>
        <w:spacing w:before="9"/>
        <w:rPr>
          <w:sz w:val="27"/>
        </w:rPr>
      </w:pPr>
    </w:p>
    <w:p>
      <w:pPr>
        <w:pStyle w:val="Heading4"/>
        <w:spacing w:line="357" w:lineRule="auto" w:before="1"/>
        <w:ind w:right="767"/>
      </w:pPr>
      <w:r>
        <w:rPr>
          <w:spacing w:val="-10"/>
        </w:rPr>
        <w:t>China’s</w:t>
      </w:r>
      <w:r>
        <w:rPr>
          <w:spacing w:val="-8"/>
        </w:rPr>
        <w:t> </w:t>
      </w:r>
      <w:r>
        <w:rPr>
          <w:spacing w:val="-10"/>
        </w:rPr>
        <w:t>new</w:t>
      </w:r>
      <w:r>
        <w:rPr>
          <w:spacing w:val="-8"/>
        </w:rPr>
        <w:t> </w:t>
      </w:r>
      <w:r>
        <w:rPr>
          <w:spacing w:val="-10"/>
        </w:rPr>
        <w:t>and</w:t>
      </w:r>
      <w:r>
        <w:rPr>
          <w:spacing w:val="-8"/>
        </w:rPr>
        <w:t> </w:t>
      </w:r>
      <w:r>
        <w:rPr>
          <w:spacing w:val="-10"/>
        </w:rPr>
        <w:t>unfamiliar</w:t>
      </w:r>
      <w:r>
        <w:rPr>
          <w:spacing w:val="-8"/>
        </w:rPr>
        <w:t> </w:t>
      </w:r>
      <w:r>
        <w:rPr>
          <w:spacing w:val="-10"/>
        </w:rPr>
        <w:t>role</w:t>
      </w:r>
      <w:r>
        <w:rPr>
          <w:spacing w:val="-8"/>
        </w:rPr>
        <w:t> </w:t>
      </w:r>
      <w:r>
        <w:rPr>
          <w:spacing w:val="-10"/>
        </w:rPr>
        <w:t>as</w:t>
      </w:r>
      <w:r>
        <w:rPr>
          <w:spacing w:val="-8"/>
        </w:rPr>
        <w:t> </w:t>
      </w:r>
      <w:r>
        <w:rPr>
          <w:spacing w:val="-10"/>
        </w:rPr>
        <w:t>the</w:t>
      </w:r>
      <w:r>
        <w:rPr>
          <w:spacing w:val="-8"/>
        </w:rPr>
        <w:t> </w:t>
      </w:r>
      <w:r>
        <w:rPr>
          <w:spacing w:val="-10"/>
        </w:rPr>
        <w:t>world’s</w:t>
      </w:r>
      <w:r>
        <w:rPr>
          <w:spacing w:val="-8"/>
        </w:rPr>
        <w:t> </w:t>
      </w:r>
      <w:r>
        <w:rPr>
          <w:spacing w:val="-10"/>
        </w:rPr>
        <w:t>largest</w:t>
      </w:r>
      <w:r>
        <w:rPr>
          <w:spacing w:val="-8"/>
        </w:rPr>
        <w:t> </w:t>
      </w:r>
      <w:r>
        <w:rPr>
          <w:spacing w:val="-10"/>
        </w:rPr>
        <w:t>ofﬁcial</w:t>
      </w:r>
      <w:r>
        <w:rPr>
          <w:spacing w:val="-8"/>
        </w:rPr>
        <w:t> </w:t>
      </w:r>
      <w:r>
        <w:rPr>
          <w:spacing w:val="-10"/>
        </w:rPr>
        <w:t>debt </w:t>
      </w:r>
      <w:r>
        <w:rPr>
          <w:spacing w:val="-2"/>
        </w:rPr>
        <w:t>collector</w:t>
      </w:r>
    </w:p>
    <w:p>
      <w:pPr>
        <w:pStyle w:val="BodyText"/>
        <w:spacing w:line="333" w:lineRule="auto" w:before="80"/>
        <w:ind w:left="760" w:right="745"/>
      </w:pPr>
      <w:r>
        <w:rPr>
          <w:w w:val="105"/>
        </w:rPr>
        <w:t>When</w:t>
      </w:r>
      <w:r>
        <w:rPr>
          <w:spacing w:val="-18"/>
          <w:w w:val="105"/>
        </w:rPr>
        <w:t> </w:t>
      </w:r>
      <w:r>
        <w:rPr>
          <w:w w:val="105"/>
        </w:rPr>
        <w:t>the</w:t>
      </w:r>
      <w:r>
        <w:rPr>
          <w:spacing w:val="-17"/>
          <w:w w:val="105"/>
        </w:rPr>
        <w:t> </w:t>
      </w:r>
      <w:r>
        <w:rPr>
          <w:w w:val="105"/>
        </w:rPr>
        <w:t>BRI</w:t>
      </w:r>
      <w:r>
        <w:rPr>
          <w:spacing w:val="-18"/>
          <w:w w:val="105"/>
        </w:rPr>
        <w:t> </w:t>
      </w:r>
      <w:r>
        <w:rPr>
          <w:w w:val="105"/>
        </w:rPr>
        <w:t>was</w:t>
      </w:r>
      <w:r>
        <w:rPr>
          <w:spacing w:val="-18"/>
          <w:w w:val="105"/>
        </w:rPr>
        <w:t> </w:t>
      </w:r>
      <w:r>
        <w:rPr>
          <w:w w:val="105"/>
        </w:rPr>
        <w:t>initially</w:t>
      </w:r>
      <w:r>
        <w:rPr>
          <w:spacing w:val="-17"/>
          <w:w w:val="105"/>
        </w:rPr>
        <w:t> </w:t>
      </w:r>
      <w:r>
        <w:rPr>
          <w:w w:val="105"/>
        </w:rPr>
        <w:t>launched,</w:t>
      </w:r>
      <w:r>
        <w:rPr>
          <w:spacing w:val="-18"/>
          <w:w w:val="105"/>
        </w:rPr>
        <w:t> </w:t>
      </w:r>
      <w:r>
        <w:rPr>
          <w:w w:val="105"/>
        </w:rPr>
        <w:t>Beijing</w:t>
      </w:r>
      <w:r>
        <w:rPr>
          <w:spacing w:val="-17"/>
          <w:w w:val="105"/>
        </w:rPr>
        <w:t> </w:t>
      </w:r>
      <w:r>
        <w:rPr>
          <w:w w:val="105"/>
        </w:rPr>
        <w:t>differentiated</w:t>
      </w:r>
      <w:r>
        <w:rPr>
          <w:spacing w:val="-18"/>
          <w:w w:val="105"/>
        </w:rPr>
        <w:t> </w:t>
      </w:r>
      <w:r>
        <w:rPr>
          <w:w w:val="105"/>
        </w:rPr>
        <w:t>itself</w:t>
      </w:r>
      <w:r>
        <w:rPr>
          <w:spacing w:val="-17"/>
          <w:w w:val="105"/>
        </w:rPr>
        <w:t> </w:t>
      </w:r>
      <w:r>
        <w:rPr>
          <w:w w:val="105"/>
        </w:rPr>
        <w:t>from</w:t>
      </w:r>
      <w:r>
        <w:rPr>
          <w:spacing w:val="-18"/>
          <w:w w:val="105"/>
        </w:rPr>
        <w:t> </w:t>
      </w:r>
      <w:r>
        <w:rPr>
          <w:w w:val="105"/>
        </w:rPr>
        <w:t>its</w:t>
      </w:r>
      <w:r>
        <w:rPr>
          <w:spacing w:val="-17"/>
          <w:w w:val="105"/>
        </w:rPr>
        <w:t> </w:t>
      </w:r>
      <w:r>
        <w:rPr>
          <w:w w:val="105"/>
        </w:rPr>
        <w:t>peers and</w:t>
      </w:r>
      <w:r>
        <w:rPr>
          <w:spacing w:val="-18"/>
          <w:w w:val="105"/>
        </w:rPr>
        <w:t> </w:t>
      </w:r>
      <w:r>
        <w:rPr>
          <w:w w:val="105"/>
        </w:rPr>
        <w:t>competitors</w:t>
      </w:r>
      <w:r>
        <w:rPr>
          <w:spacing w:val="-17"/>
          <w:w w:val="105"/>
        </w:rPr>
        <w:t> </w:t>
      </w:r>
      <w:r>
        <w:rPr>
          <w:w w:val="105"/>
        </w:rPr>
        <w:t>by</w:t>
      </w:r>
      <w:r>
        <w:rPr>
          <w:spacing w:val="-18"/>
          <w:w w:val="105"/>
        </w:rPr>
        <w:t> </w:t>
      </w:r>
      <w:r>
        <w:rPr>
          <w:w w:val="105"/>
        </w:rPr>
        <w:t>ﬁnancing</w:t>
      </w:r>
      <w:r>
        <w:rPr>
          <w:spacing w:val="-18"/>
          <w:w w:val="105"/>
        </w:rPr>
        <w:t> </w:t>
      </w:r>
      <w:r>
        <w:rPr>
          <w:w w:val="105"/>
        </w:rPr>
        <w:t>big-ticket</w:t>
      </w:r>
      <w:r>
        <w:rPr>
          <w:spacing w:val="-17"/>
          <w:w w:val="105"/>
        </w:rPr>
        <w:t> </w:t>
      </w:r>
      <w:r>
        <w:rPr>
          <w:w w:val="105"/>
        </w:rPr>
        <w:t>infrastructure</w:t>
      </w:r>
      <w:r>
        <w:rPr>
          <w:spacing w:val="-18"/>
          <w:w w:val="105"/>
        </w:rPr>
        <w:t> </w:t>
      </w:r>
      <w:r>
        <w:rPr>
          <w:w w:val="105"/>
        </w:rPr>
        <w:t>projects—like</w:t>
      </w:r>
      <w:r>
        <w:rPr>
          <w:spacing w:val="-17"/>
          <w:w w:val="105"/>
        </w:rPr>
        <w:t> </w:t>
      </w:r>
      <w:r>
        <w:rPr>
          <w:w w:val="105"/>
        </w:rPr>
        <w:t>high-speed </w:t>
      </w:r>
      <w:r>
        <w:rPr/>
        <w:t>railways and next-generation telecommunication networks—that virtually no one else was willing to bankroll. Many of the loans that were issued for these </w:t>
      </w:r>
      <w:r>
        <w:rPr/>
        <w:t>projects </w:t>
      </w:r>
      <w:r>
        <w:rPr>
          <w:w w:val="105"/>
        </w:rPr>
        <w:t>included</w:t>
      </w:r>
      <w:r>
        <w:rPr>
          <w:spacing w:val="-5"/>
          <w:w w:val="105"/>
        </w:rPr>
        <w:t> </w:t>
      </w:r>
      <w:r>
        <w:rPr>
          <w:w w:val="105"/>
        </w:rPr>
        <w:t>lengthy</w:t>
      </w:r>
      <w:r>
        <w:rPr>
          <w:spacing w:val="-5"/>
          <w:w w:val="105"/>
        </w:rPr>
        <w:t> </w:t>
      </w:r>
      <w:r>
        <w:rPr>
          <w:w w:val="105"/>
        </w:rPr>
        <w:t>grace</w:t>
      </w:r>
      <w:r>
        <w:rPr>
          <w:spacing w:val="-5"/>
          <w:w w:val="105"/>
        </w:rPr>
        <w:t> </w:t>
      </w:r>
      <w:r>
        <w:rPr>
          <w:w w:val="105"/>
        </w:rPr>
        <w:t>periods,</w:t>
      </w:r>
      <w:r>
        <w:rPr>
          <w:spacing w:val="-5"/>
          <w:w w:val="105"/>
        </w:rPr>
        <w:t> </w:t>
      </w:r>
      <w:r>
        <w:rPr>
          <w:w w:val="105"/>
        </w:rPr>
        <w:t>so</w:t>
      </w:r>
      <w:r>
        <w:rPr>
          <w:spacing w:val="-5"/>
          <w:w w:val="105"/>
        </w:rPr>
        <w:t> </w:t>
      </w:r>
      <w:r>
        <w:rPr>
          <w:w w:val="105"/>
        </w:rPr>
        <w:t>most</w:t>
      </w:r>
      <w:r>
        <w:rPr>
          <w:spacing w:val="-5"/>
          <w:w w:val="105"/>
        </w:rPr>
        <w:t> </w:t>
      </w:r>
      <w:r>
        <w:rPr>
          <w:w w:val="105"/>
        </w:rPr>
        <w:t>borrowers</w:t>
      </w:r>
      <w:r>
        <w:rPr>
          <w:spacing w:val="-5"/>
          <w:w w:val="105"/>
        </w:rPr>
        <w:t> </w:t>
      </w:r>
      <w:r>
        <w:rPr>
          <w:w w:val="105"/>
        </w:rPr>
        <w:t>didn’t</w:t>
      </w:r>
      <w:r>
        <w:rPr>
          <w:spacing w:val="-5"/>
          <w:w w:val="105"/>
        </w:rPr>
        <w:t> </w:t>
      </w:r>
      <w:r>
        <w:rPr>
          <w:w w:val="105"/>
        </w:rPr>
        <w:t>need</w:t>
      </w:r>
      <w:r>
        <w:rPr>
          <w:spacing w:val="-5"/>
          <w:w w:val="105"/>
        </w:rPr>
        <w:t> </w:t>
      </w:r>
      <w:r>
        <w:rPr>
          <w:w w:val="105"/>
        </w:rPr>
        <w:t>to</w:t>
      </w:r>
      <w:r>
        <w:rPr>
          <w:spacing w:val="-5"/>
          <w:w w:val="105"/>
        </w:rPr>
        <w:t> </w:t>
      </w:r>
      <w:r>
        <w:rPr>
          <w:w w:val="105"/>
        </w:rPr>
        <w:t>worry</w:t>
      </w:r>
      <w:r>
        <w:rPr>
          <w:spacing w:val="-5"/>
          <w:w w:val="105"/>
        </w:rPr>
        <w:t> </w:t>
      </w:r>
      <w:r>
        <w:rPr>
          <w:w w:val="105"/>
        </w:rPr>
        <w:t>about making</w:t>
      </w:r>
      <w:r>
        <w:rPr>
          <w:spacing w:val="-16"/>
          <w:w w:val="105"/>
        </w:rPr>
        <w:t> </w:t>
      </w:r>
      <w:r>
        <w:rPr>
          <w:w w:val="105"/>
        </w:rPr>
        <w:t>large</w:t>
      </w:r>
      <w:r>
        <w:rPr>
          <w:spacing w:val="-16"/>
          <w:w w:val="105"/>
        </w:rPr>
        <w:t> </w:t>
      </w:r>
      <w:r>
        <w:rPr>
          <w:w w:val="105"/>
        </w:rPr>
        <w:t>debt</w:t>
      </w:r>
      <w:r>
        <w:rPr>
          <w:spacing w:val="-16"/>
          <w:w w:val="105"/>
        </w:rPr>
        <w:t> </w:t>
      </w:r>
      <w:r>
        <w:rPr>
          <w:w w:val="105"/>
        </w:rPr>
        <w:t>service</w:t>
      </w:r>
      <w:r>
        <w:rPr>
          <w:spacing w:val="-16"/>
          <w:w w:val="105"/>
        </w:rPr>
        <w:t> </w:t>
      </w:r>
      <w:r>
        <w:rPr>
          <w:w w:val="105"/>
        </w:rPr>
        <w:t>payments</w:t>
      </w:r>
      <w:r>
        <w:rPr>
          <w:spacing w:val="-16"/>
          <w:w w:val="105"/>
        </w:rPr>
        <w:t> </w:t>
      </w:r>
      <w:r>
        <w:rPr>
          <w:w w:val="105"/>
        </w:rPr>
        <w:t>for</w:t>
      </w:r>
      <w:r>
        <w:rPr>
          <w:spacing w:val="-16"/>
          <w:w w:val="105"/>
        </w:rPr>
        <w:t> </w:t>
      </w:r>
      <w:r>
        <w:rPr>
          <w:w w:val="105"/>
        </w:rPr>
        <w:t>ﬁve,</w:t>
      </w:r>
      <w:r>
        <w:rPr>
          <w:spacing w:val="-16"/>
          <w:w w:val="105"/>
        </w:rPr>
        <w:t> </w:t>
      </w:r>
      <w:r>
        <w:rPr>
          <w:w w:val="105"/>
        </w:rPr>
        <w:t>six,</w:t>
      </w:r>
      <w:r>
        <w:rPr>
          <w:spacing w:val="-16"/>
          <w:w w:val="105"/>
        </w:rPr>
        <w:t> </w:t>
      </w:r>
      <w:r>
        <w:rPr>
          <w:w w:val="105"/>
        </w:rPr>
        <w:t>or</w:t>
      </w:r>
      <w:r>
        <w:rPr>
          <w:spacing w:val="-16"/>
          <w:w w:val="105"/>
        </w:rPr>
        <w:t> </w:t>
      </w:r>
      <w:r>
        <w:rPr>
          <w:w w:val="105"/>
        </w:rPr>
        <w:t>seven</w:t>
      </w:r>
      <w:r>
        <w:rPr>
          <w:spacing w:val="-16"/>
          <w:w w:val="105"/>
        </w:rPr>
        <w:t> </w:t>
      </w:r>
      <w:r>
        <w:rPr>
          <w:w w:val="105"/>
        </w:rPr>
        <w:t>years.</w:t>
      </w:r>
      <w:r>
        <w:rPr>
          <w:spacing w:val="-16"/>
          <w:w w:val="105"/>
        </w:rPr>
        <w:t> </w:t>
      </w:r>
      <w:r>
        <w:rPr>
          <w:w w:val="105"/>
        </w:rPr>
        <w:t>With</w:t>
      </w:r>
      <w:r>
        <w:rPr>
          <w:spacing w:val="-16"/>
          <w:w w:val="105"/>
        </w:rPr>
        <w:t> </w:t>
      </w:r>
      <w:r>
        <w:rPr>
          <w:w w:val="105"/>
        </w:rPr>
        <w:t>a</w:t>
      </w:r>
      <w:r>
        <w:rPr>
          <w:spacing w:val="-16"/>
          <w:w w:val="105"/>
        </w:rPr>
        <w:t> </w:t>
      </w:r>
      <w:r>
        <w:rPr>
          <w:w w:val="105"/>
        </w:rPr>
        <w:t>lot</w:t>
      </w:r>
      <w:r>
        <w:rPr>
          <w:spacing w:val="-16"/>
          <w:w w:val="105"/>
        </w:rPr>
        <w:t> </w:t>
      </w:r>
      <w:r>
        <w:rPr>
          <w:w w:val="105"/>
        </w:rPr>
        <w:t>of “easy</w:t>
      </w:r>
      <w:r>
        <w:rPr>
          <w:spacing w:val="-17"/>
          <w:w w:val="105"/>
        </w:rPr>
        <w:t> </w:t>
      </w:r>
      <w:r>
        <w:rPr>
          <w:w w:val="105"/>
        </w:rPr>
        <w:t>money”</w:t>
      </w:r>
      <w:r>
        <w:rPr>
          <w:spacing w:val="-17"/>
          <w:w w:val="105"/>
        </w:rPr>
        <w:t> </w:t>
      </w:r>
      <w:r>
        <w:rPr>
          <w:w w:val="105"/>
        </w:rPr>
        <w:t>sloshing</w:t>
      </w:r>
      <w:r>
        <w:rPr>
          <w:spacing w:val="-17"/>
          <w:w w:val="105"/>
        </w:rPr>
        <w:t> </w:t>
      </w:r>
      <w:r>
        <w:rPr>
          <w:w w:val="105"/>
        </w:rPr>
        <w:t>around,</w:t>
      </w:r>
      <w:r>
        <w:rPr>
          <w:spacing w:val="-17"/>
          <w:w w:val="105"/>
        </w:rPr>
        <w:t> </w:t>
      </w:r>
      <w:r>
        <w:rPr>
          <w:w w:val="105"/>
        </w:rPr>
        <w:t>many</w:t>
      </w:r>
      <w:r>
        <w:rPr>
          <w:spacing w:val="-17"/>
          <w:w w:val="105"/>
        </w:rPr>
        <w:t> </w:t>
      </w:r>
      <w:r>
        <w:rPr>
          <w:w w:val="105"/>
        </w:rPr>
        <w:t>borrower</w:t>
      </w:r>
      <w:r>
        <w:rPr>
          <w:spacing w:val="-17"/>
          <w:w w:val="105"/>
        </w:rPr>
        <w:t> </w:t>
      </w:r>
      <w:r>
        <w:rPr>
          <w:w w:val="105"/>
        </w:rPr>
        <w:t>countries</w:t>
      </w:r>
      <w:r>
        <w:rPr>
          <w:spacing w:val="-17"/>
          <w:w w:val="105"/>
        </w:rPr>
        <w:t> </w:t>
      </w:r>
      <w:r>
        <w:rPr>
          <w:w w:val="105"/>
        </w:rPr>
        <w:t>saw</w:t>
      </w:r>
      <w:r>
        <w:rPr>
          <w:spacing w:val="-17"/>
          <w:w w:val="105"/>
        </w:rPr>
        <w:t> </w:t>
      </w:r>
      <w:r>
        <w:rPr>
          <w:w w:val="105"/>
        </w:rPr>
        <w:t>their</w:t>
      </w:r>
      <w:r>
        <w:rPr>
          <w:spacing w:val="-17"/>
          <w:w w:val="105"/>
        </w:rPr>
        <w:t> </w:t>
      </w:r>
      <w:r>
        <w:rPr>
          <w:w w:val="105"/>
        </w:rPr>
        <w:t>economic </w:t>
      </w:r>
      <w:r>
        <w:rPr/>
        <w:t>growth rates soar (Dreher et al. 2021, 2022). China’s popularity around the globe </w:t>
      </w:r>
      <w:r>
        <w:rPr>
          <w:w w:val="105"/>
        </w:rPr>
        <w:t>also</w:t>
      </w:r>
      <w:r>
        <w:rPr>
          <w:spacing w:val="-9"/>
          <w:w w:val="105"/>
        </w:rPr>
        <w:t> </w:t>
      </w:r>
      <w:r>
        <w:rPr>
          <w:w w:val="105"/>
        </w:rPr>
        <w:t>soared:</w:t>
      </w:r>
      <w:r>
        <w:rPr>
          <w:spacing w:val="-9"/>
          <w:w w:val="105"/>
        </w:rPr>
        <w:t> </w:t>
      </w:r>
      <w:r>
        <w:rPr>
          <w:w w:val="105"/>
        </w:rPr>
        <w:t>the</w:t>
      </w:r>
      <w:r>
        <w:rPr>
          <w:spacing w:val="-9"/>
          <w:w w:val="105"/>
        </w:rPr>
        <w:t> </w:t>
      </w:r>
      <w:r>
        <w:rPr>
          <w:w w:val="105"/>
        </w:rPr>
        <w:t>high-water</w:t>
      </w:r>
      <w:r>
        <w:rPr>
          <w:spacing w:val="-9"/>
          <w:w w:val="105"/>
        </w:rPr>
        <w:t> </w:t>
      </w:r>
      <w:r>
        <w:rPr>
          <w:w w:val="105"/>
        </w:rPr>
        <w:t>mark</w:t>
      </w:r>
      <w:r>
        <w:rPr>
          <w:spacing w:val="-9"/>
          <w:w w:val="105"/>
        </w:rPr>
        <w:t> </w:t>
      </w:r>
      <w:r>
        <w:rPr>
          <w:w w:val="105"/>
        </w:rPr>
        <w:t>of</w:t>
      </w:r>
      <w:r>
        <w:rPr>
          <w:spacing w:val="-9"/>
          <w:w w:val="105"/>
        </w:rPr>
        <w:t> </w:t>
      </w:r>
      <w:r>
        <w:rPr>
          <w:w w:val="105"/>
        </w:rPr>
        <w:t>public</w:t>
      </w:r>
      <w:r>
        <w:rPr>
          <w:spacing w:val="-9"/>
          <w:w w:val="105"/>
        </w:rPr>
        <w:t> </w:t>
      </w:r>
      <w:r>
        <w:rPr>
          <w:w w:val="105"/>
        </w:rPr>
        <w:t>support</w:t>
      </w:r>
      <w:r>
        <w:rPr>
          <w:spacing w:val="-9"/>
          <w:w w:val="105"/>
        </w:rPr>
        <w:t> </w:t>
      </w:r>
      <w:r>
        <w:rPr>
          <w:w w:val="105"/>
        </w:rPr>
        <w:t>for</w:t>
      </w:r>
      <w:r>
        <w:rPr>
          <w:spacing w:val="-9"/>
          <w:w w:val="105"/>
        </w:rPr>
        <w:t> </w:t>
      </w:r>
      <w:r>
        <w:rPr>
          <w:w w:val="105"/>
        </w:rPr>
        <w:t>China</w:t>
      </w:r>
      <w:r>
        <w:rPr>
          <w:spacing w:val="-9"/>
          <w:w w:val="105"/>
        </w:rPr>
        <w:t> </w:t>
      </w:r>
      <w:r>
        <w:rPr>
          <w:w w:val="105"/>
        </w:rPr>
        <w:t>in</w:t>
      </w:r>
      <w:r>
        <w:rPr>
          <w:spacing w:val="-9"/>
          <w:w w:val="105"/>
        </w:rPr>
        <w:t> </w:t>
      </w:r>
      <w:r>
        <w:rPr>
          <w:w w:val="105"/>
        </w:rPr>
        <w:t>the</w:t>
      </w:r>
      <w:r>
        <w:rPr>
          <w:spacing w:val="-9"/>
          <w:w w:val="105"/>
        </w:rPr>
        <w:t> </w:t>
      </w:r>
      <w:r>
        <w:rPr>
          <w:w w:val="105"/>
        </w:rPr>
        <w:t>developing world—after</w:t>
      </w:r>
      <w:r>
        <w:rPr>
          <w:spacing w:val="-15"/>
          <w:w w:val="105"/>
        </w:rPr>
        <w:t> </w:t>
      </w:r>
      <w:r>
        <w:rPr>
          <w:w w:val="105"/>
        </w:rPr>
        <w:t>the</w:t>
      </w:r>
      <w:r>
        <w:rPr>
          <w:spacing w:val="-15"/>
          <w:w w:val="105"/>
        </w:rPr>
        <w:t> </w:t>
      </w:r>
      <w:r>
        <w:rPr>
          <w:w w:val="105"/>
        </w:rPr>
        <w:t>introduction</w:t>
      </w:r>
      <w:r>
        <w:rPr>
          <w:spacing w:val="-15"/>
          <w:w w:val="105"/>
        </w:rPr>
        <w:t> </w:t>
      </w:r>
      <w:r>
        <w:rPr>
          <w:w w:val="105"/>
        </w:rPr>
        <w:t>of</w:t>
      </w:r>
      <w:r>
        <w:rPr>
          <w:spacing w:val="-15"/>
          <w:w w:val="105"/>
        </w:rPr>
        <w:t> </w:t>
      </w:r>
      <w:r>
        <w:rPr>
          <w:w w:val="105"/>
        </w:rPr>
        <w:t>the</w:t>
      </w:r>
      <w:r>
        <w:rPr>
          <w:spacing w:val="-15"/>
          <w:w w:val="105"/>
        </w:rPr>
        <w:t> </w:t>
      </w:r>
      <w:r>
        <w:rPr>
          <w:w w:val="105"/>
        </w:rPr>
        <w:t>BRI—was</w:t>
      </w:r>
      <w:r>
        <w:rPr>
          <w:spacing w:val="-15"/>
          <w:w w:val="105"/>
        </w:rPr>
        <w:t> </w:t>
      </w:r>
      <w:r>
        <w:rPr>
          <w:w w:val="105"/>
        </w:rPr>
        <w:t>in</w:t>
      </w:r>
      <w:r>
        <w:rPr>
          <w:spacing w:val="-15"/>
          <w:w w:val="105"/>
        </w:rPr>
        <w:t> </w:t>
      </w:r>
      <w:r>
        <w:rPr>
          <w:w w:val="105"/>
        </w:rPr>
        <w:t>2019.</w:t>
      </w:r>
      <w:r>
        <w:rPr>
          <w:w w:val="105"/>
          <w:vertAlign w:val="superscript"/>
        </w:rPr>
        <w:t>124</w:t>
      </w:r>
    </w:p>
    <w:p>
      <w:pPr>
        <w:pStyle w:val="BodyText"/>
        <w:spacing w:before="4"/>
        <w:rPr>
          <w:sz w:val="27"/>
        </w:rPr>
      </w:pPr>
    </w:p>
    <w:p>
      <w:pPr>
        <w:pStyle w:val="BodyText"/>
        <w:spacing w:line="333" w:lineRule="auto"/>
        <w:ind w:left="760" w:right="838"/>
      </w:pPr>
      <w:r>
        <w:rPr/>
        <w:t>However,</w:t>
      </w:r>
      <w:r>
        <w:rPr>
          <w:spacing w:val="-7"/>
        </w:rPr>
        <w:t> </w:t>
      </w:r>
      <w:r>
        <w:rPr/>
        <w:t>as</w:t>
      </w:r>
      <w:r>
        <w:rPr>
          <w:spacing w:val="-7"/>
        </w:rPr>
        <w:t> </w:t>
      </w:r>
      <w:r>
        <w:rPr/>
        <w:t>Figure</w:t>
      </w:r>
      <w:r>
        <w:rPr>
          <w:spacing w:val="-7"/>
        </w:rPr>
        <w:t> </w:t>
      </w:r>
      <w:r>
        <w:rPr/>
        <w:t>2.4</w:t>
      </w:r>
      <w:r>
        <w:rPr>
          <w:spacing w:val="-7"/>
        </w:rPr>
        <w:t> </w:t>
      </w:r>
      <w:r>
        <w:rPr/>
        <w:t>demonstrates,</w:t>
      </w:r>
      <w:r>
        <w:rPr>
          <w:spacing w:val="-7"/>
        </w:rPr>
        <w:t> </w:t>
      </w:r>
      <w:r>
        <w:rPr/>
        <w:t>the</w:t>
      </w:r>
      <w:r>
        <w:rPr>
          <w:spacing w:val="-7"/>
        </w:rPr>
        <w:t> </w:t>
      </w:r>
      <w:r>
        <w:rPr/>
        <w:t>age</w:t>
      </w:r>
      <w:r>
        <w:rPr>
          <w:spacing w:val="-7"/>
        </w:rPr>
        <w:t> </w:t>
      </w:r>
      <w:r>
        <w:rPr/>
        <w:t>of</w:t>
      </w:r>
      <w:r>
        <w:rPr>
          <w:spacing w:val="-7"/>
        </w:rPr>
        <w:t> </w:t>
      </w:r>
      <w:r>
        <w:rPr/>
        <w:t>easy</w:t>
      </w:r>
      <w:r>
        <w:rPr>
          <w:spacing w:val="-7"/>
        </w:rPr>
        <w:t> </w:t>
      </w:r>
      <w:r>
        <w:rPr/>
        <w:t>money</w:t>
      </w:r>
      <w:r>
        <w:rPr>
          <w:spacing w:val="-7"/>
        </w:rPr>
        <w:t> </w:t>
      </w:r>
      <w:r>
        <w:rPr/>
        <w:t>is</w:t>
      </w:r>
      <w:r>
        <w:rPr>
          <w:spacing w:val="-7"/>
        </w:rPr>
        <w:t> </w:t>
      </w:r>
      <w:r>
        <w:rPr/>
        <w:t>in</w:t>
      </w:r>
      <w:r>
        <w:rPr>
          <w:spacing w:val="-7"/>
        </w:rPr>
        <w:t> </w:t>
      </w:r>
      <w:r>
        <w:rPr/>
        <w:t>the</w:t>
      </w:r>
      <w:r>
        <w:rPr>
          <w:spacing w:val="-7"/>
        </w:rPr>
        <w:t> </w:t>
      </w:r>
      <w:r>
        <w:rPr/>
        <w:t>rear-view mirror for an expanding set of borrowers. By 2020, 40% of ofﬁcial sector loans from China to low-income and middle-income countries had entered their principal repayment periods (following the expiration of their grace periods).</w:t>
      </w:r>
    </w:p>
    <w:p>
      <w:pPr>
        <w:pStyle w:val="BodyText"/>
        <w:spacing w:line="333" w:lineRule="auto"/>
        <w:ind w:left="760" w:right="767"/>
      </w:pPr>
      <w:r>
        <w:rPr/>
        <w:t>This ﬁgure increased to 55% in 2023, and we expect it will reach </w:t>
      </w:r>
      <w:r>
        <w:rPr/>
        <w:t>approximately 75% by 2030 and 100% by 2049.</w:t>
      </w:r>
    </w:p>
    <w:p>
      <w:pPr>
        <w:pStyle w:val="BodyText"/>
        <w:spacing w:before="6"/>
        <w:rPr>
          <w:sz w:val="27"/>
        </w:rPr>
      </w:pPr>
    </w:p>
    <w:p>
      <w:pPr>
        <w:pStyle w:val="BodyText"/>
        <w:spacing w:line="333" w:lineRule="auto"/>
        <w:ind w:left="760" w:right="767"/>
      </w:pPr>
      <w:r>
        <w:rPr>
          <w:w w:val="105"/>
        </w:rPr>
        <w:t>Another</w:t>
      </w:r>
      <w:r>
        <w:rPr>
          <w:spacing w:val="-14"/>
          <w:w w:val="105"/>
        </w:rPr>
        <w:t> </w:t>
      </w:r>
      <w:r>
        <w:rPr>
          <w:w w:val="105"/>
        </w:rPr>
        <w:t>way</w:t>
      </w:r>
      <w:r>
        <w:rPr>
          <w:spacing w:val="-14"/>
          <w:w w:val="105"/>
        </w:rPr>
        <w:t> </w:t>
      </w:r>
      <w:r>
        <w:rPr>
          <w:w w:val="105"/>
        </w:rPr>
        <w:t>of</w:t>
      </w:r>
      <w:r>
        <w:rPr>
          <w:spacing w:val="-14"/>
          <w:w w:val="105"/>
        </w:rPr>
        <w:t> </w:t>
      </w:r>
      <w:r>
        <w:rPr>
          <w:w w:val="105"/>
        </w:rPr>
        <w:t>thinking</w:t>
      </w:r>
      <w:r>
        <w:rPr>
          <w:spacing w:val="-14"/>
          <w:w w:val="105"/>
        </w:rPr>
        <w:t> </w:t>
      </w:r>
      <w:r>
        <w:rPr>
          <w:w w:val="105"/>
        </w:rPr>
        <w:t>about</w:t>
      </w:r>
      <w:r>
        <w:rPr>
          <w:spacing w:val="-14"/>
          <w:w w:val="105"/>
        </w:rPr>
        <w:t> </w:t>
      </w:r>
      <w:r>
        <w:rPr>
          <w:w w:val="105"/>
        </w:rPr>
        <w:t>the</w:t>
      </w:r>
      <w:r>
        <w:rPr>
          <w:spacing w:val="-14"/>
          <w:w w:val="105"/>
        </w:rPr>
        <w:t> </w:t>
      </w:r>
      <w:r>
        <w:rPr>
          <w:w w:val="105"/>
        </w:rPr>
        <w:t>looming</w:t>
      </w:r>
      <w:r>
        <w:rPr>
          <w:spacing w:val="-14"/>
          <w:w w:val="105"/>
        </w:rPr>
        <w:t> </w:t>
      </w:r>
      <w:r>
        <w:rPr>
          <w:w w:val="105"/>
        </w:rPr>
        <w:t>repayment</w:t>
      </w:r>
      <w:r>
        <w:rPr>
          <w:spacing w:val="-14"/>
          <w:w w:val="105"/>
        </w:rPr>
        <w:t> </w:t>
      </w:r>
      <w:r>
        <w:rPr>
          <w:w w:val="105"/>
        </w:rPr>
        <w:t>challenge</w:t>
      </w:r>
      <w:r>
        <w:rPr>
          <w:spacing w:val="-14"/>
          <w:w w:val="105"/>
        </w:rPr>
        <w:t> </w:t>
      </w:r>
      <w:r>
        <w:rPr>
          <w:w w:val="105"/>
        </w:rPr>
        <w:t>is</w:t>
      </w:r>
      <w:r>
        <w:rPr>
          <w:spacing w:val="-14"/>
          <w:w w:val="105"/>
        </w:rPr>
        <w:t> </w:t>
      </w:r>
      <w:r>
        <w:rPr>
          <w:w w:val="105"/>
        </w:rPr>
        <w:t>to</w:t>
      </w:r>
      <w:r>
        <w:rPr>
          <w:spacing w:val="-14"/>
          <w:w w:val="105"/>
        </w:rPr>
        <w:t> </w:t>
      </w:r>
      <w:r>
        <w:rPr>
          <w:w w:val="105"/>
        </w:rPr>
        <w:t>track</w:t>
      </w:r>
      <w:r>
        <w:rPr>
          <w:spacing w:val="-14"/>
          <w:w w:val="105"/>
        </w:rPr>
        <w:t> </w:t>
      </w:r>
      <w:r>
        <w:rPr>
          <w:w w:val="105"/>
        </w:rPr>
        <w:t>the </w:t>
      </w:r>
      <w:r>
        <w:rPr/>
        <w:t>percentage of loans in China’s LIC and MIC portfolio that have already reached </w:t>
      </w:r>
      <w:r>
        <w:rPr>
          <w:w w:val="105"/>
        </w:rPr>
        <w:t>their</w:t>
      </w:r>
      <w:r>
        <w:rPr>
          <w:spacing w:val="-18"/>
          <w:w w:val="105"/>
        </w:rPr>
        <w:t> </w:t>
      </w:r>
      <w:r>
        <w:rPr>
          <w:w w:val="105"/>
        </w:rPr>
        <w:t>(originally</w:t>
      </w:r>
      <w:r>
        <w:rPr>
          <w:spacing w:val="-17"/>
          <w:w w:val="105"/>
        </w:rPr>
        <w:t> </w:t>
      </w:r>
      <w:r>
        <w:rPr>
          <w:w w:val="105"/>
        </w:rPr>
        <w:t>scheduled)</w:t>
      </w:r>
      <w:r>
        <w:rPr>
          <w:spacing w:val="-18"/>
          <w:w w:val="105"/>
        </w:rPr>
        <w:t> </w:t>
      </w:r>
      <w:r>
        <w:rPr>
          <w:w w:val="105"/>
        </w:rPr>
        <w:t>ﬁnal</w:t>
      </w:r>
      <w:r>
        <w:rPr>
          <w:spacing w:val="-18"/>
          <w:w w:val="105"/>
        </w:rPr>
        <w:t> </w:t>
      </w:r>
      <w:r>
        <w:rPr>
          <w:w w:val="105"/>
        </w:rPr>
        <w:t>repayment</w:t>
      </w:r>
      <w:r>
        <w:rPr>
          <w:spacing w:val="-17"/>
          <w:w w:val="105"/>
        </w:rPr>
        <w:t> </w:t>
      </w:r>
      <w:r>
        <w:rPr>
          <w:w w:val="105"/>
        </w:rPr>
        <w:t>dates.</w:t>
      </w:r>
      <w:r>
        <w:rPr>
          <w:spacing w:val="-18"/>
          <w:w w:val="105"/>
        </w:rPr>
        <w:t> </w:t>
      </w:r>
      <w:r>
        <w:rPr>
          <w:w w:val="105"/>
        </w:rPr>
        <w:t>In</w:t>
      </w:r>
      <w:r>
        <w:rPr>
          <w:spacing w:val="-17"/>
          <w:w w:val="105"/>
        </w:rPr>
        <w:t> </w:t>
      </w:r>
      <w:r>
        <w:rPr>
          <w:w w:val="105"/>
        </w:rPr>
        <w:t>2014</w:t>
      </w:r>
      <w:r>
        <w:rPr>
          <w:spacing w:val="-18"/>
          <w:w w:val="105"/>
        </w:rPr>
        <w:t> </w:t>
      </w:r>
      <w:r>
        <w:rPr>
          <w:w w:val="105"/>
        </w:rPr>
        <w:t>(the</w:t>
      </w:r>
      <w:r>
        <w:rPr>
          <w:spacing w:val="-17"/>
          <w:w w:val="105"/>
        </w:rPr>
        <w:t> </w:t>
      </w:r>
      <w:r>
        <w:rPr>
          <w:w w:val="105"/>
        </w:rPr>
        <w:t>ﬁrst</w:t>
      </w:r>
      <w:r>
        <w:rPr>
          <w:spacing w:val="-18"/>
          <w:w w:val="105"/>
        </w:rPr>
        <w:t> </w:t>
      </w:r>
      <w:r>
        <w:rPr>
          <w:w w:val="105"/>
        </w:rPr>
        <w:t>full</w:t>
      </w:r>
      <w:r>
        <w:rPr>
          <w:spacing w:val="-17"/>
          <w:w w:val="105"/>
        </w:rPr>
        <w:t> </w:t>
      </w:r>
      <w:r>
        <w:rPr>
          <w:w w:val="105"/>
        </w:rPr>
        <w:t>year</w:t>
      </w:r>
      <w:r>
        <w:rPr>
          <w:spacing w:val="-18"/>
          <w:w w:val="105"/>
        </w:rPr>
        <w:t> </w:t>
      </w:r>
      <w:r>
        <w:rPr>
          <w:w w:val="105"/>
        </w:rPr>
        <w:t>of </w:t>
      </w:r>
      <w:r>
        <w:rPr/>
        <w:t>BRI</w:t>
      </w:r>
      <w:r>
        <w:rPr>
          <w:spacing w:val="-5"/>
        </w:rPr>
        <w:t> </w:t>
      </w:r>
      <w:r>
        <w:rPr/>
        <w:t>implementation),</w:t>
      </w:r>
      <w:r>
        <w:rPr>
          <w:spacing w:val="-5"/>
        </w:rPr>
        <w:t> </w:t>
      </w:r>
      <w:r>
        <w:rPr/>
        <w:t>this</w:t>
      </w:r>
      <w:r>
        <w:rPr>
          <w:spacing w:val="-5"/>
        </w:rPr>
        <w:t> </w:t>
      </w:r>
      <w:r>
        <w:rPr/>
        <w:t>ﬁgure</w:t>
      </w:r>
      <w:r>
        <w:rPr>
          <w:spacing w:val="-5"/>
        </w:rPr>
        <w:t> </w:t>
      </w:r>
      <w:r>
        <w:rPr/>
        <w:t>stood</w:t>
      </w:r>
      <w:r>
        <w:rPr>
          <w:spacing w:val="-5"/>
        </w:rPr>
        <w:t> </w:t>
      </w:r>
      <w:r>
        <w:rPr/>
        <w:t>at</w:t>
      </w:r>
      <w:r>
        <w:rPr>
          <w:spacing w:val="-5"/>
        </w:rPr>
        <w:t> </w:t>
      </w:r>
      <w:r>
        <w:rPr/>
        <w:t>only</w:t>
      </w:r>
      <w:r>
        <w:rPr>
          <w:spacing w:val="-5"/>
        </w:rPr>
        <w:t> </w:t>
      </w:r>
      <w:r>
        <w:rPr/>
        <w:t>17%</w:t>
      </w:r>
      <w:r>
        <w:rPr>
          <w:spacing w:val="-5"/>
        </w:rPr>
        <w:t> </w:t>
      </w:r>
      <w:r>
        <w:rPr/>
        <w:t>(see</w:t>
      </w:r>
      <w:r>
        <w:rPr>
          <w:spacing w:val="-5"/>
        </w:rPr>
        <w:t> </w:t>
      </w:r>
      <w:r>
        <w:rPr/>
        <w:t>Figure</w:t>
      </w:r>
      <w:r>
        <w:rPr>
          <w:spacing w:val="-5"/>
        </w:rPr>
        <w:t> </w:t>
      </w:r>
      <w:r>
        <w:rPr/>
        <w:t>2.5).</w:t>
      </w:r>
      <w:r>
        <w:rPr>
          <w:spacing w:val="-5"/>
        </w:rPr>
        <w:t> </w:t>
      </w:r>
      <w:r>
        <w:rPr/>
        <w:t>By</w:t>
      </w:r>
      <w:r>
        <w:rPr>
          <w:spacing w:val="-5"/>
        </w:rPr>
        <w:t> </w:t>
      </w:r>
      <w:r>
        <w:rPr/>
        <w:t>2023</w:t>
      </w:r>
      <w:r>
        <w:rPr>
          <w:spacing w:val="-5"/>
        </w:rPr>
        <w:t> </w:t>
      </w:r>
      <w:r>
        <w:rPr/>
        <w:t>(the </w:t>
      </w:r>
      <w:r>
        <w:rPr>
          <w:w w:val="105"/>
        </w:rPr>
        <w:t>tenth</w:t>
      </w:r>
      <w:r>
        <w:rPr>
          <w:spacing w:val="-16"/>
          <w:w w:val="105"/>
        </w:rPr>
        <w:t> </w:t>
      </w:r>
      <w:r>
        <w:rPr>
          <w:w w:val="105"/>
        </w:rPr>
        <w:t>full</w:t>
      </w:r>
      <w:r>
        <w:rPr>
          <w:spacing w:val="-16"/>
          <w:w w:val="105"/>
        </w:rPr>
        <w:t> </w:t>
      </w:r>
      <w:r>
        <w:rPr>
          <w:w w:val="105"/>
        </w:rPr>
        <w:t>year</w:t>
      </w:r>
      <w:r>
        <w:rPr>
          <w:spacing w:val="-16"/>
          <w:w w:val="105"/>
        </w:rPr>
        <w:t> </w:t>
      </w:r>
      <w:r>
        <w:rPr>
          <w:w w:val="105"/>
        </w:rPr>
        <w:t>of</w:t>
      </w:r>
      <w:r>
        <w:rPr>
          <w:spacing w:val="-16"/>
          <w:w w:val="105"/>
        </w:rPr>
        <w:t> </w:t>
      </w:r>
      <w:r>
        <w:rPr>
          <w:w w:val="105"/>
        </w:rPr>
        <w:t>BRI</w:t>
      </w:r>
      <w:r>
        <w:rPr>
          <w:spacing w:val="-16"/>
          <w:w w:val="105"/>
        </w:rPr>
        <w:t> </w:t>
      </w:r>
      <w:r>
        <w:rPr>
          <w:w w:val="105"/>
        </w:rPr>
        <w:t>implementation),</w:t>
      </w:r>
      <w:r>
        <w:rPr>
          <w:spacing w:val="-16"/>
          <w:w w:val="105"/>
        </w:rPr>
        <w:t> </w:t>
      </w:r>
      <w:r>
        <w:rPr>
          <w:w w:val="105"/>
        </w:rPr>
        <w:t>it</w:t>
      </w:r>
      <w:r>
        <w:rPr>
          <w:spacing w:val="-16"/>
          <w:w w:val="105"/>
        </w:rPr>
        <w:t> </w:t>
      </w:r>
      <w:r>
        <w:rPr>
          <w:w w:val="105"/>
        </w:rPr>
        <w:t>had</w:t>
      </w:r>
      <w:r>
        <w:rPr>
          <w:spacing w:val="-16"/>
          <w:w w:val="105"/>
        </w:rPr>
        <w:t> </w:t>
      </w:r>
      <w:r>
        <w:rPr>
          <w:w w:val="105"/>
        </w:rPr>
        <w:t>increased</w:t>
      </w:r>
      <w:r>
        <w:rPr>
          <w:spacing w:val="-16"/>
          <w:w w:val="105"/>
        </w:rPr>
        <w:t> </w:t>
      </w:r>
      <w:r>
        <w:rPr>
          <w:w w:val="105"/>
        </w:rPr>
        <w:t>to</w:t>
      </w:r>
      <w:r>
        <w:rPr>
          <w:spacing w:val="-16"/>
          <w:w w:val="105"/>
        </w:rPr>
        <w:t> </w:t>
      </w:r>
      <w:r>
        <w:rPr>
          <w:w w:val="105"/>
        </w:rPr>
        <w:t>44%.</w:t>
      </w:r>
      <w:r>
        <w:rPr>
          <w:spacing w:val="-16"/>
          <w:w w:val="105"/>
        </w:rPr>
        <w:t> </w:t>
      </w:r>
      <w:r>
        <w:rPr>
          <w:w w:val="105"/>
        </w:rPr>
        <w:t>We</w:t>
      </w:r>
      <w:r>
        <w:rPr>
          <w:spacing w:val="-16"/>
          <w:w w:val="105"/>
        </w:rPr>
        <w:t> </w:t>
      </w:r>
      <w:r>
        <w:rPr>
          <w:w w:val="105"/>
        </w:rPr>
        <w:t>expect</w:t>
      </w:r>
      <w:r>
        <w:rPr>
          <w:spacing w:val="-16"/>
          <w:w w:val="105"/>
        </w:rPr>
        <w:t> </w:t>
      </w:r>
      <w:r>
        <w:rPr>
          <w:w w:val="105"/>
        </w:rPr>
        <w:t>this</w:t>
      </w:r>
    </w:p>
    <w:p>
      <w:pPr>
        <w:pStyle w:val="BodyText"/>
        <w:rPr>
          <w:sz w:val="20"/>
        </w:rPr>
      </w:pPr>
    </w:p>
    <w:p>
      <w:pPr>
        <w:pStyle w:val="BodyText"/>
        <w:spacing w:before="11"/>
        <w:rPr>
          <w:sz w:val="29"/>
        </w:rPr>
      </w:pPr>
      <w:r>
        <w:rPr/>
        <w:pict>
          <v:shape style="position:absolute;margin-left:90pt;margin-top:18.446486pt;width:144pt;height:.1pt;mso-position-horizontal-relative:page;mso-position-vertical-relative:paragraph;z-index:-15712768;mso-wrap-distance-left:0;mso-wrap-distance-right:0" id="docshape34" coordorigin="1800,369" coordsize="2880,0" path="m1800,369l4680,369e" filled="false" stroked="true" strokeweight=".75pt" strokecolor="#000000">
            <v:path arrowok="t"/>
            <v:stroke dashstyle="solid"/>
            <w10:wrap type="topAndBottom"/>
          </v:shape>
        </w:pict>
      </w:r>
    </w:p>
    <w:p>
      <w:pPr>
        <w:spacing w:line="249" w:lineRule="auto" w:before="110"/>
        <w:ind w:left="760" w:right="898" w:firstLine="0"/>
        <w:jc w:val="left"/>
        <w:rPr>
          <w:sz w:val="20"/>
        </w:rPr>
      </w:pPr>
      <w:r>
        <w:rPr>
          <w:sz w:val="20"/>
          <w:vertAlign w:val="superscript"/>
        </w:rPr>
        <w:t>124</w:t>
      </w:r>
      <w:r>
        <w:rPr>
          <w:sz w:val="20"/>
          <w:vertAlign w:val="baseline"/>
        </w:rPr>
        <w:t> At that time, the population-weighted average level of public support for China in the developing world was 55.66%. On the causal relationship between the receipt of Chinese aid and credit and public support for China, see Wellner et al. (forthcoming, 2023).</w:t>
      </w:r>
    </w:p>
    <w:p>
      <w:pPr>
        <w:spacing w:after="0" w:line="249" w:lineRule="auto"/>
        <w:jc w:val="left"/>
        <w:rPr>
          <w:sz w:val="20"/>
        </w:rPr>
        <w:sectPr>
          <w:pgSz w:w="12240" w:h="15840"/>
          <w:pgMar w:header="0" w:footer="720" w:top="1400" w:bottom="920" w:left="1040" w:right="1040"/>
        </w:sectPr>
      </w:pPr>
    </w:p>
    <w:p>
      <w:pPr>
        <w:pStyle w:val="BodyText"/>
        <w:spacing w:line="333" w:lineRule="auto" w:before="27"/>
        <w:ind w:left="760" w:right="838"/>
      </w:pPr>
      <w:r>
        <w:rPr/>
        <w:t>ﬁgure</w:t>
      </w:r>
      <w:r>
        <w:rPr>
          <w:spacing w:val="-3"/>
        </w:rPr>
        <w:t> </w:t>
      </w:r>
      <w:r>
        <w:rPr/>
        <w:t>to</w:t>
      </w:r>
      <w:r>
        <w:rPr>
          <w:spacing w:val="-3"/>
        </w:rPr>
        <w:t> </w:t>
      </w:r>
      <w:r>
        <w:rPr/>
        <w:t>rise</w:t>
      </w:r>
      <w:r>
        <w:rPr>
          <w:spacing w:val="-3"/>
        </w:rPr>
        <w:t> </w:t>
      </w:r>
      <w:r>
        <w:rPr/>
        <w:t>to</w:t>
      </w:r>
      <w:r>
        <w:rPr>
          <w:spacing w:val="-3"/>
        </w:rPr>
        <w:t> </w:t>
      </w:r>
      <w:r>
        <w:rPr/>
        <w:t>52%</w:t>
      </w:r>
      <w:r>
        <w:rPr>
          <w:spacing w:val="-3"/>
        </w:rPr>
        <w:t> </w:t>
      </w:r>
      <w:r>
        <w:rPr/>
        <w:t>by</w:t>
      </w:r>
      <w:r>
        <w:rPr>
          <w:spacing w:val="-3"/>
        </w:rPr>
        <w:t> </w:t>
      </w:r>
      <w:r>
        <w:rPr/>
        <w:t>2025</w:t>
      </w:r>
      <w:r>
        <w:rPr>
          <w:spacing w:val="-3"/>
        </w:rPr>
        <w:t> </w:t>
      </w:r>
      <w:r>
        <w:rPr/>
        <w:t>and</w:t>
      </w:r>
      <w:r>
        <w:rPr>
          <w:spacing w:val="-3"/>
        </w:rPr>
        <w:t> </w:t>
      </w:r>
      <w:r>
        <w:rPr/>
        <w:t>approach</w:t>
      </w:r>
      <w:r>
        <w:rPr>
          <w:spacing w:val="-3"/>
        </w:rPr>
        <w:t> </w:t>
      </w:r>
      <w:r>
        <w:rPr/>
        <w:t>nearly</w:t>
      </w:r>
      <w:r>
        <w:rPr>
          <w:spacing w:val="-3"/>
        </w:rPr>
        <w:t> </w:t>
      </w:r>
      <w:r>
        <w:rPr/>
        <w:t>100%</w:t>
      </w:r>
      <w:r>
        <w:rPr>
          <w:spacing w:val="-3"/>
        </w:rPr>
        <w:t> </w:t>
      </w:r>
      <w:r>
        <w:rPr/>
        <w:t>by</w:t>
      </w:r>
      <w:r>
        <w:rPr>
          <w:spacing w:val="-3"/>
        </w:rPr>
        <w:t> </w:t>
      </w:r>
      <w:r>
        <w:rPr/>
        <w:t>2040</w:t>
      </w:r>
      <w:r>
        <w:rPr>
          <w:spacing w:val="-3"/>
        </w:rPr>
        <w:t> </w:t>
      </w:r>
      <w:r>
        <w:rPr/>
        <w:t>(see</w:t>
      </w:r>
      <w:r>
        <w:rPr>
          <w:spacing w:val="-3"/>
        </w:rPr>
        <w:t> </w:t>
      </w:r>
      <w:r>
        <w:rPr/>
        <w:t>Figure </w:t>
      </w:r>
      <w:r>
        <w:rPr>
          <w:spacing w:val="-2"/>
        </w:rPr>
        <w:t>2.5).</w:t>
      </w:r>
    </w:p>
    <w:p>
      <w:pPr>
        <w:pStyle w:val="BodyText"/>
        <w:rPr>
          <w:sz w:val="20"/>
        </w:rPr>
      </w:pPr>
    </w:p>
    <w:p>
      <w:pPr>
        <w:pStyle w:val="BodyText"/>
        <w:spacing w:before="7"/>
        <w:rPr>
          <w:sz w:val="16"/>
        </w:rPr>
      </w:pPr>
      <w:r>
        <w:rPr/>
        <w:pict>
          <v:shape style="position:absolute;margin-left:84pt;margin-top:10.792486pt;width:444pt;height:38pt;mso-position-horizontal-relative:page;mso-position-vertical-relative:paragraph;z-index:-15712256;mso-wrap-distance-left:0;mso-wrap-distance-right:0" type="#_x0000_t202" id="docshape35" filled="true" fillcolor="#5b666f" stroked="false">
            <v:textbox inset="0,0,0,0">
              <w:txbxContent>
                <w:p>
                  <w:pPr>
                    <w:spacing w:before="133"/>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2.4</w:t>
                  </w:r>
                </w:p>
              </w:txbxContent>
            </v:textbox>
            <v:fill type="solid"/>
            <w10:wrap type="topAndBottom"/>
          </v:shape>
        </w:pict>
      </w:r>
      <w:r>
        <w:rPr/>
        <w:drawing>
          <wp:anchor distT="0" distB="0" distL="0" distR="0" allowOverlap="1" layoutInCell="1" locked="0" behindDoc="0" simplePos="0" relativeHeight="33">
            <wp:simplePos x="0" y="0"/>
            <wp:positionH relativeFrom="page">
              <wp:posOffset>1255811</wp:posOffset>
            </wp:positionH>
            <wp:positionV relativeFrom="paragraph">
              <wp:posOffset>752665</wp:posOffset>
            </wp:positionV>
            <wp:extent cx="5179407" cy="3184398"/>
            <wp:effectExtent l="0" t="0" r="0" b="0"/>
            <wp:wrapTopAndBottom/>
            <wp:docPr id="7" name="image5.jpeg"/>
            <wp:cNvGraphicFramePr>
              <a:graphicFrameLocks noChangeAspect="1"/>
            </wp:cNvGraphicFramePr>
            <a:graphic>
              <a:graphicData uri="http://schemas.openxmlformats.org/drawingml/2006/picture">
                <pic:pic>
                  <pic:nvPicPr>
                    <pic:cNvPr id="8" name="image5.jpeg"/>
                    <pic:cNvPicPr/>
                  </pic:nvPicPr>
                  <pic:blipFill>
                    <a:blip r:embed="rId13" cstate="print"/>
                    <a:stretch>
                      <a:fillRect/>
                    </a:stretch>
                  </pic:blipFill>
                  <pic:spPr>
                    <a:xfrm>
                      <a:off x="0" y="0"/>
                      <a:ext cx="5179407" cy="3184398"/>
                    </a:xfrm>
                    <a:prstGeom prst="rect">
                      <a:avLst/>
                    </a:prstGeom>
                  </pic:spPr>
                </pic:pic>
              </a:graphicData>
            </a:graphic>
          </wp:anchor>
        </w:drawing>
      </w:r>
    </w:p>
    <w:p>
      <w:pPr>
        <w:pStyle w:val="BodyText"/>
        <w:spacing w:before="1"/>
        <w:rPr>
          <w:sz w:val="16"/>
        </w:rPr>
      </w:pPr>
    </w:p>
    <w:p>
      <w:pPr>
        <w:pStyle w:val="BodyText"/>
        <w:rPr>
          <w:sz w:val="20"/>
        </w:rPr>
      </w:pPr>
    </w:p>
    <w:p>
      <w:pPr>
        <w:pStyle w:val="BodyText"/>
        <w:spacing w:before="10"/>
        <w:rPr>
          <w:sz w:val="16"/>
        </w:rPr>
      </w:pPr>
    </w:p>
    <w:p>
      <w:pPr>
        <w:spacing w:line="333" w:lineRule="auto" w:before="72"/>
        <w:ind w:left="760" w:right="845" w:firstLine="0"/>
        <w:jc w:val="left"/>
        <w:rPr>
          <w:i/>
          <w:sz w:val="18"/>
        </w:rPr>
      </w:pPr>
      <w:r>
        <w:rPr>
          <w:i/>
          <w:sz w:val="18"/>
        </w:rPr>
        <w:t>Notes:</w:t>
      </w:r>
      <w:r>
        <w:rPr>
          <w:i/>
          <w:spacing w:val="-4"/>
          <w:sz w:val="18"/>
        </w:rPr>
        <w:t> </w:t>
      </w:r>
      <w:r>
        <w:rPr>
          <w:i/>
          <w:sz w:val="18"/>
        </w:rPr>
        <w:t>This</w:t>
      </w:r>
      <w:r>
        <w:rPr>
          <w:i/>
          <w:spacing w:val="-4"/>
          <w:sz w:val="18"/>
        </w:rPr>
        <w:t> </w:t>
      </w:r>
      <w:r>
        <w:rPr>
          <w:i/>
          <w:sz w:val="18"/>
        </w:rPr>
        <w:t>graph</w:t>
      </w:r>
      <w:r>
        <w:rPr>
          <w:i/>
          <w:spacing w:val="-4"/>
          <w:sz w:val="18"/>
        </w:rPr>
        <w:t> </w:t>
      </w:r>
      <w:r>
        <w:rPr>
          <w:i/>
          <w:sz w:val="18"/>
        </w:rPr>
        <w:t>shows</w:t>
      </w:r>
      <w:r>
        <w:rPr>
          <w:i/>
          <w:spacing w:val="-4"/>
          <w:sz w:val="18"/>
        </w:rPr>
        <w:t> </w:t>
      </w:r>
      <w:r>
        <w:rPr>
          <w:i/>
          <w:sz w:val="18"/>
        </w:rPr>
        <w:t>the</w:t>
      </w:r>
      <w:r>
        <w:rPr>
          <w:i/>
          <w:spacing w:val="-4"/>
          <w:sz w:val="18"/>
        </w:rPr>
        <w:t> </w:t>
      </w:r>
      <w:r>
        <w:rPr>
          <w:i/>
          <w:sz w:val="18"/>
        </w:rPr>
        <w:t>cumulative</w:t>
      </w:r>
      <w:r>
        <w:rPr>
          <w:i/>
          <w:spacing w:val="-4"/>
          <w:sz w:val="18"/>
        </w:rPr>
        <w:t> </w:t>
      </w:r>
      <w:r>
        <w:rPr>
          <w:i/>
          <w:sz w:val="18"/>
        </w:rPr>
        <w:t>percentage</w:t>
      </w:r>
      <w:r>
        <w:rPr>
          <w:i/>
          <w:spacing w:val="-4"/>
          <w:sz w:val="18"/>
        </w:rPr>
        <w:t> </w:t>
      </w:r>
      <w:r>
        <w:rPr>
          <w:i/>
          <w:sz w:val="18"/>
        </w:rPr>
        <w:t>of</w:t>
      </w:r>
      <w:r>
        <w:rPr>
          <w:i/>
          <w:spacing w:val="-4"/>
          <w:sz w:val="18"/>
        </w:rPr>
        <w:t> </w:t>
      </w:r>
      <w:r>
        <w:rPr>
          <w:i/>
          <w:sz w:val="18"/>
        </w:rPr>
        <w:t>ofﬁcial</w:t>
      </w:r>
      <w:r>
        <w:rPr>
          <w:i/>
          <w:spacing w:val="-4"/>
          <w:sz w:val="18"/>
        </w:rPr>
        <w:t> </w:t>
      </w:r>
      <w:r>
        <w:rPr>
          <w:i/>
          <w:sz w:val="18"/>
        </w:rPr>
        <w:t>sector</w:t>
      </w:r>
      <w:r>
        <w:rPr>
          <w:i/>
          <w:spacing w:val="-4"/>
          <w:sz w:val="18"/>
        </w:rPr>
        <w:t> </w:t>
      </w:r>
      <w:r>
        <w:rPr>
          <w:i/>
          <w:sz w:val="18"/>
        </w:rPr>
        <w:t>loans</w:t>
      </w:r>
      <w:r>
        <w:rPr>
          <w:i/>
          <w:spacing w:val="-4"/>
          <w:sz w:val="18"/>
        </w:rPr>
        <w:t> </w:t>
      </w:r>
      <w:r>
        <w:rPr>
          <w:i/>
          <w:sz w:val="18"/>
        </w:rPr>
        <w:t>from</w:t>
      </w:r>
      <w:r>
        <w:rPr>
          <w:i/>
          <w:spacing w:val="-4"/>
          <w:sz w:val="18"/>
        </w:rPr>
        <w:t> </w:t>
      </w:r>
      <w:r>
        <w:rPr>
          <w:i/>
          <w:sz w:val="18"/>
        </w:rPr>
        <w:t>China</w:t>
      </w:r>
      <w:r>
        <w:rPr>
          <w:i/>
          <w:spacing w:val="-4"/>
          <w:sz w:val="18"/>
        </w:rPr>
        <w:t> </w:t>
      </w:r>
      <w:r>
        <w:rPr>
          <w:i/>
          <w:sz w:val="18"/>
        </w:rPr>
        <w:t>to</w:t>
      </w:r>
      <w:r>
        <w:rPr>
          <w:i/>
          <w:spacing w:val="-4"/>
          <w:sz w:val="18"/>
        </w:rPr>
        <w:t> </w:t>
      </w:r>
      <w:r>
        <w:rPr>
          <w:i/>
          <w:sz w:val="18"/>
        </w:rPr>
        <w:t>LICs</w:t>
      </w:r>
      <w:r>
        <w:rPr>
          <w:i/>
          <w:spacing w:val="-4"/>
          <w:sz w:val="18"/>
        </w:rPr>
        <w:t> </w:t>
      </w:r>
      <w:r>
        <w:rPr>
          <w:i/>
          <w:sz w:val="18"/>
        </w:rPr>
        <w:t>and</w:t>
      </w:r>
      <w:r>
        <w:rPr>
          <w:i/>
          <w:spacing w:val="-4"/>
          <w:sz w:val="18"/>
        </w:rPr>
        <w:t> </w:t>
      </w:r>
      <w:r>
        <w:rPr>
          <w:i/>
          <w:sz w:val="18"/>
        </w:rPr>
        <w:t>MICs</w:t>
      </w:r>
      <w:r>
        <w:rPr>
          <w:i/>
          <w:spacing w:val="-4"/>
          <w:sz w:val="18"/>
        </w:rPr>
        <w:t> </w:t>
      </w:r>
      <w:r>
        <w:rPr>
          <w:i/>
          <w:sz w:val="18"/>
        </w:rPr>
        <w:t>(as</w:t>
      </w:r>
      <w:r>
        <w:rPr>
          <w:i/>
          <w:sz w:val="18"/>
        </w:rPr>
        <w:t> measured by the number of loans) that are within their repayment periods). To determine when each loan will enter repayment, each loan’s grace period is added to its commitment date. This ﬁgure represents</w:t>
      </w:r>
      <w:r>
        <w:rPr>
          <w:i/>
          <w:spacing w:val="40"/>
          <w:sz w:val="18"/>
        </w:rPr>
        <w:t> </w:t>
      </w:r>
      <w:r>
        <w:rPr>
          <w:i/>
          <w:sz w:val="18"/>
        </w:rPr>
        <w:t>when loans will reach their repayment period according to their original borrowing terms, although many loans have been rescheduled (often involving an extension of the loan’s grace period and/or maturity).</w:t>
      </w:r>
    </w:p>
    <w:p>
      <w:pPr>
        <w:spacing w:line="333" w:lineRule="auto" w:before="0"/>
        <w:ind w:left="760" w:right="767" w:firstLine="0"/>
        <w:jc w:val="left"/>
        <w:rPr>
          <w:i/>
          <w:sz w:val="18"/>
        </w:rPr>
      </w:pPr>
      <w:r>
        <w:rPr>
          <w:i/>
          <w:sz w:val="18"/>
        </w:rPr>
        <w:t>MOFCOM interest-free loan commitments (which are typically issued without a credible expectation </w:t>
      </w:r>
      <w:r>
        <w:rPr>
          <w:i/>
          <w:sz w:val="18"/>
        </w:rPr>
        <w:t>of</w:t>
      </w:r>
      <w:r>
        <w:rPr>
          <w:i/>
          <w:sz w:val="18"/>
        </w:rPr>
        <w:t> repayment) are excluded from the calculation.</w:t>
      </w:r>
    </w:p>
    <w:p>
      <w:pPr>
        <w:spacing w:after="0" w:line="333" w:lineRule="auto"/>
        <w:jc w:val="left"/>
        <w:rPr>
          <w:sz w:val="18"/>
        </w:rPr>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36"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2.5</w:t>
                  </w:r>
                </w:p>
              </w:txbxContent>
            </v:textbox>
            <v:fill type="solid"/>
          </v:shape>
        </w:pict>
      </w:r>
      <w:r>
        <w:rPr>
          <w:sz w:val="20"/>
        </w:rPr>
      </w:r>
    </w:p>
    <w:p>
      <w:pPr>
        <w:pStyle w:val="BodyText"/>
        <w:spacing w:before="1"/>
        <w:rPr>
          <w:i/>
          <w:sz w:val="13"/>
        </w:rPr>
      </w:pPr>
      <w:r>
        <w:rPr/>
        <w:drawing>
          <wp:anchor distT="0" distB="0" distL="0" distR="0" allowOverlap="1" layoutInCell="1" locked="0" behindDoc="0" simplePos="0" relativeHeight="35">
            <wp:simplePos x="0" y="0"/>
            <wp:positionH relativeFrom="page">
              <wp:posOffset>1255811</wp:posOffset>
            </wp:positionH>
            <wp:positionV relativeFrom="paragraph">
              <wp:posOffset>111326</wp:posOffset>
            </wp:positionV>
            <wp:extent cx="5167546" cy="3189731"/>
            <wp:effectExtent l="0" t="0" r="0" b="0"/>
            <wp:wrapTopAndBottom/>
            <wp:docPr id="9" name="image6.jpeg"/>
            <wp:cNvGraphicFramePr>
              <a:graphicFrameLocks noChangeAspect="1"/>
            </wp:cNvGraphicFramePr>
            <a:graphic>
              <a:graphicData uri="http://schemas.openxmlformats.org/drawingml/2006/picture">
                <pic:pic>
                  <pic:nvPicPr>
                    <pic:cNvPr id="10" name="image6.jpeg"/>
                    <pic:cNvPicPr/>
                  </pic:nvPicPr>
                  <pic:blipFill>
                    <a:blip r:embed="rId14" cstate="print"/>
                    <a:stretch>
                      <a:fillRect/>
                    </a:stretch>
                  </pic:blipFill>
                  <pic:spPr>
                    <a:xfrm>
                      <a:off x="0" y="0"/>
                      <a:ext cx="5167546" cy="3189731"/>
                    </a:xfrm>
                    <a:prstGeom prst="rect">
                      <a:avLst/>
                    </a:prstGeom>
                  </pic:spPr>
                </pic:pic>
              </a:graphicData>
            </a:graphic>
          </wp:anchor>
        </w:drawing>
      </w:r>
    </w:p>
    <w:p>
      <w:pPr>
        <w:pStyle w:val="BodyText"/>
        <w:rPr>
          <w:i/>
          <w:sz w:val="20"/>
        </w:rPr>
      </w:pPr>
    </w:p>
    <w:p>
      <w:pPr>
        <w:pStyle w:val="BodyText"/>
        <w:spacing w:before="10"/>
        <w:rPr>
          <w:i/>
          <w:sz w:val="16"/>
        </w:rPr>
      </w:pPr>
    </w:p>
    <w:p>
      <w:pPr>
        <w:spacing w:line="333" w:lineRule="auto" w:before="71"/>
        <w:ind w:left="760" w:right="846" w:firstLine="0"/>
        <w:jc w:val="left"/>
        <w:rPr>
          <w:i/>
          <w:sz w:val="18"/>
        </w:rPr>
      </w:pPr>
      <w:r>
        <w:rPr>
          <w:i/>
          <w:sz w:val="18"/>
        </w:rPr>
        <w:t>Notes:</w:t>
      </w:r>
      <w:r>
        <w:rPr>
          <w:i/>
          <w:spacing w:val="-4"/>
          <w:sz w:val="18"/>
        </w:rPr>
        <w:t> </w:t>
      </w:r>
      <w:r>
        <w:rPr>
          <w:i/>
          <w:sz w:val="18"/>
        </w:rPr>
        <w:t>This</w:t>
      </w:r>
      <w:r>
        <w:rPr>
          <w:i/>
          <w:spacing w:val="-4"/>
          <w:sz w:val="18"/>
        </w:rPr>
        <w:t> </w:t>
      </w:r>
      <w:r>
        <w:rPr>
          <w:i/>
          <w:sz w:val="18"/>
        </w:rPr>
        <w:t>graph</w:t>
      </w:r>
      <w:r>
        <w:rPr>
          <w:i/>
          <w:spacing w:val="-4"/>
          <w:sz w:val="18"/>
        </w:rPr>
        <w:t> </w:t>
      </w:r>
      <w:r>
        <w:rPr>
          <w:i/>
          <w:sz w:val="18"/>
        </w:rPr>
        <w:t>shows</w:t>
      </w:r>
      <w:r>
        <w:rPr>
          <w:i/>
          <w:spacing w:val="-4"/>
          <w:sz w:val="18"/>
        </w:rPr>
        <w:t> </w:t>
      </w:r>
      <w:r>
        <w:rPr>
          <w:i/>
          <w:sz w:val="18"/>
        </w:rPr>
        <w:t>the</w:t>
      </w:r>
      <w:r>
        <w:rPr>
          <w:i/>
          <w:spacing w:val="-4"/>
          <w:sz w:val="18"/>
        </w:rPr>
        <w:t> </w:t>
      </w:r>
      <w:r>
        <w:rPr>
          <w:i/>
          <w:sz w:val="18"/>
        </w:rPr>
        <w:t>cumulative</w:t>
      </w:r>
      <w:r>
        <w:rPr>
          <w:i/>
          <w:spacing w:val="-4"/>
          <w:sz w:val="18"/>
        </w:rPr>
        <w:t> </w:t>
      </w:r>
      <w:r>
        <w:rPr>
          <w:i/>
          <w:sz w:val="18"/>
        </w:rPr>
        <w:t>percentage</w:t>
      </w:r>
      <w:r>
        <w:rPr>
          <w:i/>
          <w:spacing w:val="-4"/>
          <w:sz w:val="18"/>
        </w:rPr>
        <w:t> </w:t>
      </w:r>
      <w:r>
        <w:rPr>
          <w:i/>
          <w:sz w:val="18"/>
        </w:rPr>
        <w:t>of</w:t>
      </w:r>
      <w:r>
        <w:rPr>
          <w:i/>
          <w:spacing w:val="-4"/>
          <w:sz w:val="18"/>
        </w:rPr>
        <w:t> </w:t>
      </w:r>
      <w:r>
        <w:rPr>
          <w:i/>
          <w:sz w:val="18"/>
        </w:rPr>
        <w:t>ofﬁcial</w:t>
      </w:r>
      <w:r>
        <w:rPr>
          <w:i/>
          <w:spacing w:val="-4"/>
          <w:sz w:val="18"/>
        </w:rPr>
        <w:t> </w:t>
      </w:r>
      <w:r>
        <w:rPr>
          <w:i/>
          <w:sz w:val="18"/>
        </w:rPr>
        <w:t>sector</w:t>
      </w:r>
      <w:r>
        <w:rPr>
          <w:i/>
          <w:spacing w:val="-4"/>
          <w:sz w:val="18"/>
        </w:rPr>
        <w:t> </w:t>
      </w:r>
      <w:r>
        <w:rPr>
          <w:i/>
          <w:sz w:val="18"/>
        </w:rPr>
        <w:t>loans</w:t>
      </w:r>
      <w:r>
        <w:rPr>
          <w:i/>
          <w:spacing w:val="-4"/>
          <w:sz w:val="18"/>
        </w:rPr>
        <w:t> </w:t>
      </w:r>
      <w:r>
        <w:rPr>
          <w:i/>
          <w:sz w:val="18"/>
        </w:rPr>
        <w:t>from</w:t>
      </w:r>
      <w:r>
        <w:rPr>
          <w:i/>
          <w:spacing w:val="-4"/>
          <w:sz w:val="18"/>
        </w:rPr>
        <w:t> </w:t>
      </w:r>
      <w:r>
        <w:rPr>
          <w:i/>
          <w:sz w:val="18"/>
        </w:rPr>
        <w:t>China</w:t>
      </w:r>
      <w:r>
        <w:rPr>
          <w:i/>
          <w:spacing w:val="-4"/>
          <w:sz w:val="18"/>
        </w:rPr>
        <w:t> </w:t>
      </w:r>
      <w:r>
        <w:rPr>
          <w:i/>
          <w:sz w:val="18"/>
        </w:rPr>
        <w:t>to</w:t>
      </w:r>
      <w:r>
        <w:rPr>
          <w:i/>
          <w:spacing w:val="-4"/>
          <w:sz w:val="18"/>
        </w:rPr>
        <w:t> </w:t>
      </w:r>
      <w:r>
        <w:rPr>
          <w:i/>
          <w:sz w:val="18"/>
        </w:rPr>
        <w:t>LICs</w:t>
      </w:r>
      <w:r>
        <w:rPr>
          <w:i/>
          <w:spacing w:val="-4"/>
          <w:sz w:val="18"/>
        </w:rPr>
        <w:t> </w:t>
      </w:r>
      <w:r>
        <w:rPr>
          <w:i/>
          <w:sz w:val="18"/>
        </w:rPr>
        <w:t>and</w:t>
      </w:r>
      <w:r>
        <w:rPr>
          <w:i/>
          <w:spacing w:val="-4"/>
          <w:sz w:val="18"/>
        </w:rPr>
        <w:t> </w:t>
      </w:r>
      <w:r>
        <w:rPr>
          <w:i/>
          <w:sz w:val="18"/>
        </w:rPr>
        <w:t>MICs</w:t>
      </w:r>
      <w:r>
        <w:rPr>
          <w:i/>
          <w:spacing w:val="-4"/>
          <w:sz w:val="18"/>
        </w:rPr>
        <w:t> </w:t>
      </w:r>
      <w:r>
        <w:rPr>
          <w:i/>
          <w:sz w:val="18"/>
        </w:rPr>
        <w:t>(as</w:t>
      </w:r>
      <w:r>
        <w:rPr>
          <w:i/>
          <w:sz w:val="18"/>
        </w:rPr>
        <w:t> measured by the number of loans) that have reached maturity. To determine when each loan will reach maturity, each loan’s maturity period is added to its commitment date. This ﬁgure represents when loans</w:t>
      </w:r>
      <w:r>
        <w:rPr>
          <w:i/>
          <w:spacing w:val="40"/>
          <w:sz w:val="18"/>
        </w:rPr>
        <w:t> </w:t>
      </w:r>
      <w:r>
        <w:rPr>
          <w:i/>
          <w:sz w:val="18"/>
        </w:rPr>
        <w:t>will reach their maturity according to the original borrowing terms, although many loans have been rescheduled (often involving an extension of the loan’s grace period and/or maturity). MOFCOM</w:t>
      </w:r>
    </w:p>
    <w:p>
      <w:pPr>
        <w:spacing w:line="333" w:lineRule="auto" w:before="0"/>
        <w:ind w:left="760" w:right="767" w:firstLine="0"/>
        <w:jc w:val="left"/>
        <w:rPr>
          <w:i/>
          <w:sz w:val="18"/>
        </w:rPr>
      </w:pPr>
      <w:r>
        <w:rPr>
          <w:i/>
          <w:sz w:val="18"/>
        </w:rPr>
        <w:t>interest-free loan commitments (which are typically issued without a credible expectation of repayment) </w:t>
      </w:r>
      <w:r>
        <w:rPr>
          <w:i/>
          <w:sz w:val="18"/>
        </w:rPr>
        <w:t>are</w:t>
      </w:r>
      <w:r>
        <w:rPr>
          <w:i/>
          <w:sz w:val="18"/>
        </w:rPr>
        <w:t> excluded from the calculation.</w:t>
      </w:r>
    </w:p>
    <w:p>
      <w:pPr>
        <w:pStyle w:val="BodyText"/>
        <w:rPr>
          <w:i/>
          <w:sz w:val="18"/>
        </w:rPr>
      </w:pPr>
    </w:p>
    <w:p>
      <w:pPr>
        <w:pStyle w:val="BodyText"/>
        <w:spacing w:line="333" w:lineRule="auto" w:before="111"/>
        <w:ind w:left="760" w:right="852"/>
      </w:pPr>
      <w:r>
        <w:rPr>
          <w:w w:val="105"/>
        </w:rPr>
        <w:t>What</w:t>
      </w:r>
      <w:r>
        <w:rPr>
          <w:spacing w:val="-14"/>
          <w:w w:val="105"/>
        </w:rPr>
        <w:t> </w:t>
      </w:r>
      <w:r>
        <w:rPr>
          <w:w w:val="105"/>
        </w:rPr>
        <w:t>does</w:t>
      </w:r>
      <w:r>
        <w:rPr>
          <w:spacing w:val="-14"/>
          <w:w w:val="105"/>
        </w:rPr>
        <w:t> </w:t>
      </w:r>
      <w:r>
        <w:rPr>
          <w:w w:val="105"/>
        </w:rPr>
        <w:t>all</w:t>
      </w:r>
      <w:r>
        <w:rPr>
          <w:spacing w:val="-14"/>
          <w:w w:val="105"/>
        </w:rPr>
        <w:t> </w:t>
      </w:r>
      <w:r>
        <w:rPr>
          <w:w w:val="105"/>
        </w:rPr>
        <w:t>of</w:t>
      </w:r>
      <w:r>
        <w:rPr>
          <w:spacing w:val="-14"/>
          <w:w w:val="105"/>
        </w:rPr>
        <w:t> </w:t>
      </w:r>
      <w:r>
        <w:rPr>
          <w:w w:val="105"/>
        </w:rPr>
        <w:t>this</w:t>
      </w:r>
      <w:r>
        <w:rPr>
          <w:spacing w:val="-14"/>
          <w:w w:val="105"/>
        </w:rPr>
        <w:t> </w:t>
      </w:r>
      <w:r>
        <w:rPr>
          <w:w w:val="105"/>
        </w:rPr>
        <w:t>mean</w:t>
      </w:r>
      <w:r>
        <w:rPr>
          <w:spacing w:val="-14"/>
          <w:w w:val="105"/>
        </w:rPr>
        <w:t> </w:t>
      </w:r>
      <w:r>
        <w:rPr>
          <w:w w:val="105"/>
        </w:rPr>
        <w:t>in</w:t>
      </w:r>
      <w:r>
        <w:rPr>
          <w:spacing w:val="-14"/>
          <w:w w:val="105"/>
        </w:rPr>
        <w:t> </w:t>
      </w:r>
      <w:r>
        <w:rPr>
          <w:w w:val="105"/>
        </w:rPr>
        <w:t>practical</w:t>
      </w:r>
      <w:r>
        <w:rPr>
          <w:spacing w:val="-14"/>
          <w:w w:val="105"/>
        </w:rPr>
        <w:t> </w:t>
      </w:r>
      <w:r>
        <w:rPr>
          <w:w w:val="105"/>
        </w:rPr>
        <w:t>terms?</w:t>
      </w:r>
      <w:r>
        <w:rPr>
          <w:spacing w:val="-14"/>
          <w:w w:val="105"/>
        </w:rPr>
        <w:t> </w:t>
      </w:r>
      <w:r>
        <w:rPr>
          <w:w w:val="105"/>
        </w:rPr>
        <w:t>It</w:t>
      </w:r>
      <w:r>
        <w:rPr>
          <w:spacing w:val="-14"/>
          <w:w w:val="105"/>
        </w:rPr>
        <w:t> </w:t>
      </w:r>
      <w:r>
        <w:rPr>
          <w:w w:val="105"/>
        </w:rPr>
        <w:t>means</w:t>
      </w:r>
      <w:r>
        <w:rPr>
          <w:spacing w:val="-14"/>
          <w:w w:val="105"/>
        </w:rPr>
        <w:t> </w:t>
      </w:r>
      <w:r>
        <w:rPr>
          <w:w w:val="105"/>
        </w:rPr>
        <w:t>that</w:t>
      </w:r>
      <w:r>
        <w:rPr>
          <w:spacing w:val="-14"/>
          <w:w w:val="105"/>
        </w:rPr>
        <w:t> </w:t>
      </w:r>
      <w:r>
        <w:rPr>
          <w:w w:val="105"/>
        </w:rPr>
        <w:t>a</w:t>
      </w:r>
      <w:r>
        <w:rPr>
          <w:spacing w:val="-14"/>
          <w:w w:val="105"/>
        </w:rPr>
        <w:t> </w:t>
      </w:r>
      <w:r>
        <w:rPr>
          <w:w w:val="105"/>
        </w:rPr>
        <w:t>rapidly</w:t>
      </w:r>
      <w:r>
        <w:rPr>
          <w:spacing w:val="-14"/>
          <w:w w:val="105"/>
        </w:rPr>
        <w:t> </w:t>
      </w:r>
      <w:r>
        <w:rPr>
          <w:w w:val="105"/>
        </w:rPr>
        <w:t>growing percentage</w:t>
      </w:r>
      <w:r>
        <w:rPr>
          <w:spacing w:val="-14"/>
          <w:w w:val="105"/>
        </w:rPr>
        <w:t> </w:t>
      </w:r>
      <w:r>
        <w:rPr>
          <w:w w:val="105"/>
        </w:rPr>
        <w:t>of</w:t>
      </w:r>
      <w:r>
        <w:rPr>
          <w:spacing w:val="-14"/>
          <w:w w:val="105"/>
        </w:rPr>
        <w:t> </w:t>
      </w:r>
      <w:r>
        <w:rPr>
          <w:w w:val="105"/>
        </w:rPr>
        <w:t>borrowers</w:t>
      </w:r>
      <w:r>
        <w:rPr>
          <w:spacing w:val="-14"/>
          <w:w w:val="105"/>
        </w:rPr>
        <w:t> </w:t>
      </w:r>
      <w:r>
        <w:rPr>
          <w:w w:val="105"/>
        </w:rPr>
        <w:t>in</w:t>
      </w:r>
      <w:r>
        <w:rPr>
          <w:spacing w:val="-14"/>
          <w:w w:val="105"/>
        </w:rPr>
        <w:t> </w:t>
      </w:r>
      <w:r>
        <w:rPr>
          <w:w w:val="105"/>
        </w:rPr>
        <w:t>the</w:t>
      </w:r>
      <w:r>
        <w:rPr>
          <w:spacing w:val="-14"/>
          <w:w w:val="105"/>
        </w:rPr>
        <w:t> </w:t>
      </w:r>
      <w:r>
        <w:rPr>
          <w:w w:val="105"/>
        </w:rPr>
        <w:t>Global</w:t>
      </w:r>
      <w:r>
        <w:rPr>
          <w:spacing w:val="-14"/>
          <w:w w:val="105"/>
        </w:rPr>
        <w:t> </w:t>
      </w:r>
      <w:r>
        <w:rPr>
          <w:w w:val="105"/>
        </w:rPr>
        <w:t>South</w:t>
      </w:r>
      <w:r>
        <w:rPr>
          <w:spacing w:val="-14"/>
          <w:w w:val="105"/>
        </w:rPr>
        <w:t> </w:t>
      </w:r>
      <w:r>
        <w:rPr>
          <w:w w:val="105"/>
        </w:rPr>
        <w:t>are</w:t>
      </w:r>
      <w:r>
        <w:rPr>
          <w:spacing w:val="-14"/>
          <w:w w:val="105"/>
        </w:rPr>
        <w:t> </w:t>
      </w:r>
      <w:r>
        <w:rPr>
          <w:w w:val="105"/>
        </w:rPr>
        <w:t>making</w:t>
      </w:r>
      <w:r>
        <w:rPr>
          <w:spacing w:val="-14"/>
          <w:w w:val="105"/>
        </w:rPr>
        <w:t> </w:t>
      </w:r>
      <w:r>
        <w:rPr>
          <w:w w:val="105"/>
        </w:rPr>
        <w:t>large</w:t>
      </w:r>
      <w:r>
        <w:rPr>
          <w:spacing w:val="-14"/>
          <w:w w:val="105"/>
        </w:rPr>
        <w:t> </w:t>
      </w:r>
      <w:r>
        <w:rPr>
          <w:w w:val="105"/>
        </w:rPr>
        <w:t>debt</w:t>
      </w:r>
      <w:r>
        <w:rPr>
          <w:spacing w:val="-14"/>
          <w:w w:val="105"/>
        </w:rPr>
        <w:t> </w:t>
      </w:r>
      <w:r>
        <w:rPr>
          <w:w w:val="105"/>
        </w:rPr>
        <w:t>service </w:t>
      </w:r>
      <w:r>
        <w:rPr/>
        <w:t>payments (that are for the most part denominated in U.S. dollars) to Beijing at a </w:t>
      </w:r>
      <w:r>
        <w:rPr>
          <w:w w:val="105"/>
        </w:rPr>
        <w:t>time</w:t>
      </w:r>
      <w:r>
        <w:rPr>
          <w:spacing w:val="-18"/>
          <w:w w:val="105"/>
        </w:rPr>
        <w:t> </w:t>
      </w:r>
      <w:r>
        <w:rPr>
          <w:w w:val="105"/>
        </w:rPr>
        <w:t>when</w:t>
      </w:r>
      <w:r>
        <w:rPr>
          <w:spacing w:val="-17"/>
          <w:w w:val="105"/>
        </w:rPr>
        <w:t> </w:t>
      </w:r>
      <w:r>
        <w:rPr>
          <w:w w:val="105"/>
        </w:rPr>
        <w:t>interest</w:t>
      </w:r>
      <w:r>
        <w:rPr>
          <w:spacing w:val="-18"/>
          <w:w w:val="105"/>
        </w:rPr>
        <w:t> </w:t>
      </w:r>
      <w:r>
        <w:rPr>
          <w:w w:val="105"/>
        </w:rPr>
        <w:t>rates</w:t>
      </w:r>
      <w:r>
        <w:rPr>
          <w:spacing w:val="-18"/>
          <w:w w:val="105"/>
        </w:rPr>
        <w:t> </w:t>
      </w:r>
      <w:r>
        <w:rPr>
          <w:w w:val="105"/>
        </w:rPr>
        <w:t>are</w:t>
      </w:r>
      <w:r>
        <w:rPr>
          <w:spacing w:val="-17"/>
          <w:w w:val="105"/>
        </w:rPr>
        <w:t> </w:t>
      </w:r>
      <w:r>
        <w:rPr>
          <w:w w:val="105"/>
        </w:rPr>
        <w:t>rising,</w:t>
      </w:r>
      <w:r>
        <w:rPr>
          <w:spacing w:val="-18"/>
          <w:w w:val="105"/>
        </w:rPr>
        <w:t> </w:t>
      </w:r>
      <w:r>
        <w:rPr>
          <w:w w:val="105"/>
        </w:rPr>
        <w:t>the</w:t>
      </w:r>
      <w:r>
        <w:rPr>
          <w:spacing w:val="-17"/>
          <w:w w:val="105"/>
        </w:rPr>
        <w:t> </w:t>
      </w:r>
      <w:r>
        <w:rPr>
          <w:w w:val="105"/>
        </w:rPr>
        <w:t>U.S.</w:t>
      </w:r>
      <w:r>
        <w:rPr>
          <w:spacing w:val="-18"/>
          <w:w w:val="105"/>
        </w:rPr>
        <w:t> </w:t>
      </w:r>
      <w:r>
        <w:rPr>
          <w:w w:val="105"/>
        </w:rPr>
        <w:t>dollar</w:t>
      </w:r>
      <w:r>
        <w:rPr>
          <w:spacing w:val="-17"/>
          <w:w w:val="105"/>
        </w:rPr>
        <w:t> </w:t>
      </w:r>
      <w:r>
        <w:rPr>
          <w:w w:val="105"/>
        </w:rPr>
        <w:t>is</w:t>
      </w:r>
      <w:r>
        <w:rPr>
          <w:spacing w:val="-18"/>
          <w:w w:val="105"/>
        </w:rPr>
        <w:t> </w:t>
      </w:r>
      <w:r>
        <w:rPr>
          <w:w w:val="105"/>
        </w:rPr>
        <w:t>strengthening,</w:t>
      </w:r>
      <w:r>
        <w:rPr>
          <w:spacing w:val="-17"/>
          <w:w w:val="105"/>
        </w:rPr>
        <w:t> </w:t>
      </w:r>
      <w:r>
        <w:rPr>
          <w:w w:val="105"/>
        </w:rPr>
        <w:t>local </w:t>
      </w:r>
      <w:r>
        <w:rPr/>
        <w:t>currencies are weakening, and global growth is slowing. Many borrowers do </w:t>
      </w:r>
      <w:r>
        <w:rPr/>
        <w:t>not </w:t>
      </w:r>
      <w:r>
        <w:rPr>
          <w:w w:val="105"/>
        </w:rPr>
        <w:t>have</w:t>
      </w:r>
      <w:r>
        <w:rPr>
          <w:spacing w:val="-13"/>
          <w:w w:val="105"/>
        </w:rPr>
        <w:t> </w:t>
      </w:r>
      <w:r>
        <w:rPr>
          <w:w w:val="105"/>
        </w:rPr>
        <w:t>enough</w:t>
      </w:r>
      <w:r>
        <w:rPr>
          <w:spacing w:val="-13"/>
          <w:w w:val="105"/>
        </w:rPr>
        <w:t> </w:t>
      </w:r>
      <w:r>
        <w:rPr>
          <w:w w:val="105"/>
        </w:rPr>
        <w:t>hard</w:t>
      </w:r>
      <w:r>
        <w:rPr>
          <w:spacing w:val="-13"/>
          <w:w w:val="105"/>
        </w:rPr>
        <w:t> </w:t>
      </w:r>
      <w:r>
        <w:rPr>
          <w:w w:val="105"/>
        </w:rPr>
        <w:t>currency</w:t>
      </w:r>
      <w:r>
        <w:rPr>
          <w:spacing w:val="-13"/>
          <w:w w:val="105"/>
        </w:rPr>
        <w:t> </w:t>
      </w:r>
      <w:r>
        <w:rPr>
          <w:w w:val="105"/>
        </w:rPr>
        <w:t>on</w:t>
      </w:r>
      <w:r>
        <w:rPr>
          <w:spacing w:val="-13"/>
          <w:w w:val="105"/>
        </w:rPr>
        <w:t> </w:t>
      </w:r>
      <w:r>
        <w:rPr>
          <w:w w:val="105"/>
        </w:rPr>
        <w:t>hand</w:t>
      </w:r>
      <w:r>
        <w:rPr>
          <w:spacing w:val="-13"/>
          <w:w w:val="105"/>
        </w:rPr>
        <w:t> </w:t>
      </w:r>
      <w:r>
        <w:rPr>
          <w:w w:val="105"/>
        </w:rPr>
        <w:t>to</w:t>
      </w:r>
      <w:r>
        <w:rPr>
          <w:spacing w:val="-13"/>
          <w:w w:val="105"/>
        </w:rPr>
        <w:t> </w:t>
      </w:r>
      <w:r>
        <w:rPr>
          <w:w w:val="105"/>
        </w:rPr>
        <w:t>meet</w:t>
      </w:r>
      <w:r>
        <w:rPr>
          <w:spacing w:val="-13"/>
          <w:w w:val="105"/>
        </w:rPr>
        <w:t> </w:t>
      </w:r>
      <w:r>
        <w:rPr>
          <w:w w:val="105"/>
        </w:rPr>
        <w:t>their</w:t>
      </w:r>
      <w:r>
        <w:rPr>
          <w:spacing w:val="-13"/>
          <w:w w:val="105"/>
        </w:rPr>
        <w:t> </w:t>
      </w:r>
      <w:r>
        <w:rPr>
          <w:w w:val="105"/>
        </w:rPr>
        <w:t>repayment</w:t>
      </w:r>
      <w:r>
        <w:rPr>
          <w:spacing w:val="-1"/>
          <w:w w:val="105"/>
        </w:rPr>
        <w:t> </w:t>
      </w:r>
      <w:r>
        <w:rPr>
          <w:w w:val="105"/>
        </w:rPr>
        <w:t>obligations—</w:t>
      </w:r>
      <w:r>
        <w:rPr/>
        <w:t>especially on loans with LIBOR-based interest rates that increased by ﬁve-and-a-half percentage points between January 2022 and September 2023.</w:t>
      </w:r>
      <w:r>
        <w:rPr>
          <w:vertAlign w:val="superscript"/>
        </w:rPr>
        <w:t>125</w:t>
      </w:r>
    </w:p>
    <w:p>
      <w:pPr>
        <w:pStyle w:val="BodyText"/>
        <w:rPr>
          <w:sz w:val="20"/>
        </w:rPr>
      </w:pPr>
    </w:p>
    <w:p>
      <w:pPr>
        <w:pStyle w:val="BodyText"/>
        <w:rPr>
          <w:sz w:val="20"/>
        </w:rPr>
      </w:pPr>
    </w:p>
    <w:p>
      <w:pPr>
        <w:pStyle w:val="BodyText"/>
        <w:spacing w:before="7"/>
        <w:rPr>
          <w:sz w:val="11"/>
        </w:rPr>
      </w:pPr>
      <w:r>
        <w:rPr/>
        <w:pict>
          <v:shape style="position:absolute;margin-left:90pt;margin-top:7.880279pt;width:144pt;height:.1pt;mso-position-horizontal-relative:page;mso-position-vertical-relative:paragraph;z-index:-15710208;mso-wrap-distance-left:0;mso-wrap-distance-right:0" id="docshape37" coordorigin="1800,158" coordsize="2880,0" path="m1800,158l4680,158e" filled="false" stroked="true" strokeweight=".75pt" strokecolor="#000000">
            <v:path arrowok="t"/>
            <v:stroke dashstyle="solid"/>
            <w10:wrap type="topAndBottom"/>
          </v:shape>
        </w:pict>
      </w:r>
    </w:p>
    <w:p>
      <w:pPr>
        <w:spacing w:before="104"/>
        <w:ind w:left="760" w:right="0" w:firstLine="0"/>
        <w:jc w:val="left"/>
        <w:rPr>
          <w:sz w:val="18"/>
        </w:rPr>
      </w:pPr>
      <w:r>
        <w:rPr>
          <w:sz w:val="18"/>
          <w:vertAlign w:val="superscript"/>
        </w:rPr>
        <w:t>125</w:t>
      </w:r>
      <w:r>
        <w:rPr>
          <w:spacing w:val="-6"/>
          <w:sz w:val="18"/>
          <w:vertAlign w:val="baseline"/>
        </w:rPr>
        <w:t> </w:t>
      </w:r>
      <w:r>
        <w:rPr>
          <w:sz w:val="18"/>
          <w:vertAlign w:val="baseline"/>
        </w:rPr>
        <w:t>Average</w:t>
      </w:r>
      <w:r>
        <w:rPr>
          <w:spacing w:val="-5"/>
          <w:sz w:val="18"/>
          <w:vertAlign w:val="baseline"/>
        </w:rPr>
        <w:t> </w:t>
      </w:r>
      <w:r>
        <w:rPr>
          <w:sz w:val="18"/>
          <w:vertAlign w:val="baseline"/>
        </w:rPr>
        <w:t>6-month</w:t>
      </w:r>
      <w:r>
        <w:rPr>
          <w:spacing w:val="-5"/>
          <w:sz w:val="18"/>
          <w:vertAlign w:val="baseline"/>
        </w:rPr>
        <w:t> </w:t>
      </w:r>
      <w:r>
        <w:rPr>
          <w:sz w:val="18"/>
          <w:vertAlign w:val="baseline"/>
        </w:rPr>
        <w:t>LIBOR</w:t>
      </w:r>
      <w:r>
        <w:rPr>
          <w:spacing w:val="-5"/>
          <w:sz w:val="18"/>
          <w:vertAlign w:val="baseline"/>
        </w:rPr>
        <w:t> </w:t>
      </w:r>
      <w:r>
        <w:rPr>
          <w:sz w:val="18"/>
          <w:vertAlign w:val="baseline"/>
        </w:rPr>
        <w:t>skyrocketed</w:t>
      </w:r>
      <w:r>
        <w:rPr>
          <w:spacing w:val="-5"/>
          <w:sz w:val="18"/>
          <w:vertAlign w:val="baseline"/>
        </w:rPr>
        <w:t> </w:t>
      </w:r>
      <w:r>
        <w:rPr>
          <w:sz w:val="18"/>
          <w:vertAlign w:val="baseline"/>
        </w:rPr>
        <w:t>from</w:t>
      </w:r>
      <w:r>
        <w:rPr>
          <w:spacing w:val="-4"/>
          <w:sz w:val="18"/>
          <w:vertAlign w:val="baseline"/>
        </w:rPr>
        <w:t> </w:t>
      </w:r>
      <w:r>
        <w:rPr>
          <w:sz w:val="18"/>
          <w:vertAlign w:val="baseline"/>
        </w:rPr>
        <w:t>0.426%</w:t>
      </w:r>
      <w:r>
        <w:rPr>
          <w:spacing w:val="-5"/>
          <w:sz w:val="18"/>
          <w:vertAlign w:val="baseline"/>
        </w:rPr>
        <w:t> </w:t>
      </w:r>
      <w:r>
        <w:rPr>
          <w:sz w:val="18"/>
          <w:vertAlign w:val="baseline"/>
        </w:rPr>
        <w:t>in</w:t>
      </w:r>
      <w:r>
        <w:rPr>
          <w:spacing w:val="-5"/>
          <w:sz w:val="18"/>
          <w:vertAlign w:val="baseline"/>
        </w:rPr>
        <w:t> </w:t>
      </w:r>
      <w:r>
        <w:rPr>
          <w:sz w:val="18"/>
          <w:vertAlign w:val="baseline"/>
        </w:rPr>
        <w:t>January</w:t>
      </w:r>
      <w:r>
        <w:rPr>
          <w:spacing w:val="-5"/>
          <w:sz w:val="18"/>
          <w:vertAlign w:val="baseline"/>
        </w:rPr>
        <w:t> </w:t>
      </w:r>
      <w:r>
        <w:rPr>
          <w:sz w:val="18"/>
          <w:vertAlign w:val="baseline"/>
        </w:rPr>
        <w:t>2022</w:t>
      </w:r>
      <w:r>
        <w:rPr>
          <w:spacing w:val="-5"/>
          <w:sz w:val="18"/>
          <w:vertAlign w:val="baseline"/>
        </w:rPr>
        <w:t> </w:t>
      </w:r>
      <w:r>
        <w:rPr>
          <w:sz w:val="18"/>
          <w:vertAlign w:val="baseline"/>
        </w:rPr>
        <w:t>to</w:t>
      </w:r>
      <w:r>
        <w:rPr>
          <w:spacing w:val="-5"/>
          <w:sz w:val="18"/>
          <w:vertAlign w:val="baseline"/>
        </w:rPr>
        <w:t> </w:t>
      </w:r>
      <w:r>
        <w:rPr>
          <w:sz w:val="18"/>
          <w:vertAlign w:val="baseline"/>
        </w:rPr>
        <w:t>5.892%</w:t>
      </w:r>
      <w:r>
        <w:rPr>
          <w:spacing w:val="-4"/>
          <w:sz w:val="18"/>
          <w:vertAlign w:val="baseline"/>
        </w:rPr>
        <w:t> </w:t>
      </w:r>
      <w:r>
        <w:rPr>
          <w:sz w:val="18"/>
          <w:vertAlign w:val="baseline"/>
        </w:rPr>
        <w:t>in</w:t>
      </w:r>
      <w:r>
        <w:rPr>
          <w:spacing w:val="-5"/>
          <w:sz w:val="18"/>
          <w:vertAlign w:val="baseline"/>
        </w:rPr>
        <w:t> </w:t>
      </w:r>
      <w:r>
        <w:rPr>
          <w:sz w:val="18"/>
          <w:vertAlign w:val="baseline"/>
        </w:rPr>
        <w:t>September</w:t>
      </w:r>
      <w:r>
        <w:rPr>
          <w:spacing w:val="-5"/>
          <w:sz w:val="18"/>
          <w:vertAlign w:val="baseline"/>
        </w:rPr>
        <w:t> </w:t>
      </w:r>
      <w:r>
        <w:rPr>
          <w:spacing w:val="-2"/>
          <w:sz w:val="18"/>
          <w:vertAlign w:val="baseline"/>
        </w:rPr>
        <w:t>2023.</w:t>
      </w:r>
    </w:p>
    <w:p>
      <w:pPr>
        <w:spacing w:after="0"/>
        <w:jc w:val="left"/>
        <w:rPr>
          <w:sz w:val="18"/>
        </w:rPr>
        <w:sectPr>
          <w:pgSz w:w="12240" w:h="15840"/>
          <w:pgMar w:header="0" w:footer="720" w:top="1560" w:bottom="920" w:left="1040" w:right="1040"/>
        </w:sectPr>
      </w:pPr>
    </w:p>
    <w:p>
      <w:pPr>
        <w:pStyle w:val="BodyText"/>
        <w:spacing w:line="333" w:lineRule="auto" w:before="27"/>
        <w:ind w:left="760" w:right="794"/>
      </w:pPr>
      <w:r>
        <w:rPr/>
        <w:t>It also means that Beijing ﬁnds itself in an unfamiliar and uncomfortable role—as </w:t>
      </w:r>
      <w:r>
        <w:rPr>
          <w:spacing w:val="-2"/>
          <w:w w:val="105"/>
        </w:rPr>
        <w:t>the</w:t>
      </w:r>
      <w:r>
        <w:rPr>
          <w:spacing w:val="-10"/>
          <w:w w:val="105"/>
        </w:rPr>
        <w:t> </w:t>
      </w:r>
      <w:r>
        <w:rPr>
          <w:spacing w:val="-2"/>
          <w:w w:val="105"/>
        </w:rPr>
        <w:t>world’s</w:t>
      </w:r>
      <w:r>
        <w:rPr>
          <w:spacing w:val="-10"/>
          <w:w w:val="105"/>
        </w:rPr>
        <w:t> </w:t>
      </w:r>
      <w:r>
        <w:rPr>
          <w:spacing w:val="-2"/>
          <w:w w:val="105"/>
        </w:rPr>
        <w:t>largest</w:t>
      </w:r>
      <w:r>
        <w:rPr>
          <w:spacing w:val="-10"/>
          <w:w w:val="105"/>
        </w:rPr>
        <w:t> </w:t>
      </w:r>
      <w:r>
        <w:rPr>
          <w:spacing w:val="-2"/>
          <w:w w:val="105"/>
        </w:rPr>
        <w:t>ofﬁcial</w:t>
      </w:r>
      <w:r>
        <w:rPr>
          <w:spacing w:val="-10"/>
          <w:w w:val="105"/>
        </w:rPr>
        <w:t> </w:t>
      </w:r>
      <w:r>
        <w:rPr>
          <w:spacing w:val="-2"/>
          <w:w w:val="105"/>
        </w:rPr>
        <w:t>debt</w:t>
      </w:r>
      <w:r>
        <w:rPr>
          <w:spacing w:val="-10"/>
          <w:w w:val="105"/>
        </w:rPr>
        <w:t> </w:t>
      </w:r>
      <w:r>
        <w:rPr>
          <w:spacing w:val="-2"/>
          <w:w w:val="105"/>
        </w:rPr>
        <w:t>collector.</w:t>
      </w:r>
      <w:r>
        <w:rPr>
          <w:spacing w:val="-10"/>
          <w:w w:val="105"/>
        </w:rPr>
        <w:t> </w:t>
      </w:r>
      <w:r>
        <w:rPr>
          <w:spacing w:val="-2"/>
          <w:w w:val="105"/>
        </w:rPr>
        <w:t>Some</w:t>
      </w:r>
      <w:r>
        <w:rPr>
          <w:spacing w:val="-10"/>
          <w:w w:val="105"/>
        </w:rPr>
        <w:t> </w:t>
      </w:r>
      <w:r>
        <w:rPr>
          <w:spacing w:val="-2"/>
          <w:w w:val="105"/>
        </w:rPr>
        <w:t>of</w:t>
      </w:r>
      <w:r>
        <w:rPr>
          <w:spacing w:val="-10"/>
          <w:w w:val="105"/>
        </w:rPr>
        <w:t> </w:t>
      </w:r>
      <w:r>
        <w:rPr>
          <w:spacing w:val="-2"/>
          <w:w w:val="105"/>
        </w:rPr>
        <w:t>China’s</w:t>
      </w:r>
      <w:r>
        <w:rPr>
          <w:spacing w:val="-10"/>
          <w:w w:val="105"/>
        </w:rPr>
        <w:t> </w:t>
      </w:r>
      <w:r>
        <w:rPr>
          <w:spacing w:val="-2"/>
          <w:w w:val="105"/>
        </w:rPr>
        <w:t>state-sponsored </w:t>
      </w:r>
      <w:r>
        <w:rPr>
          <w:w w:val="105"/>
        </w:rPr>
        <w:t>tabloids</w:t>
      </w:r>
      <w:r>
        <w:rPr>
          <w:spacing w:val="-17"/>
          <w:w w:val="105"/>
        </w:rPr>
        <w:t> </w:t>
      </w:r>
      <w:r>
        <w:rPr>
          <w:w w:val="105"/>
        </w:rPr>
        <w:t>and</w:t>
      </w:r>
      <w:r>
        <w:rPr>
          <w:spacing w:val="-17"/>
          <w:w w:val="105"/>
        </w:rPr>
        <w:t> </w:t>
      </w:r>
      <w:r>
        <w:rPr>
          <w:w w:val="105"/>
        </w:rPr>
        <w:t>research</w:t>
      </w:r>
      <w:r>
        <w:rPr>
          <w:spacing w:val="-17"/>
          <w:w w:val="105"/>
        </w:rPr>
        <w:t> </w:t>
      </w:r>
      <w:r>
        <w:rPr>
          <w:w w:val="105"/>
        </w:rPr>
        <w:t>institutions</w:t>
      </w:r>
      <w:r>
        <w:rPr>
          <w:spacing w:val="-17"/>
          <w:w w:val="105"/>
        </w:rPr>
        <w:t> </w:t>
      </w:r>
      <w:r>
        <w:rPr>
          <w:w w:val="105"/>
        </w:rPr>
        <w:t>are</w:t>
      </w:r>
      <w:r>
        <w:rPr>
          <w:spacing w:val="-17"/>
          <w:w w:val="105"/>
        </w:rPr>
        <w:t> </w:t>
      </w:r>
      <w:r>
        <w:rPr>
          <w:w w:val="105"/>
        </w:rPr>
        <w:t>attempting</w:t>
      </w:r>
      <w:r>
        <w:rPr>
          <w:spacing w:val="-17"/>
          <w:w w:val="105"/>
        </w:rPr>
        <w:t> </w:t>
      </w:r>
      <w:r>
        <w:rPr>
          <w:w w:val="105"/>
        </w:rPr>
        <w:t>to</w:t>
      </w:r>
      <w:r>
        <w:rPr>
          <w:spacing w:val="-17"/>
          <w:w w:val="105"/>
        </w:rPr>
        <w:t> </w:t>
      </w:r>
      <w:r>
        <w:rPr>
          <w:w w:val="105"/>
        </w:rPr>
        <w:t>deﬂect</w:t>
      </w:r>
      <w:r>
        <w:rPr>
          <w:spacing w:val="-17"/>
          <w:w w:val="105"/>
        </w:rPr>
        <w:t> </w:t>
      </w:r>
      <w:r>
        <w:rPr>
          <w:w w:val="105"/>
        </w:rPr>
        <w:t>criticism</w:t>
      </w:r>
      <w:r>
        <w:rPr>
          <w:spacing w:val="-17"/>
          <w:w w:val="105"/>
        </w:rPr>
        <w:t> </w:t>
      </w:r>
      <w:r>
        <w:rPr>
          <w:w w:val="105"/>
        </w:rPr>
        <w:t>by</w:t>
      </w:r>
      <w:r>
        <w:rPr>
          <w:spacing w:val="-17"/>
          <w:w w:val="105"/>
        </w:rPr>
        <w:t> </w:t>
      </w:r>
      <w:r>
        <w:rPr>
          <w:w w:val="105"/>
        </w:rPr>
        <w:t>blaming </w:t>
      </w:r>
      <w:r>
        <w:rPr/>
        <w:t>the U.S. Federal Reserve for the sharp increase in LIBOR-based interest rates </w:t>
      </w:r>
      <w:r>
        <w:rPr>
          <w:w w:val="105"/>
        </w:rPr>
        <w:t>(e.g.,</w:t>
      </w:r>
      <w:r>
        <w:rPr>
          <w:spacing w:val="-12"/>
          <w:w w:val="105"/>
        </w:rPr>
        <w:t> </w:t>
      </w:r>
      <w:r>
        <w:rPr>
          <w:w w:val="105"/>
        </w:rPr>
        <w:t>Xueqing</w:t>
      </w:r>
      <w:r>
        <w:rPr>
          <w:spacing w:val="-12"/>
          <w:w w:val="105"/>
        </w:rPr>
        <w:t> </w:t>
      </w:r>
      <w:r>
        <w:rPr>
          <w:w w:val="105"/>
        </w:rPr>
        <w:t>2022;</w:t>
      </w:r>
      <w:r>
        <w:rPr>
          <w:spacing w:val="-12"/>
          <w:w w:val="105"/>
        </w:rPr>
        <w:t> </w:t>
      </w:r>
      <w:r>
        <w:rPr>
          <w:w w:val="105"/>
        </w:rPr>
        <w:t>Qing</w:t>
      </w:r>
      <w:r>
        <w:rPr>
          <w:spacing w:val="-12"/>
          <w:w w:val="105"/>
        </w:rPr>
        <w:t> </w:t>
      </w:r>
      <w:r>
        <w:rPr>
          <w:w w:val="105"/>
        </w:rPr>
        <w:t>2023).</w:t>
      </w:r>
      <w:r>
        <w:rPr>
          <w:w w:val="105"/>
          <w:vertAlign w:val="superscript"/>
        </w:rPr>
        <w:t>126</w:t>
      </w:r>
      <w:r>
        <w:rPr>
          <w:spacing w:val="-13"/>
          <w:w w:val="105"/>
          <w:vertAlign w:val="baseline"/>
        </w:rPr>
        <w:t> </w:t>
      </w:r>
      <w:r>
        <w:rPr>
          <w:w w:val="105"/>
          <w:vertAlign w:val="baseline"/>
        </w:rPr>
        <w:t>However,</w:t>
      </w:r>
      <w:r>
        <w:rPr>
          <w:spacing w:val="-12"/>
          <w:w w:val="105"/>
          <w:vertAlign w:val="baseline"/>
        </w:rPr>
        <w:t> </w:t>
      </w:r>
      <w:r>
        <w:rPr>
          <w:w w:val="105"/>
          <w:vertAlign w:val="baseline"/>
        </w:rPr>
        <w:t>this</w:t>
      </w:r>
      <w:r>
        <w:rPr>
          <w:spacing w:val="-12"/>
          <w:w w:val="105"/>
          <w:vertAlign w:val="baseline"/>
        </w:rPr>
        <w:t> </w:t>
      </w:r>
      <w:r>
        <w:rPr>
          <w:w w:val="105"/>
          <w:vertAlign w:val="baseline"/>
        </w:rPr>
        <w:t>position</w:t>
      </w:r>
      <w:r>
        <w:rPr>
          <w:spacing w:val="-12"/>
          <w:w w:val="105"/>
          <w:vertAlign w:val="baseline"/>
        </w:rPr>
        <w:t> </w:t>
      </w:r>
      <w:r>
        <w:rPr>
          <w:w w:val="105"/>
          <w:vertAlign w:val="baseline"/>
        </w:rPr>
        <w:t>will</w:t>
      </w:r>
      <w:r>
        <w:rPr>
          <w:spacing w:val="-12"/>
          <w:w w:val="105"/>
          <w:vertAlign w:val="baseline"/>
        </w:rPr>
        <w:t> </w:t>
      </w:r>
      <w:r>
        <w:rPr>
          <w:w w:val="105"/>
          <w:vertAlign w:val="baseline"/>
        </w:rPr>
        <w:t>be</w:t>
      </w:r>
      <w:r>
        <w:rPr>
          <w:spacing w:val="-12"/>
          <w:w w:val="105"/>
          <w:vertAlign w:val="baseline"/>
        </w:rPr>
        <w:t> </w:t>
      </w:r>
      <w:r>
        <w:rPr>
          <w:w w:val="105"/>
          <w:vertAlign w:val="baseline"/>
        </w:rPr>
        <w:t>difﬁcult</w:t>
      </w:r>
      <w:r>
        <w:rPr>
          <w:spacing w:val="-12"/>
          <w:w w:val="105"/>
          <w:vertAlign w:val="baseline"/>
        </w:rPr>
        <w:t> </w:t>
      </w:r>
      <w:r>
        <w:rPr>
          <w:w w:val="105"/>
          <w:vertAlign w:val="baseline"/>
        </w:rPr>
        <w:t>to </w:t>
      </w:r>
      <w:r>
        <w:rPr>
          <w:vertAlign w:val="baseline"/>
        </w:rPr>
        <w:t>defend. When Beijing decided to make LIBOR central to its dollar-denominated overseas</w:t>
      </w:r>
      <w:r>
        <w:rPr>
          <w:spacing w:val="2"/>
          <w:vertAlign w:val="baseline"/>
        </w:rPr>
        <w:t> </w:t>
      </w:r>
      <w:r>
        <w:rPr>
          <w:vertAlign w:val="baseline"/>
        </w:rPr>
        <w:t>lending</w:t>
      </w:r>
      <w:r>
        <w:rPr>
          <w:spacing w:val="3"/>
          <w:vertAlign w:val="baseline"/>
        </w:rPr>
        <w:t> </w:t>
      </w:r>
      <w:r>
        <w:rPr>
          <w:vertAlign w:val="baseline"/>
        </w:rPr>
        <w:t>program</w:t>
      </w:r>
      <w:r>
        <w:rPr>
          <w:spacing w:val="3"/>
          <w:vertAlign w:val="baseline"/>
        </w:rPr>
        <w:t> </w:t>
      </w:r>
      <w:r>
        <w:rPr>
          <w:vertAlign w:val="baseline"/>
        </w:rPr>
        <w:t>(see</w:t>
      </w:r>
      <w:r>
        <w:rPr>
          <w:spacing w:val="2"/>
          <w:vertAlign w:val="baseline"/>
        </w:rPr>
        <w:t> </w:t>
      </w:r>
      <w:r>
        <w:rPr>
          <w:vertAlign w:val="baseline"/>
        </w:rPr>
        <w:t>Figure</w:t>
      </w:r>
      <w:r>
        <w:rPr>
          <w:spacing w:val="3"/>
          <w:vertAlign w:val="baseline"/>
        </w:rPr>
        <w:t> </w:t>
      </w:r>
      <w:r>
        <w:rPr>
          <w:vertAlign w:val="baseline"/>
        </w:rPr>
        <w:t>2.14),</w:t>
      </w:r>
      <w:r>
        <w:rPr>
          <w:spacing w:val="3"/>
          <w:vertAlign w:val="baseline"/>
        </w:rPr>
        <w:t> </w:t>
      </w:r>
      <w:r>
        <w:rPr>
          <w:vertAlign w:val="baseline"/>
        </w:rPr>
        <w:t>it</w:t>
      </w:r>
      <w:r>
        <w:rPr>
          <w:spacing w:val="2"/>
          <w:vertAlign w:val="baseline"/>
        </w:rPr>
        <w:t> </w:t>
      </w:r>
      <w:r>
        <w:rPr>
          <w:vertAlign w:val="baseline"/>
        </w:rPr>
        <w:t>did</w:t>
      </w:r>
      <w:r>
        <w:rPr>
          <w:spacing w:val="3"/>
          <w:vertAlign w:val="baseline"/>
        </w:rPr>
        <w:t> </w:t>
      </w:r>
      <w:r>
        <w:rPr>
          <w:vertAlign w:val="baseline"/>
        </w:rPr>
        <w:t>not</w:t>
      </w:r>
      <w:r>
        <w:rPr>
          <w:spacing w:val="3"/>
          <w:vertAlign w:val="baseline"/>
        </w:rPr>
        <w:t> </w:t>
      </w:r>
      <w:r>
        <w:rPr>
          <w:vertAlign w:val="baseline"/>
        </w:rPr>
        <w:t>do</w:t>
      </w:r>
      <w:r>
        <w:rPr>
          <w:spacing w:val="2"/>
          <w:vertAlign w:val="baseline"/>
        </w:rPr>
        <w:t> </w:t>
      </w:r>
      <w:r>
        <w:rPr>
          <w:vertAlign w:val="baseline"/>
        </w:rPr>
        <w:t>so</w:t>
      </w:r>
      <w:r>
        <w:rPr>
          <w:spacing w:val="3"/>
          <w:vertAlign w:val="baseline"/>
        </w:rPr>
        <w:t> </w:t>
      </w:r>
      <w:r>
        <w:rPr>
          <w:vertAlign w:val="baseline"/>
        </w:rPr>
        <w:t>at</w:t>
      </w:r>
      <w:r>
        <w:rPr>
          <w:spacing w:val="3"/>
          <w:vertAlign w:val="baseline"/>
        </w:rPr>
        <w:t> </w:t>
      </w:r>
      <w:r>
        <w:rPr>
          <w:vertAlign w:val="baseline"/>
        </w:rPr>
        <w:t>the</w:t>
      </w:r>
      <w:r>
        <w:rPr>
          <w:spacing w:val="3"/>
          <w:vertAlign w:val="baseline"/>
        </w:rPr>
        <w:t> </w:t>
      </w:r>
      <w:r>
        <w:rPr>
          <w:vertAlign w:val="baseline"/>
        </w:rPr>
        <w:t>behest</w:t>
      </w:r>
      <w:r>
        <w:rPr>
          <w:spacing w:val="2"/>
          <w:vertAlign w:val="baseline"/>
        </w:rPr>
        <w:t> </w:t>
      </w:r>
      <w:r>
        <w:rPr>
          <w:vertAlign w:val="baseline"/>
        </w:rPr>
        <w:t>of</w:t>
      </w:r>
      <w:r>
        <w:rPr>
          <w:spacing w:val="3"/>
          <w:vertAlign w:val="baseline"/>
        </w:rPr>
        <w:t> </w:t>
      </w:r>
      <w:r>
        <w:rPr>
          <w:spacing w:val="-5"/>
          <w:vertAlign w:val="baseline"/>
        </w:rPr>
        <w:t>the</w:t>
      </w:r>
    </w:p>
    <w:p>
      <w:pPr>
        <w:pStyle w:val="BodyText"/>
        <w:spacing w:line="272" w:lineRule="exact"/>
        <w:ind w:left="760"/>
      </w:pPr>
      <w:r>
        <w:rPr/>
        <w:t>U.S. or</w:t>
      </w:r>
      <w:r>
        <w:rPr>
          <w:spacing w:val="1"/>
        </w:rPr>
        <w:t> </w:t>
      </w:r>
      <w:r>
        <w:rPr/>
        <w:t>any</w:t>
      </w:r>
      <w:r>
        <w:rPr>
          <w:spacing w:val="1"/>
        </w:rPr>
        <w:t> </w:t>
      </w:r>
      <w:r>
        <w:rPr/>
        <w:t>other</w:t>
      </w:r>
      <w:r>
        <w:rPr>
          <w:spacing w:val="1"/>
        </w:rPr>
        <w:t> </w:t>
      </w:r>
      <w:r>
        <w:rPr/>
        <w:t>foreign power.</w:t>
      </w:r>
      <w:r>
        <w:rPr>
          <w:vertAlign w:val="superscript"/>
        </w:rPr>
        <w:t>1</w:t>
      </w:r>
      <w:r>
        <w:rPr>
          <w:vertAlign w:val="superscript"/>
        </w:rPr>
        <w:t>2</w:t>
      </w:r>
      <w:r>
        <w:rPr>
          <w:vertAlign w:val="superscript"/>
        </w:rPr>
        <w:t>7</w:t>
      </w:r>
      <w:r>
        <w:rPr>
          <w:vertAlign w:val="baseline"/>
        </w:rPr>
        <w:t> It</w:t>
      </w:r>
      <w:r>
        <w:rPr>
          <w:spacing w:val="1"/>
          <w:vertAlign w:val="baseline"/>
        </w:rPr>
        <w:t> </w:t>
      </w:r>
      <w:r>
        <w:rPr>
          <w:vertAlign w:val="baseline"/>
        </w:rPr>
        <w:t>did</w:t>
      </w:r>
      <w:r>
        <w:rPr>
          <w:spacing w:val="1"/>
          <w:vertAlign w:val="baseline"/>
        </w:rPr>
        <w:t> </w:t>
      </w:r>
      <w:r>
        <w:rPr>
          <w:vertAlign w:val="baseline"/>
        </w:rPr>
        <w:t>so on</w:t>
      </w:r>
      <w:r>
        <w:rPr>
          <w:spacing w:val="1"/>
          <w:vertAlign w:val="baseline"/>
        </w:rPr>
        <w:t> </w:t>
      </w:r>
      <w:r>
        <w:rPr>
          <w:vertAlign w:val="baseline"/>
        </w:rPr>
        <w:t>its</w:t>
      </w:r>
      <w:r>
        <w:rPr>
          <w:spacing w:val="1"/>
          <w:vertAlign w:val="baseline"/>
        </w:rPr>
        <w:t> </w:t>
      </w:r>
      <w:r>
        <w:rPr>
          <w:vertAlign w:val="baseline"/>
        </w:rPr>
        <w:t>own—and</w:t>
      </w:r>
      <w:r>
        <w:rPr>
          <w:spacing w:val="1"/>
          <w:vertAlign w:val="baseline"/>
        </w:rPr>
        <w:t> </w:t>
      </w:r>
      <w:r>
        <w:rPr>
          <w:vertAlign w:val="baseline"/>
        </w:rPr>
        <w:t>for its</w:t>
      </w:r>
      <w:r>
        <w:rPr>
          <w:spacing w:val="1"/>
          <w:vertAlign w:val="baseline"/>
        </w:rPr>
        <w:t> </w:t>
      </w:r>
      <w:r>
        <w:rPr>
          <w:spacing w:val="-5"/>
          <w:vertAlign w:val="baseline"/>
        </w:rPr>
        <w:t>own</w:t>
      </w:r>
    </w:p>
    <w:p>
      <w:pPr>
        <w:spacing w:line="333" w:lineRule="auto" w:before="107"/>
        <w:ind w:left="760" w:right="840" w:firstLine="0"/>
        <w:jc w:val="left"/>
        <w:rPr>
          <w:sz w:val="24"/>
        </w:rPr>
      </w:pPr>
      <w:r>
        <w:rPr>
          <w:sz w:val="24"/>
        </w:rPr>
        <w:t>proﬁt-making</w:t>
      </w:r>
      <w:r>
        <w:rPr>
          <w:spacing w:val="-1"/>
          <w:sz w:val="24"/>
        </w:rPr>
        <w:t> </w:t>
      </w:r>
      <w:r>
        <w:rPr>
          <w:sz w:val="24"/>
        </w:rPr>
        <w:t>purposes</w:t>
      </w:r>
      <w:r>
        <w:rPr>
          <w:spacing w:val="-1"/>
          <w:sz w:val="24"/>
        </w:rPr>
        <w:t> </w:t>
      </w:r>
      <w:r>
        <w:rPr>
          <w:sz w:val="24"/>
        </w:rPr>
        <w:t>(see</w:t>
      </w:r>
      <w:r>
        <w:rPr>
          <w:spacing w:val="-1"/>
          <w:sz w:val="24"/>
        </w:rPr>
        <w:t> </w:t>
      </w:r>
      <w:r>
        <w:rPr>
          <w:sz w:val="24"/>
        </w:rPr>
        <w:t>Box</w:t>
      </w:r>
      <w:r>
        <w:rPr>
          <w:spacing w:val="-1"/>
          <w:sz w:val="24"/>
        </w:rPr>
        <w:t> </w:t>
      </w:r>
      <w:r>
        <w:rPr>
          <w:sz w:val="24"/>
        </w:rPr>
        <w:t>2b).</w:t>
      </w:r>
      <w:r>
        <w:rPr>
          <w:spacing w:val="-1"/>
          <w:sz w:val="24"/>
        </w:rPr>
        <w:t> </w:t>
      </w:r>
      <w:r>
        <w:rPr>
          <w:sz w:val="24"/>
        </w:rPr>
        <w:t>Now,</w:t>
      </w:r>
      <w:r>
        <w:rPr>
          <w:spacing w:val="-1"/>
          <w:sz w:val="24"/>
        </w:rPr>
        <w:t> </w:t>
      </w:r>
      <w:r>
        <w:rPr>
          <w:sz w:val="24"/>
        </w:rPr>
        <w:t>the</w:t>
      </w:r>
      <w:r>
        <w:rPr>
          <w:spacing w:val="-1"/>
          <w:sz w:val="24"/>
        </w:rPr>
        <w:t> </w:t>
      </w:r>
      <w:r>
        <w:rPr>
          <w:sz w:val="24"/>
        </w:rPr>
        <w:t>grace</w:t>
      </w:r>
      <w:r>
        <w:rPr>
          <w:spacing w:val="-1"/>
          <w:sz w:val="24"/>
        </w:rPr>
        <w:t> </w:t>
      </w:r>
      <w:r>
        <w:rPr>
          <w:sz w:val="24"/>
        </w:rPr>
        <w:t>periods</w:t>
      </w:r>
      <w:r>
        <w:rPr>
          <w:spacing w:val="-1"/>
          <w:sz w:val="24"/>
        </w:rPr>
        <w:t> </w:t>
      </w:r>
      <w:r>
        <w:rPr>
          <w:sz w:val="24"/>
        </w:rPr>
        <w:t>on</w:t>
      </w:r>
      <w:r>
        <w:rPr>
          <w:spacing w:val="-1"/>
          <w:sz w:val="24"/>
        </w:rPr>
        <w:t> </w:t>
      </w:r>
      <w:r>
        <w:rPr>
          <w:sz w:val="24"/>
        </w:rPr>
        <w:t>most</w:t>
      </w:r>
      <w:r>
        <w:rPr>
          <w:spacing w:val="-1"/>
          <w:sz w:val="24"/>
        </w:rPr>
        <w:t> </w:t>
      </w:r>
      <w:r>
        <w:rPr>
          <w:sz w:val="24"/>
        </w:rPr>
        <w:t>of</w:t>
      </w:r>
      <w:r>
        <w:rPr>
          <w:spacing w:val="-1"/>
          <w:sz w:val="24"/>
        </w:rPr>
        <w:t> </w:t>
      </w:r>
      <w:r>
        <w:rPr>
          <w:sz w:val="24"/>
        </w:rPr>
        <w:t>China’s LIBOR-based loans are expiring, and Beijing is learning a difﬁcult lesson: </w:t>
      </w:r>
      <w:r>
        <w:rPr>
          <w:i/>
          <w:sz w:val="24"/>
        </w:rPr>
        <w:t>it’s</w:t>
      </w:r>
      <w:r>
        <w:rPr>
          <w:i/>
          <w:sz w:val="24"/>
        </w:rPr>
        <w:t> easier for great powers to behave like commercial creditors in times of plenty than in times of want</w:t>
      </w:r>
      <w:r>
        <w:rPr>
          <w:sz w:val="24"/>
        </w:rPr>
        <w:t>. If China was a commercial bank, it would be easier to demand that ﬁnancially-distressed LIC and MIC borrowers draw upon their limited U.S. dollar reserves to make increasingly large debt service payments.</w:t>
      </w:r>
    </w:p>
    <w:p>
      <w:pPr>
        <w:pStyle w:val="BodyText"/>
        <w:spacing w:line="333" w:lineRule="auto"/>
        <w:ind w:left="760" w:right="898"/>
      </w:pPr>
      <w:r>
        <w:rPr/>
        <w:t>However, China is a global superpower that has to balance a wide range of competing equities, including reputational risk and repayment risk (see </w:t>
      </w:r>
      <w:r>
        <w:rPr/>
        <w:t>Chapter 4 for more on this key tension and tradeoff).</w:t>
      </w:r>
    </w:p>
    <w:p>
      <w:pPr>
        <w:pStyle w:val="BodyText"/>
        <w:spacing w:before="7"/>
        <w:rPr>
          <w:sz w:val="27"/>
        </w:rPr>
      </w:pPr>
    </w:p>
    <w:p>
      <w:pPr>
        <w:pStyle w:val="Heading4"/>
        <w:spacing w:line="357" w:lineRule="auto" w:before="1"/>
        <w:ind w:right="1128"/>
      </w:pPr>
      <w:r>
        <w:rPr>
          <w:spacing w:val="-8"/>
        </w:rPr>
        <w:t>The</w:t>
      </w:r>
      <w:r>
        <w:rPr>
          <w:spacing w:val="-12"/>
        </w:rPr>
        <w:t> </w:t>
      </w:r>
      <w:r>
        <w:rPr>
          <w:spacing w:val="-8"/>
        </w:rPr>
        <w:t>rise</w:t>
      </w:r>
      <w:r>
        <w:rPr>
          <w:spacing w:val="-11"/>
        </w:rPr>
        <w:t> </w:t>
      </w:r>
      <w:r>
        <w:rPr>
          <w:spacing w:val="-8"/>
        </w:rPr>
        <w:t>of</w:t>
      </w:r>
      <w:r>
        <w:rPr>
          <w:spacing w:val="-12"/>
        </w:rPr>
        <w:t> </w:t>
      </w:r>
      <w:r>
        <w:rPr>
          <w:spacing w:val="-8"/>
        </w:rPr>
        <w:t>emergency</w:t>
      </w:r>
      <w:r>
        <w:rPr>
          <w:spacing w:val="-11"/>
        </w:rPr>
        <w:t> </w:t>
      </w:r>
      <w:r>
        <w:rPr>
          <w:spacing w:val="-8"/>
        </w:rPr>
        <w:t>rescue</w:t>
      </w:r>
      <w:r>
        <w:rPr>
          <w:spacing w:val="-12"/>
        </w:rPr>
        <w:t> </w:t>
      </w:r>
      <w:r>
        <w:rPr>
          <w:spacing w:val="-8"/>
        </w:rPr>
        <w:t>lending</w:t>
      </w:r>
      <w:r>
        <w:rPr>
          <w:spacing w:val="-11"/>
        </w:rPr>
        <w:t> </w:t>
      </w:r>
      <w:r>
        <w:rPr>
          <w:spacing w:val="-8"/>
        </w:rPr>
        <w:t>and</w:t>
      </w:r>
      <w:r>
        <w:rPr>
          <w:spacing w:val="-12"/>
        </w:rPr>
        <w:t> </w:t>
      </w:r>
      <w:r>
        <w:rPr>
          <w:spacing w:val="-8"/>
        </w:rPr>
        <w:t>the</w:t>
      </w:r>
      <w:r>
        <w:rPr>
          <w:spacing w:val="-11"/>
        </w:rPr>
        <w:t> </w:t>
      </w:r>
      <w:r>
        <w:rPr>
          <w:spacing w:val="-8"/>
        </w:rPr>
        <w:t>fall</w:t>
      </w:r>
      <w:r>
        <w:rPr>
          <w:spacing w:val="-12"/>
        </w:rPr>
        <w:t> </w:t>
      </w:r>
      <w:r>
        <w:rPr>
          <w:spacing w:val="-8"/>
        </w:rPr>
        <w:t>of</w:t>
      </w:r>
      <w:r>
        <w:rPr>
          <w:spacing w:val="-11"/>
        </w:rPr>
        <w:t> </w:t>
      </w:r>
      <w:r>
        <w:rPr>
          <w:spacing w:val="-8"/>
        </w:rPr>
        <w:t>infrastructure </w:t>
      </w:r>
      <w:r>
        <w:rPr/>
        <w:t>project lending</w:t>
      </w:r>
    </w:p>
    <w:p>
      <w:pPr>
        <w:pStyle w:val="BodyText"/>
        <w:spacing w:line="333" w:lineRule="auto" w:before="81"/>
        <w:ind w:left="760" w:right="767"/>
      </w:pPr>
      <w:r>
        <w:rPr/>
        <w:t>China’s overseas lending program has become synonymous with the BRI—an overland “Belt” of road, rail, port, and pipeline projects that seeks to create an infrastructure corridor from China to Central Asia and Europe, and a “Maritime Silk</w:t>
      </w:r>
      <w:r>
        <w:rPr>
          <w:spacing w:val="-2"/>
        </w:rPr>
        <w:t> </w:t>
      </w:r>
      <w:r>
        <w:rPr/>
        <w:t>Road”</w:t>
      </w:r>
      <w:r>
        <w:rPr>
          <w:spacing w:val="-2"/>
        </w:rPr>
        <w:t> </w:t>
      </w:r>
      <w:r>
        <w:rPr/>
        <w:t>that</w:t>
      </w:r>
      <w:r>
        <w:rPr>
          <w:spacing w:val="-2"/>
        </w:rPr>
        <w:t> </w:t>
      </w:r>
      <w:r>
        <w:rPr/>
        <w:t>seeks</w:t>
      </w:r>
      <w:r>
        <w:rPr>
          <w:spacing w:val="-2"/>
        </w:rPr>
        <w:t> </w:t>
      </w:r>
      <w:r>
        <w:rPr/>
        <w:t>to</w:t>
      </w:r>
      <w:r>
        <w:rPr>
          <w:spacing w:val="-2"/>
        </w:rPr>
        <w:t> </w:t>
      </w:r>
      <w:r>
        <w:rPr/>
        <w:t>link</w:t>
      </w:r>
      <w:r>
        <w:rPr>
          <w:spacing w:val="-2"/>
        </w:rPr>
        <w:t> </w:t>
      </w:r>
      <w:r>
        <w:rPr/>
        <w:t>China</w:t>
      </w:r>
      <w:r>
        <w:rPr>
          <w:spacing w:val="-2"/>
        </w:rPr>
        <w:t> </w:t>
      </w:r>
      <w:r>
        <w:rPr/>
        <w:t>to</w:t>
      </w:r>
      <w:r>
        <w:rPr>
          <w:spacing w:val="-2"/>
        </w:rPr>
        <w:t> </w:t>
      </w:r>
      <w:r>
        <w:rPr/>
        <w:t>South</w:t>
      </w:r>
      <w:r>
        <w:rPr>
          <w:spacing w:val="-2"/>
        </w:rPr>
        <w:t> </w:t>
      </w:r>
      <w:r>
        <w:rPr/>
        <w:t>and</w:t>
      </w:r>
      <w:r>
        <w:rPr>
          <w:spacing w:val="-2"/>
        </w:rPr>
        <w:t> </w:t>
      </w:r>
      <w:r>
        <w:rPr/>
        <w:t>Southeast</w:t>
      </w:r>
      <w:r>
        <w:rPr>
          <w:spacing w:val="-2"/>
        </w:rPr>
        <w:t> </w:t>
      </w:r>
      <w:r>
        <w:rPr/>
        <w:t>Asia,</w:t>
      </w:r>
      <w:r>
        <w:rPr>
          <w:spacing w:val="-2"/>
        </w:rPr>
        <w:t> </w:t>
      </w:r>
      <w:r>
        <w:rPr/>
        <w:t>the</w:t>
      </w:r>
      <w:r>
        <w:rPr>
          <w:spacing w:val="-2"/>
        </w:rPr>
        <w:t> </w:t>
      </w:r>
      <w:r>
        <w:rPr/>
        <w:t>Middle</w:t>
      </w:r>
      <w:r>
        <w:rPr>
          <w:spacing w:val="-2"/>
        </w:rPr>
        <w:t> </w:t>
      </w:r>
      <w:r>
        <w:rPr/>
        <w:t>East, and Africa through deep-water seaport construction projects along the littoral areas of the Indian Ocean. However the 3.0 version of AidData’s GCDF dataset</w:t>
      </w:r>
    </w:p>
    <w:p>
      <w:pPr>
        <w:pStyle w:val="BodyText"/>
        <w:spacing w:before="5"/>
        <w:rPr>
          <w:sz w:val="18"/>
        </w:rPr>
      </w:pPr>
      <w:r>
        <w:rPr/>
        <w:pict>
          <v:shape style="position:absolute;margin-left:90pt;margin-top:11.801124pt;width:144pt;height:.1pt;mso-position-horizontal-relative:page;mso-position-vertical-relative:paragraph;z-index:-15709696;mso-wrap-distance-left:0;mso-wrap-distance-right:0" id="docshape38" coordorigin="1800,236" coordsize="2880,0" path="m1800,236l4680,236e" filled="false" stroked="true" strokeweight=".75pt" strokecolor="#000000">
            <v:path arrowok="t"/>
            <v:stroke dashstyle="solid"/>
            <w10:wrap type="topAndBottom"/>
          </v:shape>
        </w:pict>
      </w:r>
    </w:p>
    <w:p>
      <w:pPr>
        <w:spacing w:line="249" w:lineRule="auto" w:before="107"/>
        <w:ind w:left="760" w:right="767" w:firstLine="0"/>
        <w:jc w:val="left"/>
        <w:rPr>
          <w:sz w:val="18"/>
        </w:rPr>
      </w:pPr>
      <w:r>
        <w:rPr>
          <w:spacing w:val="-2"/>
          <w:w w:val="105"/>
          <w:sz w:val="18"/>
          <w:vertAlign w:val="superscript"/>
        </w:rPr>
        <w:t>126</w:t>
      </w:r>
      <w:r>
        <w:rPr>
          <w:spacing w:val="-4"/>
          <w:w w:val="105"/>
          <w:sz w:val="18"/>
          <w:vertAlign w:val="baseline"/>
        </w:rPr>
        <w:t> </w:t>
      </w:r>
      <w:r>
        <w:rPr>
          <w:spacing w:val="-2"/>
          <w:w w:val="105"/>
          <w:sz w:val="18"/>
          <w:vertAlign w:val="baseline"/>
        </w:rPr>
        <w:t>For</w:t>
      </w:r>
      <w:r>
        <w:rPr>
          <w:spacing w:val="-3"/>
          <w:w w:val="105"/>
          <w:sz w:val="18"/>
          <w:vertAlign w:val="baseline"/>
        </w:rPr>
        <w:t> </w:t>
      </w:r>
      <w:r>
        <w:rPr>
          <w:spacing w:val="-2"/>
          <w:w w:val="105"/>
          <w:sz w:val="18"/>
          <w:vertAlign w:val="baseline"/>
        </w:rPr>
        <w:t>example,</w:t>
      </w:r>
      <w:r>
        <w:rPr>
          <w:spacing w:val="-3"/>
          <w:w w:val="105"/>
          <w:sz w:val="18"/>
          <w:vertAlign w:val="baseline"/>
        </w:rPr>
        <w:t> </w:t>
      </w:r>
      <w:r>
        <w:rPr>
          <w:spacing w:val="-2"/>
          <w:w w:val="105"/>
          <w:sz w:val="18"/>
          <w:vertAlign w:val="baseline"/>
        </w:rPr>
        <w:t>in</w:t>
      </w:r>
      <w:r>
        <w:rPr>
          <w:spacing w:val="-3"/>
          <w:w w:val="105"/>
          <w:sz w:val="18"/>
          <w:vertAlign w:val="baseline"/>
        </w:rPr>
        <w:t> </w:t>
      </w:r>
      <w:r>
        <w:rPr>
          <w:spacing w:val="-2"/>
          <w:w w:val="105"/>
          <w:sz w:val="18"/>
          <w:vertAlign w:val="baseline"/>
        </w:rPr>
        <w:t>April</w:t>
      </w:r>
      <w:r>
        <w:rPr>
          <w:spacing w:val="-3"/>
          <w:w w:val="105"/>
          <w:sz w:val="18"/>
          <w:vertAlign w:val="baseline"/>
        </w:rPr>
        <w:t> </w:t>
      </w:r>
      <w:r>
        <w:rPr>
          <w:spacing w:val="-2"/>
          <w:w w:val="105"/>
          <w:sz w:val="18"/>
          <w:vertAlign w:val="baseline"/>
        </w:rPr>
        <w:t>2023,</w:t>
      </w:r>
      <w:r>
        <w:rPr>
          <w:spacing w:val="-3"/>
          <w:w w:val="105"/>
          <w:sz w:val="18"/>
          <w:vertAlign w:val="baseline"/>
        </w:rPr>
        <w:t> </w:t>
      </w:r>
      <w:r>
        <w:rPr>
          <w:spacing w:val="-2"/>
          <w:w w:val="105"/>
          <w:sz w:val="18"/>
          <w:vertAlign w:val="baseline"/>
        </w:rPr>
        <w:t>China’s</w:t>
      </w:r>
      <w:r>
        <w:rPr>
          <w:spacing w:val="-3"/>
          <w:w w:val="105"/>
          <w:sz w:val="18"/>
          <w:vertAlign w:val="baseline"/>
        </w:rPr>
        <w:t> </w:t>
      </w:r>
      <w:r>
        <w:rPr>
          <w:spacing w:val="-2"/>
          <w:w w:val="105"/>
          <w:sz w:val="18"/>
          <w:vertAlign w:val="baseline"/>
        </w:rPr>
        <w:t>state-owned</w:t>
      </w:r>
      <w:r>
        <w:rPr>
          <w:spacing w:val="-3"/>
          <w:w w:val="105"/>
          <w:sz w:val="18"/>
          <w:vertAlign w:val="baseline"/>
        </w:rPr>
        <w:t> </w:t>
      </w:r>
      <w:r>
        <w:rPr>
          <w:spacing w:val="-2"/>
          <w:w w:val="105"/>
          <w:sz w:val="18"/>
          <w:vertAlign w:val="baseline"/>
        </w:rPr>
        <w:t>tabloid,</w:t>
      </w:r>
      <w:r>
        <w:rPr>
          <w:spacing w:val="-3"/>
          <w:w w:val="105"/>
          <w:sz w:val="18"/>
          <w:vertAlign w:val="baseline"/>
        </w:rPr>
        <w:t> </w:t>
      </w:r>
      <w:r>
        <w:rPr>
          <w:i/>
          <w:spacing w:val="-2"/>
          <w:w w:val="105"/>
          <w:sz w:val="18"/>
          <w:vertAlign w:val="baseline"/>
        </w:rPr>
        <w:t>Global</w:t>
      </w:r>
      <w:r>
        <w:rPr>
          <w:i/>
          <w:spacing w:val="-3"/>
          <w:w w:val="105"/>
          <w:sz w:val="18"/>
          <w:vertAlign w:val="baseline"/>
        </w:rPr>
        <w:t> </w:t>
      </w:r>
      <w:r>
        <w:rPr>
          <w:i/>
          <w:spacing w:val="-2"/>
          <w:w w:val="105"/>
          <w:sz w:val="18"/>
          <w:vertAlign w:val="baseline"/>
        </w:rPr>
        <w:t>Times</w:t>
      </w:r>
      <w:r>
        <w:rPr>
          <w:spacing w:val="-2"/>
          <w:w w:val="105"/>
          <w:sz w:val="18"/>
          <w:vertAlign w:val="baseline"/>
        </w:rPr>
        <w:t>,</w:t>
      </w:r>
      <w:r>
        <w:rPr>
          <w:spacing w:val="-3"/>
          <w:w w:val="105"/>
          <w:sz w:val="18"/>
          <w:vertAlign w:val="baseline"/>
        </w:rPr>
        <w:t> </w:t>
      </w:r>
      <w:r>
        <w:rPr>
          <w:spacing w:val="-2"/>
          <w:w w:val="105"/>
          <w:sz w:val="18"/>
          <w:vertAlign w:val="baseline"/>
        </w:rPr>
        <w:t>published</w:t>
      </w:r>
      <w:r>
        <w:rPr>
          <w:spacing w:val="-3"/>
          <w:w w:val="105"/>
          <w:sz w:val="18"/>
          <w:vertAlign w:val="baseline"/>
        </w:rPr>
        <w:t> </w:t>
      </w:r>
      <w:r>
        <w:rPr>
          <w:spacing w:val="-2"/>
          <w:w w:val="105"/>
          <w:sz w:val="18"/>
          <w:vertAlign w:val="baseline"/>
        </w:rPr>
        <w:t>an</w:t>
      </w:r>
      <w:r>
        <w:rPr>
          <w:spacing w:val="-3"/>
          <w:w w:val="105"/>
          <w:sz w:val="18"/>
          <w:vertAlign w:val="baseline"/>
        </w:rPr>
        <w:t> </w:t>
      </w:r>
      <w:r>
        <w:rPr>
          <w:spacing w:val="-2"/>
          <w:w w:val="105"/>
          <w:sz w:val="18"/>
          <w:vertAlign w:val="baseline"/>
        </w:rPr>
        <w:t>op-ed</w:t>
      </w:r>
      <w:r>
        <w:rPr>
          <w:spacing w:val="-3"/>
          <w:w w:val="105"/>
          <w:sz w:val="18"/>
          <w:vertAlign w:val="baseline"/>
        </w:rPr>
        <w:t> </w:t>
      </w:r>
      <w:r>
        <w:rPr>
          <w:spacing w:val="-2"/>
          <w:w w:val="105"/>
          <w:sz w:val="18"/>
          <w:vertAlign w:val="baseline"/>
        </w:rPr>
        <w:t>identifying </w:t>
      </w:r>
      <w:r>
        <w:rPr>
          <w:w w:val="105"/>
          <w:sz w:val="18"/>
          <w:vertAlign w:val="baseline"/>
        </w:rPr>
        <w:t>“the</w:t>
      </w:r>
      <w:r>
        <w:rPr>
          <w:spacing w:val="-10"/>
          <w:w w:val="105"/>
          <w:sz w:val="18"/>
          <w:vertAlign w:val="baseline"/>
        </w:rPr>
        <w:t> </w:t>
      </w:r>
      <w:r>
        <w:rPr>
          <w:w w:val="105"/>
          <w:sz w:val="18"/>
          <w:vertAlign w:val="baseline"/>
        </w:rPr>
        <w:t>US’</w:t>
      </w:r>
      <w:r>
        <w:rPr>
          <w:spacing w:val="-10"/>
          <w:w w:val="105"/>
          <w:sz w:val="18"/>
          <w:vertAlign w:val="baseline"/>
        </w:rPr>
        <w:t> </w:t>
      </w:r>
      <w:r>
        <w:rPr>
          <w:w w:val="105"/>
          <w:sz w:val="18"/>
          <w:vertAlign w:val="baseline"/>
        </w:rPr>
        <w:t>irresponsible</w:t>
      </w:r>
      <w:r>
        <w:rPr>
          <w:spacing w:val="-10"/>
          <w:w w:val="105"/>
          <w:sz w:val="18"/>
          <w:vertAlign w:val="baseline"/>
        </w:rPr>
        <w:t> </w:t>
      </w:r>
      <w:r>
        <w:rPr>
          <w:w w:val="105"/>
          <w:sz w:val="18"/>
          <w:vertAlign w:val="baseline"/>
        </w:rPr>
        <w:t>monetary</w:t>
      </w:r>
      <w:r>
        <w:rPr>
          <w:spacing w:val="-10"/>
          <w:w w:val="105"/>
          <w:sz w:val="18"/>
          <w:vertAlign w:val="baseline"/>
        </w:rPr>
        <w:t> </w:t>
      </w:r>
      <w:r>
        <w:rPr>
          <w:w w:val="105"/>
          <w:sz w:val="18"/>
          <w:vertAlign w:val="baseline"/>
        </w:rPr>
        <w:t>policy</w:t>
      </w:r>
      <w:r>
        <w:rPr>
          <w:spacing w:val="-10"/>
          <w:w w:val="105"/>
          <w:sz w:val="18"/>
          <w:vertAlign w:val="baseline"/>
        </w:rPr>
        <w:t> </w:t>
      </w:r>
      <w:r>
        <w:rPr>
          <w:w w:val="105"/>
          <w:sz w:val="18"/>
          <w:vertAlign w:val="baseline"/>
        </w:rPr>
        <w:t>[as]</w:t>
      </w:r>
      <w:r>
        <w:rPr>
          <w:spacing w:val="-10"/>
          <w:w w:val="105"/>
          <w:sz w:val="18"/>
          <w:vertAlign w:val="baseline"/>
        </w:rPr>
        <w:t> </w:t>
      </w:r>
      <w:r>
        <w:rPr>
          <w:w w:val="105"/>
          <w:sz w:val="18"/>
          <w:vertAlign w:val="baseline"/>
        </w:rPr>
        <w:t>the</w:t>
      </w:r>
      <w:r>
        <w:rPr>
          <w:spacing w:val="-10"/>
          <w:w w:val="105"/>
          <w:sz w:val="18"/>
          <w:vertAlign w:val="baseline"/>
        </w:rPr>
        <w:t> </w:t>
      </w:r>
      <w:r>
        <w:rPr>
          <w:w w:val="105"/>
          <w:sz w:val="18"/>
          <w:vertAlign w:val="baseline"/>
        </w:rPr>
        <w:t>root</w:t>
      </w:r>
      <w:r>
        <w:rPr>
          <w:spacing w:val="-10"/>
          <w:w w:val="105"/>
          <w:sz w:val="18"/>
          <w:vertAlign w:val="baseline"/>
        </w:rPr>
        <w:t> </w:t>
      </w:r>
      <w:r>
        <w:rPr>
          <w:w w:val="105"/>
          <w:sz w:val="18"/>
          <w:vertAlign w:val="baseline"/>
        </w:rPr>
        <w:t>of</w:t>
      </w:r>
      <w:r>
        <w:rPr>
          <w:spacing w:val="-10"/>
          <w:w w:val="105"/>
          <w:sz w:val="18"/>
          <w:vertAlign w:val="baseline"/>
        </w:rPr>
        <w:t> </w:t>
      </w:r>
      <w:r>
        <w:rPr>
          <w:w w:val="105"/>
          <w:sz w:val="18"/>
          <w:vertAlign w:val="baseline"/>
        </w:rPr>
        <w:t>African</w:t>
      </w:r>
      <w:r>
        <w:rPr>
          <w:spacing w:val="-10"/>
          <w:w w:val="105"/>
          <w:sz w:val="18"/>
          <w:vertAlign w:val="baseline"/>
        </w:rPr>
        <w:t> </w:t>
      </w:r>
      <w:r>
        <w:rPr>
          <w:w w:val="105"/>
          <w:sz w:val="18"/>
          <w:vertAlign w:val="baseline"/>
        </w:rPr>
        <w:t>debt</w:t>
      </w:r>
      <w:r>
        <w:rPr>
          <w:spacing w:val="-10"/>
          <w:w w:val="105"/>
          <w:sz w:val="18"/>
          <w:vertAlign w:val="baseline"/>
        </w:rPr>
        <w:t> </w:t>
      </w:r>
      <w:r>
        <w:rPr>
          <w:w w:val="105"/>
          <w:sz w:val="18"/>
          <w:vertAlign w:val="baseline"/>
        </w:rPr>
        <w:t>problems.”</w:t>
      </w:r>
      <w:r>
        <w:rPr>
          <w:spacing w:val="-10"/>
          <w:w w:val="105"/>
          <w:sz w:val="18"/>
          <w:vertAlign w:val="baseline"/>
        </w:rPr>
        <w:t> </w:t>
      </w:r>
      <w:r>
        <w:rPr>
          <w:w w:val="105"/>
          <w:sz w:val="18"/>
          <w:vertAlign w:val="baseline"/>
        </w:rPr>
        <w:t>It</w:t>
      </w:r>
      <w:r>
        <w:rPr>
          <w:spacing w:val="-10"/>
          <w:w w:val="105"/>
          <w:sz w:val="18"/>
          <w:vertAlign w:val="baseline"/>
        </w:rPr>
        <w:t> </w:t>
      </w:r>
      <w:r>
        <w:rPr>
          <w:w w:val="105"/>
          <w:sz w:val="18"/>
          <w:vertAlign w:val="baseline"/>
        </w:rPr>
        <w:t>argued</w:t>
      </w:r>
      <w:r>
        <w:rPr>
          <w:spacing w:val="-10"/>
          <w:w w:val="105"/>
          <w:sz w:val="18"/>
          <w:vertAlign w:val="baseline"/>
        </w:rPr>
        <w:t> </w:t>
      </w:r>
      <w:r>
        <w:rPr>
          <w:w w:val="105"/>
          <w:sz w:val="18"/>
          <w:vertAlign w:val="baseline"/>
        </w:rPr>
        <w:t>that</w:t>
      </w:r>
      <w:r>
        <w:rPr>
          <w:spacing w:val="-10"/>
          <w:w w:val="105"/>
          <w:sz w:val="18"/>
          <w:vertAlign w:val="baseline"/>
        </w:rPr>
        <w:t> </w:t>
      </w:r>
      <w:r>
        <w:rPr>
          <w:w w:val="105"/>
          <w:sz w:val="18"/>
          <w:vertAlign w:val="baseline"/>
        </w:rPr>
        <w:t>“[r]elying</w:t>
      </w:r>
      <w:r>
        <w:rPr>
          <w:spacing w:val="-10"/>
          <w:w w:val="105"/>
          <w:sz w:val="18"/>
          <w:vertAlign w:val="baseline"/>
        </w:rPr>
        <w:t> </w:t>
      </w:r>
      <w:r>
        <w:rPr>
          <w:w w:val="105"/>
          <w:sz w:val="18"/>
          <w:vertAlign w:val="baseline"/>
        </w:rPr>
        <w:t>on dollar</w:t>
      </w:r>
      <w:r>
        <w:rPr>
          <w:spacing w:val="-12"/>
          <w:w w:val="105"/>
          <w:sz w:val="18"/>
          <w:vertAlign w:val="baseline"/>
        </w:rPr>
        <w:t> </w:t>
      </w:r>
      <w:r>
        <w:rPr>
          <w:w w:val="105"/>
          <w:sz w:val="18"/>
          <w:vertAlign w:val="baseline"/>
        </w:rPr>
        <w:t>hegemony,</w:t>
      </w:r>
      <w:r>
        <w:rPr>
          <w:spacing w:val="-12"/>
          <w:w w:val="105"/>
          <w:sz w:val="18"/>
          <w:vertAlign w:val="baseline"/>
        </w:rPr>
        <w:t> </w:t>
      </w:r>
      <w:r>
        <w:rPr>
          <w:w w:val="105"/>
          <w:sz w:val="18"/>
          <w:vertAlign w:val="baseline"/>
        </w:rPr>
        <w:t>the</w:t>
      </w:r>
      <w:r>
        <w:rPr>
          <w:spacing w:val="-12"/>
          <w:w w:val="105"/>
          <w:sz w:val="18"/>
          <w:vertAlign w:val="baseline"/>
        </w:rPr>
        <w:t> </w:t>
      </w:r>
      <w:r>
        <w:rPr>
          <w:w w:val="105"/>
          <w:sz w:val="18"/>
          <w:vertAlign w:val="baseline"/>
        </w:rPr>
        <w:t>US</w:t>
      </w:r>
      <w:r>
        <w:rPr>
          <w:spacing w:val="-12"/>
          <w:w w:val="105"/>
          <w:sz w:val="18"/>
          <w:vertAlign w:val="baseline"/>
        </w:rPr>
        <w:t> </w:t>
      </w:r>
      <w:r>
        <w:rPr>
          <w:w w:val="105"/>
          <w:sz w:val="18"/>
          <w:vertAlign w:val="baseline"/>
        </w:rPr>
        <w:t>has</w:t>
      </w:r>
      <w:r>
        <w:rPr>
          <w:spacing w:val="-12"/>
          <w:w w:val="105"/>
          <w:sz w:val="18"/>
          <w:vertAlign w:val="baseline"/>
        </w:rPr>
        <w:t> </w:t>
      </w:r>
      <w:r>
        <w:rPr>
          <w:w w:val="105"/>
          <w:sz w:val="18"/>
          <w:vertAlign w:val="baseline"/>
        </w:rPr>
        <w:t>implemented</w:t>
      </w:r>
      <w:r>
        <w:rPr>
          <w:spacing w:val="-12"/>
          <w:w w:val="105"/>
          <w:sz w:val="18"/>
          <w:vertAlign w:val="baseline"/>
        </w:rPr>
        <w:t> </w:t>
      </w:r>
      <w:r>
        <w:rPr>
          <w:w w:val="105"/>
          <w:sz w:val="18"/>
          <w:vertAlign w:val="baseline"/>
        </w:rPr>
        <w:t>three</w:t>
      </w:r>
      <w:r>
        <w:rPr>
          <w:spacing w:val="-12"/>
          <w:w w:val="105"/>
          <w:sz w:val="18"/>
          <w:vertAlign w:val="baseline"/>
        </w:rPr>
        <w:t> </w:t>
      </w:r>
      <w:r>
        <w:rPr>
          <w:w w:val="105"/>
          <w:sz w:val="18"/>
          <w:vertAlign w:val="baseline"/>
        </w:rPr>
        <w:t>rounds</w:t>
      </w:r>
      <w:r>
        <w:rPr>
          <w:spacing w:val="-12"/>
          <w:w w:val="105"/>
          <w:sz w:val="18"/>
          <w:vertAlign w:val="baseline"/>
        </w:rPr>
        <w:t> </w:t>
      </w:r>
      <w:r>
        <w:rPr>
          <w:w w:val="105"/>
          <w:sz w:val="18"/>
          <w:vertAlign w:val="baseline"/>
        </w:rPr>
        <w:t>of</w:t>
      </w:r>
      <w:r>
        <w:rPr>
          <w:spacing w:val="-12"/>
          <w:w w:val="105"/>
          <w:sz w:val="18"/>
          <w:vertAlign w:val="baseline"/>
        </w:rPr>
        <w:t> </w:t>
      </w:r>
      <w:r>
        <w:rPr>
          <w:w w:val="105"/>
          <w:sz w:val="18"/>
          <w:vertAlign w:val="baseline"/>
        </w:rPr>
        <w:t>quantitative</w:t>
      </w:r>
      <w:r>
        <w:rPr>
          <w:spacing w:val="-12"/>
          <w:w w:val="105"/>
          <w:sz w:val="18"/>
          <w:vertAlign w:val="baseline"/>
        </w:rPr>
        <w:t> </w:t>
      </w:r>
      <w:r>
        <w:rPr>
          <w:w w:val="105"/>
          <w:sz w:val="18"/>
          <w:vertAlign w:val="baseline"/>
        </w:rPr>
        <w:t>easing,</w:t>
      </w:r>
      <w:r>
        <w:rPr>
          <w:spacing w:val="-12"/>
          <w:w w:val="105"/>
          <w:sz w:val="18"/>
          <w:vertAlign w:val="baseline"/>
        </w:rPr>
        <w:t> </w:t>
      </w:r>
      <w:r>
        <w:rPr>
          <w:w w:val="105"/>
          <w:sz w:val="18"/>
          <w:vertAlign w:val="baseline"/>
        </w:rPr>
        <w:t>cut</w:t>
      </w:r>
      <w:r>
        <w:rPr>
          <w:spacing w:val="-12"/>
          <w:w w:val="105"/>
          <w:sz w:val="18"/>
          <w:vertAlign w:val="baseline"/>
        </w:rPr>
        <w:t> </w:t>
      </w:r>
      <w:r>
        <w:rPr>
          <w:w w:val="105"/>
          <w:sz w:val="18"/>
          <w:vertAlign w:val="baseline"/>
        </w:rPr>
        <w:t>interest</w:t>
      </w:r>
      <w:r>
        <w:rPr>
          <w:spacing w:val="-12"/>
          <w:w w:val="105"/>
          <w:sz w:val="18"/>
          <w:vertAlign w:val="baseline"/>
        </w:rPr>
        <w:t> </w:t>
      </w:r>
      <w:r>
        <w:rPr>
          <w:w w:val="105"/>
          <w:sz w:val="18"/>
          <w:vertAlign w:val="baseline"/>
        </w:rPr>
        <w:t>rates</w:t>
      </w:r>
      <w:r>
        <w:rPr>
          <w:spacing w:val="-12"/>
          <w:w w:val="105"/>
          <w:sz w:val="18"/>
          <w:vertAlign w:val="baseline"/>
        </w:rPr>
        <w:t> </w:t>
      </w:r>
      <w:r>
        <w:rPr>
          <w:w w:val="105"/>
          <w:sz w:val="18"/>
          <w:vertAlign w:val="baseline"/>
        </w:rPr>
        <w:t>to</w:t>
      </w:r>
      <w:r>
        <w:rPr>
          <w:spacing w:val="-12"/>
          <w:w w:val="105"/>
          <w:sz w:val="18"/>
          <w:vertAlign w:val="baseline"/>
        </w:rPr>
        <w:t> </w:t>
      </w:r>
      <w:r>
        <w:rPr>
          <w:w w:val="105"/>
          <w:sz w:val="18"/>
          <w:vertAlign w:val="baseline"/>
        </w:rPr>
        <w:t>near </w:t>
      </w:r>
      <w:r>
        <w:rPr>
          <w:sz w:val="18"/>
          <w:vertAlign w:val="baseline"/>
        </w:rPr>
        <w:t>zero, and ﬂooded Africa and emerging markets with low-interest dollars. It then arbitrarily and </w:t>
      </w:r>
      <w:r>
        <w:rPr>
          <w:sz w:val="18"/>
          <w:vertAlign w:val="baseline"/>
        </w:rPr>
        <w:t>aggressively </w:t>
      </w:r>
      <w:r>
        <w:rPr>
          <w:w w:val="105"/>
          <w:sz w:val="18"/>
          <w:vertAlign w:val="baseline"/>
        </w:rPr>
        <w:t>raised</w:t>
      </w:r>
      <w:r>
        <w:rPr>
          <w:spacing w:val="-13"/>
          <w:w w:val="105"/>
          <w:sz w:val="18"/>
          <w:vertAlign w:val="baseline"/>
        </w:rPr>
        <w:t> </w:t>
      </w:r>
      <w:r>
        <w:rPr>
          <w:w w:val="105"/>
          <w:sz w:val="18"/>
          <w:vertAlign w:val="baseline"/>
        </w:rPr>
        <w:t>interest</w:t>
      </w:r>
      <w:r>
        <w:rPr>
          <w:spacing w:val="-13"/>
          <w:w w:val="105"/>
          <w:sz w:val="18"/>
          <w:vertAlign w:val="baseline"/>
        </w:rPr>
        <w:t> </w:t>
      </w:r>
      <w:r>
        <w:rPr>
          <w:w w:val="105"/>
          <w:sz w:val="18"/>
          <w:vertAlign w:val="baseline"/>
        </w:rPr>
        <w:t>rates,</w:t>
      </w:r>
      <w:r>
        <w:rPr>
          <w:spacing w:val="-13"/>
          <w:w w:val="105"/>
          <w:sz w:val="18"/>
          <w:vertAlign w:val="baseline"/>
        </w:rPr>
        <w:t> </w:t>
      </w:r>
      <w:r>
        <w:rPr>
          <w:w w:val="105"/>
          <w:sz w:val="18"/>
          <w:vertAlign w:val="baseline"/>
        </w:rPr>
        <w:t>boosted</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U.S.</w:t>
      </w:r>
      <w:r>
        <w:rPr>
          <w:spacing w:val="-13"/>
          <w:w w:val="105"/>
          <w:sz w:val="18"/>
          <w:vertAlign w:val="baseline"/>
        </w:rPr>
        <w:t> </w:t>
      </w:r>
      <w:r>
        <w:rPr>
          <w:w w:val="105"/>
          <w:sz w:val="18"/>
          <w:vertAlign w:val="baseline"/>
        </w:rPr>
        <w:t>dollar</w:t>
      </w:r>
      <w:r>
        <w:rPr>
          <w:spacing w:val="-13"/>
          <w:w w:val="105"/>
          <w:sz w:val="18"/>
          <w:vertAlign w:val="baseline"/>
        </w:rPr>
        <w:t> </w:t>
      </w:r>
      <w:r>
        <w:rPr>
          <w:w w:val="105"/>
          <w:sz w:val="18"/>
          <w:vertAlign w:val="baseline"/>
        </w:rPr>
        <w:t>exchange</w:t>
      </w:r>
      <w:r>
        <w:rPr>
          <w:spacing w:val="-13"/>
          <w:w w:val="105"/>
          <w:sz w:val="18"/>
          <w:vertAlign w:val="baseline"/>
        </w:rPr>
        <w:t> </w:t>
      </w:r>
      <w:r>
        <w:rPr>
          <w:w w:val="105"/>
          <w:sz w:val="18"/>
          <w:vertAlign w:val="baseline"/>
        </w:rPr>
        <w:t>rate,</w:t>
      </w:r>
      <w:r>
        <w:rPr>
          <w:spacing w:val="-13"/>
          <w:w w:val="105"/>
          <w:sz w:val="18"/>
          <w:vertAlign w:val="baseline"/>
        </w:rPr>
        <w:t> </w:t>
      </w:r>
      <w:r>
        <w:rPr>
          <w:w w:val="105"/>
          <w:sz w:val="18"/>
          <w:vertAlign w:val="baseline"/>
        </w:rPr>
        <w:t>attracted</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return</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dollars,</w:t>
      </w:r>
      <w:r>
        <w:rPr>
          <w:spacing w:val="-13"/>
          <w:w w:val="105"/>
          <w:sz w:val="18"/>
          <w:vertAlign w:val="baseline"/>
        </w:rPr>
        <w:t> </w:t>
      </w:r>
      <w:r>
        <w:rPr>
          <w:w w:val="105"/>
          <w:sz w:val="18"/>
          <w:vertAlign w:val="baseline"/>
        </w:rPr>
        <w:t>as</w:t>
      </w:r>
      <w:r>
        <w:rPr>
          <w:spacing w:val="-13"/>
          <w:w w:val="105"/>
          <w:sz w:val="18"/>
          <w:vertAlign w:val="baseline"/>
        </w:rPr>
        <w:t> </w:t>
      </w:r>
      <w:r>
        <w:rPr>
          <w:w w:val="105"/>
          <w:sz w:val="18"/>
          <w:vertAlign w:val="baseline"/>
        </w:rPr>
        <w:t>a</w:t>
      </w:r>
      <w:r>
        <w:rPr>
          <w:spacing w:val="-13"/>
          <w:w w:val="105"/>
          <w:sz w:val="18"/>
          <w:vertAlign w:val="baseline"/>
        </w:rPr>
        <w:t> </w:t>
      </w:r>
      <w:r>
        <w:rPr>
          <w:w w:val="105"/>
          <w:sz w:val="18"/>
          <w:vertAlign w:val="baseline"/>
        </w:rPr>
        <w:t>result, African</w:t>
      </w:r>
      <w:r>
        <w:rPr>
          <w:spacing w:val="-14"/>
          <w:w w:val="105"/>
          <w:sz w:val="18"/>
          <w:vertAlign w:val="baseline"/>
        </w:rPr>
        <w:t> </w:t>
      </w:r>
      <w:r>
        <w:rPr>
          <w:w w:val="105"/>
          <w:sz w:val="18"/>
          <w:vertAlign w:val="baseline"/>
        </w:rPr>
        <w:t>countries</w:t>
      </w:r>
      <w:r>
        <w:rPr>
          <w:spacing w:val="-13"/>
          <w:w w:val="105"/>
          <w:sz w:val="18"/>
          <w:vertAlign w:val="baseline"/>
        </w:rPr>
        <w:t> </w:t>
      </w:r>
      <w:r>
        <w:rPr>
          <w:w w:val="105"/>
          <w:sz w:val="18"/>
          <w:vertAlign w:val="baseline"/>
        </w:rPr>
        <w:t>have</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face</w:t>
      </w:r>
      <w:r>
        <w:rPr>
          <w:spacing w:val="-13"/>
          <w:w w:val="105"/>
          <w:sz w:val="18"/>
          <w:vertAlign w:val="baseline"/>
        </w:rPr>
        <w:t> </w:t>
      </w:r>
      <w:r>
        <w:rPr>
          <w:w w:val="105"/>
          <w:sz w:val="18"/>
          <w:vertAlign w:val="baseline"/>
        </w:rPr>
        <w:t>liquidity</w:t>
      </w:r>
      <w:r>
        <w:rPr>
          <w:spacing w:val="-13"/>
          <w:w w:val="105"/>
          <w:sz w:val="18"/>
          <w:vertAlign w:val="baseline"/>
        </w:rPr>
        <w:t> </w:t>
      </w:r>
      <w:r>
        <w:rPr>
          <w:w w:val="105"/>
          <w:sz w:val="18"/>
          <w:vertAlign w:val="baseline"/>
        </w:rPr>
        <w:t>shortages,</w:t>
      </w:r>
      <w:r>
        <w:rPr>
          <w:spacing w:val="-13"/>
          <w:w w:val="105"/>
          <w:sz w:val="18"/>
          <w:vertAlign w:val="baseline"/>
        </w:rPr>
        <w:t> </w:t>
      </w:r>
      <w:r>
        <w:rPr>
          <w:w w:val="105"/>
          <w:sz w:val="18"/>
          <w:vertAlign w:val="baseline"/>
        </w:rPr>
        <w:t>broken</w:t>
      </w:r>
      <w:r>
        <w:rPr>
          <w:spacing w:val="-14"/>
          <w:w w:val="105"/>
          <w:sz w:val="18"/>
          <w:vertAlign w:val="baseline"/>
        </w:rPr>
        <w:t> </w:t>
      </w:r>
      <w:r>
        <w:rPr>
          <w:w w:val="105"/>
          <w:sz w:val="18"/>
          <w:vertAlign w:val="baseline"/>
        </w:rPr>
        <w:t>funding</w:t>
      </w:r>
      <w:r>
        <w:rPr>
          <w:spacing w:val="-13"/>
          <w:w w:val="105"/>
          <w:sz w:val="18"/>
          <w:vertAlign w:val="baseline"/>
        </w:rPr>
        <w:t> </w:t>
      </w:r>
      <w:r>
        <w:rPr>
          <w:w w:val="105"/>
          <w:sz w:val="18"/>
          <w:vertAlign w:val="baseline"/>
        </w:rPr>
        <w:t>chains,</w:t>
      </w:r>
      <w:r>
        <w:rPr>
          <w:spacing w:val="-13"/>
          <w:w w:val="105"/>
          <w:sz w:val="18"/>
          <w:vertAlign w:val="baseline"/>
        </w:rPr>
        <w:t> </w:t>
      </w:r>
      <w:r>
        <w:rPr>
          <w:w w:val="105"/>
          <w:sz w:val="18"/>
          <w:vertAlign w:val="baseline"/>
        </w:rPr>
        <w:t>currency</w:t>
      </w:r>
      <w:r>
        <w:rPr>
          <w:spacing w:val="-13"/>
          <w:w w:val="105"/>
          <w:sz w:val="18"/>
          <w:vertAlign w:val="baseline"/>
        </w:rPr>
        <w:t> </w:t>
      </w:r>
      <w:r>
        <w:rPr>
          <w:w w:val="105"/>
          <w:sz w:val="18"/>
          <w:vertAlign w:val="baseline"/>
        </w:rPr>
        <w:t>depreciation, skyrocketing</w:t>
      </w:r>
      <w:r>
        <w:rPr>
          <w:spacing w:val="-12"/>
          <w:w w:val="105"/>
          <w:sz w:val="18"/>
          <w:vertAlign w:val="baseline"/>
        </w:rPr>
        <w:t> </w:t>
      </w:r>
      <w:r>
        <w:rPr>
          <w:w w:val="105"/>
          <w:sz w:val="18"/>
          <w:vertAlign w:val="baseline"/>
        </w:rPr>
        <w:t>debt</w:t>
      </w:r>
      <w:r>
        <w:rPr>
          <w:spacing w:val="-12"/>
          <w:w w:val="105"/>
          <w:sz w:val="18"/>
          <w:vertAlign w:val="baseline"/>
        </w:rPr>
        <w:t> </w:t>
      </w:r>
      <w:r>
        <w:rPr>
          <w:w w:val="105"/>
          <w:sz w:val="18"/>
          <w:vertAlign w:val="baseline"/>
        </w:rPr>
        <w:t>repayment</w:t>
      </w:r>
      <w:r>
        <w:rPr>
          <w:spacing w:val="-12"/>
          <w:w w:val="105"/>
          <w:sz w:val="18"/>
          <w:vertAlign w:val="baseline"/>
        </w:rPr>
        <w:t> </w:t>
      </w:r>
      <w:r>
        <w:rPr>
          <w:w w:val="105"/>
          <w:sz w:val="18"/>
          <w:vertAlign w:val="baseline"/>
        </w:rPr>
        <w:t>costs</w:t>
      </w:r>
      <w:r>
        <w:rPr>
          <w:spacing w:val="-12"/>
          <w:w w:val="105"/>
          <w:sz w:val="18"/>
          <w:vertAlign w:val="baseline"/>
        </w:rPr>
        <w:t> </w:t>
      </w:r>
      <w:r>
        <w:rPr>
          <w:w w:val="105"/>
          <w:sz w:val="18"/>
          <w:vertAlign w:val="baseline"/>
        </w:rPr>
        <w:t>denominated</w:t>
      </w:r>
      <w:r>
        <w:rPr>
          <w:spacing w:val="-12"/>
          <w:w w:val="105"/>
          <w:sz w:val="18"/>
          <w:vertAlign w:val="baseline"/>
        </w:rPr>
        <w:t> </w:t>
      </w:r>
      <w:r>
        <w:rPr>
          <w:w w:val="105"/>
          <w:sz w:val="18"/>
          <w:vertAlign w:val="baseline"/>
        </w:rPr>
        <w:t>in</w:t>
      </w:r>
      <w:r>
        <w:rPr>
          <w:spacing w:val="-12"/>
          <w:w w:val="105"/>
          <w:sz w:val="18"/>
          <w:vertAlign w:val="baseline"/>
        </w:rPr>
        <w:t> </w:t>
      </w:r>
      <w:r>
        <w:rPr>
          <w:w w:val="105"/>
          <w:sz w:val="18"/>
          <w:vertAlign w:val="baseline"/>
        </w:rPr>
        <w:t>dollars,</w:t>
      </w:r>
      <w:r>
        <w:rPr>
          <w:spacing w:val="-12"/>
          <w:w w:val="105"/>
          <w:sz w:val="18"/>
          <w:vertAlign w:val="baseline"/>
        </w:rPr>
        <w:t> </w:t>
      </w:r>
      <w:r>
        <w:rPr>
          <w:w w:val="105"/>
          <w:sz w:val="18"/>
          <w:vertAlign w:val="baseline"/>
        </w:rPr>
        <w:t>a</w:t>
      </w:r>
      <w:r>
        <w:rPr>
          <w:spacing w:val="-12"/>
          <w:w w:val="105"/>
          <w:sz w:val="18"/>
          <w:vertAlign w:val="baseline"/>
        </w:rPr>
        <w:t> </w:t>
      </w:r>
      <w:r>
        <w:rPr>
          <w:w w:val="105"/>
          <w:sz w:val="18"/>
          <w:vertAlign w:val="baseline"/>
        </w:rPr>
        <w:t>surge</w:t>
      </w:r>
      <w:r>
        <w:rPr>
          <w:spacing w:val="-12"/>
          <w:w w:val="105"/>
          <w:sz w:val="18"/>
          <w:vertAlign w:val="baseline"/>
        </w:rPr>
        <w:t> </w:t>
      </w:r>
      <w:r>
        <w:rPr>
          <w:w w:val="105"/>
          <w:sz w:val="18"/>
          <w:vertAlign w:val="baseline"/>
        </w:rPr>
        <w:t>in</w:t>
      </w:r>
      <w:r>
        <w:rPr>
          <w:spacing w:val="-12"/>
          <w:w w:val="105"/>
          <w:sz w:val="18"/>
          <w:vertAlign w:val="baseline"/>
        </w:rPr>
        <w:t> </w:t>
      </w:r>
      <w:r>
        <w:rPr>
          <w:w w:val="105"/>
          <w:sz w:val="18"/>
          <w:vertAlign w:val="baseline"/>
        </w:rPr>
        <w:t>sovereign</w:t>
      </w:r>
      <w:r>
        <w:rPr>
          <w:spacing w:val="-12"/>
          <w:w w:val="105"/>
          <w:sz w:val="18"/>
          <w:vertAlign w:val="baseline"/>
        </w:rPr>
        <w:t> </w:t>
      </w:r>
      <w:r>
        <w:rPr>
          <w:w w:val="105"/>
          <w:sz w:val="18"/>
          <w:vertAlign w:val="baseline"/>
        </w:rPr>
        <w:t>debt,</w:t>
      </w:r>
      <w:r>
        <w:rPr>
          <w:spacing w:val="-12"/>
          <w:w w:val="105"/>
          <w:sz w:val="18"/>
          <w:vertAlign w:val="baseline"/>
        </w:rPr>
        <w:t> </w:t>
      </w:r>
      <w:r>
        <w:rPr>
          <w:w w:val="105"/>
          <w:sz w:val="18"/>
          <w:vertAlign w:val="baseline"/>
        </w:rPr>
        <w:t>and</w:t>
      </w:r>
      <w:r>
        <w:rPr>
          <w:spacing w:val="-12"/>
          <w:w w:val="105"/>
          <w:sz w:val="18"/>
          <w:vertAlign w:val="baseline"/>
        </w:rPr>
        <w:t> </w:t>
      </w:r>
      <w:r>
        <w:rPr>
          <w:w w:val="105"/>
          <w:sz w:val="18"/>
          <w:vertAlign w:val="baseline"/>
        </w:rPr>
        <w:t>exacerbated debt</w:t>
      </w:r>
      <w:r>
        <w:rPr>
          <w:spacing w:val="-8"/>
          <w:w w:val="105"/>
          <w:sz w:val="18"/>
          <w:vertAlign w:val="baseline"/>
        </w:rPr>
        <w:t> </w:t>
      </w:r>
      <w:r>
        <w:rPr>
          <w:w w:val="105"/>
          <w:sz w:val="18"/>
          <w:vertAlign w:val="baseline"/>
        </w:rPr>
        <w:t>problems.</w:t>
      </w:r>
      <w:r>
        <w:rPr>
          <w:spacing w:val="-8"/>
          <w:w w:val="105"/>
          <w:sz w:val="18"/>
          <w:vertAlign w:val="baseline"/>
        </w:rPr>
        <w:t> </w:t>
      </w:r>
      <w:r>
        <w:rPr>
          <w:w w:val="105"/>
          <w:sz w:val="18"/>
          <w:vertAlign w:val="baseline"/>
        </w:rPr>
        <w:t>The</w:t>
      </w:r>
      <w:r>
        <w:rPr>
          <w:spacing w:val="-8"/>
          <w:w w:val="105"/>
          <w:sz w:val="18"/>
          <w:vertAlign w:val="baseline"/>
        </w:rPr>
        <w:t> </w:t>
      </w:r>
      <w:r>
        <w:rPr>
          <w:w w:val="105"/>
          <w:sz w:val="18"/>
          <w:vertAlign w:val="baseline"/>
        </w:rPr>
        <w:t>unfair</w:t>
      </w:r>
      <w:r>
        <w:rPr>
          <w:spacing w:val="-8"/>
          <w:w w:val="105"/>
          <w:sz w:val="18"/>
          <w:vertAlign w:val="baseline"/>
        </w:rPr>
        <w:t> </w:t>
      </w:r>
      <w:r>
        <w:rPr>
          <w:w w:val="105"/>
          <w:sz w:val="18"/>
          <w:vertAlign w:val="baseline"/>
        </w:rPr>
        <w:t>ﬁnancial</w:t>
      </w:r>
      <w:r>
        <w:rPr>
          <w:spacing w:val="-8"/>
          <w:w w:val="105"/>
          <w:sz w:val="18"/>
          <w:vertAlign w:val="baseline"/>
        </w:rPr>
        <w:t> </w:t>
      </w:r>
      <w:r>
        <w:rPr>
          <w:w w:val="105"/>
          <w:sz w:val="18"/>
          <w:vertAlign w:val="baseline"/>
        </w:rPr>
        <w:t>system</w:t>
      </w:r>
      <w:r>
        <w:rPr>
          <w:spacing w:val="-8"/>
          <w:w w:val="105"/>
          <w:sz w:val="18"/>
          <w:vertAlign w:val="baseline"/>
        </w:rPr>
        <w:t> </w:t>
      </w:r>
      <w:r>
        <w:rPr>
          <w:w w:val="105"/>
          <w:sz w:val="18"/>
          <w:vertAlign w:val="baseline"/>
        </w:rPr>
        <w:t>led</w:t>
      </w:r>
      <w:r>
        <w:rPr>
          <w:spacing w:val="-8"/>
          <w:w w:val="105"/>
          <w:sz w:val="18"/>
          <w:vertAlign w:val="baseline"/>
        </w:rPr>
        <w:t> </w:t>
      </w:r>
      <w:r>
        <w:rPr>
          <w:w w:val="105"/>
          <w:sz w:val="18"/>
          <w:vertAlign w:val="baseline"/>
        </w:rPr>
        <w:t>by</w:t>
      </w:r>
      <w:r>
        <w:rPr>
          <w:spacing w:val="-8"/>
          <w:w w:val="105"/>
          <w:sz w:val="18"/>
          <w:vertAlign w:val="baseline"/>
        </w:rPr>
        <w:t> </w:t>
      </w:r>
      <w:r>
        <w:rPr>
          <w:w w:val="105"/>
          <w:sz w:val="18"/>
          <w:vertAlign w:val="baseline"/>
        </w:rPr>
        <w:t>the</w:t>
      </w:r>
      <w:r>
        <w:rPr>
          <w:spacing w:val="-8"/>
          <w:w w:val="105"/>
          <w:sz w:val="18"/>
          <w:vertAlign w:val="baseline"/>
        </w:rPr>
        <w:t> </w:t>
      </w:r>
      <w:r>
        <w:rPr>
          <w:w w:val="105"/>
          <w:sz w:val="18"/>
          <w:vertAlign w:val="baseline"/>
        </w:rPr>
        <w:t>US</w:t>
      </w:r>
      <w:r>
        <w:rPr>
          <w:spacing w:val="-8"/>
          <w:w w:val="105"/>
          <w:sz w:val="18"/>
          <w:vertAlign w:val="baseline"/>
        </w:rPr>
        <w:t> </w:t>
      </w:r>
      <w:r>
        <w:rPr>
          <w:w w:val="105"/>
          <w:sz w:val="18"/>
          <w:vertAlign w:val="baseline"/>
        </w:rPr>
        <w:t>is</w:t>
      </w:r>
      <w:r>
        <w:rPr>
          <w:spacing w:val="-8"/>
          <w:w w:val="105"/>
          <w:sz w:val="18"/>
          <w:vertAlign w:val="baseline"/>
        </w:rPr>
        <w:t> </w:t>
      </w:r>
      <w:r>
        <w:rPr>
          <w:w w:val="105"/>
          <w:sz w:val="18"/>
          <w:vertAlign w:val="baseline"/>
        </w:rPr>
        <w:t>the</w:t>
      </w:r>
      <w:r>
        <w:rPr>
          <w:spacing w:val="-8"/>
          <w:w w:val="105"/>
          <w:sz w:val="18"/>
          <w:vertAlign w:val="baseline"/>
        </w:rPr>
        <w:t> </w:t>
      </w:r>
      <w:r>
        <w:rPr>
          <w:w w:val="105"/>
          <w:sz w:val="18"/>
          <w:vertAlign w:val="baseline"/>
        </w:rPr>
        <w:t>root</w:t>
      </w:r>
      <w:r>
        <w:rPr>
          <w:spacing w:val="-8"/>
          <w:w w:val="105"/>
          <w:sz w:val="18"/>
          <w:vertAlign w:val="baseline"/>
        </w:rPr>
        <w:t> </w:t>
      </w:r>
      <w:r>
        <w:rPr>
          <w:w w:val="105"/>
          <w:sz w:val="18"/>
          <w:vertAlign w:val="baseline"/>
        </w:rPr>
        <w:t>of</w:t>
      </w:r>
      <w:r>
        <w:rPr>
          <w:spacing w:val="-8"/>
          <w:w w:val="105"/>
          <w:sz w:val="18"/>
          <w:vertAlign w:val="baseline"/>
        </w:rPr>
        <w:t> </w:t>
      </w:r>
      <w:r>
        <w:rPr>
          <w:w w:val="105"/>
          <w:sz w:val="18"/>
          <w:vertAlign w:val="baseline"/>
        </w:rPr>
        <w:t>Africa’s</w:t>
      </w:r>
      <w:r>
        <w:rPr>
          <w:spacing w:val="-8"/>
          <w:w w:val="105"/>
          <w:sz w:val="18"/>
          <w:vertAlign w:val="baseline"/>
        </w:rPr>
        <w:t> </w:t>
      </w:r>
      <w:r>
        <w:rPr>
          <w:w w:val="105"/>
          <w:sz w:val="18"/>
          <w:vertAlign w:val="baseline"/>
        </w:rPr>
        <w:t>debt</w:t>
      </w:r>
      <w:r>
        <w:rPr>
          <w:spacing w:val="-8"/>
          <w:w w:val="105"/>
          <w:sz w:val="18"/>
          <w:vertAlign w:val="baseline"/>
        </w:rPr>
        <w:t> </w:t>
      </w:r>
      <w:r>
        <w:rPr>
          <w:w w:val="105"/>
          <w:sz w:val="18"/>
          <w:vertAlign w:val="baseline"/>
        </w:rPr>
        <w:t>problems.”</w:t>
      </w:r>
      <w:r>
        <w:rPr>
          <w:spacing w:val="-8"/>
          <w:w w:val="105"/>
          <w:sz w:val="18"/>
          <w:vertAlign w:val="baseline"/>
        </w:rPr>
        <w:t> </w:t>
      </w:r>
      <w:r>
        <w:rPr>
          <w:w w:val="105"/>
          <w:sz w:val="18"/>
          <w:vertAlign w:val="baseline"/>
        </w:rPr>
        <w:t>(Qing </w:t>
      </w:r>
      <w:r>
        <w:rPr>
          <w:spacing w:val="-2"/>
          <w:w w:val="105"/>
          <w:sz w:val="18"/>
          <w:vertAlign w:val="baseline"/>
        </w:rPr>
        <w:t>2023).</w:t>
      </w:r>
    </w:p>
    <w:p>
      <w:pPr>
        <w:spacing w:line="249" w:lineRule="auto" w:before="7"/>
        <w:ind w:left="760" w:right="767" w:firstLine="0"/>
        <w:jc w:val="left"/>
        <w:rPr>
          <w:sz w:val="18"/>
        </w:rPr>
      </w:pPr>
      <w:r>
        <w:rPr>
          <w:w w:val="105"/>
          <w:sz w:val="18"/>
          <w:vertAlign w:val="superscript"/>
        </w:rPr>
        <w:t>127</w:t>
      </w:r>
      <w:r>
        <w:rPr>
          <w:spacing w:val="-14"/>
          <w:w w:val="105"/>
          <w:sz w:val="18"/>
          <w:vertAlign w:val="baseline"/>
        </w:rPr>
        <w:t> </w:t>
      </w:r>
      <w:r>
        <w:rPr>
          <w:w w:val="105"/>
          <w:sz w:val="18"/>
          <w:vertAlign w:val="baseline"/>
        </w:rPr>
        <w:t>According</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3.0</w:t>
      </w:r>
      <w:r>
        <w:rPr>
          <w:spacing w:val="-13"/>
          <w:w w:val="105"/>
          <w:sz w:val="18"/>
          <w:vertAlign w:val="baseline"/>
        </w:rPr>
        <w:t> </w:t>
      </w:r>
      <w:r>
        <w:rPr>
          <w:w w:val="105"/>
          <w:sz w:val="18"/>
          <w:vertAlign w:val="baseline"/>
        </w:rPr>
        <w:t>version</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AidData’s</w:t>
      </w:r>
      <w:r>
        <w:rPr>
          <w:spacing w:val="-14"/>
          <w:w w:val="105"/>
          <w:sz w:val="18"/>
          <w:vertAlign w:val="baseline"/>
        </w:rPr>
        <w:t> </w:t>
      </w:r>
      <w:r>
        <w:rPr>
          <w:w w:val="105"/>
          <w:sz w:val="18"/>
          <w:vertAlign w:val="baseline"/>
        </w:rPr>
        <w:t>GCDF</w:t>
      </w:r>
      <w:r>
        <w:rPr>
          <w:spacing w:val="-13"/>
          <w:w w:val="105"/>
          <w:sz w:val="18"/>
          <w:vertAlign w:val="baseline"/>
        </w:rPr>
        <w:t> </w:t>
      </w:r>
      <w:r>
        <w:rPr>
          <w:w w:val="105"/>
          <w:sz w:val="18"/>
          <w:vertAlign w:val="baseline"/>
        </w:rPr>
        <w:t>dataset,</w:t>
      </w:r>
      <w:r>
        <w:rPr>
          <w:spacing w:val="-13"/>
          <w:w w:val="105"/>
          <w:sz w:val="18"/>
          <w:vertAlign w:val="baseline"/>
        </w:rPr>
        <w:t> </w:t>
      </w:r>
      <w:r>
        <w:rPr>
          <w:w w:val="105"/>
          <w:sz w:val="18"/>
          <w:vertAlign w:val="baseline"/>
        </w:rPr>
        <w:t>45%</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China’s</w:t>
      </w:r>
      <w:r>
        <w:rPr>
          <w:spacing w:val="-13"/>
          <w:w w:val="105"/>
          <w:sz w:val="18"/>
          <w:vertAlign w:val="baseline"/>
        </w:rPr>
        <w:t> </w:t>
      </w:r>
      <w:r>
        <w:rPr>
          <w:w w:val="105"/>
          <w:sz w:val="18"/>
          <w:vertAlign w:val="baseline"/>
        </w:rPr>
        <w:t>dollar-denominated</w:t>
      </w:r>
      <w:r>
        <w:rPr>
          <w:spacing w:val="-13"/>
          <w:w w:val="105"/>
          <w:sz w:val="18"/>
          <w:vertAlign w:val="baseline"/>
        </w:rPr>
        <w:t> </w:t>
      </w:r>
      <w:r>
        <w:rPr>
          <w:w w:val="105"/>
          <w:sz w:val="18"/>
          <w:vertAlign w:val="baseline"/>
        </w:rPr>
        <w:t>ofﬁcial </w:t>
      </w:r>
      <w:r>
        <w:rPr>
          <w:sz w:val="18"/>
          <w:vertAlign w:val="baseline"/>
        </w:rPr>
        <w:t>sector</w:t>
      </w:r>
      <w:r>
        <w:rPr>
          <w:spacing w:val="-4"/>
          <w:sz w:val="18"/>
          <w:vertAlign w:val="baseline"/>
        </w:rPr>
        <w:t> </w:t>
      </w:r>
      <w:r>
        <w:rPr>
          <w:sz w:val="18"/>
          <w:vertAlign w:val="baseline"/>
        </w:rPr>
        <w:t>lending</w:t>
      </w:r>
      <w:r>
        <w:rPr>
          <w:spacing w:val="-4"/>
          <w:sz w:val="18"/>
          <w:vertAlign w:val="baseline"/>
        </w:rPr>
        <w:t> </w:t>
      </w:r>
      <w:r>
        <w:rPr>
          <w:sz w:val="18"/>
          <w:vertAlign w:val="baseline"/>
        </w:rPr>
        <w:t>to</w:t>
      </w:r>
      <w:r>
        <w:rPr>
          <w:spacing w:val="-4"/>
          <w:sz w:val="18"/>
          <w:vertAlign w:val="baseline"/>
        </w:rPr>
        <w:t> </w:t>
      </w:r>
      <w:r>
        <w:rPr>
          <w:sz w:val="18"/>
          <w:vertAlign w:val="baseline"/>
        </w:rPr>
        <w:t>LICs</w:t>
      </w:r>
      <w:r>
        <w:rPr>
          <w:spacing w:val="-4"/>
          <w:sz w:val="18"/>
          <w:vertAlign w:val="baseline"/>
        </w:rPr>
        <w:t> </w:t>
      </w:r>
      <w:r>
        <w:rPr>
          <w:sz w:val="18"/>
          <w:vertAlign w:val="baseline"/>
        </w:rPr>
        <w:t>and</w:t>
      </w:r>
      <w:r>
        <w:rPr>
          <w:spacing w:val="-4"/>
          <w:sz w:val="18"/>
          <w:vertAlign w:val="baseline"/>
        </w:rPr>
        <w:t> </w:t>
      </w:r>
      <w:r>
        <w:rPr>
          <w:sz w:val="18"/>
          <w:vertAlign w:val="baseline"/>
        </w:rPr>
        <w:t>MICs</w:t>
      </w:r>
      <w:r>
        <w:rPr>
          <w:spacing w:val="-4"/>
          <w:sz w:val="18"/>
          <w:vertAlign w:val="baseline"/>
        </w:rPr>
        <w:t> </w:t>
      </w:r>
      <w:r>
        <w:rPr>
          <w:sz w:val="18"/>
          <w:vertAlign w:val="baseline"/>
        </w:rPr>
        <w:t>is</w:t>
      </w:r>
      <w:r>
        <w:rPr>
          <w:spacing w:val="-4"/>
          <w:sz w:val="18"/>
          <w:vertAlign w:val="baseline"/>
        </w:rPr>
        <w:t> </w:t>
      </w:r>
      <w:r>
        <w:rPr>
          <w:sz w:val="18"/>
          <w:vertAlign w:val="baseline"/>
        </w:rPr>
        <w:t>based</w:t>
      </w:r>
      <w:r>
        <w:rPr>
          <w:spacing w:val="-4"/>
          <w:sz w:val="18"/>
          <w:vertAlign w:val="baseline"/>
        </w:rPr>
        <w:t> </w:t>
      </w:r>
      <w:r>
        <w:rPr>
          <w:sz w:val="18"/>
          <w:vertAlign w:val="baseline"/>
        </w:rPr>
        <w:t>on</w:t>
      </w:r>
      <w:r>
        <w:rPr>
          <w:spacing w:val="-4"/>
          <w:sz w:val="18"/>
          <w:vertAlign w:val="baseline"/>
        </w:rPr>
        <w:t> </w:t>
      </w:r>
      <w:r>
        <w:rPr>
          <w:sz w:val="18"/>
          <w:vertAlign w:val="baseline"/>
        </w:rPr>
        <w:t>6-month</w:t>
      </w:r>
      <w:r>
        <w:rPr>
          <w:spacing w:val="-4"/>
          <w:sz w:val="18"/>
          <w:vertAlign w:val="baseline"/>
        </w:rPr>
        <w:t> </w:t>
      </w:r>
      <w:r>
        <w:rPr>
          <w:sz w:val="18"/>
          <w:vertAlign w:val="baseline"/>
        </w:rPr>
        <w:t>LIBOR</w:t>
      </w:r>
      <w:r>
        <w:rPr>
          <w:spacing w:val="-4"/>
          <w:sz w:val="18"/>
          <w:vertAlign w:val="baseline"/>
        </w:rPr>
        <w:t> </w:t>
      </w:r>
      <w:r>
        <w:rPr>
          <w:sz w:val="18"/>
          <w:vertAlign w:val="baseline"/>
        </w:rPr>
        <w:t>or</w:t>
      </w:r>
      <w:r>
        <w:rPr>
          <w:spacing w:val="-4"/>
          <w:sz w:val="18"/>
          <w:vertAlign w:val="baseline"/>
        </w:rPr>
        <w:t> </w:t>
      </w:r>
      <w:r>
        <w:rPr>
          <w:sz w:val="18"/>
          <w:vertAlign w:val="baseline"/>
        </w:rPr>
        <w:t>another</w:t>
      </w:r>
      <w:r>
        <w:rPr>
          <w:spacing w:val="-4"/>
          <w:sz w:val="18"/>
          <w:vertAlign w:val="baseline"/>
        </w:rPr>
        <w:t> </w:t>
      </w:r>
      <w:r>
        <w:rPr>
          <w:sz w:val="18"/>
          <w:vertAlign w:val="baseline"/>
        </w:rPr>
        <w:t>LIBOR-based</w:t>
      </w:r>
      <w:r>
        <w:rPr>
          <w:spacing w:val="-4"/>
          <w:sz w:val="18"/>
          <w:vertAlign w:val="baseline"/>
        </w:rPr>
        <w:t> </w:t>
      </w:r>
      <w:r>
        <w:rPr>
          <w:sz w:val="18"/>
          <w:vertAlign w:val="baseline"/>
        </w:rPr>
        <w:t>interest</w:t>
      </w:r>
      <w:r>
        <w:rPr>
          <w:spacing w:val="-4"/>
          <w:sz w:val="18"/>
          <w:vertAlign w:val="baseline"/>
        </w:rPr>
        <w:t> </w:t>
      </w:r>
      <w:r>
        <w:rPr>
          <w:sz w:val="18"/>
          <w:vertAlign w:val="baseline"/>
        </w:rPr>
        <w:t>rate</w:t>
      </w:r>
      <w:r>
        <w:rPr>
          <w:spacing w:val="-4"/>
          <w:sz w:val="18"/>
          <w:vertAlign w:val="baseline"/>
        </w:rPr>
        <w:t> </w:t>
      </w:r>
      <w:r>
        <w:rPr>
          <w:sz w:val="18"/>
          <w:vertAlign w:val="baseline"/>
        </w:rPr>
        <w:t>and</w:t>
      </w:r>
      <w:r>
        <w:rPr>
          <w:spacing w:val="-4"/>
          <w:sz w:val="18"/>
          <w:vertAlign w:val="baseline"/>
        </w:rPr>
        <w:t> </w:t>
      </w:r>
      <w:r>
        <w:rPr>
          <w:sz w:val="18"/>
          <w:vertAlign w:val="baseline"/>
        </w:rPr>
        <w:t>67% </w:t>
      </w:r>
      <w:r>
        <w:rPr>
          <w:w w:val="105"/>
          <w:sz w:val="18"/>
          <w:vertAlign w:val="baseline"/>
        </w:rPr>
        <w:t>of</w:t>
      </w:r>
      <w:r>
        <w:rPr>
          <w:spacing w:val="-14"/>
          <w:w w:val="105"/>
          <w:sz w:val="18"/>
          <w:vertAlign w:val="baseline"/>
        </w:rPr>
        <w:t> </w:t>
      </w:r>
      <w:r>
        <w:rPr>
          <w:w w:val="105"/>
          <w:sz w:val="18"/>
          <w:vertAlign w:val="baseline"/>
        </w:rPr>
        <w:t>China's</w:t>
      </w:r>
      <w:r>
        <w:rPr>
          <w:spacing w:val="-13"/>
          <w:w w:val="105"/>
          <w:sz w:val="18"/>
          <w:vertAlign w:val="baseline"/>
        </w:rPr>
        <w:t> </w:t>
      </w:r>
      <w:r>
        <w:rPr>
          <w:w w:val="105"/>
          <w:sz w:val="18"/>
          <w:vertAlign w:val="baseline"/>
        </w:rPr>
        <w:t>variable</w:t>
      </w:r>
      <w:r>
        <w:rPr>
          <w:spacing w:val="-13"/>
          <w:w w:val="105"/>
          <w:sz w:val="18"/>
          <w:vertAlign w:val="baseline"/>
        </w:rPr>
        <w:t> </w:t>
      </w:r>
      <w:r>
        <w:rPr>
          <w:w w:val="105"/>
          <w:sz w:val="18"/>
          <w:vertAlign w:val="baseline"/>
        </w:rPr>
        <w:t>interest</w:t>
      </w:r>
      <w:r>
        <w:rPr>
          <w:spacing w:val="-13"/>
          <w:w w:val="105"/>
          <w:sz w:val="18"/>
          <w:vertAlign w:val="baseline"/>
        </w:rPr>
        <w:t> </w:t>
      </w:r>
      <w:r>
        <w:rPr>
          <w:w w:val="105"/>
          <w:sz w:val="18"/>
          <w:vertAlign w:val="baseline"/>
        </w:rPr>
        <w:t>rate</w:t>
      </w:r>
      <w:r>
        <w:rPr>
          <w:spacing w:val="-13"/>
          <w:w w:val="105"/>
          <w:sz w:val="18"/>
          <w:vertAlign w:val="baseline"/>
        </w:rPr>
        <w:t> </w:t>
      </w:r>
      <w:r>
        <w:rPr>
          <w:w w:val="105"/>
          <w:sz w:val="18"/>
          <w:vertAlign w:val="baseline"/>
        </w:rPr>
        <w:t>ofﬁcial</w:t>
      </w:r>
      <w:r>
        <w:rPr>
          <w:spacing w:val="-13"/>
          <w:w w:val="105"/>
          <w:sz w:val="18"/>
          <w:vertAlign w:val="baseline"/>
        </w:rPr>
        <w:t> </w:t>
      </w:r>
      <w:r>
        <w:rPr>
          <w:w w:val="105"/>
          <w:sz w:val="18"/>
          <w:vertAlign w:val="baseline"/>
        </w:rPr>
        <w:t>sector</w:t>
      </w:r>
      <w:r>
        <w:rPr>
          <w:spacing w:val="-13"/>
          <w:w w:val="105"/>
          <w:sz w:val="18"/>
          <w:vertAlign w:val="baseline"/>
        </w:rPr>
        <w:t> </w:t>
      </w:r>
      <w:r>
        <w:rPr>
          <w:w w:val="105"/>
          <w:sz w:val="18"/>
          <w:vertAlign w:val="baseline"/>
        </w:rPr>
        <w:t>lending</w:t>
      </w:r>
      <w:r>
        <w:rPr>
          <w:spacing w:val="-14"/>
          <w:w w:val="105"/>
          <w:sz w:val="18"/>
          <w:vertAlign w:val="baseline"/>
        </w:rPr>
        <w:t> </w:t>
      </w:r>
      <w:r>
        <w:rPr>
          <w:w w:val="105"/>
          <w:sz w:val="18"/>
          <w:vertAlign w:val="baseline"/>
        </w:rPr>
        <w:t>to</w:t>
      </w:r>
      <w:r>
        <w:rPr>
          <w:spacing w:val="-13"/>
          <w:w w:val="105"/>
          <w:sz w:val="18"/>
          <w:vertAlign w:val="baseline"/>
        </w:rPr>
        <w:t> </w:t>
      </w:r>
      <w:r>
        <w:rPr>
          <w:w w:val="105"/>
          <w:sz w:val="18"/>
          <w:vertAlign w:val="baseline"/>
        </w:rPr>
        <w:t>LICs</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MICs</w:t>
      </w:r>
      <w:r>
        <w:rPr>
          <w:spacing w:val="-13"/>
          <w:w w:val="105"/>
          <w:sz w:val="18"/>
          <w:vertAlign w:val="baseline"/>
        </w:rPr>
        <w:t> </w:t>
      </w:r>
      <w:r>
        <w:rPr>
          <w:w w:val="105"/>
          <w:sz w:val="18"/>
          <w:vertAlign w:val="baseline"/>
        </w:rPr>
        <w:t>is</w:t>
      </w:r>
      <w:r>
        <w:rPr>
          <w:spacing w:val="-13"/>
          <w:w w:val="105"/>
          <w:sz w:val="18"/>
          <w:vertAlign w:val="baseline"/>
        </w:rPr>
        <w:t> </w:t>
      </w:r>
      <w:r>
        <w:rPr>
          <w:w w:val="105"/>
          <w:sz w:val="18"/>
          <w:vertAlign w:val="baseline"/>
        </w:rPr>
        <w:t>based</w:t>
      </w:r>
      <w:r>
        <w:rPr>
          <w:spacing w:val="-13"/>
          <w:w w:val="105"/>
          <w:sz w:val="18"/>
          <w:vertAlign w:val="baseline"/>
        </w:rPr>
        <w:t> </w:t>
      </w:r>
      <w:r>
        <w:rPr>
          <w:w w:val="105"/>
          <w:sz w:val="18"/>
          <w:vertAlign w:val="baseline"/>
        </w:rPr>
        <w:t>on</w:t>
      </w:r>
      <w:r>
        <w:rPr>
          <w:spacing w:val="-13"/>
          <w:w w:val="105"/>
          <w:sz w:val="18"/>
          <w:vertAlign w:val="baseline"/>
        </w:rPr>
        <w:t> </w:t>
      </w:r>
      <w:r>
        <w:rPr>
          <w:w w:val="105"/>
          <w:sz w:val="18"/>
          <w:vertAlign w:val="baseline"/>
        </w:rPr>
        <w:t>6-month</w:t>
      </w:r>
      <w:r>
        <w:rPr>
          <w:spacing w:val="-14"/>
          <w:w w:val="105"/>
          <w:sz w:val="18"/>
          <w:vertAlign w:val="baseline"/>
        </w:rPr>
        <w:t> </w:t>
      </w:r>
      <w:r>
        <w:rPr>
          <w:w w:val="105"/>
          <w:sz w:val="18"/>
          <w:vertAlign w:val="baseline"/>
        </w:rPr>
        <w:t>LIBOR</w:t>
      </w:r>
      <w:r>
        <w:rPr>
          <w:spacing w:val="-13"/>
          <w:w w:val="105"/>
          <w:sz w:val="18"/>
          <w:vertAlign w:val="baseline"/>
        </w:rPr>
        <w:t> </w:t>
      </w:r>
      <w:r>
        <w:rPr>
          <w:w w:val="105"/>
          <w:sz w:val="18"/>
          <w:vertAlign w:val="baseline"/>
        </w:rPr>
        <w:t>or another</w:t>
      </w:r>
      <w:r>
        <w:rPr>
          <w:spacing w:val="-14"/>
          <w:w w:val="105"/>
          <w:sz w:val="18"/>
          <w:vertAlign w:val="baseline"/>
        </w:rPr>
        <w:t> </w:t>
      </w:r>
      <w:r>
        <w:rPr>
          <w:w w:val="105"/>
          <w:sz w:val="18"/>
          <w:vertAlign w:val="baseline"/>
        </w:rPr>
        <w:t>LIBOR-based</w:t>
      </w:r>
      <w:r>
        <w:rPr>
          <w:spacing w:val="-13"/>
          <w:w w:val="105"/>
          <w:sz w:val="18"/>
          <w:vertAlign w:val="baseline"/>
        </w:rPr>
        <w:t> </w:t>
      </w:r>
      <w:r>
        <w:rPr>
          <w:w w:val="105"/>
          <w:sz w:val="18"/>
          <w:vertAlign w:val="baseline"/>
        </w:rPr>
        <w:t>interest</w:t>
      </w:r>
      <w:r>
        <w:rPr>
          <w:spacing w:val="-13"/>
          <w:w w:val="105"/>
          <w:sz w:val="18"/>
          <w:vertAlign w:val="baseline"/>
        </w:rPr>
        <w:t> </w:t>
      </w:r>
      <w:r>
        <w:rPr>
          <w:w w:val="105"/>
          <w:sz w:val="18"/>
          <w:vertAlign w:val="baseline"/>
        </w:rPr>
        <w:t>rate</w:t>
      </w:r>
      <w:r>
        <w:rPr>
          <w:spacing w:val="-13"/>
          <w:w w:val="105"/>
          <w:sz w:val="18"/>
          <w:vertAlign w:val="baseline"/>
        </w:rPr>
        <w:t> </w:t>
      </w:r>
      <w:r>
        <w:rPr>
          <w:w w:val="105"/>
          <w:sz w:val="18"/>
          <w:vertAlign w:val="baseline"/>
        </w:rPr>
        <w:t>(see</w:t>
      </w:r>
      <w:r>
        <w:rPr>
          <w:spacing w:val="-13"/>
          <w:w w:val="105"/>
          <w:sz w:val="18"/>
          <w:vertAlign w:val="baseline"/>
        </w:rPr>
        <w:t> </w:t>
      </w:r>
      <w:r>
        <w:rPr>
          <w:w w:val="105"/>
          <w:sz w:val="18"/>
          <w:vertAlign w:val="baseline"/>
        </w:rPr>
        <w:t>Figure</w:t>
      </w:r>
      <w:r>
        <w:rPr>
          <w:spacing w:val="-13"/>
          <w:w w:val="105"/>
          <w:sz w:val="18"/>
          <w:vertAlign w:val="baseline"/>
        </w:rPr>
        <w:t> </w:t>
      </w:r>
      <w:r>
        <w:rPr>
          <w:w w:val="105"/>
          <w:sz w:val="18"/>
          <w:vertAlign w:val="baseline"/>
        </w:rPr>
        <w:t>2.14).</w:t>
      </w:r>
    </w:p>
    <w:p>
      <w:pPr>
        <w:spacing w:after="0" w:line="249" w:lineRule="auto"/>
        <w:jc w:val="left"/>
        <w:rPr>
          <w:sz w:val="18"/>
        </w:rPr>
        <w:sectPr>
          <w:pgSz w:w="12240" w:h="15840"/>
          <w:pgMar w:header="0" w:footer="720" w:top="1400" w:bottom="920" w:left="1040" w:right="1040"/>
        </w:sectPr>
      </w:pPr>
    </w:p>
    <w:p>
      <w:pPr>
        <w:pStyle w:val="BodyText"/>
        <w:spacing w:line="333" w:lineRule="auto" w:before="27"/>
        <w:ind w:left="760" w:right="767"/>
      </w:pPr>
      <w:r>
        <w:rPr/>
        <w:t>highlights the importance of not conﬂating China’s ﬂagship, global </w:t>
      </w:r>
      <w:r>
        <w:rPr/>
        <w:t>infrastructure initiative with its overseas lending program.</w:t>
      </w:r>
      <w:r>
        <w:rPr>
          <w:vertAlign w:val="superscript"/>
        </w:rPr>
        <w:t>128</w:t>
      </w:r>
    </w:p>
    <w:p>
      <w:pPr>
        <w:pStyle w:val="BodyText"/>
        <w:spacing w:before="8"/>
        <w:rPr>
          <w:sz w:val="27"/>
        </w:rPr>
      </w:pPr>
    </w:p>
    <w:p>
      <w:pPr>
        <w:pStyle w:val="BodyText"/>
        <w:spacing w:line="333" w:lineRule="auto"/>
        <w:ind w:left="760" w:right="859"/>
      </w:pPr>
      <w:r>
        <w:rPr/>
        <w:t>During the pre-BRI period (2000-2013), Beijing provided an extraordinary amount of credit for infrastructure projects in LICs and MICs.</w:t>
      </w:r>
      <w:r>
        <w:rPr>
          <w:vertAlign w:val="superscript"/>
        </w:rPr>
        <w:t>129</w:t>
      </w:r>
      <w:r>
        <w:rPr>
          <w:vertAlign w:val="baseline"/>
        </w:rPr>
        <w:t> In total, the 3.0 version of AidData’s GCDF dataset identiﬁes 2,217 loan-ﬁnanced projects </w:t>
      </w:r>
      <w:r>
        <w:rPr>
          <w:vertAlign w:val="baseline"/>
        </w:rPr>
        <w:t>worth</w:t>
      </w:r>
    </w:p>
    <w:p>
      <w:pPr>
        <w:pStyle w:val="BodyText"/>
        <w:spacing w:line="274" w:lineRule="exact"/>
        <w:ind w:left="760"/>
      </w:pPr>
      <w:r>
        <w:rPr/>
        <w:t>$628</w:t>
      </w:r>
      <w:r>
        <w:rPr>
          <w:spacing w:val="5"/>
        </w:rPr>
        <w:t> </w:t>
      </w:r>
      <w:r>
        <w:rPr/>
        <w:t>billion</w:t>
      </w:r>
      <w:r>
        <w:rPr>
          <w:spacing w:val="6"/>
        </w:rPr>
        <w:t> </w:t>
      </w:r>
      <w:r>
        <w:rPr/>
        <w:t>during</w:t>
      </w:r>
      <w:r>
        <w:rPr>
          <w:spacing w:val="6"/>
        </w:rPr>
        <w:t> </w:t>
      </w:r>
      <w:r>
        <w:rPr/>
        <w:t>this</w:t>
      </w:r>
      <w:r>
        <w:rPr>
          <w:spacing w:val="5"/>
        </w:rPr>
        <w:t> </w:t>
      </w:r>
      <w:r>
        <w:rPr/>
        <w:t>fourteen-year</w:t>
      </w:r>
      <w:r>
        <w:rPr>
          <w:spacing w:val="6"/>
        </w:rPr>
        <w:t> </w:t>
      </w:r>
      <w:r>
        <w:rPr/>
        <w:t>period.</w:t>
      </w:r>
      <w:r>
        <w:rPr>
          <w:vertAlign w:val="superscript"/>
        </w:rPr>
        <w:t>130</w:t>
      </w:r>
      <w:r>
        <w:rPr>
          <w:spacing w:val="5"/>
          <w:vertAlign w:val="baseline"/>
        </w:rPr>
        <w:t> </w:t>
      </w:r>
      <w:r>
        <w:rPr>
          <w:vertAlign w:val="baseline"/>
        </w:rPr>
        <w:t>66%</w:t>
      </w:r>
      <w:r>
        <w:rPr>
          <w:spacing w:val="6"/>
          <w:vertAlign w:val="baseline"/>
        </w:rPr>
        <w:t> </w:t>
      </w:r>
      <w:r>
        <w:rPr>
          <w:vertAlign w:val="baseline"/>
        </w:rPr>
        <w:t>of</w:t>
      </w:r>
      <w:r>
        <w:rPr>
          <w:spacing w:val="5"/>
          <w:vertAlign w:val="baseline"/>
        </w:rPr>
        <w:t> </w:t>
      </w:r>
      <w:r>
        <w:rPr>
          <w:vertAlign w:val="baseline"/>
        </w:rPr>
        <w:t>these</w:t>
      </w:r>
      <w:r>
        <w:rPr>
          <w:spacing w:val="6"/>
          <w:vertAlign w:val="baseline"/>
        </w:rPr>
        <w:t> </w:t>
      </w:r>
      <w:r>
        <w:rPr>
          <w:vertAlign w:val="baseline"/>
        </w:rPr>
        <w:t>projects</w:t>
      </w:r>
      <w:r>
        <w:rPr>
          <w:spacing w:val="6"/>
          <w:vertAlign w:val="baseline"/>
        </w:rPr>
        <w:t> </w:t>
      </w:r>
      <w:r>
        <w:rPr>
          <w:spacing w:val="-2"/>
          <w:vertAlign w:val="baseline"/>
        </w:rPr>
        <w:t>(worth</w:t>
      </w:r>
    </w:p>
    <w:p>
      <w:pPr>
        <w:pStyle w:val="BodyText"/>
        <w:spacing w:line="333" w:lineRule="auto" w:before="107"/>
        <w:ind w:left="760" w:right="767"/>
      </w:pPr>
      <w:r>
        <w:rPr/>
        <w:t>$412 billion) sought to construct, rehabilitate, expand, or maintain physical infrastructure.</w:t>
      </w:r>
      <w:r>
        <w:rPr>
          <w:vertAlign w:val="superscript"/>
        </w:rPr>
        <w:t>131</w:t>
      </w:r>
      <w:r>
        <w:rPr>
          <w:spacing w:val="-5"/>
          <w:vertAlign w:val="baseline"/>
        </w:rPr>
        <w:t> </w:t>
      </w:r>
      <w:r>
        <w:rPr>
          <w:vertAlign w:val="baseline"/>
        </w:rPr>
        <w:t>However,</w:t>
      </w:r>
      <w:r>
        <w:rPr>
          <w:spacing w:val="-4"/>
          <w:vertAlign w:val="baseline"/>
        </w:rPr>
        <w:t> </w:t>
      </w:r>
      <w:r>
        <w:rPr>
          <w:vertAlign w:val="baseline"/>
        </w:rPr>
        <w:t>Figures</w:t>
      </w:r>
      <w:r>
        <w:rPr>
          <w:spacing w:val="-4"/>
          <w:vertAlign w:val="baseline"/>
        </w:rPr>
        <w:t> </w:t>
      </w:r>
      <w:r>
        <w:rPr>
          <w:vertAlign w:val="baseline"/>
        </w:rPr>
        <w:t>2.6</w:t>
      </w:r>
      <w:r>
        <w:rPr>
          <w:spacing w:val="-4"/>
          <w:vertAlign w:val="baseline"/>
        </w:rPr>
        <w:t> </w:t>
      </w:r>
      <w:r>
        <w:rPr>
          <w:vertAlign w:val="baseline"/>
        </w:rPr>
        <w:t>and</w:t>
      </w:r>
      <w:r>
        <w:rPr>
          <w:spacing w:val="-4"/>
          <w:vertAlign w:val="baseline"/>
        </w:rPr>
        <w:t> </w:t>
      </w:r>
      <w:r>
        <w:rPr>
          <w:vertAlign w:val="baseline"/>
        </w:rPr>
        <w:t>A13</w:t>
      </w:r>
      <w:r>
        <w:rPr>
          <w:spacing w:val="-4"/>
          <w:vertAlign w:val="baseline"/>
        </w:rPr>
        <w:t> </w:t>
      </w:r>
      <w:r>
        <w:rPr>
          <w:vertAlign w:val="baseline"/>
        </w:rPr>
        <w:t>provide</w:t>
      </w:r>
      <w:r>
        <w:rPr>
          <w:spacing w:val="-4"/>
          <w:vertAlign w:val="baseline"/>
        </w:rPr>
        <w:t> </w:t>
      </w:r>
      <w:r>
        <w:rPr>
          <w:vertAlign w:val="baseline"/>
        </w:rPr>
        <w:t>evidence</w:t>
      </w:r>
      <w:r>
        <w:rPr>
          <w:spacing w:val="-4"/>
          <w:vertAlign w:val="baseline"/>
        </w:rPr>
        <w:t> </w:t>
      </w:r>
      <w:r>
        <w:rPr>
          <w:vertAlign w:val="baseline"/>
        </w:rPr>
        <w:t>that,</w:t>
      </w:r>
      <w:r>
        <w:rPr>
          <w:spacing w:val="-4"/>
          <w:vertAlign w:val="baseline"/>
        </w:rPr>
        <w:t> </w:t>
      </w:r>
      <w:r>
        <w:rPr>
          <w:vertAlign w:val="baseline"/>
        </w:rPr>
        <w:t>since</w:t>
      </w:r>
      <w:r>
        <w:rPr>
          <w:spacing w:val="-4"/>
          <w:vertAlign w:val="baseline"/>
        </w:rPr>
        <w:t> </w:t>
      </w:r>
      <w:r>
        <w:rPr>
          <w:vertAlign w:val="baseline"/>
        </w:rPr>
        <w:t>the BRI was launched, a rapidly </w:t>
      </w:r>
      <w:r>
        <w:rPr>
          <w:i/>
          <w:vertAlign w:val="baseline"/>
        </w:rPr>
        <w:t>shrinking </w:t>
      </w:r>
      <w:r>
        <w:rPr>
          <w:vertAlign w:val="baseline"/>
        </w:rPr>
        <w:t>proportion of China’s overseas lending to LICs</w:t>
      </w:r>
      <w:r>
        <w:rPr>
          <w:spacing w:val="-6"/>
          <w:vertAlign w:val="baseline"/>
        </w:rPr>
        <w:t> </w:t>
      </w:r>
      <w:r>
        <w:rPr>
          <w:vertAlign w:val="baseline"/>
        </w:rPr>
        <w:t>and</w:t>
      </w:r>
      <w:r>
        <w:rPr>
          <w:spacing w:val="-6"/>
          <w:vertAlign w:val="baseline"/>
        </w:rPr>
        <w:t> </w:t>
      </w:r>
      <w:r>
        <w:rPr>
          <w:vertAlign w:val="baseline"/>
        </w:rPr>
        <w:t>MICs</w:t>
      </w:r>
      <w:r>
        <w:rPr>
          <w:spacing w:val="-6"/>
          <w:vertAlign w:val="baseline"/>
        </w:rPr>
        <w:t> </w:t>
      </w:r>
      <w:r>
        <w:rPr>
          <w:vertAlign w:val="baseline"/>
        </w:rPr>
        <w:t>has</w:t>
      </w:r>
      <w:r>
        <w:rPr>
          <w:spacing w:val="-7"/>
          <w:vertAlign w:val="baseline"/>
        </w:rPr>
        <w:t> </w:t>
      </w:r>
      <w:r>
        <w:rPr>
          <w:vertAlign w:val="baseline"/>
        </w:rPr>
        <w:t>supported</w:t>
      </w:r>
      <w:r>
        <w:rPr>
          <w:spacing w:val="-6"/>
          <w:vertAlign w:val="baseline"/>
        </w:rPr>
        <w:t> </w:t>
      </w:r>
      <w:r>
        <w:rPr>
          <w:vertAlign w:val="baseline"/>
        </w:rPr>
        <w:t>infrastructure</w:t>
      </w:r>
      <w:r>
        <w:rPr>
          <w:spacing w:val="-6"/>
          <w:vertAlign w:val="baseline"/>
        </w:rPr>
        <w:t> </w:t>
      </w:r>
      <w:r>
        <w:rPr>
          <w:vertAlign w:val="baseline"/>
        </w:rPr>
        <w:t>projects.</w:t>
      </w:r>
      <w:r>
        <w:rPr>
          <w:vertAlign w:val="superscript"/>
        </w:rPr>
        <w:t>132</w:t>
      </w:r>
      <w:r>
        <w:rPr>
          <w:spacing w:val="-7"/>
          <w:vertAlign w:val="baseline"/>
        </w:rPr>
        <w:t> </w:t>
      </w:r>
      <w:r>
        <w:rPr>
          <w:vertAlign w:val="baseline"/>
        </w:rPr>
        <w:t>This</w:t>
      </w:r>
      <w:r>
        <w:rPr>
          <w:spacing w:val="-6"/>
          <w:vertAlign w:val="baseline"/>
        </w:rPr>
        <w:t> </w:t>
      </w:r>
      <w:r>
        <w:rPr>
          <w:vertAlign w:val="baseline"/>
        </w:rPr>
        <w:t>was</w:t>
      </w:r>
      <w:r>
        <w:rPr>
          <w:spacing w:val="-6"/>
          <w:vertAlign w:val="baseline"/>
        </w:rPr>
        <w:t> </w:t>
      </w:r>
      <w:r>
        <w:rPr>
          <w:vertAlign w:val="baseline"/>
        </w:rPr>
        <w:t>true</w:t>
      </w:r>
      <w:r>
        <w:rPr>
          <w:spacing w:val="-6"/>
          <w:vertAlign w:val="baseline"/>
        </w:rPr>
        <w:t> </w:t>
      </w:r>
      <w:r>
        <w:rPr>
          <w:vertAlign w:val="baseline"/>
        </w:rPr>
        <w:t>during</w:t>
      </w:r>
      <w:r>
        <w:rPr>
          <w:spacing w:val="-7"/>
          <w:vertAlign w:val="baseline"/>
        </w:rPr>
        <w:t> </w:t>
      </w:r>
      <w:r>
        <w:rPr>
          <w:vertAlign w:val="baseline"/>
        </w:rPr>
        <w:t>the early BRI period (2014-2017) and during the late BRI (2018-2021) period.</w:t>
      </w:r>
    </w:p>
    <w:p>
      <w:pPr>
        <w:pStyle w:val="BodyText"/>
        <w:spacing w:line="333" w:lineRule="auto"/>
        <w:ind w:left="760" w:right="767"/>
      </w:pPr>
      <w:r>
        <w:rPr/>
        <w:t>Infrastructure project lending commitments as a share of total lending commitments</w:t>
      </w:r>
      <w:r>
        <w:rPr>
          <w:spacing w:val="-1"/>
        </w:rPr>
        <w:t> </w:t>
      </w:r>
      <w:r>
        <w:rPr/>
        <w:t>to</w:t>
      </w:r>
      <w:r>
        <w:rPr>
          <w:spacing w:val="-1"/>
        </w:rPr>
        <w:t> </w:t>
      </w:r>
      <w:r>
        <w:rPr/>
        <w:t>LICs</w:t>
      </w:r>
      <w:r>
        <w:rPr>
          <w:spacing w:val="-1"/>
        </w:rPr>
        <w:t> </w:t>
      </w:r>
      <w:r>
        <w:rPr/>
        <w:t>and</w:t>
      </w:r>
      <w:r>
        <w:rPr>
          <w:spacing w:val="-1"/>
        </w:rPr>
        <w:t> </w:t>
      </w:r>
      <w:r>
        <w:rPr/>
        <w:t>MICs</w:t>
      </w:r>
      <w:r>
        <w:rPr>
          <w:spacing w:val="-1"/>
        </w:rPr>
        <w:t> </w:t>
      </w:r>
      <w:r>
        <w:rPr/>
        <w:t>fell</w:t>
      </w:r>
      <w:r>
        <w:rPr>
          <w:spacing w:val="-1"/>
        </w:rPr>
        <w:t> </w:t>
      </w:r>
      <w:r>
        <w:rPr/>
        <w:t>from</w:t>
      </w:r>
      <w:r>
        <w:rPr>
          <w:spacing w:val="-1"/>
        </w:rPr>
        <w:t> </w:t>
      </w:r>
      <w:r>
        <w:rPr/>
        <w:t>65%</w:t>
      </w:r>
      <w:r>
        <w:rPr>
          <w:spacing w:val="-1"/>
        </w:rPr>
        <w:t> </w:t>
      </w:r>
      <w:r>
        <w:rPr/>
        <w:t>in</w:t>
      </w:r>
      <w:r>
        <w:rPr>
          <w:spacing w:val="-1"/>
        </w:rPr>
        <w:t> </w:t>
      </w:r>
      <w:r>
        <w:rPr/>
        <w:t>2014,</w:t>
      </w:r>
      <w:r>
        <w:rPr>
          <w:spacing w:val="-1"/>
        </w:rPr>
        <w:t> </w:t>
      </w:r>
      <w:r>
        <w:rPr/>
        <w:t>to</w:t>
      </w:r>
      <w:r>
        <w:rPr>
          <w:spacing w:val="-1"/>
        </w:rPr>
        <w:t> </w:t>
      </w:r>
      <w:r>
        <w:rPr/>
        <w:t>50%</w:t>
      </w:r>
      <w:r>
        <w:rPr>
          <w:spacing w:val="-1"/>
        </w:rPr>
        <w:t> </w:t>
      </w:r>
      <w:r>
        <w:rPr/>
        <w:t>in</w:t>
      </w:r>
      <w:r>
        <w:rPr>
          <w:spacing w:val="-1"/>
        </w:rPr>
        <w:t> </w:t>
      </w:r>
      <w:r>
        <w:rPr/>
        <w:t>2017,</w:t>
      </w:r>
      <w:r>
        <w:rPr>
          <w:spacing w:val="-1"/>
        </w:rPr>
        <w:t> </w:t>
      </w:r>
      <w:r>
        <w:rPr/>
        <w:t>49%</w:t>
      </w:r>
      <w:r>
        <w:rPr>
          <w:spacing w:val="-1"/>
        </w:rPr>
        <w:t> </w:t>
      </w:r>
      <w:r>
        <w:rPr/>
        <w:t>in</w:t>
      </w:r>
    </w:p>
    <w:p>
      <w:pPr>
        <w:pStyle w:val="BodyText"/>
        <w:spacing w:line="275" w:lineRule="exact"/>
        <w:ind w:left="760"/>
      </w:pPr>
      <w:r>
        <w:rPr/>
        <w:t>2018,</w:t>
      </w:r>
      <w:r>
        <w:rPr>
          <w:spacing w:val="-5"/>
        </w:rPr>
        <w:t> </w:t>
      </w:r>
      <w:r>
        <w:rPr/>
        <w:t>and</w:t>
      </w:r>
      <w:r>
        <w:rPr>
          <w:spacing w:val="-5"/>
        </w:rPr>
        <w:t> </w:t>
      </w:r>
      <w:r>
        <w:rPr/>
        <w:t>31%</w:t>
      </w:r>
      <w:r>
        <w:rPr>
          <w:spacing w:val="-5"/>
        </w:rPr>
        <w:t> </w:t>
      </w:r>
      <w:r>
        <w:rPr/>
        <w:t>in</w:t>
      </w:r>
      <w:r>
        <w:rPr>
          <w:spacing w:val="-4"/>
        </w:rPr>
        <w:t> </w:t>
      </w:r>
      <w:r>
        <w:rPr>
          <w:spacing w:val="-2"/>
        </w:rPr>
        <w:t>2021.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2"/>
        </w:rPr>
      </w:pPr>
      <w:r>
        <w:rPr/>
        <w:pict>
          <v:shape style="position:absolute;margin-left:90pt;margin-top:14.289533pt;width:144pt;height:.1pt;mso-position-horizontal-relative:page;mso-position-vertical-relative:paragraph;z-index:-15709184;mso-wrap-distance-left:0;mso-wrap-distance-right:0" id="docshape39" coordorigin="1800,286" coordsize="2880,0" path="m1800,286l4680,286e" filled="false" stroked="true" strokeweight=".75pt" strokecolor="#000000">
            <v:path arrowok="t"/>
            <v:stroke dashstyle="solid"/>
            <w10:wrap type="topAndBottom"/>
          </v:shape>
        </w:pict>
      </w:r>
    </w:p>
    <w:p>
      <w:pPr>
        <w:spacing w:line="249" w:lineRule="auto" w:before="112"/>
        <w:ind w:left="760" w:right="1047" w:firstLine="0"/>
        <w:jc w:val="left"/>
        <w:rPr>
          <w:sz w:val="18"/>
        </w:rPr>
      </w:pPr>
      <w:r>
        <w:rPr>
          <w:sz w:val="18"/>
          <w:vertAlign w:val="superscript"/>
        </w:rPr>
        <w:t>128</w:t>
      </w:r>
      <w:r>
        <w:rPr>
          <w:spacing w:val="-2"/>
          <w:sz w:val="18"/>
          <w:vertAlign w:val="baseline"/>
        </w:rPr>
        <w:t> </w:t>
      </w:r>
      <w:r>
        <w:rPr>
          <w:sz w:val="18"/>
          <w:vertAlign w:val="baseline"/>
        </w:rPr>
        <w:t>Table</w:t>
      </w:r>
      <w:r>
        <w:rPr>
          <w:spacing w:val="-1"/>
          <w:sz w:val="18"/>
          <w:vertAlign w:val="baseline"/>
        </w:rPr>
        <w:t> </w:t>
      </w:r>
      <w:r>
        <w:rPr>
          <w:sz w:val="18"/>
          <w:vertAlign w:val="baseline"/>
        </w:rPr>
        <w:t>2.1</w:t>
      </w:r>
      <w:r>
        <w:rPr>
          <w:spacing w:val="-1"/>
          <w:sz w:val="18"/>
          <w:vertAlign w:val="baseline"/>
        </w:rPr>
        <w:t> </w:t>
      </w:r>
      <w:r>
        <w:rPr>
          <w:sz w:val="18"/>
          <w:vertAlign w:val="baseline"/>
        </w:rPr>
        <w:t>also</w:t>
      </w:r>
      <w:r>
        <w:rPr>
          <w:spacing w:val="-1"/>
          <w:sz w:val="18"/>
          <w:vertAlign w:val="baseline"/>
        </w:rPr>
        <w:t> </w:t>
      </w:r>
      <w:r>
        <w:rPr>
          <w:sz w:val="18"/>
          <w:vertAlign w:val="baseline"/>
        </w:rPr>
        <w:t>calls</w:t>
      </w:r>
      <w:r>
        <w:rPr>
          <w:spacing w:val="-1"/>
          <w:sz w:val="18"/>
          <w:vertAlign w:val="baseline"/>
        </w:rPr>
        <w:t> </w:t>
      </w:r>
      <w:r>
        <w:rPr>
          <w:sz w:val="18"/>
          <w:vertAlign w:val="baseline"/>
        </w:rPr>
        <w:t>attention</w:t>
      </w:r>
      <w:r>
        <w:rPr>
          <w:spacing w:val="-1"/>
          <w:sz w:val="18"/>
          <w:vertAlign w:val="baseline"/>
        </w:rPr>
        <w:t> </w:t>
      </w:r>
      <w:r>
        <w:rPr>
          <w:sz w:val="18"/>
          <w:vertAlign w:val="baseline"/>
        </w:rPr>
        <w:t>to</w:t>
      </w:r>
      <w:r>
        <w:rPr>
          <w:spacing w:val="-1"/>
          <w:sz w:val="18"/>
          <w:vertAlign w:val="baseline"/>
        </w:rPr>
        <w:t> </w:t>
      </w:r>
      <w:r>
        <w:rPr>
          <w:sz w:val="18"/>
          <w:vertAlign w:val="baseline"/>
        </w:rPr>
        <w:t>this</w:t>
      </w:r>
      <w:r>
        <w:rPr>
          <w:spacing w:val="-1"/>
          <w:sz w:val="18"/>
          <w:vertAlign w:val="baseline"/>
        </w:rPr>
        <w:t> </w:t>
      </w:r>
      <w:r>
        <w:rPr>
          <w:sz w:val="18"/>
          <w:vertAlign w:val="baseline"/>
        </w:rPr>
        <w:t>point</w:t>
      </w:r>
      <w:r>
        <w:rPr>
          <w:spacing w:val="-1"/>
          <w:sz w:val="18"/>
          <w:vertAlign w:val="baseline"/>
        </w:rPr>
        <w:t> </w:t>
      </w:r>
      <w:r>
        <w:rPr>
          <w:sz w:val="18"/>
          <w:vertAlign w:val="baseline"/>
        </w:rPr>
        <w:t>by</w:t>
      </w:r>
      <w:r>
        <w:rPr>
          <w:spacing w:val="-1"/>
          <w:sz w:val="18"/>
          <w:vertAlign w:val="baseline"/>
        </w:rPr>
        <w:t> </w:t>
      </w:r>
      <w:r>
        <w:rPr>
          <w:sz w:val="18"/>
          <w:vertAlign w:val="baseline"/>
        </w:rPr>
        <w:t>spotlighting</w:t>
      </w:r>
      <w:r>
        <w:rPr>
          <w:spacing w:val="-1"/>
          <w:sz w:val="18"/>
          <w:vertAlign w:val="baseline"/>
        </w:rPr>
        <w:t> </w:t>
      </w:r>
      <w:r>
        <w:rPr>
          <w:sz w:val="18"/>
          <w:vertAlign w:val="baseline"/>
        </w:rPr>
        <w:t>the</w:t>
      </w:r>
      <w:r>
        <w:rPr>
          <w:spacing w:val="-1"/>
          <w:sz w:val="18"/>
          <w:vertAlign w:val="baseline"/>
        </w:rPr>
        <w:t> </w:t>
      </w:r>
      <w:r>
        <w:rPr>
          <w:sz w:val="18"/>
          <w:vertAlign w:val="baseline"/>
        </w:rPr>
        <w:t>vast</w:t>
      </w:r>
      <w:r>
        <w:rPr>
          <w:spacing w:val="-1"/>
          <w:sz w:val="18"/>
          <w:vertAlign w:val="baseline"/>
        </w:rPr>
        <w:t> </w:t>
      </w:r>
      <w:r>
        <w:rPr>
          <w:sz w:val="18"/>
          <w:vertAlign w:val="baseline"/>
        </w:rPr>
        <w:t>scale</w:t>
      </w:r>
      <w:r>
        <w:rPr>
          <w:spacing w:val="-1"/>
          <w:sz w:val="18"/>
          <w:vertAlign w:val="baseline"/>
        </w:rPr>
        <w:t> </w:t>
      </w:r>
      <w:r>
        <w:rPr>
          <w:sz w:val="18"/>
          <w:vertAlign w:val="baseline"/>
        </w:rPr>
        <w:t>of</w:t>
      </w:r>
      <w:r>
        <w:rPr>
          <w:spacing w:val="-1"/>
          <w:sz w:val="18"/>
          <w:vertAlign w:val="baseline"/>
        </w:rPr>
        <w:t> </w:t>
      </w:r>
      <w:r>
        <w:rPr>
          <w:sz w:val="18"/>
          <w:vertAlign w:val="baseline"/>
        </w:rPr>
        <w:t>China’s</w:t>
      </w:r>
      <w:r>
        <w:rPr>
          <w:spacing w:val="-1"/>
          <w:sz w:val="18"/>
          <w:vertAlign w:val="baseline"/>
        </w:rPr>
        <w:t> </w:t>
      </w:r>
      <w:r>
        <w:rPr>
          <w:sz w:val="18"/>
          <w:vertAlign w:val="baseline"/>
        </w:rPr>
        <w:t>overseas</w:t>
      </w:r>
      <w:r>
        <w:rPr>
          <w:spacing w:val="-1"/>
          <w:sz w:val="18"/>
          <w:vertAlign w:val="baseline"/>
        </w:rPr>
        <w:t> </w:t>
      </w:r>
      <w:r>
        <w:rPr>
          <w:sz w:val="18"/>
          <w:vertAlign w:val="baseline"/>
        </w:rPr>
        <w:t>lending</w:t>
      </w:r>
      <w:r>
        <w:rPr>
          <w:spacing w:val="-1"/>
          <w:sz w:val="18"/>
          <w:vertAlign w:val="baseline"/>
        </w:rPr>
        <w:t> </w:t>
      </w:r>
      <w:r>
        <w:rPr>
          <w:sz w:val="18"/>
          <w:vertAlign w:val="baseline"/>
        </w:rPr>
        <w:t>to high-income countries (HICs) and offshore ﬁnancial centers (OFCs).</w:t>
      </w:r>
    </w:p>
    <w:p>
      <w:pPr>
        <w:spacing w:line="249" w:lineRule="auto" w:before="2"/>
        <w:ind w:left="760" w:right="898" w:firstLine="0"/>
        <w:jc w:val="left"/>
        <w:rPr>
          <w:sz w:val="18"/>
        </w:rPr>
      </w:pPr>
      <w:r>
        <w:rPr>
          <w:sz w:val="18"/>
          <w:vertAlign w:val="superscript"/>
        </w:rPr>
        <w:t>129</w:t>
      </w:r>
      <w:r>
        <w:rPr>
          <w:sz w:val="18"/>
          <w:vertAlign w:val="baseline"/>
        </w:rPr>
        <w:t> 84% of China’s infrastructure project lending from 2000-2014 was provided by CDB and China Eximbank, and 32% was provided via buyer’s credits. However, Figures A11 and 2.7 demonstrate that a rapidly shrinking percentage of China’s overseas lending program in the developing world is provided </w:t>
      </w:r>
      <w:r>
        <w:rPr>
          <w:sz w:val="18"/>
          <w:vertAlign w:val="baseline"/>
        </w:rPr>
        <w:t>via the country’s policy banks and buyer’s credits.</w:t>
      </w:r>
    </w:p>
    <w:p>
      <w:pPr>
        <w:spacing w:line="249" w:lineRule="auto" w:before="3"/>
        <w:ind w:left="760" w:right="767" w:firstLine="0"/>
        <w:jc w:val="left"/>
        <w:rPr>
          <w:sz w:val="18"/>
        </w:rPr>
      </w:pPr>
      <w:r>
        <w:rPr>
          <w:sz w:val="18"/>
          <w:vertAlign w:val="superscript"/>
        </w:rPr>
        <w:t>130</w:t>
      </w:r>
      <w:r>
        <w:rPr>
          <w:sz w:val="18"/>
          <w:vertAlign w:val="baseline"/>
        </w:rPr>
        <w:t> To generate this estimate, we identify all loans in the 3.0 version of the GCDF dataset that are categorized as “investment project loans.” For more on the deﬁnition and measurement of the </w:t>
      </w:r>
      <w:r>
        <w:rPr>
          <w:sz w:val="18"/>
          <w:vertAlign w:val="baseline"/>
        </w:rPr>
        <w:t>investment project loan variable, see Custer et al. (2023).</w:t>
      </w:r>
    </w:p>
    <w:p>
      <w:pPr>
        <w:spacing w:line="249" w:lineRule="auto" w:before="2"/>
        <w:ind w:left="760" w:right="767" w:firstLine="0"/>
        <w:jc w:val="left"/>
        <w:rPr>
          <w:sz w:val="18"/>
        </w:rPr>
      </w:pPr>
      <w:r>
        <w:rPr>
          <w:sz w:val="18"/>
          <w:vertAlign w:val="superscript"/>
        </w:rPr>
        <w:t>131</w:t>
      </w:r>
      <w:r>
        <w:rPr>
          <w:sz w:val="18"/>
          <w:vertAlign w:val="baseline"/>
        </w:rPr>
        <w:t> To generate this estimate, we identify all loans in the 3.0 version of the GCDF dataset that are categorized as “investment project loans” </w:t>
      </w:r>
      <w:r>
        <w:rPr>
          <w:i/>
          <w:sz w:val="18"/>
          <w:vertAlign w:val="baseline"/>
        </w:rPr>
        <w:t>and </w:t>
      </w:r>
      <w:r>
        <w:rPr>
          <w:sz w:val="18"/>
          <w:vertAlign w:val="baseline"/>
        </w:rPr>
        <w:t>that involve the construction, rehabilitation, expansion, </w:t>
      </w:r>
      <w:r>
        <w:rPr>
          <w:sz w:val="18"/>
          <w:vertAlign w:val="baseline"/>
        </w:rPr>
        <w:t>or maintenance of physical infrastructure. For more on the deﬁnition and measurement of the infrastructure variable and the investment project loan variable, see Custer et al. (2023).</w:t>
      </w:r>
    </w:p>
    <w:p>
      <w:pPr>
        <w:spacing w:line="249" w:lineRule="auto" w:before="4"/>
        <w:ind w:left="760" w:right="892" w:firstLine="0"/>
        <w:jc w:val="both"/>
        <w:rPr>
          <w:sz w:val="18"/>
        </w:rPr>
      </w:pPr>
      <w:r>
        <w:rPr>
          <w:sz w:val="18"/>
          <w:vertAlign w:val="superscript"/>
        </w:rPr>
        <w:t>132</w:t>
      </w:r>
      <w:r>
        <w:rPr>
          <w:sz w:val="18"/>
          <w:vertAlign w:val="baseline"/>
        </w:rPr>
        <w:t> Figure A26 in the Appendix provides another version of this graph that presents project lending rather than infrastructure project lending over time. It shows a very similar pattern: project lending commitments as a share of total lending commitments fell from 78% in 2014 to 56% in 2017, and then from 50% in </w:t>
      </w:r>
      <w:r>
        <w:rPr>
          <w:sz w:val="18"/>
          <w:vertAlign w:val="baseline"/>
        </w:rPr>
        <w:t>2018 to 32% in 2021.</w:t>
      </w:r>
    </w:p>
    <w:p>
      <w:pPr>
        <w:spacing w:after="0" w:line="249" w:lineRule="auto"/>
        <w:jc w:val="both"/>
        <w:rPr>
          <w:sz w:val="18"/>
        </w:rPr>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40"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2.6</w:t>
                  </w:r>
                </w:p>
              </w:txbxContent>
            </v:textbox>
            <v:fill type="solid"/>
          </v:shape>
        </w:pict>
      </w:r>
      <w:r>
        <w:rPr>
          <w:sz w:val="20"/>
        </w:rPr>
      </w:r>
    </w:p>
    <w:p>
      <w:pPr>
        <w:pStyle w:val="BodyText"/>
        <w:rPr>
          <w:sz w:val="14"/>
        </w:rPr>
      </w:pPr>
      <w:r>
        <w:rPr/>
        <w:drawing>
          <wp:anchor distT="0" distB="0" distL="0" distR="0" allowOverlap="1" layoutInCell="1" locked="0" behindDoc="0" simplePos="0" relativeHeight="40">
            <wp:simplePos x="0" y="0"/>
            <wp:positionH relativeFrom="page">
              <wp:posOffset>1255811</wp:posOffset>
            </wp:positionH>
            <wp:positionV relativeFrom="paragraph">
              <wp:posOffset>117560</wp:posOffset>
            </wp:positionV>
            <wp:extent cx="5258895" cy="3184398"/>
            <wp:effectExtent l="0" t="0" r="0" b="0"/>
            <wp:wrapTopAndBottom/>
            <wp:docPr id="11" name="image7.jpeg"/>
            <wp:cNvGraphicFramePr>
              <a:graphicFrameLocks noChangeAspect="1"/>
            </wp:cNvGraphicFramePr>
            <a:graphic>
              <a:graphicData uri="http://schemas.openxmlformats.org/drawingml/2006/picture">
                <pic:pic>
                  <pic:nvPicPr>
                    <pic:cNvPr id="12" name="image7.jpeg"/>
                    <pic:cNvPicPr/>
                  </pic:nvPicPr>
                  <pic:blipFill>
                    <a:blip r:embed="rId15" cstate="print"/>
                    <a:stretch>
                      <a:fillRect/>
                    </a:stretch>
                  </pic:blipFill>
                  <pic:spPr>
                    <a:xfrm>
                      <a:off x="0" y="0"/>
                      <a:ext cx="5258895" cy="3184398"/>
                    </a:xfrm>
                    <a:prstGeom prst="rect">
                      <a:avLst/>
                    </a:prstGeom>
                  </pic:spPr>
                </pic:pic>
              </a:graphicData>
            </a:graphic>
          </wp:anchor>
        </w:drawing>
      </w:r>
    </w:p>
    <w:p>
      <w:pPr>
        <w:pStyle w:val="BodyText"/>
        <w:rPr>
          <w:sz w:val="20"/>
        </w:rPr>
      </w:pPr>
    </w:p>
    <w:p>
      <w:pPr>
        <w:pStyle w:val="BodyText"/>
        <w:spacing w:before="6"/>
        <w:rPr>
          <w:sz w:val="19"/>
        </w:rPr>
      </w:pPr>
    </w:p>
    <w:p>
      <w:pPr>
        <w:spacing w:before="71"/>
        <w:ind w:left="760" w:right="0" w:firstLine="0"/>
        <w:jc w:val="left"/>
        <w:rPr>
          <w:i/>
          <w:sz w:val="18"/>
        </w:rPr>
      </w:pPr>
      <w:r>
        <w:rPr>
          <w:i/>
          <w:sz w:val="18"/>
        </w:rPr>
        <w:t>Notes:</w:t>
      </w:r>
      <w:r>
        <w:rPr>
          <w:i/>
          <w:spacing w:val="3"/>
          <w:sz w:val="18"/>
        </w:rPr>
        <w:t> </w:t>
      </w:r>
      <w:r>
        <w:rPr>
          <w:i/>
          <w:sz w:val="18"/>
        </w:rPr>
        <w:t>For</w:t>
      </w:r>
      <w:r>
        <w:rPr>
          <w:i/>
          <w:spacing w:val="4"/>
          <w:sz w:val="18"/>
        </w:rPr>
        <w:t> </w:t>
      </w:r>
      <w:r>
        <w:rPr>
          <w:i/>
          <w:sz w:val="18"/>
        </w:rPr>
        <w:t>details</w:t>
      </w:r>
      <w:r>
        <w:rPr>
          <w:i/>
          <w:spacing w:val="4"/>
          <w:sz w:val="18"/>
        </w:rPr>
        <w:t> </w:t>
      </w:r>
      <w:r>
        <w:rPr>
          <w:i/>
          <w:sz w:val="18"/>
        </w:rPr>
        <w:t>on</w:t>
      </w:r>
      <w:r>
        <w:rPr>
          <w:i/>
          <w:spacing w:val="4"/>
          <w:sz w:val="18"/>
        </w:rPr>
        <w:t> </w:t>
      </w:r>
      <w:r>
        <w:rPr>
          <w:i/>
          <w:sz w:val="18"/>
        </w:rPr>
        <w:t>how</w:t>
      </w:r>
      <w:r>
        <w:rPr>
          <w:i/>
          <w:spacing w:val="3"/>
          <w:sz w:val="18"/>
        </w:rPr>
        <w:t> </w:t>
      </w:r>
      <w:r>
        <w:rPr>
          <w:i/>
          <w:sz w:val="18"/>
        </w:rPr>
        <w:t>infrastructure</w:t>
      </w:r>
      <w:r>
        <w:rPr>
          <w:i/>
          <w:spacing w:val="4"/>
          <w:sz w:val="18"/>
        </w:rPr>
        <w:t> </w:t>
      </w:r>
      <w:r>
        <w:rPr>
          <w:i/>
          <w:sz w:val="18"/>
        </w:rPr>
        <w:t>project</w:t>
      </w:r>
      <w:r>
        <w:rPr>
          <w:i/>
          <w:spacing w:val="4"/>
          <w:sz w:val="18"/>
        </w:rPr>
        <w:t> </w:t>
      </w:r>
      <w:r>
        <w:rPr>
          <w:i/>
          <w:sz w:val="18"/>
        </w:rPr>
        <w:t>lending</w:t>
      </w:r>
      <w:r>
        <w:rPr>
          <w:i/>
          <w:spacing w:val="4"/>
          <w:sz w:val="18"/>
        </w:rPr>
        <w:t> </w:t>
      </w:r>
      <w:r>
        <w:rPr>
          <w:i/>
          <w:sz w:val="18"/>
        </w:rPr>
        <w:t>is</w:t>
      </w:r>
      <w:r>
        <w:rPr>
          <w:i/>
          <w:spacing w:val="3"/>
          <w:sz w:val="18"/>
        </w:rPr>
        <w:t> </w:t>
      </w:r>
      <w:r>
        <w:rPr>
          <w:i/>
          <w:sz w:val="18"/>
        </w:rPr>
        <w:t>measured,</w:t>
      </w:r>
      <w:r>
        <w:rPr>
          <w:i/>
          <w:spacing w:val="4"/>
          <w:sz w:val="18"/>
        </w:rPr>
        <w:t> </w:t>
      </w:r>
      <w:r>
        <w:rPr>
          <w:i/>
          <w:sz w:val="18"/>
        </w:rPr>
        <w:t>see</w:t>
      </w:r>
      <w:r>
        <w:rPr>
          <w:i/>
          <w:spacing w:val="4"/>
          <w:sz w:val="18"/>
        </w:rPr>
        <w:t> </w:t>
      </w:r>
      <w:r>
        <w:rPr>
          <w:i/>
          <w:sz w:val="18"/>
        </w:rPr>
        <w:t>footnote</w:t>
      </w:r>
      <w:r>
        <w:rPr>
          <w:i/>
          <w:spacing w:val="4"/>
          <w:sz w:val="18"/>
        </w:rPr>
        <w:t> </w:t>
      </w:r>
      <w:r>
        <w:rPr>
          <w:i/>
          <w:spacing w:val="-4"/>
          <w:sz w:val="18"/>
        </w:rPr>
        <w:t>131.</w:t>
      </w:r>
    </w:p>
    <w:p>
      <w:pPr>
        <w:pStyle w:val="BodyText"/>
        <w:rPr>
          <w:i/>
          <w:sz w:val="18"/>
        </w:rPr>
      </w:pPr>
    </w:p>
    <w:p>
      <w:pPr>
        <w:pStyle w:val="BodyText"/>
        <w:spacing w:before="10"/>
        <w:rPr>
          <w:i/>
          <w:sz w:val="16"/>
        </w:rPr>
      </w:pPr>
    </w:p>
    <w:p>
      <w:pPr>
        <w:pStyle w:val="BodyText"/>
        <w:spacing w:line="333" w:lineRule="auto"/>
        <w:ind w:left="760" w:right="838"/>
      </w:pPr>
      <w:r>
        <w:rPr/>
        <w:t>Given that Beijing did not dramatically scale back the overall size of its overseas lending program in LICs and MICs, how and why did it continue to lend record amounts to developing countries at a time when it was ratcheting down Belt </w:t>
      </w:r>
      <w:r>
        <w:rPr/>
        <w:t>and Road project lending? Figure 2.6 provides a clear answer: Beijing was ramping up its emergency rescue lending activities while it was ramping down its infrastructure project lending activities.</w:t>
      </w:r>
      <w:r>
        <w:rPr>
          <w:vertAlign w:val="superscript"/>
        </w:rPr>
        <w:t>133</w:t>
      </w:r>
      <w:r>
        <w:rPr>
          <w:vertAlign w:val="baseline"/>
        </w:rPr>
        <w:t> In 2013, one year before the ﬁrst full year of BRI implementation, emergency rescue lending represented only 5% of China’s</w:t>
      </w:r>
      <w:r>
        <w:rPr>
          <w:spacing w:val="-2"/>
          <w:vertAlign w:val="baseline"/>
        </w:rPr>
        <w:t> </w:t>
      </w:r>
      <w:r>
        <w:rPr>
          <w:vertAlign w:val="baseline"/>
        </w:rPr>
        <w:t>overseas</w:t>
      </w:r>
      <w:r>
        <w:rPr>
          <w:spacing w:val="-2"/>
          <w:vertAlign w:val="baseline"/>
        </w:rPr>
        <w:t> </w:t>
      </w:r>
      <w:r>
        <w:rPr>
          <w:vertAlign w:val="baseline"/>
        </w:rPr>
        <w:t>lending</w:t>
      </w:r>
      <w:r>
        <w:rPr>
          <w:spacing w:val="-2"/>
          <w:vertAlign w:val="baseline"/>
        </w:rPr>
        <w:t> </w:t>
      </w:r>
      <w:r>
        <w:rPr>
          <w:vertAlign w:val="baseline"/>
        </w:rPr>
        <w:t>to</w:t>
      </w:r>
      <w:r>
        <w:rPr>
          <w:spacing w:val="-2"/>
          <w:vertAlign w:val="baseline"/>
        </w:rPr>
        <w:t> </w:t>
      </w:r>
      <w:r>
        <w:rPr>
          <w:vertAlign w:val="baseline"/>
        </w:rPr>
        <w:t>LICs</w:t>
      </w:r>
      <w:r>
        <w:rPr>
          <w:spacing w:val="-2"/>
          <w:vertAlign w:val="baseline"/>
        </w:rPr>
        <w:t> </w:t>
      </w:r>
      <w:r>
        <w:rPr>
          <w:vertAlign w:val="baseline"/>
        </w:rPr>
        <w:t>and</w:t>
      </w:r>
      <w:r>
        <w:rPr>
          <w:spacing w:val="-2"/>
          <w:vertAlign w:val="baseline"/>
        </w:rPr>
        <w:t> </w:t>
      </w:r>
      <w:r>
        <w:rPr>
          <w:vertAlign w:val="baseline"/>
        </w:rPr>
        <w:t>MICs.</w:t>
      </w:r>
      <w:r>
        <w:rPr>
          <w:spacing w:val="-2"/>
          <w:vertAlign w:val="baseline"/>
        </w:rPr>
        <w:t> </w:t>
      </w:r>
      <w:r>
        <w:rPr>
          <w:vertAlign w:val="baseline"/>
        </w:rPr>
        <w:t>By</w:t>
      </w:r>
      <w:r>
        <w:rPr>
          <w:spacing w:val="-2"/>
          <w:vertAlign w:val="baseline"/>
        </w:rPr>
        <w:t> </w:t>
      </w:r>
      <w:r>
        <w:rPr>
          <w:vertAlign w:val="baseline"/>
        </w:rPr>
        <w:t>2021,</w:t>
      </w:r>
      <w:r>
        <w:rPr>
          <w:spacing w:val="-2"/>
          <w:vertAlign w:val="baseline"/>
        </w:rPr>
        <w:t> </w:t>
      </w:r>
      <w:r>
        <w:rPr>
          <w:vertAlign w:val="baseline"/>
        </w:rPr>
        <w:t>58%</w:t>
      </w:r>
      <w:r>
        <w:rPr>
          <w:spacing w:val="-2"/>
          <w:vertAlign w:val="baseline"/>
        </w:rPr>
        <w:t> </w:t>
      </w:r>
      <w:r>
        <w:rPr>
          <w:vertAlign w:val="baseline"/>
        </w:rPr>
        <w:t>of</w:t>
      </w:r>
      <w:r>
        <w:rPr>
          <w:spacing w:val="-2"/>
          <w:vertAlign w:val="baseline"/>
        </w:rPr>
        <w:t> </w:t>
      </w:r>
      <w:r>
        <w:rPr>
          <w:vertAlign w:val="baseline"/>
        </w:rPr>
        <w:t>China’s</w:t>
      </w:r>
      <w:r>
        <w:rPr>
          <w:spacing w:val="-2"/>
          <w:vertAlign w:val="baseline"/>
        </w:rPr>
        <w:t> </w:t>
      </w:r>
      <w:r>
        <w:rPr>
          <w:vertAlign w:val="baseline"/>
        </w:rPr>
        <w:t>overseas lending to LICs and MICs consisted of emergency rescue lending. The People’s Bank of China (PBOC)—China’s central bank—is by far the most important ﬁnancier of international emergency rescue lending operations, which explains</w:t>
      </w:r>
    </w:p>
    <w:p>
      <w:pPr>
        <w:pStyle w:val="BodyText"/>
        <w:rPr>
          <w:sz w:val="20"/>
        </w:rPr>
      </w:pPr>
    </w:p>
    <w:p>
      <w:pPr>
        <w:pStyle w:val="BodyText"/>
        <w:spacing w:before="4"/>
        <w:rPr>
          <w:sz w:val="16"/>
        </w:rPr>
      </w:pPr>
      <w:r>
        <w:rPr/>
        <w:pict>
          <v:shape style="position:absolute;margin-left:90pt;margin-top:10.623044pt;width:144pt;height:.1pt;mso-position-horizontal-relative:page;mso-position-vertical-relative:paragraph;z-index:-15707648;mso-wrap-distance-left:0;mso-wrap-distance-right:0" id="docshape41" coordorigin="1800,212" coordsize="2880,0" path="m1800,212l4680,212e" filled="false" stroked="true" strokeweight=".75pt" strokecolor="#000000">
            <v:path arrowok="t"/>
            <v:stroke dashstyle="solid"/>
            <w10:wrap type="topAndBottom"/>
          </v:shape>
        </w:pict>
      </w:r>
    </w:p>
    <w:p>
      <w:pPr>
        <w:spacing w:line="247" w:lineRule="auto" w:before="104"/>
        <w:ind w:left="760" w:right="795" w:firstLine="0"/>
        <w:jc w:val="left"/>
        <w:rPr>
          <w:sz w:val="18"/>
        </w:rPr>
      </w:pPr>
      <w:r>
        <w:rPr>
          <w:sz w:val="18"/>
          <w:vertAlign w:val="superscript"/>
        </w:rPr>
        <w:t>133</w:t>
      </w:r>
      <w:r>
        <w:rPr>
          <w:spacing w:val="-2"/>
          <w:sz w:val="18"/>
          <w:vertAlign w:val="baseline"/>
        </w:rPr>
        <w:t> </w:t>
      </w:r>
      <w:r>
        <w:rPr>
          <w:sz w:val="18"/>
          <w:vertAlign w:val="baseline"/>
        </w:rPr>
        <w:t>Consistent</w:t>
      </w:r>
      <w:r>
        <w:rPr>
          <w:spacing w:val="-1"/>
          <w:sz w:val="18"/>
          <w:vertAlign w:val="baseline"/>
        </w:rPr>
        <w:t> </w:t>
      </w:r>
      <w:r>
        <w:rPr>
          <w:sz w:val="18"/>
          <w:vertAlign w:val="baseline"/>
        </w:rPr>
        <w:t>with</w:t>
      </w:r>
      <w:r>
        <w:rPr>
          <w:spacing w:val="-1"/>
          <w:sz w:val="18"/>
          <w:vertAlign w:val="baseline"/>
        </w:rPr>
        <w:t> </w:t>
      </w:r>
      <w:r>
        <w:rPr>
          <w:sz w:val="18"/>
          <w:vertAlign w:val="baseline"/>
        </w:rPr>
        <w:t>Horn</w:t>
      </w:r>
      <w:r>
        <w:rPr>
          <w:spacing w:val="-1"/>
          <w:sz w:val="18"/>
          <w:vertAlign w:val="baseline"/>
        </w:rPr>
        <w:t> </w:t>
      </w:r>
      <w:r>
        <w:rPr>
          <w:sz w:val="18"/>
          <w:vertAlign w:val="baseline"/>
        </w:rPr>
        <w:t>et</w:t>
      </w:r>
      <w:r>
        <w:rPr>
          <w:spacing w:val="-1"/>
          <w:sz w:val="18"/>
          <w:vertAlign w:val="baseline"/>
        </w:rPr>
        <w:t> </w:t>
      </w:r>
      <w:r>
        <w:rPr>
          <w:sz w:val="18"/>
          <w:vertAlign w:val="baseline"/>
        </w:rPr>
        <w:t>al</w:t>
      </w:r>
      <w:r>
        <w:rPr>
          <w:spacing w:val="-1"/>
          <w:sz w:val="18"/>
          <w:vertAlign w:val="baseline"/>
        </w:rPr>
        <w:t>. (</w:t>
      </w:r>
      <w:r>
        <w:rPr>
          <w:sz w:val="18"/>
          <w:vertAlign w:val="baseline"/>
        </w:rPr>
        <w:t>2023a</w:t>
      </w:r>
      <w:r>
        <w:rPr>
          <w:spacing w:val="-1"/>
          <w:sz w:val="18"/>
          <w:vertAlign w:val="baseline"/>
        </w:rPr>
        <w:t>, </w:t>
      </w:r>
      <w:r>
        <w:rPr>
          <w:sz w:val="18"/>
          <w:vertAlign w:val="baseline"/>
        </w:rPr>
        <w:t>2023b</w:t>
      </w:r>
      <w:r>
        <w:rPr>
          <w:spacing w:val="-1"/>
          <w:sz w:val="18"/>
          <w:vertAlign w:val="baseline"/>
        </w:rPr>
        <w:t>), </w:t>
      </w:r>
      <w:r>
        <w:rPr>
          <w:sz w:val="18"/>
          <w:vertAlign w:val="baseline"/>
        </w:rPr>
        <w:t>we</w:t>
      </w:r>
      <w:r>
        <w:rPr>
          <w:spacing w:val="-1"/>
          <w:sz w:val="18"/>
          <w:vertAlign w:val="baseline"/>
        </w:rPr>
        <w:t> </w:t>
      </w:r>
      <w:r>
        <w:rPr>
          <w:sz w:val="18"/>
          <w:vertAlign w:val="baseline"/>
        </w:rPr>
        <w:t>deﬁne</w:t>
      </w:r>
      <w:r>
        <w:rPr>
          <w:spacing w:val="-1"/>
          <w:sz w:val="18"/>
          <w:vertAlign w:val="baseline"/>
        </w:rPr>
        <w:t> </w:t>
      </w:r>
      <w:r>
        <w:rPr>
          <w:sz w:val="18"/>
          <w:vertAlign w:val="baseline"/>
        </w:rPr>
        <w:t>emergency</w:t>
      </w:r>
      <w:r>
        <w:rPr>
          <w:spacing w:val="-1"/>
          <w:sz w:val="18"/>
          <w:vertAlign w:val="baseline"/>
        </w:rPr>
        <w:t> </w:t>
      </w:r>
      <w:r>
        <w:rPr>
          <w:sz w:val="18"/>
          <w:vertAlign w:val="baseline"/>
        </w:rPr>
        <w:t>rescue</w:t>
      </w:r>
      <w:r>
        <w:rPr>
          <w:spacing w:val="-1"/>
          <w:sz w:val="18"/>
          <w:vertAlign w:val="baseline"/>
        </w:rPr>
        <w:t> </w:t>
      </w:r>
      <w:r>
        <w:rPr>
          <w:sz w:val="18"/>
          <w:vertAlign w:val="baseline"/>
        </w:rPr>
        <w:t>loans</w:t>
      </w:r>
      <w:r>
        <w:rPr>
          <w:spacing w:val="-1"/>
          <w:sz w:val="18"/>
          <w:vertAlign w:val="baseline"/>
        </w:rPr>
        <w:t> </w:t>
      </w:r>
      <w:r>
        <w:rPr>
          <w:sz w:val="18"/>
          <w:vertAlign w:val="baseline"/>
        </w:rPr>
        <w:t>as</w:t>
      </w:r>
      <w:r>
        <w:rPr>
          <w:spacing w:val="-1"/>
          <w:sz w:val="18"/>
          <w:vertAlign w:val="baseline"/>
        </w:rPr>
        <w:t> </w:t>
      </w:r>
      <w:r>
        <w:rPr>
          <w:sz w:val="18"/>
          <w:vertAlign w:val="baseline"/>
        </w:rPr>
        <w:t>all</w:t>
      </w:r>
      <w:r>
        <w:rPr>
          <w:spacing w:val="-1"/>
          <w:sz w:val="18"/>
          <w:vertAlign w:val="baseline"/>
        </w:rPr>
        <w:t> </w:t>
      </w:r>
      <w:r>
        <w:rPr>
          <w:sz w:val="18"/>
          <w:vertAlign w:val="baseline"/>
        </w:rPr>
        <w:t>loans</w:t>
      </w:r>
      <w:r>
        <w:rPr>
          <w:spacing w:val="-1"/>
          <w:sz w:val="18"/>
          <w:vertAlign w:val="baseline"/>
        </w:rPr>
        <w:t> </w:t>
      </w:r>
      <w:r>
        <w:rPr>
          <w:sz w:val="18"/>
          <w:vertAlign w:val="baseline"/>
        </w:rPr>
        <w:t>from</w:t>
      </w:r>
      <w:r>
        <w:rPr>
          <w:spacing w:val="-1"/>
          <w:sz w:val="18"/>
          <w:vertAlign w:val="baseline"/>
        </w:rPr>
        <w:t> </w:t>
      </w:r>
      <w:r>
        <w:rPr>
          <w:sz w:val="18"/>
          <w:vertAlign w:val="baseline"/>
        </w:rPr>
        <w:t>Chinese state-owned entities to government borrowing institutions in low-income and middle-income countries </w:t>
      </w:r>
      <w:r>
        <w:rPr>
          <w:sz w:val="18"/>
          <w:vertAlign w:val="baseline"/>
        </w:rPr>
        <w:t>that can be used for at least one of three purposes: repaying existing debts, ﬁnancing general public expenditures, or shoring up foreign exchange reserves. Such loans include borrowings via currency swap agreements, liquidity support facilities, foreign currency term ﬁnancing facility agreements, deposit loans, commodity prepayment facilities, and so-called “sovereign loans” (</w:t>
      </w:r>
      <w:r>
        <w:rPr>
          <w:rFonts w:ascii="MS PGothic" w:hAnsi="MS PGothic" w:eastAsia="MS PGothic" w:hint="eastAsia"/>
          <w:sz w:val="18"/>
          <w:vertAlign w:val="baseline"/>
        </w:rPr>
        <w:t>主</w:t>
      </w:r>
      <w:r>
        <w:rPr>
          <w:rFonts w:ascii="宋体" w:hAnsi="宋体" w:eastAsia="宋体"/>
          <w:sz w:val="18"/>
          <w:vertAlign w:val="baseline"/>
        </w:rPr>
        <w:t>权贷</w:t>
      </w:r>
      <w:r>
        <w:rPr>
          <w:sz w:val="18"/>
          <w:vertAlign w:val="baseline"/>
        </w:rPr>
        <w:t>).</w:t>
      </w:r>
    </w:p>
    <w:p>
      <w:pPr>
        <w:spacing w:after="0" w:line="247" w:lineRule="auto"/>
        <w:jc w:val="left"/>
        <w:rPr>
          <w:sz w:val="18"/>
        </w:rPr>
        <w:sectPr>
          <w:pgSz w:w="12240" w:h="15840"/>
          <w:pgMar w:header="0" w:footer="720" w:top="1580" w:bottom="920" w:left="1040" w:right="1040"/>
        </w:sectPr>
      </w:pPr>
    </w:p>
    <w:p>
      <w:pPr>
        <w:pStyle w:val="BodyText"/>
        <w:spacing w:line="333" w:lineRule="auto" w:before="27"/>
        <w:ind w:left="760" w:right="964"/>
      </w:pPr>
      <w:r>
        <w:rPr/>
        <w:t>why it had assumed a dominant role in Beijing’s LIC and MIC lending </w:t>
      </w:r>
      <w:r>
        <w:rPr/>
        <w:t>portfolio by 2020 (see Figure 2.7).</w:t>
      </w:r>
      <w:r>
        <w:rPr>
          <w:vertAlign w:val="superscript"/>
        </w:rPr>
        <w:t>134</w:t>
      </w:r>
    </w:p>
    <w:p>
      <w:pPr>
        <w:pStyle w:val="BodyText"/>
        <w:rPr>
          <w:sz w:val="20"/>
        </w:rPr>
      </w:pPr>
    </w:p>
    <w:p>
      <w:pPr>
        <w:pStyle w:val="BodyText"/>
        <w:spacing w:before="4"/>
        <w:rPr>
          <w:sz w:val="18"/>
        </w:rPr>
      </w:pPr>
      <w:r>
        <w:rPr/>
        <w:pict>
          <v:shape style="position:absolute;margin-left:84pt;margin-top:11.790436pt;width:444pt;height:38pt;mso-position-horizontal-relative:page;mso-position-vertical-relative:paragraph;z-index:-15707136;mso-wrap-distance-left:0;mso-wrap-distance-right:0" type="#_x0000_t202" id="docshape42" filled="true" fillcolor="#5b666f" stroked="false">
            <v:textbox inset="0,0,0,0">
              <w:txbxContent>
                <w:p>
                  <w:pPr>
                    <w:spacing w:before="134"/>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2.7</w:t>
                  </w:r>
                </w:p>
              </w:txbxContent>
            </v:textbox>
            <v:fill type="solid"/>
            <w10:wrap type="topAndBottom"/>
          </v:shape>
        </w:pict>
      </w:r>
      <w:r>
        <w:rPr/>
        <w:drawing>
          <wp:anchor distT="0" distB="0" distL="0" distR="0" allowOverlap="1" layoutInCell="1" locked="0" behindDoc="0" simplePos="0" relativeHeight="43">
            <wp:simplePos x="0" y="0"/>
            <wp:positionH relativeFrom="page">
              <wp:posOffset>1250453</wp:posOffset>
            </wp:positionH>
            <wp:positionV relativeFrom="paragraph">
              <wp:posOffset>766406</wp:posOffset>
            </wp:positionV>
            <wp:extent cx="5262416" cy="3184398"/>
            <wp:effectExtent l="0" t="0" r="0" b="0"/>
            <wp:wrapTopAndBottom/>
            <wp:docPr id="13" name="image8.jpeg"/>
            <wp:cNvGraphicFramePr>
              <a:graphicFrameLocks noChangeAspect="1"/>
            </wp:cNvGraphicFramePr>
            <a:graphic>
              <a:graphicData uri="http://schemas.openxmlformats.org/drawingml/2006/picture">
                <pic:pic>
                  <pic:nvPicPr>
                    <pic:cNvPr id="14" name="image8.jpeg"/>
                    <pic:cNvPicPr/>
                  </pic:nvPicPr>
                  <pic:blipFill>
                    <a:blip r:embed="rId16" cstate="print"/>
                    <a:stretch>
                      <a:fillRect/>
                    </a:stretch>
                  </pic:blipFill>
                  <pic:spPr>
                    <a:xfrm>
                      <a:off x="0" y="0"/>
                      <a:ext cx="5262416" cy="3184398"/>
                    </a:xfrm>
                    <a:prstGeom prst="rect">
                      <a:avLst/>
                    </a:prstGeom>
                  </pic:spPr>
                </pic:pic>
              </a:graphicData>
            </a:graphic>
          </wp:anchor>
        </w:drawing>
      </w:r>
    </w:p>
    <w:p>
      <w:pPr>
        <w:pStyle w:val="BodyText"/>
        <w:spacing w:before="3"/>
        <w:rPr>
          <w:sz w:val="16"/>
        </w:rPr>
      </w:pPr>
    </w:p>
    <w:p>
      <w:pPr>
        <w:pStyle w:val="BodyText"/>
        <w:rPr>
          <w:sz w:val="20"/>
        </w:rPr>
      </w:pPr>
    </w:p>
    <w:p>
      <w:pPr>
        <w:pStyle w:val="BodyText"/>
        <w:rPr>
          <w:sz w:val="20"/>
        </w:rPr>
      </w:pPr>
    </w:p>
    <w:p>
      <w:pPr>
        <w:pStyle w:val="BodyText"/>
        <w:spacing w:before="4"/>
        <w:rPr>
          <w:sz w:val="27"/>
        </w:rPr>
      </w:pPr>
    </w:p>
    <w:p>
      <w:pPr>
        <w:pStyle w:val="BodyText"/>
        <w:spacing w:line="333" w:lineRule="auto" w:before="57"/>
        <w:ind w:left="760" w:right="772"/>
        <w:jc w:val="both"/>
      </w:pPr>
      <w:r>
        <w:rPr/>
        <w:t>In</w:t>
      </w:r>
      <w:r>
        <w:rPr>
          <w:spacing w:val="-4"/>
        </w:rPr>
        <w:t> </w:t>
      </w:r>
      <w:r>
        <w:rPr/>
        <w:t>March</w:t>
      </w:r>
      <w:r>
        <w:rPr>
          <w:spacing w:val="-4"/>
        </w:rPr>
        <w:t> </w:t>
      </w:r>
      <w:r>
        <w:rPr/>
        <w:t>2023,</w:t>
      </w:r>
      <w:r>
        <w:rPr>
          <w:spacing w:val="-4"/>
        </w:rPr>
        <w:t> </w:t>
      </w:r>
      <w:r>
        <w:rPr/>
        <w:t>a</w:t>
      </w:r>
      <w:r>
        <w:rPr>
          <w:spacing w:val="-4"/>
        </w:rPr>
        <w:t> </w:t>
      </w:r>
      <w:r>
        <w:rPr/>
        <w:t>team</w:t>
      </w:r>
      <w:r>
        <w:rPr>
          <w:spacing w:val="-4"/>
        </w:rPr>
        <w:t> </w:t>
      </w:r>
      <w:r>
        <w:rPr/>
        <w:t>of</w:t>
      </w:r>
      <w:r>
        <w:rPr>
          <w:spacing w:val="-4"/>
        </w:rPr>
        <w:t> </w:t>
      </w:r>
      <w:r>
        <w:rPr/>
        <w:t>researchers</w:t>
      </w:r>
      <w:r>
        <w:rPr>
          <w:spacing w:val="-4"/>
        </w:rPr>
        <w:t> </w:t>
      </w:r>
      <w:r>
        <w:rPr/>
        <w:t>from</w:t>
      </w:r>
      <w:r>
        <w:rPr>
          <w:spacing w:val="-4"/>
        </w:rPr>
        <w:t> </w:t>
      </w:r>
      <w:r>
        <w:rPr/>
        <w:t>AidData,</w:t>
      </w:r>
      <w:r>
        <w:rPr>
          <w:spacing w:val="-4"/>
        </w:rPr>
        <w:t> </w:t>
      </w:r>
      <w:r>
        <w:rPr/>
        <w:t>the</w:t>
      </w:r>
      <w:r>
        <w:rPr>
          <w:spacing w:val="-4"/>
        </w:rPr>
        <w:t> </w:t>
      </w:r>
      <w:r>
        <w:rPr/>
        <w:t>World</w:t>
      </w:r>
      <w:r>
        <w:rPr>
          <w:spacing w:val="-4"/>
        </w:rPr>
        <w:t> </w:t>
      </w:r>
      <w:r>
        <w:rPr/>
        <w:t>Bank,</w:t>
      </w:r>
      <w:r>
        <w:rPr>
          <w:spacing w:val="-4"/>
        </w:rPr>
        <w:t> </w:t>
      </w:r>
      <w:r>
        <w:rPr/>
        <w:t>the</w:t>
      </w:r>
      <w:r>
        <w:rPr>
          <w:spacing w:val="-4"/>
        </w:rPr>
        <w:t> </w:t>
      </w:r>
      <w:r>
        <w:rPr/>
        <w:t>Harvard Kennedy School, and the Kiel Institute for the World Economy published a study that explains why Beijing has undertaken rescue lending operations worth nearly</w:t>
      </w:r>
    </w:p>
    <w:p>
      <w:pPr>
        <w:pStyle w:val="BodyText"/>
        <w:spacing w:line="333" w:lineRule="auto"/>
        <w:ind w:left="760" w:right="767"/>
      </w:pPr>
      <w:r>
        <w:rPr/>
        <w:t>$250 billion in 22 countries (Horn et al. 2023a).</w:t>
      </w:r>
      <w:r>
        <w:rPr>
          <w:vertAlign w:val="superscript"/>
        </w:rPr>
        <w:t>135</w:t>
      </w:r>
      <w:r>
        <w:rPr>
          <w:vertAlign w:val="baseline"/>
        </w:rPr>
        <w:t> They ﬁnd that most of these operations have taken place in BRI participant countries with high levels of outstanding (infrastructure project) debt to Chinese banks and companies. </w:t>
      </w:r>
      <w:r>
        <w:rPr>
          <w:vertAlign w:val="baseline"/>
        </w:rPr>
        <w:t>They also ﬁnd that bailouts from Beijing are directed to distressed government borrowers at times when their foreign exchange reserve levels are low and their credit ratings are weak.</w:t>
      </w:r>
    </w:p>
    <w:p>
      <w:pPr>
        <w:pStyle w:val="BodyText"/>
        <w:rPr>
          <w:sz w:val="20"/>
        </w:rPr>
      </w:pPr>
    </w:p>
    <w:p>
      <w:pPr>
        <w:pStyle w:val="BodyText"/>
        <w:spacing w:before="10"/>
        <w:rPr>
          <w:sz w:val="14"/>
        </w:rPr>
      </w:pPr>
      <w:r>
        <w:rPr/>
        <w:pict>
          <v:shape style="position:absolute;margin-left:90pt;margin-top:9.782630pt;width:144pt;height:.1pt;mso-position-horizontal-relative:page;mso-position-vertical-relative:paragraph;z-index:-15706112;mso-wrap-distance-left:0;mso-wrap-distance-right:0" id="docshape43" coordorigin="1800,196" coordsize="2880,0" path="m1800,196l4680,196e" filled="false" stroked="true" strokeweight=".75pt" strokecolor="#000000">
            <v:path arrowok="t"/>
            <v:stroke dashstyle="solid"/>
            <w10:wrap type="topAndBottom"/>
          </v:shape>
        </w:pict>
      </w:r>
    </w:p>
    <w:p>
      <w:pPr>
        <w:spacing w:line="249" w:lineRule="auto" w:before="104"/>
        <w:ind w:left="760" w:right="767" w:firstLine="0"/>
        <w:jc w:val="left"/>
        <w:rPr>
          <w:sz w:val="18"/>
        </w:rPr>
      </w:pPr>
      <w:r>
        <w:rPr>
          <w:sz w:val="18"/>
          <w:vertAlign w:val="superscript"/>
        </w:rPr>
        <w:t>134</w:t>
      </w:r>
      <w:r>
        <w:rPr>
          <w:sz w:val="18"/>
          <w:vertAlign w:val="baseline"/>
        </w:rPr>
        <w:t> In 2013, the PBOC and SAFE (its subsidiary) were responsible for only 6% of China’s ofﬁcial sector lending</w:t>
      </w:r>
      <w:r>
        <w:rPr>
          <w:spacing w:val="-3"/>
          <w:sz w:val="18"/>
          <w:vertAlign w:val="baseline"/>
        </w:rPr>
        <w:t> </w:t>
      </w:r>
      <w:r>
        <w:rPr>
          <w:sz w:val="18"/>
          <w:vertAlign w:val="baseline"/>
        </w:rPr>
        <w:t>commitments</w:t>
      </w:r>
      <w:r>
        <w:rPr>
          <w:spacing w:val="-3"/>
          <w:sz w:val="18"/>
          <w:vertAlign w:val="baseline"/>
        </w:rPr>
        <w:t> </w:t>
      </w:r>
      <w:r>
        <w:rPr>
          <w:sz w:val="18"/>
          <w:vertAlign w:val="baseline"/>
        </w:rPr>
        <w:t>to</w:t>
      </w:r>
      <w:r>
        <w:rPr>
          <w:spacing w:val="-3"/>
          <w:sz w:val="18"/>
          <w:vertAlign w:val="baseline"/>
        </w:rPr>
        <w:t> </w:t>
      </w:r>
      <w:r>
        <w:rPr>
          <w:sz w:val="18"/>
          <w:vertAlign w:val="baseline"/>
        </w:rPr>
        <w:t>LICs</w:t>
      </w:r>
      <w:r>
        <w:rPr>
          <w:spacing w:val="-3"/>
          <w:sz w:val="18"/>
          <w:vertAlign w:val="baseline"/>
        </w:rPr>
        <w:t> </w:t>
      </w:r>
      <w:r>
        <w:rPr>
          <w:sz w:val="18"/>
          <w:vertAlign w:val="baseline"/>
        </w:rPr>
        <w:t>and</w:t>
      </w:r>
      <w:r>
        <w:rPr>
          <w:spacing w:val="-3"/>
          <w:sz w:val="18"/>
          <w:vertAlign w:val="baseline"/>
        </w:rPr>
        <w:t> </w:t>
      </w:r>
      <w:r>
        <w:rPr>
          <w:sz w:val="18"/>
          <w:vertAlign w:val="baseline"/>
        </w:rPr>
        <w:t>MICs.</w:t>
      </w:r>
      <w:r>
        <w:rPr>
          <w:spacing w:val="-3"/>
          <w:sz w:val="18"/>
          <w:vertAlign w:val="baseline"/>
        </w:rPr>
        <w:t> </w:t>
      </w:r>
      <w:r>
        <w:rPr>
          <w:sz w:val="18"/>
          <w:vertAlign w:val="baseline"/>
        </w:rPr>
        <w:t>By</w:t>
      </w:r>
      <w:r>
        <w:rPr>
          <w:spacing w:val="-3"/>
          <w:sz w:val="18"/>
          <w:vertAlign w:val="baseline"/>
        </w:rPr>
        <w:t> </w:t>
      </w:r>
      <w:r>
        <w:rPr>
          <w:sz w:val="18"/>
          <w:vertAlign w:val="baseline"/>
        </w:rPr>
        <w:t>2021,</w:t>
      </w:r>
      <w:r>
        <w:rPr>
          <w:spacing w:val="-3"/>
          <w:sz w:val="18"/>
          <w:vertAlign w:val="baseline"/>
        </w:rPr>
        <w:t> </w:t>
      </w:r>
      <w:r>
        <w:rPr>
          <w:sz w:val="18"/>
          <w:vertAlign w:val="baseline"/>
        </w:rPr>
        <w:t>that</w:t>
      </w:r>
      <w:r>
        <w:rPr>
          <w:spacing w:val="-3"/>
          <w:sz w:val="18"/>
          <w:vertAlign w:val="baseline"/>
        </w:rPr>
        <w:t> </w:t>
      </w:r>
      <w:r>
        <w:rPr>
          <w:sz w:val="18"/>
          <w:vertAlign w:val="baseline"/>
        </w:rPr>
        <w:t>ﬁgure</w:t>
      </w:r>
      <w:r>
        <w:rPr>
          <w:spacing w:val="-3"/>
          <w:sz w:val="18"/>
          <w:vertAlign w:val="baseline"/>
        </w:rPr>
        <w:t> </w:t>
      </w:r>
      <w:r>
        <w:rPr>
          <w:sz w:val="18"/>
          <w:vertAlign w:val="baseline"/>
        </w:rPr>
        <w:t>reached</w:t>
      </w:r>
      <w:r>
        <w:rPr>
          <w:spacing w:val="-3"/>
          <w:sz w:val="18"/>
          <w:vertAlign w:val="baseline"/>
        </w:rPr>
        <w:t> </w:t>
      </w:r>
      <w:r>
        <w:rPr>
          <w:sz w:val="18"/>
          <w:vertAlign w:val="baseline"/>
        </w:rPr>
        <w:t>54%</w:t>
      </w:r>
      <w:r>
        <w:rPr>
          <w:spacing w:val="-3"/>
          <w:sz w:val="18"/>
          <w:vertAlign w:val="baseline"/>
        </w:rPr>
        <w:t> </w:t>
      </w:r>
      <w:r>
        <w:rPr>
          <w:sz w:val="18"/>
          <w:vertAlign w:val="baseline"/>
        </w:rPr>
        <w:t>(see</w:t>
      </w:r>
      <w:r>
        <w:rPr>
          <w:spacing w:val="-3"/>
          <w:sz w:val="18"/>
          <w:vertAlign w:val="baseline"/>
        </w:rPr>
        <w:t> </w:t>
      </w:r>
      <w:r>
        <w:rPr>
          <w:sz w:val="18"/>
          <w:vertAlign w:val="baseline"/>
        </w:rPr>
        <w:t>Figure</w:t>
      </w:r>
      <w:r>
        <w:rPr>
          <w:spacing w:val="-3"/>
          <w:sz w:val="18"/>
          <w:vertAlign w:val="baseline"/>
        </w:rPr>
        <w:t> </w:t>
      </w:r>
      <w:r>
        <w:rPr>
          <w:sz w:val="18"/>
          <w:vertAlign w:val="baseline"/>
        </w:rPr>
        <w:t>2.7</w:t>
      </w:r>
      <w:r>
        <w:rPr>
          <w:spacing w:val="-3"/>
          <w:sz w:val="18"/>
          <w:vertAlign w:val="baseline"/>
        </w:rPr>
        <w:t> </w:t>
      </w:r>
      <w:r>
        <w:rPr>
          <w:sz w:val="18"/>
          <w:vertAlign w:val="baseline"/>
        </w:rPr>
        <w:t>and</w:t>
      </w:r>
      <w:r>
        <w:rPr>
          <w:spacing w:val="-3"/>
          <w:sz w:val="18"/>
          <w:vertAlign w:val="baseline"/>
        </w:rPr>
        <w:t> </w:t>
      </w:r>
      <w:r>
        <w:rPr>
          <w:sz w:val="18"/>
          <w:vertAlign w:val="baseline"/>
        </w:rPr>
        <w:t>Figure</w:t>
      </w:r>
      <w:r>
        <w:rPr>
          <w:spacing w:val="-3"/>
          <w:sz w:val="18"/>
          <w:vertAlign w:val="baseline"/>
        </w:rPr>
        <w:t> </w:t>
      </w:r>
      <w:r>
        <w:rPr>
          <w:sz w:val="18"/>
          <w:vertAlign w:val="baseline"/>
        </w:rPr>
        <w:t>A37). </w:t>
      </w:r>
      <w:r>
        <w:rPr>
          <w:sz w:val="18"/>
          <w:vertAlign w:val="superscript"/>
        </w:rPr>
        <w:t>135</w:t>
      </w:r>
      <w:r>
        <w:rPr>
          <w:sz w:val="18"/>
          <w:vertAlign w:val="baseline"/>
        </w:rPr>
        <w:t> The authors of the study include Sebastian Horn of the World Bank; Brad Parks, Executive Director of AidData and Research Professor at William &amp; Mary’s Global Research Institute; Carmen Reinhart, former World Bank Group Chief Economist and current Professor at the Harvard Kennedy School; and Christoph Trebesch, Director at the Kiel Institute for the World Economy.</w:t>
      </w:r>
    </w:p>
    <w:p>
      <w:pPr>
        <w:spacing w:after="0" w:line="249" w:lineRule="auto"/>
        <w:jc w:val="left"/>
        <w:rPr>
          <w:sz w:val="18"/>
        </w:rPr>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44"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2.8</w:t>
                  </w:r>
                </w:p>
              </w:txbxContent>
            </v:textbox>
            <v:fill type="solid"/>
          </v:shape>
        </w:pict>
      </w:r>
      <w:r>
        <w:rPr>
          <w:sz w:val="20"/>
        </w:rPr>
      </w:r>
    </w:p>
    <w:p>
      <w:pPr>
        <w:pStyle w:val="BodyText"/>
        <w:spacing w:before="9"/>
        <w:rPr>
          <w:sz w:val="13"/>
        </w:rPr>
      </w:pPr>
      <w:r>
        <w:rPr/>
        <w:drawing>
          <wp:anchor distT="0" distB="0" distL="0" distR="0" allowOverlap="1" layoutInCell="1" locked="0" behindDoc="0" simplePos="0" relativeHeight="46">
            <wp:simplePos x="0" y="0"/>
            <wp:positionH relativeFrom="page">
              <wp:posOffset>1250453</wp:posOffset>
            </wp:positionH>
            <wp:positionV relativeFrom="paragraph">
              <wp:posOffset>116000</wp:posOffset>
            </wp:positionV>
            <wp:extent cx="5290120" cy="1648205"/>
            <wp:effectExtent l="0" t="0" r="0" b="0"/>
            <wp:wrapTopAndBottom/>
            <wp:docPr id="15" name="image9.jpeg"/>
            <wp:cNvGraphicFramePr>
              <a:graphicFrameLocks noChangeAspect="1"/>
            </wp:cNvGraphicFramePr>
            <a:graphic>
              <a:graphicData uri="http://schemas.openxmlformats.org/drawingml/2006/picture">
                <pic:pic>
                  <pic:nvPicPr>
                    <pic:cNvPr id="16" name="image9.jpeg"/>
                    <pic:cNvPicPr/>
                  </pic:nvPicPr>
                  <pic:blipFill>
                    <a:blip r:embed="rId17" cstate="print"/>
                    <a:stretch>
                      <a:fillRect/>
                    </a:stretch>
                  </pic:blipFill>
                  <pic:spPr>
                    <a:xfrm>
                      <a:off x="0" y="0"/>
                      <a:ext cx="5290120" cy="1648205"/>
                    </a:xfrm>
                    <a:prstGeom prst="rect">
                      <a:avLst/>
                    </a:prstGeom>
                  </pic:spPr>
                </pic:pic>
              </a:graphicData>
            </a:graphic>
          </wp:anchor>
        </w:drawing>
      </w:r>
    </w:p>
    <w:p>
      <w:pPr>
        <w:pStyle w:val="BodyText"/>
        <w:rPr>
          <w:sz w:val="20"/>
        </w:rPr>
      </w:pPr>
    </w:p>
    <w:p>
      <w:pPr>
        <w:pStyle w:val="BodyText"/>
        <w:spacing w:before="4"/>
        <w:rPr>
          <w:sz w:val="18"/>
        </w:rPr>
      </w:pPr>
    </w:p>
    <w:p>
      <w:pPr>
        <w:spacing w:line="333" w:lineRule="auto" w:before="0"/>
        <w:ind w:left="760" w:right="924" w:firstLine="0"/>
        <w:jc w:val="left"/>
        <w:rPr>
          <w:i/>
          <w:sz w:val="18"/>
        </w:rPr>
      </w:pPr>
      <w:r>
        <w:rPr>
          <w:i/>
          <w:sz w:val="18"/>
        </w:rPr>
        <w:t>Notes: The three categories (high, medium, or low debt exposure to China) are constructed by ranking</w:t>
      </w:r>
      <w:r>
        <w:rPr>
          <w:i/>
          <w:sz w:val="18"/>
        </w:rPr>
        <w:t> countries according to total non-emergency lending commitments from ofﬁcial sector institutions in </w:t>
      </w:r>
      <w:r>
        <w:rPr>
          <w:i/>
          <w:sz w:val="18"/>
        </w:rPr>
        <w:t>China between 2000 and 2021. Countries that did not receive any non-emergency lending commitments are excluded from the calculation. The calculation of average emergency rescue loan commitments excludes short-term "rollover" facilities to reﬁnance maturing debts (see Box 2c and Section A-3 in the Appendix).</w:t>
      </w:r>
    </w:p>
    <w:p>
      <w:pPr>
        <w:pStyle w:val="BodyText"/>
        <w:rPr>
          <w:i/>
          <w:sz w:val="18"/>
        </w:rPr>
      </w:pPr>
    </w:p>
    <w:p>
      <w:pPr>
        <w:pStyle w:val="BodyText"/>
        <w:spacing w:line="333" w:lineRule="auto" w:before="111"/>
        <w:ind w:left="760" w:right="761"/>
      </w:pPr>
      <w:r>
        <w:rPr/>
        <w:t>The 3.0 version of AidData’s GCDF dataset provides an opportunity to conduct </w:t>
      </w:r>
      <w:r>
        <w:rPr/>
        <w:t>a basic replication exercise with four years of additional data (2018-2021), substantially revised data for 2000-2017, and more precise measurements of China’s project, infrastructure project, and non-emergency lending activities. In Figure 2.8, we reproduce Figure 5 from the Horn et al. (2023a) study with updated data on emergency and non-emergency lending commitments and conﬁrm that China’s international emergency lending operations are</w:t>
      </w:r>
      <w:r>
        <w:rPr>
          <w:spacing w:val="40"/>
        </w:rPr>
        <w:t> </w:t>
      </w:r>
      <w:r>
        <w:rPr/>
        <w:t>concentrated in countries that accumulated large amounts of debt to China for non-emergency purposes between 2000 and 2021.</w:t>
      </w:r>
      <w:r>
        <w:rPr>
          <w:vertAlign w:val="superscript"/>
        </w:rPr>
        <w:t>136</w:t>
      </w:r>
      <w:r>
        <w:rPr>
          <w:vertAlign w:val="baseline"/>
        </w:rPr>
        <w:t> We can also conﬁrm that every country that received an emergency rescue loan from China is a</w:t>
      </w:r>
      <w:r>
        <w:rPr>
          <w:spacing w:val="80"/>
          <w:vertAlign w:val="baseline"/>
        </w:rPr>
        <w:t> </w:t>
      </w:r>
      <w:r>
        <w:rPr>
          <w:vertAlign w:val="baseline"/>
        </w:rPr>
        <w:t>participant in the BRI.</w:t>
      </w:r>
      <w:r>
        <w:rPr>
          <w:vertAlign w:val="superscript"/>
        </w:rPr>
        <w:t>137</w:t>
      </w:r>
      <w:r>
        <w:rPr>
          <w:vertAlign w:val="baseline"/>
        </w:rPr>
        <w:t> In Table 2.2, we replicate Table A4 from the Horn et al. (2023a) study and conﬁrm that Chinese emergency rescue loans are issued to sovereigns at times when reserves are low and at times when borrowers have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7"/>
        </w:rPr>
      </w:pPr>
      <w:r>
        <w:rPr/>
        <w:pict>
          <v:shape style="position:absolute;margin-left:90pt;margin-top:17.143406pt;width:144pt;height:.1pt;mso-position-horizontal-relative:page;mso-position-vertical-relative:paragraph;z-index:-15704576;mso-wrap-distance-left:0;mso-wrap-distance-right:0" id="docshape45" coordorigin="1800,343" coordsize="2880,0" path="m1800,343l4680,343e" filled="false" stroked="true" strokeweight=".75pt" strokecolor="#000000">
            <v:path arrowok="t"/>
            <v:stroke dashstyle="solid"/>
            <w10:wrap type="topAndBottom"/>
          </v:shape>
        </w:pict>
      </w:r>
    </w:p>
    <w:p>
      <w:pPr>
        <w:spacing w:line="249" w:lineRule="auto" w:before="110"/>
        <w:ind w:left="760" w:right="838" w:firstLine="0"/>
        <w:jc w:val="left"/>
        <w:rPr>
          <w:sz w:val="18"/>
        </w:rPr>
      </w:pPr>
      <w:r>
        <w:rPr>
          <w:sz w:val="18"/>
          <w:vertAlign w:val="superscript"/>
        </w:rPr>
        <w:t>136</w:t>
      </w:r>
      <w:r>
        <w:rPr>
          <w:spacing w:val="-3"/>
          <w:sz w:val="18"/>
          <w:vertAlign w:val="baseline"/>
        </w:rPr>
        <w:t> </w:t>
      </w:r>
      <w:r>
        <w:rPr>
          <w:sz w:val="18"/>
          <w:vertAlign w:val="baseline"/>
        </w:rPr>
        <w:t>Figure</w:t>
      </w:r>
      <w:r>
        <w:rPr>
          <w:spacing w:val="-2"/>
          <w:sz w:val="18"/>
          <w:vertAlign w:val="baseline"/>
        </w:rPr>
        <w:t> </w:t>
      </w:r>
      <w:r>
        <w:rPr>
          <w:sz w:val="18"/>
          <w:vertAlign w:val="baseline"/>
        </w:rPr>
        <w:t>2.8</w:t>
      </w:r>
      <w:r>
        <w:rPr>
          <w:spacing w:val="-2"/>
          <w:sz w:val="18"/>
          <w:vertAlign w:val="baseline"/>
        </w:rPr>
        <w:t> </w:t>
      </w:r>
      <w:r>
        <w:rPr>
          <w:sz w:val="18"/>
          <w:vertAlign w:val="baseline"/>
        </w:rPr>
        <w:t>uses</w:t>
      </w:r>
      <w:r>
        <w:rPr>
          <w:spacing w:val="-2"/>
          <w:sz w:val="18"/>
          <w:vertAlign w:val="baseline"/>
        </w:rPr>
        <w:t> </w:t>
      </w:r>
      <w:r>
        <w:rPr>
          <w:sz w:val="18"/>
          <w:vertAlign w:val="baseline"/>
        </w:rPr>
        <w:t>a</w:t>
      </w:r>
      <w:r>
        <w:rPr>
          <w:spacing w:val="-2"/>
          <w:sz w:val="18"/>
          <w:vertAlign w:val="baseline"/>
        </w:rPr>
        <w:t> </w:t>
      </w:r>
      <w:r>
        <w:rPr>
          <w:sz w:val="18"/>
          <w:vertAlign w:val="baseline"/>
        </w:rPr>
        <w:t>new</w:t>
      </w:r>
      <w:r>
        <w:rPr>
          <w:spacing w:val="-2"/>
          <w:sz w:val="18"/>
          <w:vertAlign w:val="baseline"/>
        </w:rPr>
        <w:t> </w:t>
      </w:r>
      <w:r>
        <w:rPr>
          <w:sz w:val="18"/>
          <w:vertAlign w:val="baseline"/>
        </w:rPr>
        <w:t>dummy</w:t>
      </w:r>
      <w:r>
        <w:rPr>
          <w:spacing w:val="-2"/>
          <w:sz w:val="18"/>
          <w:vertAlign w:val="baseline"/>
        </w:rPr>
        <w:t> </w:t>
      </w:r>
      <w:r>
        <w:rPr>
          <w:sz w:val="18"/>
          <w:vertAlign w:val="baseline"/>
        </w:rPr>
        <w:t>variable</w:t>
      </w:r>
      <w:r>
        <w:rPr>
          <w:spacing w:val="-2"/>
          <w:sz w:val="18"/>
          <w:vertAlign w:val="baseline"/>
        </w:rPr>
        <w:t> </w:t>
      </w:r>
      <w:r>
        <w:rPr>
          <w:sz w:val="18"/>
          <w:vertAlign w:val="baseline"/>
        </w:rPr>
        <w:t>(“rescue”)</w:t>
      </w:r>
      <w:r>
        <w:rPr>
          <w:spacing w:val="-2"/>
          <w:sz w:val="18"/>
          <w:vertAlign w:val="baseline"/>
        </w:rPr>
        <w:t> </w:t>
      </w:r>
      <w:r>
        <w:rPr>
          <w:sz w:val="18"/>
          <w:vertAlign w:val="baseline"/>
        </w:rPr>
        <w:t>in</w:t>
      </w:r>
      <w:r>
        <w:rPr>
          <w:spacing w:val="-2"/>
          <w:sz w:val="18"/>
          <w:vertAlign w:val="baseline"/>
        </w:rPr>
        <w:t> </w:t>
      </w:r>
      <w:r>
        <w:rPr>
          <w:sz w:val="18"/>
          <w:vertAlign w:val="baseline"/>
        </w:rPr>
        <w:t>the</w:t>
      </w:r>
      <w:r>
        <w:rPr>
          <w:spacing w:val="-2"/>
          <w:sz w:val="18"/>
          <w:vertAlign w:val="baseline"/>
        </w:rPr>
        <w:t> </w:t>
      </w:r>
      <w:r>
        <w:rPr>
          <w:sz w:val="18"/>
          <w:vertAlign w:val="baseline"/>
        </w:rPr>
        <w:t>3.0</w:t>
      </w:r>
      <w:r>
        <w:rPr>
          <w:spacing w:val="-2"/>
          <w:sz w:val="18"/>
          <w:vertAlign w:val="baseline"/>
        </w:rPr>
        <w:t> </w:t>
      </w:r>
      <w:r>
        <w:rPr>
          <w:sz w:val="18"/>
          <w:vertAlign w:val="baseline"/>
        </w:rPr>
        <w:t>version</w:t>
      </w:r>
      <w:r>
        <w:rPr>
          <w:spacing w:val="-2"/>
          <w:sz w:val="18"/>
          <w:vertAlign w:val="baseline"/>
        </w:rPr>
        <w:t> </w:t>
      </w:r>
      <w:r>
        <w:rPr>
          <w:sz w:val="18"/>
          <w:vertAlign w:val="baseline"/>
        </w:rPr>
        <w:t>of</w:t>
      </w:r>
      <w:r>
        <w:rPr>
          <w:spacing w:val="-2"/>
          <w:sz w:val="18"/>
          <w:vertAlign w:val="baseline"/>
        </w:rPr>
        <w:t> </w:t>
      </w:r>
      <w:r>
        <w:rPr>
          <w:sz w:val="18"/>
          <w:vertAlign w:val="baseline"/>
        </w:rPr>
        <w:t>the</w:t>
      </w:r>
      <w:r>
        <w:rPr>
          <w:spacing w:val="-2"/>
          <w:sz w:val="18"/>
          <w:vertAlign w:val="baseline"/>
        </w:rPr>
        <w:t> </w:t>
      </w:r>
      <w:r>
        <w:rPr>
          <w:sz w:val="18"/>
          <w:vertAlign w:val="baseline"/>
        </w:rPr>
        <w:t>GCDF</w:t>
      </w:r>
      <w:r>
        <w:rPr>
          <w:spacing w:val="-2"/>
          <w:sz w:val="18"/>
          <w:vertAlign w:val="baseline"/>
        </w:rPr>
        <w:t> </w:t>
      </w:r>
      <w:r>
        <w:rPr>
          <w:sz w:val="18"/>
          <w:vertAlign w:val="baseline"/>
        </w:rPr>
        <w:t>dataset</w:t>
      </w:r>
      <w:r>
        <w:rPr>
          <w:spacing w:val="-2"/>
          <w:sz w:val="18"/>
          <w:vertAlign w:val="baseline"/>
        </w:rPr>
        <w:t> </w:t>
      </w:r>
      <w:r>
        <w:rPr>
          <w:sz w:val="18"/>
          <w:vertAlign w:val="baseline"/>
        </w:rPr>
        <w:t>for</w:t>
      </w:r>
      <w:r>
        <w:rPr>
          <w:spacing w:val="-2"/>
          <w:sz w:val="18"/>
          <w:vertAlign w:val="baseline"/>
        </w:rPr>
        <w:t> </w:t>
      </w:r>
      <w:r>
        <w:rPr>
          <w:sz w:val="18"/>
          <w:vertAlign w:val="baseline"/>
        </w:rPr>
        <w:t>emergency rescue loans, which captures any loan that allows a sovereign debtor to (1) service existing debts, (2) ﬁnance general budgetary expenditures and/or (3) shore up foreign reserves.</w:t>
      </w:r>
    </w:p>
    <w:p>
      <w:pPr>
        <w:spacing w:line="249" w:lineRule="auto" w:before="2"/>
        <w:ind w:left="760" w:right="767" w:firstLine="0"/>
        <w:jc w:val="left"/>
        <w:rPr>
          <w:sz w:val="18"/>
        </w:rPr>
      </w:pPr>
      <w:r>
        <w:rPr>
          <w:sz w:val="18"/>
          <w:vertAlign w:val="superscript"/>
        </w:rPr>
        <w:t>137</w:t>
      </w:r>
      <w:r>
        <w:rPr>
          <w:spacing w:val="-3"/>
          <w:sz w:val="18"/>
          <w:vertAlign w:val="baseline"/>
        </w:rPr>
        <w:t> </w:t>
      </w:r>
      <w:r>
        <w:rPr>
          <w:sz w:val="18"/>
          <w:vertAlign w:val="baseline"/>
        </w:rPr>
        <w:t>As</w:t>
      </w:r>
      <w:r>
        <w:rPr>
          <w:spacing w:val="-2"/>
          <w:sz w:val="18"/>
          <w:vertAlign w:val="baseline"/>
        </w:rPr>
        <w:t> </w:t>
      </w:r>
      <w:r>
        <w:rPr>
          <w:sz w:val="18"/>
          <w:vertAlign w:val="baseline"/>
        </w:rPr>
        <w:t>of</w:t>
      </w:r>
      <w:r>
        <w:rPr>
          <w:spacing w:val="-2"/>
          <w:sz w:val="18"/>
          <w:vertAlign w:val="baseline"/>
        </w:rPr>
        <w:t> </w:t>
      </w:r>
      <w:r>
        <w:rPr>
          <w:sz w:val="18"/>
          <w:vertAlign w:val="baseline"/>
        </w:rPr>
        <w:t>2021,</w:t>
      </w:r>
      <w:r>
        <w:rPr>
          <w:spacing w:val="-2"/>
          <w:sz w:val="18"/>
          <w:vertAlign w:val="baseline"/>
        </w:rPr>
        <w:t> </w:t>
      </w:r>
      <w:r>
        <w:rPr>
          <w:sz w:val="18"/>
          <w:vertAlign w:val="baseline"/>
        </w:rPr>
        <w:t>this</w:t>
      </w:r>
      <w:r>
        <w:rPr>
          <w:spacing w:val="-2"/>
          <w:sz w:val="18"/>
          <w:vertAlign w:val="baseline"/>
        </w:rPr>
        <w:t> </w:t>
      </w:r>
      <w:r>
        <w:rPr>
          <w:sz w:val="18"/>
          <w:vertAlign w:val="baseline"/>
        </w:rPr>
        <w:t>was</w:t>
      </w:r>
      <w:r>
        <w:rPr>
          <w:spacing w:val="-2"/>
          <w:sz w:val="18"/>
          <w:vertAlign w:val="baseline"/>
        </w:rPr>
        <w:t> </w:t>
      </w:r>
      <w:r>
        <w:rPr>
          <w:sz w:val="18"/>
          <w:vertAlign w:val="baseline"/>
        </w:rPr>
        <w:t>true</w:t>
      </w:r>
      <w:r>
        <w:rPr>
          <w:spacing w:val="-2"/>
          <w:sz w:val="18"/>
          <w:vertAlign w:val="baseline"/>
        </w:rPr>
        <w:t> </w:t>
      </w:r>
      <w:r>
        <w:rPr>
          <w:sz w:val="18"/>
          <w:vertAlign w:val="baseline"/>
        </w:rPr>
        <w:t>of</w:t>
      </w:r>
      <w:r>
        <w:rPr>
          <w:spacing w:val="-2"/>
          <w:sz w:val="18"/>
          <w:vertAlign w:val="baseline"/>
        </w:rPr>
        <w:t> </w:t>
      </w:r>
      <w:r>
        <w:rPr>
          <w:sz w:val="18"/>
          <w:vertAlign w:val="baseline"/>
        </w:rPr>
        <w:t>all</w:t>
      </w:r>
      <w:r>
        <w:rPr>
          <w:spacing w:val="-2"/>
          <w:sz w:val="18"/>
          <w:vertAlign w:val="baseline"/>
        </w:rPr>
        <w:t> </w:t>
      </w:r>
      <w:r>
        <w:rPr>
          <w:sz w:val="18"/>
          <w:vertAlign w:val="baseline"/>
        </w:rPr>
        <w:t>emergency</w:t>
      </w:r>
      <w:r>
        <w:rPr>
          <w:spacing w:val="-2"/>
          <w:sz w:val="18"/>
          <w:vertAlign w:val="baseline"/>
        </w:rPr>
        <w:t> </w:t>
      </w:r>
      <w:r>
        <w:rPr>
          <w:sz w:val="18"/>
          <w:vertAlign w:val="baseline"/>
        </w:rPr>
        <w:t>rescue</w:t>
      </w:r>
      <w:r>
        <w:rPr>
          <w:spacing w:val="-2"/>
          <w:sz w:val="18"/>
          <w:vertAlign w:val="baseline"/>
        </w:rPr>
        <w:t> </w:t>
      </w:r>
      <w:r>
        <w:rPr>
          <w:sz w:val="18"/>
          <w:vertAlign w:val="baseline"/>
        </w:rPr>
        <w:t>loan</w:t>
      </w:r>
      <w:r>
        <w:rPr>
          <w:spacing w:val="-2"/>
          <w:sz w:val="18"/>
          <w:vertAlign w:val="baseline"/>
        </w:rPr>
        <w:t> </w:t>
      </w:r>
      <w:r>
        <w:rPr>
          <w:sz w:val="18"/>
          <w:vertAlign w:val="baseline"/>
        </w:rPr>
        <w:t>recipients</w:t>
      </w:r>
      <w:r>
        <w:rPr>
          <w:spacing w:val="-2"/>
          <w:sz w:val="18"/>
          <w:vertAlign w:val="baseline"/>
        </w:rPr>
        <w:t> </w:t>
      </w:r>
      <w:r>
        <w:rPr>
          <w:sz w:val="18"/>
          <w:vertAlign w:val="baseline"/>
        </w:rPr>
        <w:t>other</w:t>
      </w:r>
      <w:r>
        <w:rPr>
          <w:spacing w:val="-2"/>
          <w:sz w:val="18"/>
          <w:vertAlign w:val="baseline"/>
        </w:rPr>
        <w:t> </w:t>
      </w:r>
      <w:r>
        <w:rPr>
          <w:sz w:val="18"/>
          <w:vertAlign w:val="baseline"/>
        </w:rPr>
        <w:t>than</w:t>
      </w:r>
      <w:r>
        <w:rPr>
          <w:spacing w:val="-2"/>
          <w:sz w:val="18"/>
          <w:vertAlign w:val="baseline"/>
        </w:rPr>
        <w:t> </w:t>
      </w:r>
      <w:r>
        <w:rPr>
          <w:sz w:val="18"/>
          <w:vertAlign w:val="baseline"/>
        </w:rPr>
        <w:t>Argentina</w:t>
      </w:r>
      <w:r>
        <w:rPr>
          <w:spacing w:val="-2"/>
          <w:sz w:val="18"/>
          <w:vertAlign w:val="baseline"/>
        </w:rPr>
        <w:t> </w:t>
      </w:r>
      <w:r>
        <w:rPr>
          <w:sz w:val="18"/>
          <w:vertAlign w:val="baseline"/>
        </w:rPr>
        <w:t>and</w:t>
      </w:r>
      <w:r>
        <w:rPr>
          <w:spacing w:val="-2"/>
          <w:sz w:val="18"/>
          <w:vertAlign w:val="baseline"/>
        </w:rPr>
        <w:t> </w:t>
      </w:r>
      <w:r>
        <w:rPr>
          <w:sz w:val="18"/>
          <w:vertAlign w:val="baseline"/>
        </w:rPr>
        <w:t>Malawi.</w:t>
      </w:r>
      <w:r>
        <w:rPr>
          <w:spacing w:val="-2"/>
          <w:sz w:val="18"/>
          <w:vertAlign w:val="baseline"/>
        </w:rPr>
        <w:t> </w:t>
      </w:r>
      <w:r>
        <w:rPr>
          <w:sz w:val="18"/>
          <w:vertAlign w:val="baseline"/>
        </w:rPr>
        <w:t>Then, in 2022, Argentina and Malawi joined the BRI.</w:t>
      </w:r>
    </w:p>
    <w:p>
      <w:pPr>
        <w:spacing w:after="0" w:line="249" w:lineRule="auto"/>
        <w:jc w:val="left"/>
        <w:rPr>
          <w:sz w:val="18"/>
        </w:rPr>
        <w:sectPr>
          <w:pgSz w:w="12240" w:h="15840"/>
          <w:pgMar w:header="0" w:footer="720" w:top="1560" w:bottom="920" w:left="1040" w:right="1040"/>
        </w:sectPr>
      </w:pPr>
    </w:p>
    <w:p>
      <w:pPr>
        <w:pStyle w:val="BodyText"/>
        <w:spacing w:line="333" w:lineRule="auto" w:before="67"/>
        <w:ind w:left="760" w:right="767"/>
      </w:pPr>
      <w:r>
        <w:rPr/>
        <w:t>very weak credit ratings.</w:t>
      </w:r>
      <w:r>
        <w:rPr>
          <w:vertAlign w:val="superscript"/>
        </w:rPr>
        <w:t>138</w:t>
      </w:r>
      <w:r>
        <w:rPr>
          <w:vertAlign w:val="baseline"/>
        </w:rPr>
        <w:t> By contrast, we ﬁnd that Chinese project loans and Chinese</w:t>
      </w:r>
      <w:r>
        <w:rPr>
          <w:spacing w:val="-2"/>
          <w:vertAlign w:val="baseline"/>
        </w:rPr>
        <w:t> </w:t>
      </w:r>
      <w:r>
        <w:rPr>
          <w:vertAlign w:val="baseline"/>
        </w:rPr>
        <w:t>infrastructure</w:t>
      </w:r>
      <w:r>
        <w:rPr>
          <w:spacing w:val="-2"/>
          <w:vertAlign w:val="baseline"/>
        </w:rPr>
        <w:t> </w:t>
      </w:r>
      <w:r>
        <w:rPr>
          <w:vertAlign w:val="baseline"/>
        </w:rPr>
        <w:t>project</w:t>
      </w:r>
      <w:r>
        <w:rPr>
          <w:spacing w:val="-2"/>
          <w:vertAlign w:val="baseline"/>
        </w:rPr>
        <w:t> </w:t>
      </w:r>
      <w:r>
        <w:rPr>
          <w:vertAlign w:val="baseline"/>
        </w:rPr>
        <w:t>loans</w:t>
      </w:r>
      <w:r>
        <w:rPr>
          <w:spacing w:val="-2"/>
          <w:vertAlign w:val="baseline"/>
        </w:rPr>
        <w:t> </w:t>
      </w:r>
      <w:r>
        <w:rPr>
          <w:vertAlign w:val="baseline"/>
        </w:rPr>
        <w:t>are</w:t>
      </w:r>
      <w:r>
        <w:rPr>
          <w:spacing w:val="-2"/>
          <w:vertAlign w:val="baseline"/>
        </w:rPr>
        <w:t> </w:t>
      </w:r>
      <w:r>
        <w:rPr>
          <w:vertAlign w:val="baseline"/>
        </w:rPr>
        <w:t>issued</w:t>
      </w:r>
      <w:r>
        <w:rPr>
          <w:spacing w:val="-2"/>
          <w:vertAlign w:val="baseline"/>
        </w:rPr>
        <w:t> </w:t>
      </w:r>
      <w:r>
        <w:rPr>
          <w:vertAlign w:val="baseline"/>
        </w:rPr>
        <w:t>to</w:t>
      </w:r>
      <w:r>
        <w:rPr>
          <w:spacing w:val="-2"/>
          <w:vertAlign w:val="baseline"/>
        </w:rPr>
        <w:t> </w:t>
      </w:r>
      <w:r>
        <w:rPr>
          <w:vertAlign w:val="baseline"/>
        </w:rPr>
        <w:t>borrowers</w:t>
      </w:r>
      <w:r>
        <w:rPr>
          <w:spacing w:val="-2"/>
          <w:vertAlign w:val="baseline"/>
        </w:rPr>
        <w:t> </w:t>
      </w:r>
      <w:r>
        <w:rPr>
          <w:vertAlign w:val="baseline"/>
        </w:rPr>
        <w:t>at</w:t>
      </w:r>
      <w:r>
        <w:rPr>
          <w:spacing w:val="-2"/>
          <w:vertAlign w:val="baseline"/>
        </w:rPr>
        <w:t> </w:t>
      </w:r>
      <w:r>
        <w:rPr>
          <w:vertAlign w:val="baseline"/>
        </w:rPr>
        <w:t>times</w:t>
      </w:r>
      <w:r>
        <w:rPr>
          <w:spacing w:val="-2"/>
          <w:vertAlign w:val="baseline"/>
        </w:rPr>
        <w:t> </w:t>
      </w:r>
      <w:r>
        <w:rPr>
          <w:vertAlign w:val="baseline"/>
        </w:rPr>
        <w:t>when</w:t>
      </w:r>
      <w:r>
        <w:rPr>
          <w:spacing w:val="-2"/>
          <w:vertAlign w:val="baseline"/>
        </w:rPr>
        <w:t> </w:t>
      </w:r>
      <w:r>
        <w:rPr>
          <w:vertAlign w:val="baseline"/>
        </w:rPr>
        <w:t>they have relatively strong credit ratings and reserve adequacy ratios.</w:t>
      </w:r>
      <w:r>
        <w:rPr>
          <w:vertAlign w:val="superscript"/>
        </w:rPr>
        <w:t>139</w:t>
      </w:r>
      <w:r>
        <w:rPr>
          <w:vertAlign w:val="baseline"/>
        </w:rPr>
        <w:t> All of these ﬁndings are consistent with those of Horn et al. (2023a) and support their characterization</w:t>
      </w:r>
      <w:r>
        <w:rPr>
          <w:spacing w:val="-5"/>
          <w:vertAlign w:val="baseline"/>
        </w:rPr>
        <w:t> </w:t>
      </w:r>
      <w:r>
        <w:rPr>
          <w:vertAlign w:val="baseline"/>
        </w:rPr>
        <w:t>of</w:t>
      </w:r>
      <w:r>
        <w:rPr>
          <w:spacing w:val="-5"/>
          <w:vertAlign w:val="baseline"/>
        </w:rPr>
        <w:t> </w:t>
      </w:r>
      <w:r>
        <w:rPr>
          <w:vertAlign w:val="baseline"/>
        </w:rPr>
        <w:t>Beijing’s</w:t>
      </w:r>
      <w:r>
        <w:rPr>
          <w:spacing w:val="-5"/>
          <w:vertAlign w:val="baseline"/>
        </w:rPr>
        <w:t> </w:t>
      </w:r>
      <w:r>
        <w:rPr>
          <w:vertAlign w:val="baseline"/>
        </w:rPr>
        <w:t>crisis</w:t>
      </w:r>
      <w:r>
        <w:rPr>
          <w:spacing w:val="-5"/>
          <w:vertAlign w:val="baseline"/>
        </w:rPr>
        <w:t> </w:t>
      </w:r>
      <w:r>
        <w:rPr>
          <w:vertAlign w:val="baseline"/>
        </w:rPr>
        <w:t>management</w:t>
      </w:r>
      <w:r>
        <w:rPr>
          <w:spacing w:val="-5"/>
          <w:vertAlign w:val="baseline"/>
        </w:rPr>
        <w:t> </w:t>
      </w:r>
      <w:r>
        <w:rPr>
          <w:vertAlign w:val="baseline"/>
        </w:rPr>
        <w:t>response</w:t>
      </w:r>
      <w:r>
        <w:rPr>
          <w:spacing w:val="-5"/>
          <w:vertAlign w:val="baseline"/>
        </w:rPr>
        <w:t> </w:t>
      </w:r>
      <w:r>
        <w:rPr>
          <w:vertAlign w:val="baseline"/>
        </w:rPr>
        <w:t>as</w:t>
      </w:r>
      <w:r>
        <w:rPr>
          <w:spacing w:val="-5"/>
          <w:vertAlign w:val="baseline"/>
        </w:rPr>
        <w:t> </w:t>
      </w:r>
      <w:r>
        <w:rPr>
          <w:vertAlign w:val="baseline"/>
        </w:rPr>
        <w:t>one</w:t>
      </w:r>
      <w:r>
        <w:rPr>
          <w:spacing w:val="-5"/>
          <w:vertAlign w:val="baseline"/>
        </w:rPr>
        <w:t> </w:t>
      </w:r>
      <w:r>
        <w:rPr>
          <w:vertAlign w:val="baseline"/>
        </w:rPr>
        <w:t>of</w:t>
      </w:r>
      <w:r>
        <w:rPr>
          <w:spacing w:val="-5"/>
          <w:vertAlign w:val="baseline"/>
        </w:rPr>
        <w:t> </w:t>
      </w:r>
      <w:r>
        <w:rPr>
          <w:vertAlign w:val="baseline"/>
        </w:rPr>
        <w:t>“Bailouts</w:t>
      </w:r>
      <w:r>
        <w:rPr>
          <w:spacing w:val="-5"/>
          <w:vertAlign w:val="baseline"/>
        </w:rPr>
        <w:t> </w:t>
      </w:r>
      <w:r>
        <w:rPr>
          <w:vertAlign w:val="baseline"/>
        </w:rPr>
        <w:t>on the Belt and Road.”</w:t>
      </w:r>
      <w:r>
        <w:rPr>
          <w:vertAlign w:val="superscript"/>
        </w:rPr>
        <w:t>140</w:t>
      </w:r>
    </w:p>
    <w:p>
      <w:pPr>
        <w:pStyle w:val="BodyText"/>
        <w:rPr>
          <w:sz w:val="20"/>
        </w:rPr>
      </w:pPr>
    </w:p>
    <w:p>
      <w:pPr>
        <w:pStyle w:val="BodyText"/>
        <w:spacing w:before="1"/>
        <w:rPr>
          <w:sz w:val="17"/>
        </w:rPr>
      </w:pPr>
      <w:r>
        <w:rPr/>
        <w:pict>
          <v:shape style="position:absolute;margin-left:84pt;margin-top:11.02417pt;width:444pt;height:38pt;mso-position-horizontal-relative:page;mso-position-vertical-relative:paragraph;z-index:-15704064;mso-wrap-distance-left:0;mso-wrap-distance-right:0" type="#_x0000_t202" id="docshape46" filled="true" fillcolor="#5b666f" stroked="false">
            <v:textbox inset="0,0,0,0">
              <w:txbxContent>
                <w:p>
                  <w:pPr>
                    <w:spacing w:before="125"/>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2.2</w:t>
                  </w:r>
                </w:p>
              </w:txbxContent>
            </v:textbox>
            <v:fill type="solid"/>
            <w10:wrap type="topAndBottom"/>
          </v:shape>
        </w:pict>
      </w:r>
    </w:p>
    <w:p>
      <w:pPr>
        <w:pStyle w:val="Heading2"/>
        <w:spacing w:line="328" w:lineRule="auto" w:before="0"/>
        <w:ind w:left="760" w:right="767"/>
      </w:pPr>
      <w:r>
        <w:rPr>
          <w:spacing w:val="-2"/>
        </w:rPr>
        <w:t>Average</w:t>
      </w:r>
      <w:r>
        <w:rPr>
          <w:spacing w:val="-23"/>
        </w:rPr>
        <w:t> </w:t>
      </w:r>
      <w:r>
        <w:rPr>
          <w:spacing w:val="-2"/>
        </w:rPr>
        <w:t>sovereign</w:t>
      </w:r>
      <w:r>
        <w:rPr>
          <w:spacing w:val="-22"/>
        </w:rPr>
        <w:t> </w:t>
      </w:r>
      <w:r>
        <w:rPr>
          <w:spacing w:val="-2"/>
        </w:rPr>
        <w:t>risk</w:t>
      </w:r>
      <w:r>
        <w:rPr>
          <w:spacing w:val="-22"/>
        </w:rPr>
        <w:t> </w:t>
      </w:r>
      <w:r>
        <w:rPr>
          <w:spacing w:val="-2"/>
        </w:rPr>
        <w:t>ratings</w:t>
      </w:r>
      <w:r>
        <w:rPr>
          <w:spacing w:val="-22"/>
        </w:rPr>
        <w:t> </w:t>
      </w:r>
      <w:r>
        <w:rPr>
          <w:spacing w:val="-2"/>
        </w:rPr>
        <w:t>and</w:t>
      </w:r>
      <w:r>
        <w:rPr>
          <w:spacing w:val="-22"/>
        </w:rPr>
        <w:t> </w:t>
      </w:r>
      <w:r>
        <w:rPr>
          <w:spacing w:val="-2"/>
        </w:rPr>
        <w:t>gross</w:t>
      </w:r>
      <w:r>
        <w:rPr>
          <w:spacing w:val="-22"/>
        </w:rPr>
        <w:t> </w:t>
      </w:r>
      <w:r>
        <w:rPr>
          <w:spacing w:val="-2"/>
        </w:rPr>
        <w:t>reserves</w:t>
      </w:r>
      <w:r>
        <w:rPr>
          <w:spacing w:val="-22"/>
        </w:rPr>
        <w:t> </w:t>
      </w:r>
      <w:r>
        <w:rPr>
          <w:spacing w:val="-2"/>
        </w:rPr>
        <w:t>for recipients</w:t>
      </w:r>
      <w:r>
        <w:rPr>
          <w:spacing w:val="-21"/>
        </w:rPr>
        <w:t> </w:t>
      </w:r>
      <w:r>
        <w:rPr>
          <w:spacing w:val="-2"/>
        </w:rPr>
        <w:t>of</w:t>
      </w:r>
      <w:r>
        <w:rPr>
          <w:spacing w:val="-21"/>
        </w:rPr>
        <w:t> </w:t>
      </w:r>
      <w:r>
        <w:rPr>
          <w:spacing w:val="-2"/>
        </w:rPr>
        <w:t>different</w:t>
      </w:r>
      <w:r>
        <w:rPr>
          <w:spacing w:val="-21"/>
        </w:rPr>
        <w:t> </w:t>
      </w:r>
      <w:r>
        <w:rPr>
          <w:spacing w:val="-2"/>
        </w:rPr>
        <w:t>Chinese</w:t>
      </w:r>
      <w:r>
        <w:rPr>
          <w:spacing w:val="-21"/>
        </w:rPr>
        <w:t> </w:t>
      </w:r>
      <w:r>
        <w:rPr>
          <w:spacing w:val="-2"/>
        </w:rPr>
        <w:t>loan</w:t>
      </w:r>
      <w:r>
        <w:rPr>
          <w:spacing w:val="-21"/>
        </w:rPr>
        <w:t> </w:t>
      </w:r>
      <w:r>
        <w:rPr>
          <w:spacing w:val="-2"/>
        </w:rPr>
        <w:t>types</w:t>
      </w:r>
    </w:p>
    <w:p>
      <w:pPr>
        <w:pStyle w:val="BodyText"/>
        <w:spacing w:before="9"/>
        <w:rPr>
          <w:rFonts w:ascii="Trebuchet MS"/>
          <w:b/>
          <w:sz w:val="22"/>
        </w:rPr>
      </w:pPr>
    </w:p>
    <w:p>
      <w:pPr>
        <w:spacing w:after="0"/>
        <w:rPr>
          <w:rFonts w:ascii="Trebuchet MS"/>
          <w:sz w:val="22"/>
        </w:rPr>
        <w:sectPr>
          <w:pgSz w:w="12240" w:h="15840"/>
          <w:pgMar w:header="0" w:footer="720" w:top="1360" w:bottom="920" w:left="1040" w:right="1040"/>
        </w:sectPr>
      </w:pPr>
    </w:p>
    <w:p>
      <w:pPr>
        <w:pStyle w:val="BodyText"/>
        <w:spacing w:before="5"/>
        <w:rPr>
          <w:rFonts w:ascii="Trebuchet MS"/>
          <w:b/>
        </w:rPr>
      </w:pPr>
    </w:p>
    <w:p>
      <w:pPr>
        <w:spacing w:before="0"/>
        <w:ind w:left="775" w:right="0" w:firstLine="0"/>
        <w:jc w:val="left"/>
        <w:rPr>
          <w:b/>
          <w:sz w:val="18"/>
        </w:rPr>
      </w:pPr>
      <w:r>
        <w:rPr>
          <w:b/>
          <w:spacing w:val="-8"/>
          <w:sz w:val="18"/>
        </w:rPr>
        <w:t>Type</w:t>
      </w:r>
      <w:r>
        <w:rPr>
          <w:b/>
          <w:spacing w:val="-1"/>
          <w:sz w:val="18"/>
        </w:rPr>
        <w:t> </w:t>
      </w:r>
      <w:r>
        <w:rPr>
          <w:b/>
          <w:spacing w:val="-8"/>
          <w:sz w:val="18"/>
        </w:rPr>
        <w:t>of</w:t>
      </w:r>
      <w:r>
        <w:rPr>
          <w:b/>
          <w:spacing w:val="-1"/>
          <w:sz w:val="18"/>
        </w:rPr>
        <w:t> </w:t>
      </w:r>
      <w:r>
        <w:rPr>
          <w:b/>
          <w:spacing w:val="-13"/>
          <w:sz w:val="18"/>
        </w:rPr>
        <w:t>Loan</w:t>
      </w:r>
    </w:p>
    <w:p>
      <w:pPr>
        <w:spacing w:line="249" w:lineRule="auto" w:before="68"/>
        <w:ind w:left="470" w:right="0" w:firstLine="0"/>
        <w:jc w:val="left"/>
        <w:rPr>
          <w:b/>
          <w:sz w:val="18"/>
        </w:rPr>
      </w:pPr>
      <w:r>
        <w:rPr/>
        <w:br w:type="column"/>
      </w:r>
      <w:r>
        <w:rPr>
          <w:b/>
          <w:spacing w:val="-2"/>
          <w:sz w:val="18"/>
        </w:rPr>
        <w:t>Average </w:t>
      </w:r>
      <w:r>
        <w:rPr>
          <w:b/>
          <w:spacing w:val="-2"/>
          <w:w w:val="90"/>
          <w:sz w:val="18"/>
        </w:rPr>
        <w:t>Sovereign</w:t>
      </w:r>
    </w:p>
    <w:p>
      <w:pPr>
        <w:spacing w:line="240" w:lineRule="auto" w:before="8"/>
        <w:rPr>
          <w:b/>
          <w:sz w:val="24"/>
        </w:rPr>
      </w:pPr>
      <w:r>
        <w:rPr/>
        <w:br w:type="column"/>
      </w:r>
      <w:r>
        <w:rPr>
          <w:b/>
          <w:sz w:val="24"/>
        </w:rPr>
      </w:r>
    </w:p>
    <w:p>
      <w:pPr>
        <w:tabs>
          <w:tab w:pos="3022" w:val="left" w:leader="none"/>
        </w:tabs>
        <w:spacing w:before="0"/>
        <w:ind w:left="247" w:right="0" w:firstLine="0"/>
        <w:jc w:val="left"/>
        <w:rPr>
          <w:b/>
          <w:sz w:val="18"/>
        </w:rPr>
      </w:pPr>
      <w:r>
        <w:rPr>
          <w:b/>
          <w:w w:val="95"/>
          <w:sz w:val="18"/>
        </w:rPr>
        <w:t>Moody’s</w:t>
      </w:r>
      <w:r>
        <w:rPr>
          <w:b/>
          <w:spacing w:val="-6"/>
          <w:w w:val="95"/>
          <w:sz w:val="18"/>
        </w:rPr>
        <w:t> </w:t>
      </w:r>
      <w:r>
        <w:rPr>
          <w:b/>
          <w:w w:val="95"/>
          <w:sz w:val="18"/>
        </w:rPr>
        <w:t>Rating</w:t>
      </w:r>
      <w:r>
        <w:rPr>
          <w:b/>
          <w:spacing w:val="63"/>
          <w:sz w:val="18"/>
        </w:rPr>
        <w:t> </w:t>
      </w:r>
      <w:r>
        <w:rPr>
          <w:b/>
          <w:w w:val="95"/>
          <w:sz w:val="18"/>
        </w:rPr>
        <w:t>Fitch</w:t>
      </w:r>
      <w:r>
        <w:rPr>
          <w:b/>
          <w:spacing w:val="-6"/>
          <w:w w:val="95"/>
          <w:sz w:val="18"/>
        </w:rPr>
        <w:t> </w:t>
      </w:r>
      <w:r>
        <w:rPr>
          <w:b/>
          <w:spacing w:val="-2"/>
          <w:w w:val="95"/>
          <w:sz w:val="18"/>
        </w:rPr>
        <w:t>Rating</w:t>
      </w:r>
      <w:r>
        <w:rPr>
          <w:b/>
          <w:sz w:val="18"/>
        </w:rPr>
        <w:tab/>
      </w:r>
      <w:r>
        <w:rPr>
          <w:b/>
          <w:w w:val="90"/>
          <w:sz w:val="18"/>
        </w:rPr>
        <w:t>S&amp;P</w:t>
      </w:r>
      <w:r>
        <w:rPr>
          <w:b/>
          <w:sz w:val="18"/>
        </w:rPr>
        <w:t> </w:t>
      </w:r>
      <w:r>
        <w:rPr>
          <w:b/>
          <w:spacing w:val="-3"/>
          <w:w w:val="95"/>
          <w:sz w:val="18"/>
        </w:rPr>
        <w:t>Rating</w:t>
      </w:r>
    </w:p>
    <w:p>
      <w:pPr>
        <w:spacing w:line="210" w:lineRule="atLeast" w:before="153"/>
        <w:ind w:left="463" w:right="1010" w:firstLine="0"/>
        <w:jc w:val="left"/>
        <w:rPr>
          <w:b/>
          <w:sz w:val="18"/>
        </w:rPr>
      </w:pPr>
      <w:r>
        <w:rPr/>
        <w:br w:type="column"/>
      </w:r>
      <w:r>
        <w:rPr>
          <w:b/>
          <w:spacing w:val="-6"/>
          <w:sz w:val="18"/>
        </w:rPr>
        <w:t>Gross</w:t>
      </w:r>
      <w:r>
        <w:rPr>
          <w:b/>
          <w:spacing w:val="-9"/>
          <w:sz w:val="18"/>
        </w:rPr>
        <w:t> </w:t>
      </w:r>
      <w:r>
        <w:rPr>
          <w:b/>
          <w:spacing w:val="-6"/>
          <w:sz w:val="18"/>
        </w:rPr>
        <w:t>Reserves (in Months</w:t>
      </w:r>
      <w:r>
        <w:rPr>
          <w:b/>
          <w:spacing w:val="-9"/>
          <w:sz w:val="18"/>
        </w:rPr>
        <w:t> </w:t>
      </w:r>
      <w:r>
        <w:rPr>
          <w:b/>
          <w:spacing w:val="-6"/>
          <w:sz w:val="18"/>
        </w:rPr>
        <w:t>of </w:t>
      </w:r>
      <w:r>
        <w:rPr>
          <w:b/>
          <w:spacing w:val="-6"/>
          <w:sz w:val="18"/>
        </w:rPr>
        <w:t>Imports)</w:t>
      </w:r>
    </w:p>
    <w:p>
      <w:pPr>
        <w:spacing w:after="0" w:line="210" w:lineRule="atLeast"/>
        <w:jc w:val="left"/>
        <w:rPr>
          <w:sz w:val="18"/>
        </w:rPr>
        <w:sectPr>
          <w:type w:val="continuous"/>
          <w:pgSz w:w="12240" w:h="15840"/>
          <w:pgMar w:header="0" w:footer="720" w:top="1460" w:bottom="280" w:left="1040" w:right="1040"/>
          <w:cols w:num="4" w:equalWidth="0">
            <w:col w:w="1810" w:space="40"/>
            <w:col w:w="1279" w:space="39"/>
            <w:col w:w="3930" w:space="39"/>
            <w:col w:w="3023"/>
          </w:cols>
        </w:sectPr>
      </w:pPr>
    </w:p>
    <w:p>
      <w:pPr>
        <w:tabs>
          <w:tab w:pos="2319" w:val="left" w:leader="none"/>
          <w:tab w:pos="9399" w:val="left" w:leader="none"/>
        </w:tabs>
        <w:spacing w:line="134" w:lineRule="exact" w:before="0"/>
        <w:ind w:left="760" w:right="0" w:firstLine="0"/>
        <w:jc w:val="left"/>
        <w:rPr>
          <w:b/>
          <w:sz w:val="18"/>
        </w:rPr>
      </w:pPr>
      <w:r>
        <w:rPr>
          <w:rFonts w:ascii="Times New Roman"/>
          <w:sz w:val="18"/>
          <w:u w:val="thick"/>
        </w:rPr>
        <w:tab/>
      </w:r>
      <w:r>
        <w:rPr>
          <w:b/>
          <w:w w:val="85"/>
          <w:sz w:val="18"/>
          <w:u w:val="thick"/>
        </w:rPr>
        <w:t>Risk</w:t>
      </w:r>
      <w:r>
        <w:rPr>
          <w:b/>
          <w:spacing w:val="-4"/>
          <w:w w:val="95"/>
          <w:sz w:val="18"/>
          <w:u w:val="thick"/>
        </w:rPr>
        <w:t> </w:t>
      </w:r>
      <w:r>
        <w:rPr>
          <w:b/>
          <w:spacing w:val="-2"/>
          <w:w w:val="95"/>
          <w:sz w:val="18"/>
          <w:u w:val="thick"/>
        </w:rPr>
        <w:t>Rating</w:t>
      </w:r>
      <w:r>
        <w:rPr>
          <w:b/>
          <w:sz w:val="18"/>
          <w:u w:val="thick"/>
        </w:rPr>
        <w:tab/>
      </w:r>
    </w:p>
    <w:p>
      <w:pPr>
        <w:pStyle w:val="BodyText"/>
        <w:rPr>
          <w:b/>
          <w:sz w:val="14"/>
        </w:rPr>
      </w:pPr>
    </w:p>
    <w:tbl>
      <w:tblPr>
        <w:tblW w:w="0" w:type="auto"/>
        <w:jc w:val="left"/>
        <w:tblInd w:w="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9"/>
        <w:gridCol w:w="909"/>
        <w:gridCol w:w="1327"/>
        <w:gridCol w:w="1371"/>
        <w:gridCol w:w="1455"/>
        <w:gridCol w:w="2150"/>
      </w:tblGrid>
      <w:tr>
        <w:trPr>
          <w:trHeight w:val="269" w:hRule="atLeast"/>
        </w:trPr>
        <w:tc>
          <w:tcPr>
            <w:tcW w:w="1429" w:type="dxa"/>
            <w:tcBorders>
              <w:bottom w:val="single" w:sz="8" w:space="0" w:color="D9D9D9"/>
            </w:tcBorders>
          </w:tcPr>
          <w:p>
            <w:pPr>
              <w:pStyle w:val="TableParagraph"/>
              <w:spacing w:line="174" w:lineRule="exact"/>
              <w:ind w:left="105"/>
              <w:rPr>
                <w:sz w:val="18"/>
              </w:rPr>
            </w:pPr>
            <w:r>
              <w:rPr>
                <w:w w:val="90"/>
                <w:sz w:val="18"/>
              </w:rPr>
              <w:t>Rescue</w:t>
            </w:r>
            <w:r>
              <w:rPr>
                <w:spacing w:val="17"/>
                <w:sz w:val="18"/>
              </w:rPr>
              <w:t> </w:t>
            </w:r>
            <w:r>
              <w:rPr>
                <w:spacing w:val="-2"/>
                <w:sz w:val="18"/>
              </w:rPr>
              <w:t>Loans</w:t>
            </w:r>
          </w:p>
        </w:tc>
        <w:tc>
          <w:tcPr>
            <w:tcW w:w="909" w:type="dxa"/>
            <w:tcBorders>
              <w:bottom w:val="single" w:sz="8" w:space="0" w:color="D9D9D9"/>
            </w:tcBorders>
          </w:tcPr>
          <w:p>
            <w:pPr>
              <w:pStyle w:val="TableParagraph"/>
              <w:spacing w:line="174" w:lineRule="exact"/>
              <w:ind w:left="236"/>
              <w:rPr>
                <w:sz w:val="18"/>
              </w:rPr>
            </w:pPr>
            <w:r>
              <w:rPr>
                <w:spacing w:val="-5"/>
                <w:sz w:val="18"/>
              </w:rPr>
              <w:t>5.7</w:t>
            </w:r>
          </w:p>
        </w:tc>
        <w:tc>
          <w:tcPr>
            <w:tcW w:w="1327" w:type="dxa"/>
            <w:tcBorders>
              <w:bottom w:val="single" w:sz="8" w:space="0" w:color="D9D9D9"/>
            </w:tcBorders>
          </w:tcPr>
          <w:p>
            <w:pPr>
              <w:pStyle w:val="TableParagraph"/>
              <w:spacing w:line="174" w:lineRule="exact"/>
              <w:ind w:left="422"/>
              <w:rPr>
                <w:sz w:val="18"/>
              </w:rPr>
            </w:pPr>
            <w:r>
              <w:rPr>
                <w:spacing w:val="-4"/>
                <w:sz w:val="18"/>
              </w:rPr>
              <w:t>Caa1</w:t>
            </w:r>
          </w:p>
        </w:tc>
        <w:tc>
          <w:tcPr>
            <w:tcW w:w="1371" w:type="dxa"/>
            <w:tcBorders>
              <w:bottom w:val="single" w:sz="8" w:space="0" w:color="D9D9D9"/>
            </w:tcBorders>
          </w:tcPr>
          <w:p>
            <w:pPr>
              <w:pStyle w:val="TableParagraph"/>
              <w:spacing w:line="174" w:lineRule="exact"/>
              <w:ind w:left="471" w:right="479"/>
              <w:jc w:val="center"/>
              <w:rPr>
                <w:sz w:val="18"/>
              </w:rPr>
            </w:pPr>
            <w:r>
              <w:rPr>
                <w:spacing w:val="-5"/>
                <w:sz w:val="18"/>
              </w:rPr>
              <w:t>CCC</w:t>
            </w:r>
          </w:p>
        </w:tc>
        <w:tc>
          <w:tcPr>
            <w:tcW w:w="1455" w:type="dxa"/>
            <w:tcBorders>
              <w:bottom w:val="single" w:sz="8" w:space="0" w:color="D9D9D9"/>
            </w:tcBorders>
          </w:tcPr>
          <w:p>
            <w:pPr>
              <w:pStyle w:val="TableParagraph"/>
              <w:spacing w:line="174" w:lineRule="exact"/>
              <w:ind w:left="498"/>
              <w:rPr>
                <w:sz w:val="18"/>
              </w:rPr>
            </w:pPr>
            <w:r>
              <w:rPr>
                <w:spacing w:val="-4"/>
                <w:sz w:val="18"/>
              </w:rPr>
              <w:t>CCC+</w:t>
            </w:r>
          </w:p>
        </w:tc>
        <w:tc>
          <w:tcPr>
            <w:tcW w:w="2150" w:type="dxa"/>
            <w:tcBorders>
              <w:bottom w:val="single" w:sz="8" w:space="0" w:color="D9D9D9"/>
            </w:tcBorders>
          </w:tcPr>
          <w:p>
            <w:pPr>
              <w:pStyle w:val="TableParagraph"/>
              <w:spacing w:line="174" w:lineRule="exact"/>
              <w:ind w:left="453"/>
              <w:rPr>
                <w:sz w:val="18"/>
              </w:rPr>
            </w:pPr>
            <w:r>
              <w:rPr>
                <w:spacing w:val="-5"/>
                <w:sz w:val="18"/>
              </w:rPr>
              <w:t>4.7</w:t>
            </w:r>
          </w:p>
        </w:tc>
      </w:tr>
      <w:tr>
        <w:trPr>
          <w:trHeight w:val="419" w:hRule="atLeast"/>
        </w:trPr>
        <w:tc>
          <w:tcPr>
            <w:tcW w:w="1429" w:type="dxa"/>
            <w:tcBorders>
              <w:top w:val="single" w:sz="8" w:space="0" w:color="D9D9D9"/>
              <w:bottom w:val="single" w:sz="8" w:space="0" w:color="D9D9D9"/>
            </w:tcBorders>
          </w:tcPr>
          <w:p>
            <w:pPr>
              <w:pStyle w:val="TableParagraph"/>
              <w:spacing w:before="119"/>
              <w:ind w:left="105"/>
              <w:rPr>
                <w:sz w:val="18"/>
              </w:rPr>
            </w:pPr>
            <w:r>
              <w:rPr>
                <w:sz w:val="18"/>
              </w:rPr>
              <w:t>Project</w:t>
            </w:r>
            <w:r>
              <w:rPr>
                <w:spacing w:val="-8"/>
                <w:sz w:val="18"/>
              </w:rPr>
              <w:t> </w:t>
            </w:r>
            <w:r>
              <w:rPr>
                <w:spacing w:val="-2"/>
                <w:sz w:val="18"/>
              </w:rPr>
              <w:t>Loans</w:t>
            </w:r>
          </w:p>
        </w:tc>
        <w:tc>
          <w:tcPr>
            <w:tcW w:w="909" w:type="dxa"/>
            <w:tcBorders>
              <w:top w:val="single" w:sz="8" w:space="0" w:color="D9D9D9"/>
              <w:bottom w:val="single" w:sz="8" w:space="0" w:color="D9D9D9"/>
            </w:tcBorders>
          </w:tcPr>
          <w:p>
            <w:pPr>
              <w:pStyle w:val="TableParagraph"/>
              <w:spacing w:before="119"/>
              <w:ind w:left="236"/>
              <w:rPr>
                <w:sz w:val="18"/>
              </w:rPr>
            </w:pPr>
            <w:r>
              <w:rPr>
                <w:spacing w:val="-5"/>
                <w:sz w:val="18"/>
              </w:rPr>
              <w:t>9.4</w:t>
            </w:r>
          </w:p>
        </w:tc>
        <w:tc>
          <w:tcPr>
            <w:tcW w:w="1327" w:type="dxa"/>
            <w:tcBorders>
              <w:top w:val="single" w:sz="8" w:space="0" w:color="D9D9D9"/>
              <w:bottom w:val="single" w:sz="8" w:space="0" w:color="D9D9D9"/>
            </w:tcBorders>
          </w:tcPr>
          <w:p>
            <w:pPr>
              <w:pStyle w:val="TableParagraph"/>
              <w:spacing w:before="119"/>
              <w:ind w:left="422"/>
              <w:rPr>
                <w:sz w:val="18"/>
              </w:rPr>
            </w:pPr>
            <w:r>
              <w:rPr>
                <w:spacing w:val="-5"/>
                <w:sz w:val="18"/>
              </w:rPr>
              <w:t>Ba3</w:t>
            </w:r>
          </w:p>
        </w:tc>
        <w:tc>
          <w:tcPr>
            <w:tcW w:w="1371" w:type="dxa"/>
            <w:tcBorders>
              <w:top w:val="single" w:sz="8" w:space="0" w:color="D9D9D9"/>
              <w:bottom w:val="single" w:sz="8" w:space="0" w:color="D9D9D9"/>
            </w:tcBorders>
          </w:tcPr>
          <w:p>
            <w:pPr>
              <w:pStyle w:val="TableParagraph"/>
              <w:spacing w:before="119"/>
              <w:ind w:left="380" w:right="482"/>
              <w:jc w:val="center"/>
              <w:rPr>
                <w:sz w:val="18"/>
              </w:rPr>
            </w:pPr>
            <w:r>
              <w:rPr>
                <w:spacing w:val="-5"/>
                <w:sz w:val="18"/>
              </w:rPr>
              <w:t>BB-</w:t>
            </w:r>
          </w:p>
        </w:tc>
        <w:tc>
          <w:tcPr>
            <w:tcW w:w="1455" w:type="dxa"/>
            <w:tcBorders>
              <w:top w:val="single" w:sz="8" w:space="0" w:color="D9D9D9"/>
              <w:bottom w:val="single" w:sz="8" w:space="0" w:color="D9D9D9"/>
            </w:tcBorders>
          </w:tcPr>
          <w:p>
            <w:pPr>
              <w:pStyle w:val="TableParagraph"/>
              <w:spacing w:before="119"/>
              <w:ind w:left="498"/>
              <w:rPr>
                <w:sz w:val="18"/>
              </w:rPr>
            </w:pPr>
            <w:r>
              <w:rPr>
                <w:spacing w:val="-5"/>
                <w:sz w:val="18"/>
              </w:rPr>
              <w:t>BB-</w:t>
            </w:r>
          </w:p>
        </w:tc>
        <w:tc>
          <w:tcPr>
            <w:tcW w:w="2150" w:type="dxa"/>
            <w:tcBorders>
              <w:top w:val="single" w:sz="8" w:space="0" w:color="D9D9D9"/>
              <w:bottom w:val="single" w:sz="8" w:space="0" w:color="D9D9D9"/>
            </w:tcBorders>
          </w:tcPr>
          <w:p>
            <w:pPr>
              <w:pStyle w:val="TableParagraph"/>
              <w:spacing w:before="119"/>
              <w:ind w:left="453"/>
              <w:rPr>
                <w:sz w:val="18"/>
              </w:rPr>
            </w:pPr>
            <w:r>
              <w:rPr>
                <w:spacing w:val="-5"/>
                <w:sz w:val="18"/>
              </w:rPr>
              <w:t>6.2</w:t>
            </w:r>
          </w:p>
        </w:tc>
      </w:tr>
      <w:tr>
        <w:trPr>
          <w:trHeight w:val="548" w:hRule="atLeast"/>
        </w:trPr>
        <w:tc>
          <w:tcPr>
            <w:tcW w:w="1429" w:type="dxa"/>
            <w:tcBorders>
              <w:top w:val="single" w:sz="8" w:space="0" w:color="D9D9D9"/>
            </w:tcBorders>
          </w:tcPr>
          <w:p>
            <w:pPr>
              <w:pStyle w:val="TableParagraph"/>
              <w:spacing w:line="210" w:lineRule="atLeast" w:before="108"/>
              <w:ind w:left="105" w:right="246"/>
              <w:rPr>
                <w:sz w:val="18"/>
              </w:rPr>
            </w:pPr>
            <w:r>
              <w:rPr>
                <w:spacing w:val="-2"/>
                <w:sz w:val="18"/>
              </w:rPr>
              <w:t>Infrastructure </w:t>
            </w:r>
            <w:r>
              <w:rPr>
                <w:sz w:val="18"/>
              </w:rPr>
              <w:t>Project</w:t>
            </w:r>
            <w:r>
              <w:rPr>
                <w:spacing w:val="-8"/>
                <w:sz w:val="18"/>
              </w:rPr>
              <w:t> </w:t>
            </w:r>
            <w:r>
              <w:rPr>
                <w:spacing w:val="-7"/>
                <w:sz w:val="18"/>
              </w:rPr>
              <w:t>Loans</w:t>
            </w:r>
          </w:p>
        </w:tc>
        <w:tc>
          <w:tcPr>
            <w:tcW w:w="909" w:type="dxa"/>
            <w:tcBorders>
              <w:top w:val="single" w:sz="8" w:space="0" w:color="D9D9D9"/>
            </w:tcBorders>
          </w:tcPr>
          <w:p>
            <w:pPr>
              <w:pStyle w:val="TableParagraph"/>
              <w:spacing w:before="120"/>
              <w:ind w:left="236"/>
              <w:rPr>
                <w:sz w:val="18"/>
              </w:rPr>
            </w:pPr>
            <w:r>
              <w:rPr>
                <w:spacing w:val="-5"/>
                <w:sz w:val="18"/>
              </w:rPr>
              <w:t>9.2</w:t>
            </w:r>
          </w:p>
        </w:tc>
        <w:tc>
          <w:tcPr>
            <w:tcW w:w="1327" w:type="dxa"/>
            <w:tcBorders>
              <w:top w:val="single" w:sz="8" w:space="0" w:color="D9D9D9"/>
            </w:tcBorders>
          </w:tcPr>
          <w:p>
            <w:pPr>
              <w:pStyle w:val="TableParagraph"/>
              <w:spacing w:before="120"/>
              <w:ind w:left="422"/>
              <w:rPr>
                <w:sz w:val="18"/>
              </w:rPr>
            </w:pPr>
            <w:r>
              <w:rPr>
                <w:spacing w:val="-5"/>
                <w:sz w:val="18"/>
              </w:rPr>
              <w:t>Ba3</w:t>
            </w:r>
          </w:p>
        </w:tc>
        <w:tc>
          <w:tcPr>
            <w:tcW w:w="1371" w:type="dxa"/>
            <w:tcBorders>
              <w:top w:val="single" w:sz="8" w:space="0" w:color="D9D9D9"/>
            </w:tcBorders>
          </w:tcPr>
          <w:p>
            <w:pPr>
              <w:pStyle w:val="TableParagraph"/>
              <w:spacing w:before="120"/>
              <w:ind w:left="380" w:right="482"/>
              <w:jc w:val="center"/>
              <w:rPr>
                <w:sz w:val="18"/>
              </w:rPr>
            </w:pPr>
            <w:r>
              <w:rPr>
                <w:spacing w:val="-5"/>
                <w:sz w:val="18"/>
              </w:rPr>
              <w:t>BB-</w:t>
            </w:r>
          </w:p>
        </w:tc>
        <w:tc>
          <w:tcPr>
            <w:tcW w:w="1455" w:type="dxa"/>
            <w:tcBorders>
              <w:top w:val="single" w:sz="8" w:space="0" w:color="D9D9D9"/>
            </w:tcBorders>
          </w:tcPr>
          <w:p>
            <w:pPr>
              <w:pStyle w:val="TableParagraph"/>
              <w:spacing w:before="120"/>
              <w:ind w:left="498"/>
              <w:rPr>
                <w:sz w:val="18"/>
              </w:rPr>
            </w:pPr>
            <w:r>
              <w:rPr>
                <w:spacing w:val="-5"/>
                <w:sz w:val="18"/>
              </w:rPr>
              <w:t>BB-</w:t>
            </w:r>
          </w:p>
        </w:tc>
        <w:tc>
          <w:tcPr>
            <w:tcW w:w="2150" w:type="dxa"/>
            <w:tcBorders>
              <w:top w:val="single" w:sz="8" w:space="0" w:color="D9D9D9"/>
            </w:tcBorders>
          </w:tcPr>
          <w:p>
            <w:pPr>
              <w:pStyle w:val="TableParagraph"/>
              <w:spacing w:before="120"/>
              <w:ind w:left="453"/>
              <w:rPr>
                <w:sz w:val="18"/>
              </w:rPr>
            </w:pPr>
            <w:r>
              <w:rPr>
                <w:spacing w:val="-5"/>
                <w:sz w:val="18"/>
              </w:rPr>
              <w:t>5.9</w:t>
            </w:r>
          </w:p>
        </w:tc>
      </w:tr>
    </w:tbl>
    <w:p>
      <w:pPr>
        <w:spacing w:line="333" w:lineRule="auto" w:before="126"/>
        <w:ind w:left="760" w:right="767" w:firstLine="0"/>
        <w:jc w:val="left"/>
        <w:rPr>
          <w:i/>
          <w:sz w:val="18"/>
        </w:rPr>
      </w:pPr>
      <w:r>
        <w:rPr>
          <w:i/>
          <w:sz w:val="18"/>
        </w:rPr>
        <w:t>Notes:</w:t>
      </w:r>
      <w:r>
        <w:rPr>
          <w:i/>
          <w:spacing w:val="-1"/>
          <w:sz w:val="18"/>
        </w:rPr>
        <w:t> </w:t>
      </w:r>
      <w:r>
        <w:rPr>
          <w:i/>
          <w:sz w:val="18"/>
        </w:rPr>
        <w:t>This</w:t>
      </w:r>
      <w:r>
        <w:rPr>
          <w:i/>
          <w:spacing w:val="-1"/>
          <w:sz w:val="18"/>
        </w:rPr>
        <w:t> </w:t>
      </w:r>
      <w:r>
        <w:rPr>
          <w:i/>
          <w:sz w:val="18"/>
        </w:rPr>
        <w:t>table</w:t>
      </w:r>
      <w:r>
        <w:rPr>
          <w:i/>
          <w:spacing w:val="-1"/>
          <w:sz w:val="18"/>
        </w:rPr>
        <w:t> </w:t>
      </w:r>
      <w:r>
        <w:rPr>
          <w:i/>
          <w:sz w:val="18"/>
        </w:rPr>
        <w:t>presents</w:t>
      </w:r>
      <w:r>
        <w:rPr>
          <w:i/>
          <w:spacing w:val="-1"/>
          <w:sz w:val="18"/>
        </w:rPr>
        <w:t> </w:t>
      </w:r>
      <w:r>
        <w:rPr>
          <w:i/>
          <w:sz w:val="18"/>
        </w:rPr>
        <w:t>the</w:t>
      </w:r>
      <w:r>
        <w:rPr>
          <w:i/>
          <w:spacing w:val="-1"/>
          <w:sz w:val="18"/>
        </w:rPr>
        <w:t> </w:t>
      </w:r>
      <w:r>
        <w:rPr>
          <w:i/>
          <w:sz w:val="18"/>
        </w:rPr>
        <w:t>average</w:t>
      </w:r>
      <w:r>
        <w:rPr>
          <w:i/>
          <w:spacing w:val="-1"/>
          <w:sz w:val="18"/>
        </w:rPr>
        <w:t> </w:t>
      </w:r>
      <w:r>
        <w:rPr>
          <w:i/>
          <w:sz w:val="18"/>
        </w:rPr>
        <w:t>sovereign</w:t>
      </w:r>
      <w:r>
        <w:rPr>
          <w:i/>
          <w:spacing w:val="-1"/>
          <w:sz w:val="18"/>
        </w:rPr>
        <w:t> </w:t>
      </w:r>
      <w:r>
        <w:rPr>
          <w:i/>
          <w:sz w:val="18"/>
        </w:rPr>
        <w:t>risk</w:t>
      </w:r>
      <w:r>
        <w:rPr>
          <w:i/>
          <w:spacing w:val="-1"/>
          <w:sz w:val="18"/>
        </w:rPr>
        <w:t> </w:t>
      </w:r>
      <w:r>
        <w:rPr>
          <w:i/>
          <w:sz w:val="18"/>
        </w:rPr>
        <w:t>rating</w:t>
      </w:r>
      <w:r>
        <w:rPr>
          <w:i/>
          <w:spacing w:val="-1"/>
          <w:sz w:val="18"/>
        </w:rPr>
        <w:t> </w:t>
      </w:r>
      <w:r>
        <w:rPr>
          <w:i/>
          <w:sz w:val="18"/>
        </w:rPr>
        <w:t>and</w:t>
      </w:r>
      <w:r>
        <w:rPr>
          <w:i/>
          <w:spacing w:val="-1"/>
          <w:sz w:val="18"/>
        </w:rPr>
        <w:t> </w:t>
      </w:r>
      <w:r>
        <w:rPr>
          <w:i/>
          <w:sz w:val="18"/>
        </w:rPr>
        <w:t>level</w:t>
      </w:r>
      <w:r>
        <w:rPr>
          <w:i/>
          <w:spacing w:val="-1"/>
          <w:sz w:val="18"/>
        </w:rPr>
        <w:t> </w:t>
      </w:r>
      <w:r>
        <w:rPr>
          <w:i/>
          <w:sz w:val="18"/>
        </w:rPr>
        <w:t>of</w:t>
      </w:r>
      <w:r>
        <w:rPr>
          <w:i/>
          <w:spacing w:val="-1"/>
          <w:sz w:val="18"/>
        </w:rPr>
        <w:t> </w:t>
      </w:r>
      <w:r>
        <w:rPr>
          <w:i/>
          <w:sz w:val="18"/>
        </w:rPr>
        <w:t>gross</w:t>
      </w:r>
      <w:r>
        <w:rPr>
          <w:i/>
          <w:spacing w:val="-1"/>
          <w:sz w:val="18"/>
        </w:rPr>
        <w:t> </w:t>
      </w:r>
      <w:r>
        <w:rPr>
          <w:i/>
          <w:sz w:val="18"/>
        </w:rPr>
        <w:t>reserves</w:t>
      </w:r>
      <w:r>
        <w:rPr>
          <w:i/>
          <w:spacing w:val="-1"/>
          <w:sz w:val="18"/>
        </w:rPr>
        <w:t> </w:t>
      </w:r>
      <w:r>
        <w:rPr>
          <w:i/>
          <w:sz w:val="18"/>
        </w:rPr>
        <w:t>(in</w:t>
      </w:r>
      <w:r>
        <w:rPr>
          <w:i/>
          <w:spacing w:val="-1"/>
          <w:sz w:val="18"/>
        </w:rPr>
        <w:t> </w:t>
      </w:r>
      <w:r>
        <w:rPr>
          <w:i/>
          <w:sz w:val="18"/>
        </w:rPr>
        <w:t>months</w:t>
      </w:r>
      <w:r>
        <w:rPr>
          <w:i/>
          <w:spacing w:val="-1"/>
          <w:sz w:val="18"/>
        </w:rPr>
        <w:t> </w:t>
      </w:r>
      <w:r>
        <w:rPr>
          <w:i/>
          <w:sz w:val="18"/>
        </w:rPr>
        <w:t>of</w:t>
      </w:r>
      <w:r>
        <w:rPr>
          <w:i/>
          <w:spacing w:val="-1"/>
          <w:sz w:val="18"/>
        </w:rPr>
        <w:t> </w:t>
      </w:r>
      <w:r>
        <w:rPr>
          <w:i/>
          <w:sz w:val="18"/>
        </w:rPr>
        <w:t>import</w:t>
      </w:r>
      <w:r>
        <w:rPr>
          <w:i/>
          <w:sz w:val="18"/>
        </w:rPr>
        <w:t> cover) for countries that received emergency rescue loans, project loans and infrastructure project loans from China between 2000 and 2021. The averages are weighted by the commitment amounts of the emergency</w:t>
      </w:r>
      <w:r>
        <w:rPr>
          <w:i/>
          <w:spacing w:val="-1"/>
          <w:sz w:val="18"/>
        </w:rPr>
        <w:t> </w:t>
      </w:r>
      <w:r>
        <w:rPr>
          <w:i/>
          <w:sz w:val="18"/>
        </w:rPr>
        <w:t>rescue,</w:t>
      </w:r>
      <w:r>
        <w:rPr>
          <w:i/>
          <w:spacing w:val="-1"/>
          <w:sz w:val="18"/>
        </w:rPr>
        <w:t> </w:t>
      </w:r>
      <w:r>
        <w:rPr>
          <w:i/>
          <w:sz w:val="18"/>
        </w:rPr>
        <w:t>project,</w:t>
      </w:r>
      <w:r>
        <w:rPr>
          <w:i/>
          <w:spacing w:val="-1"/>
          <w:sz w:val="18"/>
        </w:rPr>
        <w:t> </w:t>
      </w:r>
      <w:r>
        <w:rPr>
          <w:i/>
          <w:sz w:val="18"/>
        </w:rPr>
        <w:t>and</w:t>
      </w:r>
      <w:r>
        <w:rPr>
          <w:i/>
          <w:spacing w:val="-1"/>
          <w:sz w:val="18"/>
        </w:rPr>
        <w:t> </w:t>
      </w:r>
      <w:r>
        <w:rPr>
          <w:i/>
          <w:sz w:val="18"/>
        </w:rPr>
        <w:t>infrastructure</w:t>
      </w:r>
      <w:r>
        <w:rPr>
          <w:i/>
          <w:spacing w:val="-1"/>
          <w:sz w:val="18"/>
        </w:rPr>
        <w:t> </w:t>
      </w:r>
      <w:r>
        <w:rPr>
          <w:i/>
          <w:sz w:val="18"/>
        </w:rPr>
        <w:t>project</w:t>
      </w:r>
      <w:r>
        <w:rPr>
          <w:i/>
          <w:spacing w:val="-1"/>
          <w:sz w:val="18"/>
        </w:rPr>
        <w:t> </w:t>
      </w:r>
      <w:r>
        <w:rPr>
          <w:i/>
          <w:sz w:val="18"/>
        </w:rPr>
        <w:t>loans</w:t>
      </w:r>
      <w:r>
        <w:rPr>
          <w:i/>
          <w:spacing w:val="-1"/>
          <w:sz w:val="18"/>
        </w:rPr>
        <w:t> </w:t>
      </w:r>
      <w:r>
        <w:rPr>
          <w:i/>
          <w:sz w:val="18"/>
        </w:rPr>
        <w:t>from</w:t>
      </w:r>
      <w:r>
        <w:rPr>
          <w:i/>
          <w:spacing w:val="-1"/>
          <w:sz w:val="18"/>
        </w:rPr>
        <w:t> </w:t>
      </w:r>
      <w:r>
        <w:rPr>
          <w:i/>
          <w:sz w:val="18"/>
        </w:rPr>
        <w:t>the</w:t>
      </w:r>
      <w:r>
        <w:rPr>
          <w:i/>
          <w:spacing w:val="-1"/>
          <w:sz w:val="18"/>
        </w:rPr>
        <w:t> </w:t>
      </w:r>
      <w:r>
        <w:rPr>
          <w:i/>
          <w:sz w:val="18"/>
        </w:rPr>
        <w:t>3.0</w:t>
      </w:r>
      <w:r>
        <w:rPr>
          <w:i/>
          <w:spacing w:val="-1"/>
          <w:sz w:val="18"/>
        </w:rPr>
        <w:t> </w:t>
      </w:r>
      <w:r>
        <w:rPr>
          <w:i/>
          <w:sz w:val="18"/>
        </w:rPr>
        <w:t>version</w:t>
      </w:r>
      <w:r>
        <w:rPr>
          <w:i/>
          <w:spacing w:val="-1"/>
          <w:sz w:val="18"/>
        </w:rPr>
        <w:t> </w:t>
      </w:r>
      <w:r>
        <w:rPr>
          <w:i/>
          <w:sz w:val="18"/>
        </w:rPr>
        <w:t>of</w:t>
      </w:r>
      <w:r>
        <w:rPr>
          <w:i/>
          <w:spacing w:val="-1"/>
          <w:sz w:val="18"/>
        </w:rPr>
        <w:t> </w:t>
      </w:r>
      <w:r>
        <w:rPr>
          <w:i/>
          <w:sz w:val="18"/>
        </w:rPr>
        <w:t>AidData’s</w:t>
      </w:r>
      <w:r>
        <w:rPr>
          <w:i/>
          <w:spacing w:val="-1"/>
          <w:sz w:val="18"/>
        </w:rPr>
        <w:t> </w:t>
      </w:r>
      <w:r>
        <w:rPr>
          <w:i/>
          <w:sz w:val="18"/>
        </w:rPr>
        <w:t>GCDF</w:t>
      </w:r>
      <w:r>
        <w:rPr>
          <w:i/>
          <w:spacing w:val="-1"/>
          <w:sz w:val="18"/>
        </w:rPr>
        <w:t> </w:t>
      </w:r>
      <w:r>
        <w:rPr>
          <w:i/>
          <w:sz w:val="18"/>
        </w:rPr>
        <w:t>dataset. The data on gross reserves in months of imports are drawn from the World Bank’s World Development Indicators. The sovereign risk ratings data are derived from the World Bank’s sovrate index using the conversion scale in Séri (2021). Sovrate is a measure of repayment risk that varies from 0 to 21, with higher scores indicating lower levels of sovereign credit risk (Kose et al. 2022).</w:t>
      </w:r>
    </w:p>
    <w:p>
      <w:pPr>
        <w:pStyle w:val="BodyText"/>
        <w:rPr>
          <w:i/>
          <w:sz w:val="20"/>
        </w:rPr>
      </w:pPr>
    </w:p>
    <w:p>
      <w:pPr>
        <w:pStyle w:val="BodyText"/>
        <w:rPr>
          <w:i/>
          <w:sz w:val="20"/>
        </w:rPr>
      </w:pPr>
    </w:p>
    <w:p>
      <w:pPr>
        <w:pStyle w:val="BodyText"/>
        <w:rPr>
          <w:i/>
          <w:sz w:val="20"/>
        </w:rPr>
      </w:pPr>
    </w:p>
    <w:p>
      <w:pPr>
        <w:pStyle w:val="BodyText"/>
        <w:spacing w:before="10"/>
        <w:rPr>
          <w:i/>
          <w:sz w:val="28"/>
        </w:rPr>
      </w:pPr>
      <w:r>
        <w:rPr/>
        <w:pict>
          <v:shape style="position:absolute;margin-left:90pt;margin-top:17.817581pt;width:144pt;height:.1pt;mso-position-horizontal-relative:page;mso-position-vertical-relative:paragraph;z-index:-15703552;mso-wrap-distance-left:0;mso-wrap-distance-right:0" id="docshape47" coordorigin="1800,356" coordsize="2880,0" path="m1800,356l4680,356e" filled="false" stroked="true" strokeweight=".75pt" strokecolor="#000000">
            <v:path arrowok="t"/>
            <v:stroke dashstyle="solid"/>
            <w10:wrap type="topAndBottom"/>
          </v:shape>
        </w:pict>
      </w:r>
    </w:p>
    <w:p>
      <w:pPr>
        <w:spacing w:line="249" w:lineRule="auto" w:before="107"/>
        <w:ind w:left="760" w:right="794" w:firstLine="0"/>
        <w:jc w:val="left"/>
        <w:rPr>
          <w:sz w:val="18"/>
        </w:rPr>
      </w:pPr>
      <w:r>
        <w:rPr>
          <w:sz w:val="18"/>
          <w:vertAlign w:val="superscript"/>
        </w:rPr>
        <w:t>138</w:t>
      </w:r>
      <w:r>
        <w:rPr>
          <w:spacing w:val="-5"/>
          <w:sz w:val="18"/>
          <w:vertAlign w:val="baseline"/>
        </w:rPr>
        <w:t> </w:t>
      </w:r>
      <w:r>
        <w:rPr>
          <w:sz w:val="18"/>
          <w:vertAlign w:val="baseline"/>
        </w:rPr>
        <w:t>The</w:t>
      </w:r>
      <w:r>
        <w:rPr>
          <w:spacing w:val="-4"/>
          <w:sz w:val="18"/>
          <w:vertAlign w:val="baseline"/>
        </w:rPr>
        <w:t> </w:t>
      </w:r>
      <w:r>
        <w:rPr>
          <w:sz w:val="18"/>
          <w:vertAlign w:val="baseline"/>
        </w:rPr>
        <w:t>sovereign</w:t>
      </w:r>
      <w:r>
        <w:rPr>
          <w:spacing w:val="-4"/>
          <w:sz w:val="18"/>
          <w:vertAlign w:val="baseline"/>
        </w:rPr>
        <w:t> </w:t>
      </w:r>
      <w:r>
        <w:rPr>
          <w:sz w:val="18"/>
          <w:vertAlign w:val="baseline"/>
        </w:rPr>
        <w:t>risk</w:t>
      </w:r>
      <w:r>
        <w:rPr>
          <w:spacing w:val="-4"/>
          <w:sz w:val="18"/>
          <w:vertAlign w:val="baseline"/>
        </w:rPr>
        <w:t> </w:t>
      </w:r>
      <w:r>
        <w:rPr>
          <w:sz w:val="18"/>
          <w:vertAlign w:val="baseline"/>
        </w:rPr>
        <w:t>ratings</w:t>
      </w:r>
      <w:r>
        <w:rPr>
          <w:spacing w:val="-4"/>
          <w:sz w:val="18"/>
          <w:vertAlign w:val="baseline"/>
        </w:rPr>
        <w:t> </w:t>
      </w:r>
      <w:r>
        <w:rPr>
          <w:sz w:val="18"/>
          <w:vertAlign w:val="baseline"/>
        </w:rPr>
        <w:t>produced</w:t>
      </w:r>
      <w:r>
        <w:rPr>
          <w:spacing w:val="-4"/>
          <w:sz w:val="18"/>
          <w:vertAlign w:val="baseline"/>
        </w:rPr>
        <w:t> </w:t>
      </w:r>
      <w:r>
        <w:rPr>
          <w:sz w:val="18"/>
          <w:vertAlign w:val="baseline"/>
        </w:rPr>
        <w:t>by</w:t>
      </w:r>
      <w:r>
        <w:rPr>
          <w:spacing w:val="-4"/>
          <w:sz w:val="18"/>
          <w:vertAlign w:val="baseline"/>
        </w:rPr>
        <w:t> </w:t>
      </w:r>
      <w:r>
        <w:rPr>
          <w:sz w:val="18"/>
          <w:vertAlign w:val="baseline"/>
        </w:rPr>
        <w:t>Moody’s</w:t>
      </w:r>
      <w:r>
        <w:rPr>
          <w:spacing w:val="-4"/>
          <w:sz w:val="18"/>
          <w:vertAlign w:val="baseline"/>
        </w:rPr>
        <w:t> </w:t>
      </w:r>
      <w:r>
        <w:rPr>
          <w:sz w:val="18"/>
          <w:vertAlign w:val="baseline"/>
        </w:rPr>
        <w:t>take</w:t>
      </w:r>
      <w:r>
        <w:rPr>
          <w:spacing w:val="-4"/>
          <w:sz w:val="18"/>
          <w:vertAlign w:val="baseline"/>
        </w:rPr>
        <w:t> </w:t>
      </w:r>
      <w:r>
        <w:rPr>
          <w:sz w:val="18"/>
          <w:vertAlign w:val="baseline"/>
        </w:rPr>
        <w:t>one</w:t>
      </w:r>
      <w:r>
        <w:rPr>
          <w:spacing w:val="-4"/>
          <w:sz w:val="18"/>
          <w:vertAlign w:val="baseline"/>
        </w:rPr>
        <w:t> </w:t>
      </w:r>
      <w:r>
        <w:rPr>
          <w:sz w:val="18"/>
          <w:vertAlign w:val="baseline"/>
        </w:rPr>
        <w:t>of</w:t>
      </w:r>
      <w:r>
        <w:rPr>
          <w:spacing w:val="-4"/>
          <w:sz w:val="18"/>
          <w:vertAlign w:val="baseline"/>
        </w:rPr>
        <w:t> </w:t>
      </w:r>
      <w:r>
        <w:rPr>
          <w:sz w:val="18"/>
          <w:vertAlign w:val="baseline"/>
        </w:rPr>
        <w:t>21</w:t>
      </w:r>
      <w:r>
        <w:rPr>
          <w:spacing w:val="-4"/>
          <w:sz w:val="18"/>
          <w:vertAlign w:val="baseline"/>
        </w:rPr>
        <w:t> </w:t>
      </w:r>
      <w:r>
        <w:rPr>
          <w:sz w:val="18"/>
          <w:vertAlign w:val="baseline"/>
        </w:rPr>
        <w:t>categorical</w:t>
      </w:r>
      <w:r>
        <w:rPr>
          <w:spacing w:val="-4"/>
          <w:sz w:val="18"/>
          <w:vertAlign w:val="baseline"/>
        </w:rPr>
        <w:t> </w:t>
      </w:r>
      <w:r>
        <w:rPr>
          <w:sz w:val="18"/>
          <w:vertAlign w:val="baseline"/>
        </w:rPr>
        <w:t>values,</w:t>
      </w:r>
      <w:r>
        <w:rPr>
          <w:spacing w:val="-4"/>
          <w:sz w:val="18"/>
          <w:vertAlign w:val="baseline"/>
        </w:rPr>
        <w:t> </w:t>
      </w:r>
      <w:r>
        <w:rPr>
          <w:sz w:val="18"/>
          <w:vertAlign w:val="baseline"/>
        </w:rPr>
        <w:t>where</w:t>
      </w:r>
      <w:r>
        <w:rPr>
          <w:spacing w:val="-4"/>
          <w:sz w:val="18"/>
          <w:vertAlign w:val="baseline"/>
        </w:rPr>
        <w:t> </w:t>
      </w:r>
      <w:r>
        <w:rPr>
          <w:sz w:val="18"/>
          <w:vertAlign w:val="baseline"/>
        </w:rPr>
        <w:t>Aaa</w:t>
      </w:r>
      <w:r>
        <w:rPr>
          <w:spacing w:val="-4"/>
          <w:sz w:val="18"/>
          <w:vertAlign w:val="baseline"/>
        </w:rPr>
        <w:t> </w:t>
      </w:r>
      <w:r>
        <w:rPr>
          <w:sz w:val="18"/>
          <w:vertAlign w:val="baseline"/>
        </w:rPr>
        <w:t>represents the lowest level of risk and C represents the highest level of risk. The sovereign risk ratings produced by Fitch take one of 21 categorical values, where AAA represents the lowest level of risk and D represents the highest level of risk. The sovereign risk ratings produced by S&amp;P take one of 21 categorical values, where AAA represents the lowest level of risk and C/D represents the highest level of risk. For more details, see Séri (2021).</w:t>
      </w:r>
    </w:p>
    <w:p>
      <w:pPr>
        <w:spacing w:line="249" w:lineRule="auto" w:before="5"/>
        <w:ind w:left="760" w:right="767" w:firstLine="0"/>
        <w:jc w:val="left"/>
        <w:rPr>
          <w:sz w:val="18"/>
        </w:rPr>
      </w:pPr>
      <w:r>
        <w:rPr>
          <w:sz w:val="18"/>
          <w:vertAlign w:val="superscript"/>
        </w:rPr>
        <w:t>139</w:t>
      </w:r>
      <w:r>
        <w:rPr>
          <w:sz w:val="18"/>
          <w:vertAlign w:val="baseline"/>
        </w:rPr>
        <w:t> Horn et al. (2023a) uses loan commitments for non-emergency purposes as a proxy for “project loans” and</w:t>
      </w:r>
      <w:r>
        <w:rPr>
          <w:spacing w:val="-6"/>
          <w:sz w:val="18"/>
          <w:vertAlign w:val="baseline"/>
        </w:rPr>
        <w:t> </w:t>
      </w:r>
      <w:r>
        <w:rPr>
          <w:sz w:val="18"/>
          <w:vertAlign w:val="baseline"/>
        </w:rPr>
        <w:t>relies</w:t>
      </w:r>
      <w:r>
        <w:rPr>
          <w:spacing w:val="-6"/>
          <w:sz w:val="18"/>
          <w:vertAlign w:val="baseline"/>
        </w:rPr>
        <w:t> </w:t>
      </w:r>
      <w:r>
        <w:rPr>
          <w:sz w:val="18"/>
          <w:vertAlign w:val="baseline"/>
        </w:rPr>
        <w:t>on</w:t>
      </w:r>
      <w:r>
        <w:rPr>
          <w:spacing w:val="-6"/>
          <w:sz w:val="18"/>
          <w:vertAlign w:val="baseline"/>
        </w:rPr>
        <w:t> </w:t>
      </w:r>
      <w:r>
        <w:rPr>
          <w:sz w:val="18"/>
          <w:vertAlign w:val="baseline"/>
        </w:rPr>
        <w:t>the</w:t>
      </w:r>
      <w:r>
        <w:rPr>
          <w:spacing w:val="-6"/>
          <w:sz w:val="18"/>
          <w:vertAlign w:val="baseline"/>
        </w:rPr>
        <w:t> </w:t>
      </w:r>
      <w:r>
        <w:rPr>
          <w:sz w:val="18"/>
          <w:vertAlign w:val="baseline"/>
        </w:rPr>
        <w:t>2.0</w:t>
      </w:r>
      <w:r>
        <w:rPr>
          <w:spacing w:val="-6"/>
          <w:sz w:val="18"/>
          <w:vertAlign w:val="baseline"/>
        </w:rPr>
        <w:t> </w:t>
      </w:r>
      <w:r>
        <w:rPr>
          <w:sz w:val="18"/>
          <w:vertAlign w:val="baseline"/>
        </w:rPr>
        <w:t>version</w:t>
      </w:r>
      <w:r>
        <w:rPr>
          <w:spacing w:val="-6"/>
          <w:sz w:val="18"/>
          <w:vertAlign w:val="baseline"/>
        </w:rPr>
        <w:t> </w:t>
      </w:r>
      <w:r>
        <w:rPr>
          <w:sz w:val="18"/>
          <w:vertAlign w:val="baseline"/>
        </w:rPr>
        <w:t>of</w:t>
      </w:r>
      <w:r>
        <w:rPr>
          <w:spacing w:val="-6"/>
          <w:sz w:val="18"/>
          <w:vertAlign w:val="baseline"/>
        </w:rPr>
        <w:t> </w:t>
      </w:r>
      <w:r>
        <w:rPr>
          <w:sz w:val="18"/>
          <w:vertAlign w:val="baseline"/>
        </w:rPr>
        <w:t>AidData’s</w:t>
      </w:r>
      <w:r>
        <w:rPr>
          <w:spacing w:val="-6"/>
          <w:sz w:val="18"/>
          <w:vertAlign w:val="baseline"/>
        </w:rPr>
        <w:t> </w:t>
      </w:r>
      <w:r>
        <w:rPr>
          <w:sz w:val="18"/>
          <w:vertAlign w:val="baseline"/>
        </w:rPr>
        <w:t>GCDF</w:t>
      </w:r>
      <w:r>
        <w:rPr>
          <w:spacing w:val="-6"/>
          <w:sz w:val="18"/>
          <w:vertAlign w:val="baseline"/>
        </w:rPr>
        <w:t> </w:t>
      </w:r>
      <w:r>
        <w:rPr>
          <w:sz w:val="18"/>
          <w:vertAlign w:val="baseline"/>
        </w:rPr>
        <w:t>dataset.</w:t>
      </w:r>
      <w:r>
        <w:rPr>
          <w:spacing w:val="-6"/>
          <w:sz w:val="18"/>
          <w:vertAlign w:val="baseline"/>
        </w:rPr>
        <w:t> </w:t>
      </w:r>
      <w:r>
        <w:rPr>
          <w:sz w:val="18"/>
          <w:vertAlign w:val="baseline"/>
        </w:rPr>
        <w:t>Table</w:t>
      </w:r>
      <w:r>
        <w:rPr>
          <w:spacing w:val="-6"/>
          <w:sz w:val="18"/>
          <w:vertAlign w:val="baseline"/>
        </w:rPr>
        <w:t> </w:t>
      </w:r>
      <w:r>
        <w:rPr>
          <w:sz w:val="18"/>
          <w:vertAlign w:val="baseline"/>
        </w:rPr>
        <w:t>2.2</w:t>
      </w:r>
      <w:r>
        <w:rPr>
          <w:spacing w:val="-6"/>
          <w:sz w:val="18"/>
          <w:vertAlign w:val="baseline"/>
        </w:rPr>
        <w:t> </w:t>
      </w:r>
      <w:r>
        <w:rPr>
          <w:sz w:val="18"/>
          <w:vertAlign w:val="baseline"/>
        </w:rPr>
        <w:t>uses</w:t>
      </w:r>
      <w:r>
        <w:rPr>
          <w:spacing w:val="-6"/>
          <w:sz w:val="18"/>
          <w:vertAlign w:val="baseline"/>
        </w:rPr>
        <w:t> </w:t>
      </w:r>
      <w:r>
        <w:rPr>
          <w:sz w:val="18"/>
          <w:vertAlign w:val="baseline"/>
        </w:rPr>
        <w:t>the</w:t>
      </w:r>
      <w:r>
        <w:rPr>
          <w:spacing w:val="-6"/>
          <w:sz w:val="18"/>
          <w:vertAlign w:val="baseline"/>
        </w:rPr>
        <w:t> </w:t>
      </w:r>
      <w:r>
        <w:rPr>
          <w:sz w:val="18"/>
          <w:vertAlign w:val="baseline"/>
        </w:rPr>
        <w:t>3.0</w:t>
      </w:r>
      <w:r>
        <w:rPr>
          <w:spacing w:val="-6"/>
          <w:sz w:val="18"/>
          <w:vertAlign w:val="baseline"/>
        </w:rPr>
        <w:t> </w:t>
      </w:r>
      <w:r>
        <w:rPr>
          <w:sz w:val="18"/>
          <w:vertAlign w:val="baseline"/>
        </w:rPr>
        <w:t>version</w:t>
      </w:r>
      <w:r>
        <w:rPr>
          <w:spacing w:val="-6"/>
          <w:sz w:val="18"/>
          <w:vertAlign w:val="baseline"/>
        </w:rPr>
        <w:t> </w:t>
      </w:r>
      <w:r>
        <w:rPr>
          <w:sz w:val="18"/>
          <w:vertAlign w:val="baseline"/>
        </w:rPr>
        <w:t>of</w:t>
      </w:r>
      <w:r>
        <w:rPr>
          <w:spacing w:val="-6"/>
          <w:sz w:val="18"/>
          <w:vertAlign w:val="baseline"/>
        </w:rPr>
        <w:t> </w:t>
      </w:r>
      <w:r>
        <w:rPr>
          <w:sz w:val="18"/>
          <w:vertAlign w:val="baseline"/>
        </w:rPr>
        <w:t>AidData’s</w:t>
      </w:r>
      <w:r>
        <w:rPr>
          <w:spacing w:val="-6"/>
          <w:sz w:val="18"/>
          <w:vertAlign w:val="baseline"/>
        </w:rPr>
        <w:t> </w:t>
      </w:r>
      <w:r>
        <w:rPr>
          <w:sz w:val="18"/>
          <w:vertAlign w:val="baseline"/>
        </w:rPr>
        <w:t>GCDF dataset, which allows for more precise measurement of project loans and infrastructure project loans. For more on these measurements, see footnote 130 and footnote 131.</w:t>
      </w:r>
    </w:p>
    <w:p>
      <w:pPr>
        <w:spacing w:line="249" w:lineRule="auto" w:before="2"/>
        <w:ind w:left="760" w:right="767" w:firstLine="0"/>
        <w:jc w:val="left"/>
        <w:rPr>
          <w:sz w:val="18"/>
        </w:rPr>
      </w:pPr>
      <w:r>
        <w:rPr>
          <w:sz w:val="18"/>
          <w:vertAlign w:val="superscript"/>
        </w:rPr>
        <w:t>140</w:t>
      </w:r>
      <w:r>
        <w:rPr>
          <w:spacing w:val="-2"/>
          <w:sz w:val="18"/>
          <w:vertAlign w:val="baseline"/>
        </w:rPr>
        <w:t> </w:t>
      </w:r>
      <w:r>
        <w:rPr>
          <w:sz w:val="18"/>
          <w:vertAlign w:val="baseline"/>
        </w:rPr>
        <w:t>Emergency</w:t>
      </w:r>
      <w:r>
        <w:rPr>
          <w:spacing w:val="-1"/>
          <w:sz w:val="18"/>
          <w:vertAlign w:val="baseline"/>
        </w:rPr>
        <w:t> </w:t>
      </w:r>
      <w:r>
        <w:rPr>
          <w:sz w:val="18"/>
          <w:vertAlign w:val="baseline"/>
        </w:rPr>
        <w:t>rescue</w:t>
      </w:r>
      <w:r>
        <w:rPr>
          <w:spacing w:val="-1"/>
          <w:sz w:val="18"/>
          <w:vertAlign w:val="baseline"/>
        </w:rPr>
        <w:t> </w:t>
      </w:r>
      <w:r>
        <w:rPr>
          <w:sz w:val="18"/>
          <w:vertAlign w:val="baseline"/>
        </w:rPr>
        <w:t>loans</w:t>
      </w:r>
      <w:r>
        <w:rPr>
          <w:spacing w:val="-1"/>
          <w:sz w:val="18"/>
          <w:vertAlign w:val="baseline"/>
        </w:rPr>
        <w:t> </w:t>
      </w:r>
      <w:r>
        <w:rPr>
          <w:sz w:val="18"/>
          <w:vertAlign w:val="baseline"/>
        </w:rPr>
        <w:t>and</w:t>
      </w:r>
      <w:r>
        <w:rPr>
          <w:spacing w:val="-1"/>
          <w:sz w:val="18"/>
          <w:vertAlign w:val="baseline"/>
        </w:rPr>
        <w:t> </w:t>
      </w:r>
      <w:r>
        <w:rPr>
          <w:sz w:val="18"/>
          <w:vertAlign w:val="baseline"/>
        </w:rPr>
        <w:t>debt</w:t>
      </w:r>
      <w:r>
        <w:rPr>
          <w:spacing w:val="-1"/>
          <w:sz w:val="18"/>
          <w:vertAlign w:val="baseline"/>
        </w:rPr>
        <w:t> </w:t>
      </w:r>
      <w:r>
        <w:rPr>
          <w:sz w:val="18"/>
          <w:vertAlign w:val="baseline"/>
        </w:rPr>
        <w:t>reschedulings</w:t>
      </w:r>
      <w:r>
        <w:rPr>
          <w:spacing w:val="-1"/>
          <w:sz w:val="18"/>
          <w:vertAlign w:val="baseline"/>
        </w:rPr>
        <w:t> </w:t>
      </w:r>
      <w:r>
        <w:rPr>
          <w:sz w:val="18"/>
          <w:vertAlign w:val="baseline"/>
        </w:rPr>
        <w:t>are</w:t>
      </w:r>
      <w:r>
        <w:rPr>
          <w:spacing w:val="-1"/>
          <w:sz w:val="18"/>
          <w:vertAlign w:val="baseline"/>
        </w:rPr>
        <w:t> </w:t>
      </w:r>
      <w:r>
        <w:rPr>
          <w:sz w:val="18"/>
          <w:vertAlign w:val="baseline"/>
        </w:rPr>
        <w:t>similar</w:t>
      </w:r>
      <w:r>
        <w:rPr>
          <w:spacing w:val="-1"/>
          <w:sz w:val="18"/>
          <w:vertAlign w:val="baseline"/>
        </w:rPr>
        <w:t> </w:t>
      </w:r>
      <w:r>
        <w:rPr>
          <w:sz w:val="18"/>
          <w:vertAlign w:val="baseline"/>
        </w:rPr>
        <w:t>in</w:t>
      </w:r>
      <w:r>
        <w:rPr>
          <w:spacing w:val="-1"/>
          <w:sz w:val="18"/>
          <w:vertAlign w:val="baseline"/>
        </w:rPr>
        <w:t> </w:t>
      </w:r>
      <w:r>
        <w:rPr>
          <w:sz w:val="18"/>
          <w:vertAlign w:val="baseline"/>
        </w:rPr>
        <w:t>that</w:t>
      </w:r>
      <w:r>
        <w:rPr>
          <w:spacing w:val="-1"/>
          <w:sz w:val="18"/>
          <w:vertAlign w:val="baseline"/>
        </w:rPr>
        <w:t> </w:t>
      </w:r>
      <w:r>
        <w:rPr>
          <w:sz w:val="18"/>
          <w:vertAlign w:val="baseline"/>
        </w:rPr>
        <w:t>they</w:t>
      </w:r>
      <w:r>
        <w:rPr>
          <w:spacing w:val="-1"/>
          <w:sz w:val="18"/>
          <w:vertAlign w:val="baseline"/>
        </w:rPr>
        <w:t> </w:t>
      </w:r>
      <w:r>
        <w:rPr>
          <w:sz w:val="18"/>
          <w:vertAlign w:val="baseline"/>
        </w:rPr>
        <w:t>both</w:t>
      </w:r>
      <w:r>
        <w:rPr>
          <w:spacing w:val="-1"/>
          <w:sz w:val="18"/>
          <w:vertAlign w:val="baseline"/>
        </w:rPr>
        <w:t> </w:t>
      </w:r>
      <w:r>
        <w:rPr>
          <w:sz w:val="18"/>
          <w:vertAlign w:val="baseline"/>
        </w:rPr>
        <w:t>provide</w:t>
      </w:r>
      <w:r>
        <w:rPr>
          <w:spacing w:val="-1"/>
          <w:sz w:val="18"/>
          <w:vertAlign w:val="baseline"/>
        </w:rPr>
        <w:t> </w:t>
      </w:r>
      <w:r>
        <w:rPr>
          <w:sz w:val="18"/>
          <w:vertAlign w:val="baseline"/>
        </w:rPr>
        <w:t>cash</w:t>
      </w:r>
      <w:r>
        <w:rPr>
          <w:spacing w:val="-1"/>
          <w:sz w:val="18"/>
          <w:vertAlign w:val="baseline"/>
        </w:rPr>
        <w:t> </w:t>
      </w:r>
      <w:r>
        <w:rPr>
          <w:sz w:val="18"/>
          <w:vertAlign w:val="baseline"/>
        </w:rPr>
        <w:t>ﬂow</w:t>
      </w:r>
      <w:r>
        <w:rPr>
          <w:spacing w:val="-1"/>
          <w:sz w:val="18"/>
          <w:vertAlign w:val="baseline"/>
        </w:rPr>
        <w:t> </w:t>
      </w:r>
      <w:r>
        <w:rPr>
          <w:sz w:val="18"/>
          <w:vertAlign w:val="baseline"/>
        </w:rPr>
        <w:t>relief</w:t>
      </w:r>
      <w:r>
        <w:rPr>
          <w:spacing w:val="-1"/>
          <w:sz w:val="18"/>
          <w:vertAlign w:val="baseline"/>
        </w:rPr>
        <w:t> </w:t>
      </w:r>
      <w:r>
        <w:rPr>
          <w:sz w:val="18"/>
          <w:vertAlign w:val="baseline"/>
        </w:rPr>
        <w:t>to insufﬁciently liquid borrowers. In this way, they can both be used to “bail out” a borrower (Horn et al.</w:t>
      </w:r>
    </w:p>
    <w:p>
      <w:pPr>
        <w:spacing w:before="2"/>
        <w:ind w:left="760" w:right="0" w:firstLine="0"/>
        <w:jc w:val="left"/>
        <w:rPr>
          <w:sz w:val="18"/>
        </w:rPr>
      </w:pPr>
      <w:r>
        <w:rPr>
          <w:spacing w:val="-2"/>
          <w:sz w:val="18"/>
        </w:rPr>
        <w:t>2023b).</w:t>
      </w:r>
    </w:p>
    <w:p>
      <w:pPr>
        <w:spacing w:after="0"/>
        <w:jc w:val="left"/>
        <w:rPr>
          <w:sz w:val="18"/>
        </w:rPr>
        <w:sectPr>
          <w:type w:val="continuous"/>
          <w:pgSz w:w="12240" w:h="15840"/>
          <w:pgMar w:header="0" w:footer="720" w:top="1460" w:bottom="280" w:left="1040" w:right="1040"/>
        </w:sectPr>
      </w:pPr>
    </w:p>
    <w:p>
      <w:pPr>
        <w:pStyle w:val="BodyText"/>
        <w:spacing w:line="333" w:lineRule="auto" w:before="27"/>
        <w:ind w:left="760" w:right="767"/>
      </w:pPr>
      <w:r>
        <w:rPr/>
        <w:t>In</w:t>
      </w:r>
      <w:r>
        <w:rPr>
          <w:spacing w:val="-6"/>
        </w:rPr>
        <w:t> </w:t>
      </w:r>
      <w:r>
        <w:rPr/>
        <w:t>Figure</w:t>
      </w:r>
      <w:r>
        <w:rPr>
          <w:spacing w:val="-6"/>
        </w:rPr>
        <w:t> </w:t>
      </w:r>
      <w:r>
        <w:rPr/>
        <w:t>2.9,</w:t>
      </w:r>
      <w:r>
        <w:rPr>
          <w:spacing w:val="-6"/>
        </w:rPr>
        <w:t> </w:t>
      </w:r>
      <w:r>
        <w:rPr/>
        <w:t>we</w:t>
      </w:r>
      <w:r>
        <w:rPr>
          <w:spacing w:val="-6"/>
        </w:rPr>
        <w:t> </w:t>
      </w:r>
      <w:r>
        <w:rPr/>
        <w:t>take</w:t>
      </w:r>
      <w:r>
        <w:rPr>
          <w:spacing w:val="-6"/>
        </w:rPr>
        <w:t> </w:t>
      </w:r>
      <w:r>
        <w:rPr/>
        <w:t>the</w:t>
      </w:r>
      <w:r>
        <w:rPr>
          <w:spacing w:val="-6"/>
        </w:rPr>
        <w:t> </w:t>
      </w:r>
      <w:r>
        <w:rPr/>
        <w:t>analysis</w:t>
      </w:r>
      <w:r>
        <w:rPr>
          <w:spacing w:val="-6"/>
        </w:rPr>
        <w:t> </w:t>
      </w:r>
      <w:r>
        <w:rPr/>
        <w:t>one</w:t>
      </w:r>
      <w:r>
        <w:rPr>
          <w:spacing w:val="-6"/>
        </w:rPr>
        <w:t> </w:t>
      </w:r>
      <w:r>
        <w:rPr/>
        <w:t>step</w:t>
      </w:r>
      <w:r>
        <w:rPr>
          <w:spacing w:val="-6"/>
        </w:rPr>
        <w:t> </w:t>
      </w:r>
      <w:r>
        <w:rPr/>
        <w:t>further.</w:t>
      </w:r>
      <w:r>
        <w:rPr>
          <w:spacing w:val="-6"/>
        </w:rPr>
        <w:t> </w:t>
      </w:r>
      <w:r>
        <w:rPr/>
        <w:t>We</w:t>
      </w:r>
      <w:r>
        <w:rPr>
          <w:spacing w:val="-6"/>
        </w:rPr>
        <w:t> </w:t>
      </w:r>
      <w:r>
        <w:rPr/>
        <w:t>ﬁrst</w:t>
      </w:r>
      <w:r>
        <w:rPr>
          <w:spacing w:val="-6"/>
        </w:rPr>
        <w:t> </w:t>
      </w:r>
      <w:r>
        <w:rPr/>
        <w:t>use</w:t>
      </w:r>
      <w:r>
        <w:rPr>
          <w:spacing w:val="-6"/>
        </w:rPr>
        <w:t> </w:t>
      </w:r>
      <w:r>
        <w:rPr/>
        <w:t>the</w:t>
      </w:r>
      <w:r>
        <w:rPr>
          <w:spacing w:val="-6"/>
        </w:rPr>
        <w:t> </w:t>
      </w:r>
      <w:r>
        <w:rPr/>
        <w:t>country-year level measure of ﬁnancial distress (that we introduced in Chapter 1) to identify Beijing’s 50 largest LIC and MIC borrowers that experienced ﬁnancial distress at some point between 2000 and 2021.</w:t>
      </w:r>
      <w:r>
        <w:rPr>
          <w:vertAlign w:val="superscript"/>
        </w:rPr>
        <w:t>141</w:t>
      </w:r>
      <w:r>
        <w:rPr>
          <w:vertAlign w:val="baseline"/>
        </w:rPr>
        <w:t> We then identify the timing of bailouts (emergency rescue loans) and debt reschedulings (cash ﬂow relief) from Beijing in relation to the onset and duration of ﬁnancial distress episodes.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3"/>
        </w:rPr>
      </w:pPr>
      <w:r>
        <w:rPr/>
        <w:pict>
          <v:shape style="position:absolute;margin-left:90pt;margin-top:8.882227pt;width:144pt;height:.1pt;mso-position-horizontal-relative:page;mso-position-vertical-relative:paragraph;z-index:-15703040;mso-wrap-distance-left:0;mso-wrap-distance-right:0" id="docshape48" coordorigin="1800,178" coordsize="2880,0" path="m1800,178l4680,178e" filled="false" stroked="true" strokeweight=".75pt" strokecolor="#000000">
            <v:path arrowok="t"/>
            <v:stroke dashstyle="solid"/>
            <w10:wrap type="topAndBottom"/>
          </v:shape>
        </w:pict>
      </w:r>
    </w:p>
    <w:p>
      <w:pPr>
        <w:spacing w:line="249" w:lineRule="auto" w:before="110"/>
        <w:ind w:left="760" w:right="767" w:firstLine="0"/>
        <w:jc w:val="left"/>
        <w:rPr>
          <w:sz w:val="18"/>
        </w:rPr>
      </w:pPr>
      <w:r>
        <w:rPr>
          <w:w w:val="105"/>
          <w:sz w:val="18"/>
          <w:vertAlign w:val="superscript"/>
        </w:rPr>
        <w:t>141</w:t>
      </w:r>
      <w:r>
        <w:rPr>
          <w:spacing w:val="-13"/>
          <w:w w:val="105"/>
          <w:sz w:val="18"/>
          <w:vertAlign w:val="baseline"/>
        </w:rPr>
        <w:t> </w:t>
      </w:r>
      <w:r>
        <w:rPr>
          <w:w w:val="105"/>
          <w:sz w:val="18"/>
          <w:vertAlign w:val="baseline"/>
        </w:rPr>
        <w:t>In</w:t>
      </w:r>
      <w:r>
        <w:rPr>
          <w:spacing w:val="-12"/>
          <w:w w:val="105"/>
          <w:sz w:val="18"/>
          <w:vertAlign w:val="baseline"/>
        </w:rPr>
        <w:t> </w:t>
      </w:r>
      <w:r>
        <w:rPr>
          <w:w w:val="105"/>
          <w:sz w:val="18"/>
          <w:vertAlign w:val="baseline"/>
        </w:rPr>
        <w:t>order</w:t>
      </w:r>
      <w:r>
        <w:rPr>
          <w:spacing w:val="-12"/>
          <w:w w:val="105"/>
          <w:sz w:val="18"/>
          <w:vertAlign w:val="baseline"/>
        </w:rPr>
        <w:t> </w:t>
      </w:r>
      <w:r>
        <w:rPr>
          <w:w w:val="105"/>
          <w:sz w:val="18"/>
          <w:vertAlign w:val="baseline"/>
        </w:rPr>
        <w:t>to</w:t>
      </w:r>
      <w:r>
        <w:rPr>
          <w:spacing w:val="-12"/>
          <w:w w:val="105"/>
          <w:sz w:val="18"/>
          <w:vertAlign w:val="baseline"/>
        </w:rPr>
        <w:t> </w:t>
      </w:r>
      <w:r>
        <w:rPr>
          <w:w w:val="105"/>
          <w:sz w:val="18"/>
          <w:vertAlign w:val="baseline"/>
        </w:rPr>
        <w:t>differentiate</w:t>
      </w:r>
      <w:r>
        <w:rPr>
          <w:spacing w:val="-12"/>
          <w:w w:val="105"/>
          <w:sz w:val="18"/>
          <w:vertAlign w:val="baseline"/>
        </w:rPr>
        <w:t> </w:t>
      </w:r>
      <w:r>
        <w:rPr>
          <w:w w:val="105"/>
          <w:sz w:val="18"/>
          <w:vertAlign w:val="baseline"/>
        </w:rPr>
        <w:t>between</w:t>
      </w:r>
      <w:r>
        <w:rPr>
          <w:spacing w:val="-12"/>
          <w:w w:val="105"/>
          <w:sz w:val="18"/>
          <w:vertAlign w:val="baseline"/>
        </w:rPr>
        <w:t> </w:t>
      </w:r>
      <w:r>
        <w:rPr>
          <w:w w:val="105"/>
          <w:sz w:val="18"/>
          <w:vertAlign w:val="baseline"/>
        </w:rPr>
        <w:t>repayment</w:t>
      </w:r>
      <w:r>
        <w:rPr>
          <w:spacing w:val="-12"/>
          <w:w w:val="105"/>
          <w:sz w:val="18"/>
          <w:vertAlign w:val="baseline"/>
        </w:rPr>
        <w:t> </w:t>
      </w:r>
      <w:r>
        <w:rPr>
          <w:w w:val="105"/>
          <w:sz w:val="18"/>
          <w:vertAlign w:val="baseline"/>
        </w:rPr>
        <w:t>risks</w:t>
      </w:r>
      <w:r>
        <w:rPr>
          <w:spacing w:val="-12"/>
          <w:w w:val="105"/>
          <w:sz w:val="18"/>
          <w:vertAlign w:val="baseline"/>
        </w:rPr>
        <w:t> </w:t>
      </w:r>
      <w:r>
        <w:rPr>
          <w:w w:val="105"/>
          <w:sz w:val="18"/>
          <w:vertAlign w:val="baseline"/>
        </w:rPr>
        <w:t>and</w:t>
      </w:r>
      <w:r>
        <w:rPr>
          <w:spacing w:val="-12"/>
          <w:w w:val="105"/>
          <w:sz w:val="18"/>
          <w:vertAlign w:val="baseline"/>
        </w:rPr>
        <w:t> </w:t>
      </w:r>
      <w:r>
        <w:rPr>
          <w:w w:val="105"/>
          <w:sz w:val="18"/>
          <w:vertAlign w:val="baseline"/>
        </w:rPr>
        <w:t>repayment</w:t>
      </w:r>
      <w:r>
        <w:rPr>
          <w:spacing w:val="-12"/>
          <w:w w:val="105"/>
          <w:sz w:val="18"/>
          <w:vertAlign w:val="baseline"/>
        </w:rPr>
        <w:t> </w:t>
      </w:r>
      <w:r>
        <w:rPr>
          <w:w w:val="105"/>
          <w:sz w:val="18"/>
          <w:vertAlign w:val="baseline"/>
        </w:rPr>
        <w:t>risk</w:t>
      </w:r>
      <w:r>
        <w:rPr>
          <w:spacing w:val="-12"/>
          <w:w w:val="105"/>
          <w:sz w:val="18"/>
          <w:vertAlign w:val="baseline"/>
        </w:rPr>
        <w:t> </w:t>
      </w:r>
      <w:r>
        <w:rPr>
          <w:w w:val="105"/>
          <w:sz w:val="18"/>
          <w:vertAlign w:val="baseline"/>
        </w:rPr>
        <w:t>mitigation</w:t>
      </w:r>
      <w:r>
        <w:rPr>
          <w:spacing w:val="-12"/>
          <w:w w:val="105"/>
          <w:sz w:val="18"/>
          <w:vertAlign w:val="baseline"/>
        </w:rPr>
        <w:t> </w:t>
      </w:r>
      <w:r>
        <w:rPr>
          <w:w w:val="105"/>
          <w:sz w:val="18"/>
          <w:vertAlign w:val="baseline"/>
        </w:rPr>
        <w:t>efforts,</w:t>
      </w:r>
      <w:r>
        <w:rPr>
          <w:spacing w:val="-12"/>
          <w:w w:val="105"/>
          <w:sz w:val="18"/>
          <w:vertAlign w:val="baseline"/>
        </w:rPr>
        <w:t> </w:t>
      </w:r>
      <w:r>
        <w:rPr>
          <w:w w:val="105"/>
          <w:sz w:val="18"/>
          <w:vertAlign w:val="baseline"/>
        </w:rPr>
        <w:t>we</w:t>
      </w:r>
      <w:r>
        <w:rPr>
          <w:spacing w:val="-12"/>
          <w:w w:val="105"/>
          <w:sz w:val="18"/>
          <w:vertAlign w:val="baseline"/>
        </w:rPr>
        <w:t> </w:t>
      </w:r>
      <w:r>
        <w:rPr>
          <w:w w:val="105"/>
          <w:sz w:val="18"/>
          <w:vertAlign w:val="baseline"/>
        </w:rPr>
        <w:t>modify</w:t>
      </w:r>
      <w:r>
        <w:rPr>
          <w:spacing w:val="-12"/>
          <w:w w:val="105"/>
          <w:sz w:val="18"/>
          <w:vertAlign w:val="baseline"/>
        </w:rPr>
        <w:t> </w:t>
      </w:r>
      <w:r>
        <w:rPr>
          <w:w w:val="105"/>
          <w:sz w:val="18"/>
          <w:vertAlign w:val="baseline"/>
        </w:rPr>
        <w:t>the </w:t>
      </w:r>
      <w:r>
        <w:rPr>
          <w:sz w:val="18"/>
          <w:vertAlign w:val="baseline"/>
        </w:rPr>
        <w:t>criteria for the ﬁnancial distress measure. Instead of using all loan records where the description ﬁeld in </w:t>
      </w:r>
      <w:r>
        <w:rPr>
          <w:sz w:val="18"/>
          <w:vertAlign w:val="baseline"/>
        </w:rPr>
        <w:t>the</w:t>
      </w:r>
    </w:p>
    <w:p>
      <w:pPr>
        <w:spacing w:line="249" w:lineRule="auto" w:before="1"/>
        <w:ind w:left="760" w:right="794" w:firstLine="0"/>
        <w:jc w:val="left"/>
        <w:rPr>
          <w:sz w:val="18"/>
        </w:rPr>
      </w:pPr>
      <w:r>
        <w:rPr>
          <w:sz w:val="18"/>
        </w:rPr>
        <w:t>3.0 GCDF dataset indicates that the borrower had difﬁculty making repayments or experienced ﬁnancial distress, we exclude all observations for which the only source of evidence of the borrower having </w:t>
      </w:r>
      <w:r>
        <w:rPr>
          <w:sz w:val="18"/>
        </w:rPr>
        <w:t>difﬁculty</w:t>
      </w:r>
      <w:r>
        <w:rPr>
          <w:sz w:val="18"/>
        </w:rPr>
        <w:t> making repayments or experiencing ﬁnancial distress is an attempted or actual debt rescheduling.</w:t>
      </w:r>
    </w:p>
    <w:p>
      <w:pPr>
        <w:spacing w:after="0" w:line="249" w:lineRule="auto"/>
        <w:jc w:val="left"/>
        <w:rPr>
          <w:sz w:val="18"/>
        </w:rPr>
        <w:sectPr>
          <w:pgSz w:w="12240" w:h="15840"/>
          <w:pgMar w:header="0" w:footer="720" w:top="1400" w:bottom="920" w:left="1040" w:right="1040"/>
        </w:sectPr>
      </w:pPr>
    </w:p>
    <w:p>
      <w:pPr>
        <w:pStyle w:val="BodyText"/>
        <w:rPr>
          <w:sz w:val="20"/>
        </w:rPr>
      </w:pPr>
    </w:p>
    <w:p>
      <w:pPr>
        <w:pStyle w:val="BodyText"/>
        <w:rPr>
          <w:sz w:val="20"/>
        </w:rPr>
      </w:pPr>
    </w:p>
    <w:p>
      <w:pPr>
        <w:pStyle w:val="BodyText"/>
        <w:spacing w:before="3"/>
        <w:rPr>
          <w:sz w:val="17"/>
        </w:rPr>
      </w:pPr>
    </w:p>
    <w:p>
      <w:pPr>
        <w:pStyle w:val="Heading2"/>
        <w:spacing w:line="285" w:lineRule="auto" w:before="97"/>
        <w:ind w:left="760" w:right="794"/>
      </w:pPr>
      <w:r>
        <w:rPr/>
        <w:drawing>
          <wp:anchor distT="0" distB="0" distL="0" distR="0" allowOverlap="1" layoutInCell="1" locked="0" behindDoc="0" simplePos="0" relativeHeight="51">
            <wp:simplePos x="0" y="0"/>
            <wp:positionH relativeFrom="page">
              <wp:posOffset>1188621</wp:posOffset>
            </wp:positionH>
            <wp:positionV relativeFrom="paragraph">
              <wp:posOffset>649313</wp:posOffset>
            </wp:positionV>
            <wp:extent cx="5228857" cy="6147434"/>
            <wp:effectExtent l="0" t="0" r="0" b="0"/>
            <wp:wrapTopAndBottom/>
            <wp:docPr id="17" name="image10.jpeg"/>
            <wp:cNvGraphicFramePr>
              <a:graphicFrameLocks noChangeAspect="1"/>
            </wp:cNvGraphicFramePr>
            <a:graphic>
              <a:graphicData uri="http://schemas.openxmlformats.org/drawingml/2006/picture">
                <pic:pic>
                  <pic:nvPicPr>
                    <pic:cNvPr id="18" name="image10.jpeg"/>
                    <pic:cNvPicPr/>
                  </pic:nvPicPr>
                  <pic:blipFill>
                    <a:blip r:embed="rId18" cstate="print"/>
                    <a:stretch>
                      <a:fillRect/>
                    </a:stretch>
                  </pic:blipFill>
                  <pic:spPr>
                    <a:xfrm>
                      <a:off x="0" y="0"/>
                      <a:ext cx="5228857" cy="6147434"/>
                    </a:xfrm>
                    <a:prstGeom prst="rect">
                      <a:avLst/>
                    </a:prstGeom>
                  </pic:spPr>
                </pic:pic>
              </a:graphicData>
            </a:graphic>
          </wp:anchor>
        </w:drawing>
      </w:r>
      <w:r>
        <w:rPr/>
        <w:pict>
          <v:shape style="position:absolute;margin-left:84pt;margin-top:-32.914059pt;width:444pt;height:38pt;mso-position-horizontal-relative:page;mso-position-vertical-relative:paragraph;z-index:15755264" type="#_x0000_t202" id="docshape49" filled="true" fillcolor="#5b666f" stroked="false">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2.9</w:t>
                  </w:r>
                </w:p>
              </w:txbxContent>
            </v:textbox>
            <v:fill type="solid"/>
            <w10:wrap type="none"/>
          </v:shape>
        </w:pict>
      </w:r>
      <w:r>
        <w:rPr>
          <w:spacing w:val="-6"/>
        </w:rPr>
        <w:t>Rescue</w:t>
      </w:r>
      <w:r>
        <w:rPr>
          <w:spacing w:val="-19"/>
        </w:rPr>
        <w:t> </w:t>
      </w:r>
      <w:r>
        <w:rPr>
          <w:spacing w:val="-6"/>
        </w:rPr>
        <w:t>lending</w:t>
      </w:r>
      <w:r>
        <w:rPr>
          <w:spacing w:val="-18"/>
        </w:rPr>
        <w:t> </w:t>
      </w:r>
      <w:r>
        <w:rPr>
          <w:spacing w:val="-6"/>
        </w:rPr>
        <w:t>and</w:t>
      </w:r>
      <w:r>
        <w:rPr>
          <w:spacing w:val="-18"/>
        </w:rPr>
        <w:t> </w:t>
      </w:r>
      <w:r>
        <w:rPr>
          <w:spacing w:val="-6"/>
        </w:rPr>
        <w:t>debt</w:t>
      </w:r>
      <w:r>
        <w:rPr>
          <w:spacing w:val="-18"/>
        </w:rPr>
        <w:t> </w:t>
      </w:r>
      <w:r>
        <w:rPr>
          <w:spacing w:val="-6"/>
        </w:rPr>
        <w:t>rescheduling</w:t>
      </w:r>
      <w:r>
        <w:rPr>
          <w:spacing w:val="-18"/>
        </w:rPr>
        <w:t> </w:t>
      </w:r>
      <w:r>
        <w:rPr>
          <w:spacing w:val="-6"/>
        </w:rPr>
        <w:t>events</w:t>
      </w:r>
      <w:r>
        <w:rPr>
          <w:spacing w:val="-18"/>
        </w:rPr>
        <w:t> </w:t>
      </w:r>
      <w:r>
        <w:rPr>
          <w:spacing w:val="-6"/>
        </w:rPr>
        <w:t>for</w:t>
      </w:r>
      <w:r>
        <w:rPr>
          <w:spacing w:val="-18"/>
        </w:rPr>
        <w:t> </w:t>
      </w:r>
      <w:r>
        <w:rPr>
          <w:spacing w:val="-6"/>
        </w:rPr>
        <w:t>the</w:t>
      </w:r>
      <w:r>
        <w:rPr>
          <w:spacing w:val="-18"/>
        </w:rPr>
        <w:t> </w:t>
      </w:r>
      <w:r>
        <w:rPr>
          <w:spacing w:val="-6"/>
        </w:rPr>
        <w:t>top</w:t>
      </w:r>
      <w:r>
        <w:rPr>
          <w:spacing w:val="-18"/>
        </w:rPr>
        <w:t> </w:t>
      </w:r>
      <w:r>
        <w:rPr>
          <w:spacing w:val="-6"/>
        </w:rPr>
        <w:t>50 </w:t>
      </w:r>
      <w:r>
        <w:rPr/>
        <w:t>borrowers</w:t>
      </w:r>
      <w:r>
        <w:rPr>
          <w:spacing w:val="-25"/>
        </w:rPr>
        <w:t> </w:t>
      </w:r>
      <w:r>
        <w:rPr/>
        <w:t>in</w:t>
      </w:r>
      <w:r>
        <w:rPr>
          <w:spacing w:val="-24"/>
        </w:rPr>
        <w:t> </w:t>
      </w:r>
      <w:r>
        <w:rPr/>
        <w:t>ﬁnancial</w:t>
      </w:r>
      <w:r>
        <w:rPr>
          <w:spacing w:val="-24"/>
        </w:rPr>
        <w:t> </w:t>
      </w:r>
      <w:r>
        <w:rPr/>
        <w:t>distress,</w:t>
      </w:r>
      <w:r>
        <w:rPr>
          <w:spacing w:val="-24"/>
        </w:rPr>
        <w:t> </w:t>
      </w:r>
      <w:r>
        <w:rPr/>
        <w:t>2000-2021</w:t>
      </w:r>
    </w:p>
    <w:p>
      <w:pPr>
        <w:spacing w:line="333" w:lineRule="auto" w:before="256"/>
        <w:ind w:left="760" w:right="838" w:firstLine="0"/>
        <w:jc w:val="left"/>
        <w:rPr>
          <w:i/>
          <w:sz w:val="18"/>
        </w:rPr>
      </w:pPr>
      <w:r>
        <w:rPr>
          <w:i/>
          <w:sz w:val="18"/>
        </w:rPr>
        <w:t>Notes: This ﬁgure provides an overview of the timeline of when countries experienced ﬁnancial distress</w:t>
      </w:r>
      <w:r>
        <w:rPr>
          <w:i/>
          <w:sz w:val="18"/>
        </w:rPr>
        <w:t> (blue shading), when China provided rescue lending (circles), and when China rescheduled existing loan repayments (X’s). A circle indicates that at least one rescue loan was provided by China to the respective country that year, and an X indicates that at least one loan was rescheduled by China for the respective country that year. Countries included in this list represent the top 50 borrowers in distress, ordered by </w:t>
      </w:r>
      <w:r>
        <w:rPr>
          <w:i/>
          <w:sz w:val="18"/>
        </w:rPr>
        <w:t>the</w:t>
      </w:r>
    </w:p>
    <w:p>
      <w:pPr>
        <w:spacing w:after="0" w:line="333" w:lineRule="auto"/>
        <w:jc w:val="left"/>
        <w:rPr>
          <w:sz w:val="18"/>
        </w:rPr>
        <w:sectPr>
          <w:pgSz w:w="12240" w:h="15840"/>
          <w:pgMar w:header="0" w:footer="720" w:top="1560" w:bottom="920" w:left="1040" w:right="1040"/>
        </w:sectPr>
      </w:pPr>
    </w:p>
    <w:p>
      <w:pPr>
        <w:spacing w:line="333" w:lineRule="auto" w:before="47"/>
        <w:ind w:left="760" w:right="767" w:firstLine="0"/>
        <w:jc w:val="left"/>
        <w:rPr>
          <w:i/>
          <w:sz w:val="18"/>
        </w:rPr>
      </w:pPr>
      <w:r>
        <w:rPr>
          <w:i/>
          <w:w w:val="105"/>
          <w:sz w:val="18"/>
        </w:rPr>
        <w:t>size</w:t>
      </w:r>
      <w:r>
        <w:rPr>
          <w:i/>
          <w:spacing w:val="-7"/>
          <w:w w:val="105"/>
          <w:sz w:val="18"/>
        </w:rPr>
        <w:t> </w:t>
      </w:r>
      <w:r>
        <w:rPr>
          <w:i/>
          <w:w w:val="105"/>
          <w:sz w:val="18"/>
        </w:rPr>
        <w:t>of</w:t>
      </w:r>
      <w:r>
        <w:rPr>
          <w:i/>
          <w:spacing w:val="-7"/>
          <w:w w:val="105"/>
          <w:sz w:val="18"/>
        </w:rPr>
        <w:t> </w:t>
      </w:r>
      <w:r>
        <w:rPr>
          <w:i/>
          <w:w w:val="105"/>
          <w:sz w:val="18"/>
        </w:rPr>
        <w:t>their</w:t>
      </w:r>
      <w:r>
        <w:rPr>
          <w:i/>
          <w:spacing w:val="-7"/>
          <w:w w:val="105"/>
          <w:sz w:val="18"/>
        </w:rPr>
        <w:t> </w:t>
      </w:r>
      <w:r>
        <w:rPr>
          <w:i/>
          <w:w w:val="105"/>
          <w:sz w:val="18"/>
        </w:rPr>
        <w:t>cumulative</w:t>
      </w:r>
      <w:r>
        <w:rPr>
          <w:i/>
          <w:spacing w:val="-7"/>
          <w:w w:val="105"/>
          <w:sz w:val="18"/>
        </w:rPr>
        <w:t> </w:t>
      </w:r>
      <w:r>
        <w:rPr>
          <w:i/>
          <w:w w:val="105"/>
          <w:sz w:val="18"/>
        </w:rPr>
        <w:t>lending</w:t>
      </w:r>
      <w:r>
        <w:rPr>
          <w:i/>
          <w:spacing w:val="-7"/>
          <w:w w:val="105"/>
          <w:sz w:val="18"/>
        </w:rPr>
        <w:t> </w:t>
      </w:r>
      <w:r>
        <w:rPr>
          <w:i/>
          <w:w w:val="105"/>
          <w:sz w:val="18"/>
        </w:rPr>
        <w:t>portfolio</w:t>
      </w:r>
      <w:r>
        <w:rPr>
          <w:i/>
          <w:spacing w:val="-7"/>
          <w:w w:val="105"/>
          <w:sz w:val="18"/>
        </w:rPr>
        <w:t> </w:t>
      </w:r>
      <w:r>
        <w:rPr>
          <w:i/>
          <w:w w:val="105"/>
          <w:sz w:val="18"/>
        </w:rPr>
        <w:t>as</w:t>
      </w:r>
      <w:r>
        <w:rPr>
          <w:i/>
          <w:spacing w:val="-7"/>
          <w:w w:val="105"/>
          <w:sz w:val="18"/>
        </w:rPr>
        <w:t> </w:t>
      </w:r>
      <w:r>
        <w:rPr>
          <w:i/>
          <w:w w:val="105"/>
          <w:sz w:val="18"/>
        </w:rPr>
        <w:t>of</w:t>
      </w:r>
      <w:r>
        <w:rPr>
          <w:i/>
          <w:spacing w:val="-7"/>
          <w:w w:val="105"/>
          <w:sz w:val="18"/>
        </w:rPr>
        <w:t> </w:t>
      </w:r>
      <w:r>
        <w:rPr>
          <w:i/>
          <w:w w:val="105"/>
          <w:sz w:val="18"/>
        </w:rPr>
        <w:t>2021.</w:t>
      </w:r>
      <w:r>
        <w:rPr>
          <w:i/>
          <w:spacing w:val="-7"/>
          <w:w w:val="105"/>
          <w:sz w:val="18"/>
        </w:rPr>
        <w:t> </w:t>
      </w:r>
      <w:r>
        <w:rPr>
          <w:i/>
          <w:w w:val="105"/>
          <w:sz w:val="18"/>
        </w:rPr>
        <w:t>See</w:t>
      </w:r>
      <w:r>
        <w:rPr>
          <w:i/>
          <w:spacing w:val="-7"/>
          <w:w w:val="105"/>
          <w:sz w:val="18"/>
        </w:rPr>
        <w:t> </w:t>
      </w:r>
      <w:r>
        <w:rPr>
          <w:i/>
          <w:w w:val="105"/>
          <w:sz w:val="18"/>
        </w:rPr>
        <w:t>footnote</w:t>
      </w:r>
      <w:r>
        <w:rPr>
          <w:i/>
          <w:spacing w:val="-7"/>
          <w:w w:val="105"/>
          <w:sz w:val="18"/>
        </w:rPr>
        <w:t> </w:t>
      </w:r>
      <w:r>
        <w:rPr>
          <w:i/>
          <w:w w:val="105"/>
          <w:sz w:val="18"/>
        </w:rPr>
        <w:t>141</w:t>
      </w:r>
      <w:r>
        <w:rPr>
          <w:i/>
          <w:spacing w:val="-7"/>
          <w:w w:val="105"/>
          <w:sz w:val="18"/>
        </w:rPr>
        <w:t> </w:t>
      </w:r>
      <w:r>
        <w:rPr>
          <w:i/>
          <w:w w:val="105"/>
          <w:sz w:val="18"/>
        </w:rPr>
        <w:t>for</w:t>
      </w:r>
      <w:r>
        <w:rPr>
          <w:i/>
          <w:spacing w:val="-7"/>
          <w:w w:val="105"/>
          <w:sz w:val="18"/>
        </w:rPr>
        <w:t> </w:t>
      </w:r>
      <w:r>
        <w:rPr>
          <w:i/>
          <w:w w:val="105"/>
          <w:sz w:val="18"/>
        </w:rPr>
        <w:t>details</w:t>
      </w:r>
      <w:r>
        <w:rPr>
          <w:i/>
          <w:spacing w:val="-7"/>
          <w:w w:val="105"/>
          <w:sz w:val="18"/>
        </w:rPr>
        <w:t> </w:t>
      </w:r>
      <w:r>
        <w:rPr>
          <w:i/>
          <w:w w:val="105"/>
          <w:sz w:val="18"/>
        </w:rPr>
        <w:t>on</w:t>
      </w:r>
      <w:r>
        <w:rPr>
          <w:i/>
          <w:spacing w:val="-7"/>
          <w:w w:val="105"/>
          <w:sz w:val="18"/>
        </w:rPr>
        <w:t> </w:t>
      </w:r>
      <w:r>
        <w:rPr>
          <w:i/>
          <w:w w:val="105"/>
          <w:sz w:val="18"/>
        </w:rPr>
        <w:t>how</w:t>
      </w:r>
      <w:r>
        <w:rPr>
          <w:i/>
          <w:spacing w:val="-7"/>
          <w:w w:val="105"/>
          <w:sz w:val="18"/>
        </w:rPr>
        <w:t> </w:t>
      </w:r>
      <w:r>
        <w:rPr>
          <w:i/>
          <w:w w:val="105"/>
          <w:sz w:val="18"/>
        </w:rPr>
        <w:t>the</w:t>
      </w:r>
      <w:r>
        <w:rPr>
          <w:i/>
          <w:spacing w:val="-7"/>
          <w:w w:val="105"/>
          <w:sz w:val="18"/>
        </w:rPr>
        <w:t> </w:t>
      </w:r>
      <w:r>
        <w:rPr>
          <w:i/>
          <w:w w:val="105"/>
          <w:sz w:val="18"/>
        </w:rPr>
        <w:t>ﬁnancial</w:t>
      </w:r>
      <w:r>
        <w:rPr>
          <w:i/>
          <w:w w:val="105"/>
          <w:sz w:val="18"/>
        </w:rPr>
        <w:t> </w:t>
      </w:r>
      <w:r>
        <w:rPr>
          <w:i/>
          <w:sz w:val="18"/>
        </w:rPr>
        <w:t>distress index was modiﬁed to differentiate between repayment risks and repayment risk mitigation </w:t>
      </w:r>
      <w:r>
        <w:rPr>
          <w:i/>
          <w:sz w:val="18"/>
        </w:rPr>
        <w:t>efforts.</w:t>
      </w:r>
    </w:p>
    <w:p>
      <w:pPr>
        <w:pStyle w:val="BodyText"/>
        <w:rPr>
          <w:i/>
          <w:sz w:val="18"/>
        </w:rPr>
      </w:pPr>
    </w:p>
    <w:p>
      <w:pPr>
        <w:pStyle w:val="BodyText"/>
        <w:spacing w:line="333" w:lineRule="auto" w:before="112"/>
        <w:ind w:left="760" w:right="882"/>
      </w:pPr>
      <w:r>
        <w:rPr/>
        <w:t>Figure</w:t>
      </w:r>
      <w:r>
        <w:rPr>
          <w:spacing w:val="-5"/>
        </w:rPr>
        <w:t> </w:t>
      </w:r>
      <w:r>
        <w:rPr/>
        <w:t>2.9</w:t>
      </w:r>
      <w:r>
        <w:rPr>
          <w:spacing w:val="-5"/>
        </w:rPr>
        <w:t> </w:t>
      </w:r>
      <w:r>
        <w:rPr/>
        <w:t>demonstrates</w:t>
      </w:r>
      <w:r>
        <w:rPr>
          <w:spacing w:val="-5"/>
        </w:rPr>
        <w:t> </w:t>
      </w:r>
      <w:r>
        <w:rPr/>
        <w:t>that</w:t>
      </w:r>
      <w:r>
        <w:rPr>
          <w:spacing w:val="-5"/>
        </w:rPr>
        <w:t> </w:t>
      </w:r>
      <w:r>
        <w:rPr/>
        <w:t>83%</w:t>
      </w:r>
      <w:r>
        <w:rPr>
          <w:spacing w:val="-5"/>
        </w:rPr>
        <w:t> </w:t>
      </w:r>
      <w:r>
        <w:rPr/>
        <w:t>of</w:t>
      </w:r>
      <w:r>
        <w:rPr>
          <w:spacing w:val="-5"/>
        </w:rPr>
        <w:t> </w:t>
      </w:r>
      <w:r>
        <w:rPr/>
        <w:t>China’s</w:t>
      </w:r>
      <w:r>
        <w:rPr>
          <w:spacing w:val="-5"/>
        </w:rPr>
        <w:t> </w:t>
      </w:r>
      <w:r>
        <w:rPr/>
        <w:t>emergency</w:t>
      </w:r>
      <w:r>
        <w:rPr>
          <w:spacing w:val="-5"/>
        </w:rPr>
        <w:t> </w:t>
      </w:r>
      <w:r>
        <w:rPr/>
        <w:t>rescue</w:t>
      </w:r>
      <w:r>
        <w:rPr>
          <w:spacing w:val="-5"/>
        </w:rPr>
        <w:t> </w:t>
      </w:r>
      <w:r>
        <w:rPr/>
        <w:t>loans</w:t>
      </w:r>
      <w:r>
        <w:rPr>
          <w:spacing w:val="-5"/>
        </w:rPr>
        <w:t> </w:t>
      </w:r>
      <w:r>
        <w:rPr/>
        <w:t>(including short-term “rollover” facilities) were issued in years when the recipients of </w:t>
      </w:r>
      <w:r>
        <w:rPr/>
        <w:t>these loans were in ﬁnancial distress.</w:t>
      </w:r>
      <w:r>
        <w:rPr>
          <w:vertAlign w:val="superscript"/>
        </w:rPr>
        <w:t>142</w:t>
      </w:r>
      <w:r>
        <w:rPr>
          <w:vertAlign w:val="baseline"/>
        </w:rPr>
        <w:t> Similarly, 80% of China’s debt reschedulings took place in years when borrowers in the participating countries experienced ﬁnancial distress.</w:t>
      </w:r>
      <w:r>
        <w:rPr>
          <w:vertAlign w:val="superscript"/>
        </w:rPr>
        <w:t>143</w:t>
      </w:r>
      <w:r>
        <w:rPr>
          <w:vertAlign w:val="baseline"/>
        </w:rPr>
        <w:t> Figure 2.9 also provides evidence of Beijing repeatedly targeting debt reschedulings and emergency rescue loans to the same BRI participant countries with high levels of debt exposure to China.</w:t>
      </w:r>
      <w:r>
        <w:rPr>
          <w:vertAlign w:val="superscript"/>
        </w:rPr>
        <w:t>144</w:t>
      </w:r>
      <w:r>
        <w:rPr>
          <w:vertAlign w:val="baseline"/>
        </w:rPr>
        <w:t> The serial nature of these cash ﬂow relief efforts suggests that Beijing’s biggest borrowers may not only have short-term liquidity problems, but also long-term solvency </w:t>
      </w:r>
      <w:r>
        <w:rPr>
          <w:spacing w:val="-2"/>
          <w:vertAlign w:val="baseline"/>
        </w:rPr>
        <w:t>problems.</w:t>
      </w:r>
    </w:p>
    <w:p>
      <w:pPr>
        <w:pStyle w:val="BodyText"/>
        <w:spacing w:before="4"/>
        <w:rPr>
          <w:sz w:val="27"/>
        </w:rPr>
      </w:pPr>
    </w:p>
    <w:p>
      <w:pPr>
        <w:pStyle w:val="BodyText"/>
        <w:spacing w:line="333" w:lineRule="auto"/>
        <w:ind w:left="760" w:right="767"/>
      </w:pPr>
      <w:r>
        <w:rPr/>
        <w:t>Another important implication of these results is that China is increasingly behaving like an international crisis manager. It has effectively created a safety net</w:t>
      </w:r>
      <w:r>
        <w:rPr>
          <w:spacing w:val="-1"/>
        </w:rPr>
        <w:t> </w:t>
      </w:r>
      <w:r>
        <w:rPr/>
        <w:t>for</w:t>
      </w:r>
      <w:r>
        <w:rPr>
          <w:spacing w:val="-1"/>
        </w:rPr>
        <w:t> </w:t>
      </w:r>
      <w:r>
        <w:rPr/>
        <w:t>ﬁnancially</w:t>
      </w:r>
      <w:r>
        <w:rPr>
          <w:spacing w:val="-1"/>
        </w:rPr>
        <w:t> </w:t>
      </w:r>
      <w:r>
        <w:rPr/>
        <w:t>distressed</w:t>
      </w:r>
      <w:r>
        <w:rPr>
          <w:spacing w:val="-1"/>
        </w:rPr>
        <w:t> </w:t>
      </w:r>
      <w:r>
        <w:rPr/>
        <w:t>sovereigns</w:t>
      </w:r>
      <w:r>
        <w:rPr>
          <w:spacing w:val="-1"/>
        </w:rPr>
        <w:t> </w:t>
      </w:r>
      <w:r>
        <w:rPr/>
        <w:t>that</w:t>
      </w:r>
      <w:r>
        <w:rPr>
          <w:spacing w:val="-1"/>
        </w:rPr>
        <w:t> </w:t>
      </w:r>
      <w:r>
        <w:rPr/>
        <w:t>are</w:t>
      </w:r>
      <w:r>
        <w:rPr>
          <w:spacing w:val="-1"/>
        </w:rPr>
        <w:t> </w:t>
      </w:r>
      <w:r>
        <w:rPr/>
        <w:t>participating</w:t>
      </w:r>
      <w:r>
        <w:rPr>
          <w:spacing w:val="-1"/>
        </w:rPr>
        <w:t> </w:t>
      </w:r>
      <w:r>
        <w:rPr/>
        <w:t>in</w:t>
      </w:r>
      <w:r>
        <w:rPr>
          <w:spacing w:val="-1"/>
        </w:rPr>
        <w:t> </w:t>
      </w:r>
      <w:r>
        <w:rPr/>
        <w:t>the</w:t>
      </w:r>
      <w:r>
        <w:rPr>
          <w:spacing w:val="-1"/>
        </w:rPr>
        <w:t> </w:t>
      </w:r>
      <w:r>
        <w:rPr/>
        <w:t>BRI—and,</w:t>
      </w:r>
      <w:r>
        <w:rPr>
          <w:spacing w:val="-1"/>
        </w:rPr>
        <w:t> </w:t>
      </w:r>
      <w:r>
        <w:rPr/>
        <w:t>by extension, their highly exposed Chinese creditors.</w:t>
      </w:r>
      <w:r>
        <w:rPr>
          <w:vertAlign w:val="superscript"/>
        </w:rPr>
        <w:t>145</w:t>
      </w:r>
      <w:r>
        <w:rPr>
          <w:vertAlign w:val="baseline"/>
        </w:rPr>
        <w:t> It has also taken a differentiated approach across countries that present varying levels of risk to the Chinese banking sector, whereby countries that present a high level of balance sheet exposure get new money (via balance of payments support) and countries that present a low level of balance sheet exposure get cash ﬂow relief (via debt reschedulings) but no new money (Horn et al. 2023a, 2023b).</w:t>
      </w:r>
      <w:r>
        <w:rPr>
          <w:vertAlign w:val="superscript"/>
        </w:rPr>
        <w:t>146</w:t>
      </w:r>
      <w:r>
        <w:rPr>
          <w:vertAlign w:val="baseline"/>
        </w:rPr>
        <w:t> These actions</w:t>
      </w:r>
    </w:p>
    <w:p>
      <w:pPr>
        <w:pStyle w:val="BodyText"/>
        <w:rPr>
          <w:sz w:val="20"/>
        </w:rPr>
      </w:pPr>
    </w:p>
    <w:p>
      <w:pPr>
        <w:pStyle w:val="BodyText"/>
        <w:spacing w:before="9"/>
        <w:rPr>
          <w:sz w:val="12"/>
        </w:rPr>
      </w:pPr>
      <w:r>
        <w:rPr/>
        <w:pict>
          <v:shape style="position:absolute;margin-left:90pt;margin-top:8.554005pt;width:144pt;height:.1pt;mso-position-horizontal-relative:page;mso-position-vertical-relative:paragraph;z-index:-15701504;mso-wrap-distance-left:0;mso-wrap-distance-right:0" id="docshape50" coordorigin="1800,171" coordsize="2880,0" path="m1800,171l4680,171e" filled="false" stroked="true" strokeweight=".75pt" strokecolor="#000000">
            <v:path arrowok="t"/>
            <v:stroke dashstyle="solid"/>
            <w10:wrap type="topAndBottom"/>
          </v:shape>
        </w:pict>
      </w:r>
    </w:p>
    <w:p>
      <w:pPr>
        <w:spacing w:line="249" w:lineRule="auto" w:before="110"/>
        <w:ind w:left="760" w:right="824" w:firstLine="0"/>
        <w:jc w:val="left"/>
        <w:rPr>
          <w:sz w:val="18"/>
        </w:rPr>
      </w:pPr>
      <w:r>
        <w:rPr>
          <w:sz w:val="18"/>
          <w:vertAlign w:val="superscript"/>
        </w:rPr>
        <w:t>142</w:t>
      </w:r>
      <w:r>
        <w:rPr>
          <w:sz w:val="18"/>
          <w:vertAlign w:val="baseline"/>
        </w:rPr>
        <w:t> By comparison, 49% of China’s non-emergency loans were issued in years when the recipients of these loans</w:t>
      </w:r>
      <w:r>
        <w:rPr>
          <w:spacing w:val="-3"/>
          <w:sz w:val="18"/>
          <w:vertAlign w:val="baseline"/>
        </w:rPr>
        <w:t> </w:t>
      </w:r>
      <w:r>
        <w:rPr>
          <w:sz w:val="18"/>
          <w:vertAlign w:val="baseline"/>
        </w:rPr>
        <w:t>were</w:t>
      </w:r>
      <w:r>
        <w:rPr>
          <w:spacing w:val="-3"/>
          <w:sz w:val="18"/>
          <w:vertAlign w:val="baseline"/>
        </w:rPr>
        <w:t> </w:t>
      </w:r>
      <w:r>
        <w:rPr>
          <w:sz w:val="18"/>
          <w:vertAlign w:val="baseline"/>
        </w:rPr>
        <w:t>in</w:t>
      </w:r>
      <w:r>
        <w:rPr>
          <w:spacing w:val="-3"/>
          <w:sz w:val="18"/>
          <w:vertAlign w:val="baseline"/>
        </w:rPr>
        <w:t> </w:t>
      </w:r>
      <w:r>
        <w:rPr>
          <w:sz w:val="18"/>
          <w:vertAlign w:val="baseline"/>
        </w:rPr>
        <w:t>ﬁnancial</w:t>
      </w:r>
      <w:r>
        <w:rPr>
          <w:spacing w:val="-3"/>
          <w:sz w:val="18"/>
          <w:vertAlign w:val="baseline"/>
        </w:rPr>
        <w:t> </w:t>
      </w:r>
      <w:r>
        <w:rPr>
          <w:sz w:val="18"/>
          <w:vertAlign w:val="baseline"/>
        </w:rPr>
        <w:t>distress.</w:t>
      </w:r>
      <w:r>
        <w:rPr>
          <w:spacing w:val="-3"/>
          <w:sz w:val="18"/>
          <w:vertAlign w:val="baseline"/>
        </w:rPr>
        <w:t> </w:t>
      </w:r>
      <w:r>
        <w:rPr>
          <w:sz w:val="18"/>
          <w:vertAlign w:val="baseline"/>
        </w:rPr>
        <w:t>This</w:t>
      </w:r>
      <w:r>
        <w:rPr>
          <w:spacing w:val="-3"/>
          <w:sz w:val="18"/>
          <w:vertAlign w:val="baseline"/>
        </w:rPr>
        <w:t> </w:t>
      </w:r>
      <w:r>
        <w:rPr>
          <w:sz w:val="18"/>
          <w:vertAlign w:val="baseline"/>
        </w:rPr>
        <w:t>difference</w:t>
      </w:r>
      <w:r>
        <w:rPr>
          <w:spacing w:val="-3"/>
          <w:sz w:val="18"/>
          <w:vertAlign w:val="baseline"/>
        </w:rPr>
        <w:t> </w:t>
      </w:r>
      <w:r>
        <w:rPr>
          <w:sz w:val="18"/>
          <w:vertAlign w:val="baseline"/>
        </w:rPr>
        <w:t>is</w:t>
      </w:r>
      <w:r>
        <w:rPr>
          <w:spacing w:val="-3"/>
          <w:sz w:val="18"/>
          <w:vertAlign w:val="baseline"/>
        </w:rPr>
        <w:t> </w:t>
      </w:r>
      <w:r>
        <w:rPr>
          <w:sz w:val="18"/>
          <w:vertAlign w:val="baseline"/>
        </w:rPr>
        <w:t>also</w:t>
      </w:r>
      <w:r>
        <w:rPr>
          <w:spacing w:val="-3"/>
          <w:sz w:val="18"/>
          <w:vertAlign w:val="baseline"/>
        </w:rPr>
        <w:t> </w:t>
      </w:r>
      <w:r>
        <w:rPr>
          <w:sz w:val="18"/>
          <w:vertAlign w:val="baseline"/>
        </w:rPr>
        <w:t>observable</w:t>
      </w:r>
      <w:r>
        <w:rPr>
          <w:spacing w:val="-3"/>
          <w:sz w:val="18"/>
          <w:vertAlign w:val="baseline"/>
        </w:rPr>
        <w:t> </w:t>
      </w:r>
      <w:r>
        <w:rPr>
          <w:sz w:val="18"/>
          <w:vertAlign w:val="baseline"/>
        </w:rPr>
        <w:t>during</w:t>
      </w:r>
      <w:r>
        <w:rPr>
          <w:spacing w:val="-3"/>
          <w:sz w:val="18"/>
          <w:vertAlign w:val="baseline"/>
        </w:rPr>
        <w:t> </w:t>
      </w:r>
      <w:r>
        <w:rPr>
          <w:sz w:val="18"/>
          <w:vertAlign w:val="baseline"/>
        </w:rPr>
        <w:t>the</w:t>
      </w:r>
      <w:r>
        <w:rPr>
          <w:spacing w:val="-3"/>
          <w:sz w:val="18"/>
          <w:vertAlign w:val="baseline"/>
        </w:rPr>
        <w:t> </w:t>
      </w:r>
      <w:r>
        <w:rPr>
          <w:sz w:val="18"/>
          <w:vertAlign w:val="baseline"/>
        </w:rPr>
        <w:t>BRI</w:t>
      </w:r>
      <w:r>
        <w:rPr>
          <w:spacing w:val="-3"/>
          <w:sz w:val="18"/>
          <w:vertAlign w:val="baseline"/>
        </w:rPr>
        <w:t> </w:t>
      </w:r>
      <w:r>
        <w:rPr>
          <w:sz w:val="18"/>
          <w:vertAlign w:val="baseline"/>
        </w:rPr>
        <w:t>era</w:t>
      </w:r>
      <w:r>
        <w:rPr>
          <w:spacing w:val="-3"/>
          <w:sz w:val="18"/>
          <w:vertAlign w:val="baseline"/>
        </w:rPr>
        <w:t> </w:t>
      </w:r>
      <w:r>
        <w:rPr>
          <w:sz w:val="18"/>
          <w:vertAlign w:val="baseline"/>
        </w:rPr>
        <w:t>(2014-2021).</w:t>
      </w:r>
      <w:r>
        <w:rPr>
          <w:spacing w:val="-3"/>
          <w:sz w:val="18"/>
          <w:vertAlign w:val="baseline"/>
        </w:rPr>
        <w:t> </w:t>
      </w:r>
      <w:r>
        <w:rPr>
          <w:sz w:val="18"/>
          <w:vertAlign w:val="baseline"/>
        </w:rPr>
        <w:t>Over</w:t>
      </w:r>
      <w:r>
        <w:rPr>
          <w:spacing w:val="-3"/>
          <w:sz w:val="18"/>
          <w:vertAlign w:val="baseline"/>
        </w:rPr>
        <w:t> </w:t>
      </w:r>
      <w:r>
        <w:rPr>
          <w:sz w:val="18"/>
          <w:vertAlign w:val="baseline"/>
        </w:rPr>
        <w:t>this eight-year</w:t>
      </w:r>
      <w:r>
        <w:rPr>
          <w:spacing w:val="-3"/>
          <w:sz w:val="18"/>
          <w:vertAlign w:val="baseline"/>
        </w:rPr>
        <w:t> </w:t>
      </w:r>
      <w:r>
        <w:rPr>
          <w:sz w:val="18"/>
          <w:vertAlign w:val="baseline"/>
        </w:rPr>
        <w:t>period,</w:t>
      </w:r>
      <w:r>
        <w:rPr>
          <w:spacing w:val="-3"/>
          <w:sz w:val="18"/>
          <w:vertAlign w:val="baseline"/>
        </w:rPr>
        <w:t> </w:t>
      </w:r>
      <w:r>
        <w:rPr>
          <w:sz w:val="18"/>
          <w:vertAlign w:val="baseline"/>
        </w:rPr>
        <w:t>83%</w:t>
      </w:r>
      <w:r>
        <w:rPr>
          <w:spacing w:val="-3"/>
          <w:sz w:val="18"/>
          <w:vertAlign w:val="baseline"/>
        </w:rPr>
        <w:t> </w:t>
      </w:r>
      <w:r>
        <w:rPr>
          <w:sz w:val="18"/>
          <w:vertAlign w:val="baseline"/>
        </w:rPr>
        <w:t>of</w:t>
      </w:r>
      <w:r>
        <w:rPr>
          <w:spacing w:val="-3"/>
          <w:sz w:val="18"/>
          <w:vertAlign w:val="baseline"/>
        </w:rPr>
        <w:t> </w:t>
      </w:r>
      <w:r>
        <w:rPr>
          <w:sz w:val="18"/>
          <w:vertAlign w:val="baseline"/>
        </w:rPr>
        <w:t>China’s</w:t>
      </w:r>
      <w:r>
        <w:rPr>
          <w:spacing w:val="-3"/>
          <w:sz w:val="18"/>
          <w:vertAlign w:val="baseline"/>
        </w:rPr>
        <w:t> </w:t>
      </w:r>
      <w:r>
        <w:rPr>
          <w:sz w:val="18"/>
          <w:vertAlign w:val="baseline"/>
        </w:rPr>
        <w:t>emergency</w:t>
      </w:r>
      <w:r>
        <w:rPr>
          <w:spacing w:val="-3"/>
          <w:sz w:val="18"/>
          <w:vertAlign w:val="baseline"/>
        </w:rPr>
        <w:t> </w:t>
      </w:r>
      <w:r>
        <w:rPr>
          <w:sz w:val="18"/>
          <w:vertAlign w:val="baseline"/>
        </w:rPr>
        <w:t>rescue</w:t>
      </w:r>
      <w:r>
        <w:rPr>
          <w:spacing w:val="-3"/>
          <w:sz w:val="18"/>
          <w:vertAlign w:val="baseline"/>
        </w:rPr>
        <w:t> </w:t>
      </w:r>
      <w:r>
        <w:rPr>
          <w:sz w:val="18"/>
          <w:vertAlign w:val="baseline"/>
        </w:rPr>
        <w:t>loans</w:t>
      </w:r>
      <w:r>
        <w:rPr>
          <w:spacing w:val="-3"/>
          <w:sz w:val="18"/>
          <w:vertAlign w:val="baseline"/>
        </w:rPr>
        <w:t> </w:t>
      </w:r>
      <w:r>
        <w:rPr>
          <w:sz w:val="18"/>
          <w:vertAlign w:val="baseline"/>
        </w:rPr>
        <w:t>(representing</w:t>
      </w:r>
      <w:r>
        <w:rPr>
          <w:spacing w:val="-3"/>
          <w:sz w:val="18"/>
          <w:vertAlign w:val="baseline"/>
        </w:rPr>
        <w:t> </w:t>
      </w:r>
      <w:r>
        <w:rPr>
          <w:sz w:val="18"/>
          <w:vertAlign w:val="baseline"/>
        </w:rPr>
        <w:t>86%</w:t>
      </w:r>
      <w:r>
        <w:rPr>
          <w:spacing w:val="-3"/>
          <w:sz w:val="18"/>
          <w:vertAlign w:val="baseline"/>
        </w:rPr>
        <w:t> </w:t>
      </w:r>
      <w:r>
        <w:rPr>
          <w:sz w:val="18"/>
          <w:vertAlign w:val="baseline"/>
        </w:rPr>
        <w:t>of</w:t>
      </w:r>
      <w:r>
        <w:rPr>
          <w:spacing w:val="-3"/>
          <w:sz w:val="18"/>
          <w:vertAlign w:val="baseline"/>
        </w:rPr>
        <w:t> </w:t>
      </w:r>
      <w:r>
        <w:rPr>
          <w:sz w:val="18"/>
          <w:vertAlign w:val="baseline"/>
        </w:rPr>
        <w:t>China’s</w:t>
      </w:r>
      <w:r>
        <w:rPr>
          <w:spacing w:val="-3"/>
          <w:sz w:val="18"/>
          <w:vertAlign w:val="baseline"/>
        </w:rPr>
        <w:t> </w:t>
      </w:r>
      <w:r>
        <w:rPr>
          <w:sz w:val="18"/>
          <w:vertAlign w:val="baseline"/>
        </w:rPr>
        <w:t>emergency</w:t>
      </w:r>
      <w:r>
        <w:rPr>
          <w:spacing w:val="-3"/>
          <w:sz w:val="18"/>
          <w:vertAlign w:val="baseline"/>
        </w:rPr>
        <w:t> </w:t>
      </w:r>
      <w:r>
        <w:rPr>
          <w:sz w:val="18"/>
          <w:vertAlign w:val="baseline"/>
        </w:rPr>
        <w:t>rescue lending portfolio in monetary terms) were issued in years when the recipients of these loans were in ﬁnancial</w:t>
      </w:r>
      <w:r>
        <w:rPr>
          <w:spacing w:val="-3"/>
          <w:sz w:val="18"/>
          <w:vertAlign w:val="baseline"/>
        </w:rPr>
        <w:t> </w:t>
      </w:r>
      <w:r>
        <w:rPr>
          <w:sz w:val="18"/>
          <w:vertAlign w:val="baseline"/>
        </w:rPr>
        <w:t>distress.</w:t>
      </w:r>
      <w:r>
        <w:rPr>
          <w:spacing w:val="-3"/>
          <w:sz w:val="18"/>
          <w:vertAlign w:val="baseline"/>
        </w:rPr>
        <w:t> </w:t>
      </w:r>
      <w:r>
        <w:rPr>
          <w:sz w:val="18"/>
          <w:vertAlign w:val="baseline"/>
        </w:rPr>
        <w:t>During</w:t>
      </w:r>
      <w:r>
        <w:rPr>
          <w:spacing w:val="-3"/>
          <w:sz w:val="18"/>
          <w:vertAlign w:val="baseline"/>
        </w:rPr>
        <w:t> </w:t>
      </w:r>
      <w:r>
        <w:rPr>
          <w:sz w:val="18"/>
          <w:vertAlign w:val="baseline"/>
        </w:rPr>
        <w:t>the</w:t>
      </w:r>
      <w:r>
        <w:rPr>
          <w:spacing w:val="-3"/>
          <w:sz w:val="18"/>
          <w:vertAlign w:val="baseline"/>
        </w:rPr>
        <w:t> </w:t>
      </w:r>
      <w:r>
        <w:rPr>
          <w:sz w:val="18"/>
          <w:vertAlign w:val="baseline"/>
        </w:rPr>
        <w:t>BRI</w:t>
      </w:r>
      <w:r>
        <w:rPr>
          <w:spacing w:val="-3"/>
          <w:sz w:val="18"/>
          <w:vertAlign w:val="baseline"/>
        </w:rPr>
        <w:t> </w:t>
      </w:r>
      <w:r>
        <w:rPr>
          <w:sz w:val="18"/>
          <w:vertAlign w:val="baseline"/>
        </w:rPr>
        <w:t>era</w:t>
      </w:r>
      <w:r>
        <w:rPr>
          <w:spacing w:val="-3"/>
          <w:sz w:val="18"/>
          <w:vertAlign w:val="baseline"/>
        </w:rPr>
        <w:t> </w:t>
      </w:r>
      <w:r>
        <w:rPr>
          <w:sz w:val="18"/>
          <w:vertAlign w:val="baseline"/>
        </w:rPr>
        <w:t>(2014-2021),</w:t>
      </w:r>
      <w:r>
        <w:rPr>
          <w:spacing w:val="-3"/>
          <w:sz w:val="18"/>
          <w:vertAlign w:val="baseline"/>
        </w:rPr>
        <w:t> </w:t>
      </w:r>
      <w:r>
        <w:rPr>
          <w:sz w:val="18"/>
          <w:vertAlign w:val="baseline"/>
        </w:rPr>
        <w:t>63%</w:t>
      </w:r>
      <w:r>
        <w:rPr>
          <w:spacing w:val="-3"/>
          <w:sz w:val="18"/>
          <w:vertAlign w:val="baseline"/>
        </w:rPr>
        <w:t> </w:t>
      </w:r>
      <w:r>
        <w:rPr>
          <w:sz w:val="18"/>
          <w:vertAlign w:val="baseline"/>
        </w:rPr>
        <w:t>of</w:t>
      </w:r>
      <w:r>
        <w:rPr>
          <w:spacing w:val="-3"/>
          <w:sz w:val="18"/>
          <w:vertAlign w:val="baseline"/>
        </w:rPr>
        <w:t> </w:t>
      </w:r>
      <w:r>
        <w:rPr>
          <w:sz w:val="18"/>
          <w:vertAlign w:val="baseline"/>
        </w:rPr>
        <w:t>China’s</w:t>
      </w:r>
      <w:r>
        <w:rPr>
          <w:spacing w:val="-3"/>
          <w:sz w:val="18"/>
          <w:vertAlign w:val="baseline"/>
        </w:rPr>
        <w:t> </w:t>
      </w:r>
      <w:r>
        <w:rPr>
          <w:sz w:val="18"/>
          <w:vertAlign w:val="baseline"/>
        </w:rPr>
        <w:t>non-emergency</w:t>
      </w:r>
      <w:r>
        <w:rPr>
          <w:spacing w:val="-3"/>
          <w:sz w:val="18"/>
          <w:vertAlign w:val="baseline"/>
        </w:rPr>
        <w:t> </w:t>
      </w:r>
      <w:r>
        <w:rPr>
          <w:sz w:val="18"/>
          <w:vertAlign w:val="baseline"/>
        </w:rPr>
        <w:t>loans</w:t>
      </w:r>
      <w:r>
        <w:rPr>
          <w:spacing w:val="-3"/>
          <w:sz w:val="18"/>
          <w:vertAlign w:val="baseline"/>
        </w:rPr>
        <w:t> </w:t>
      </w:r>
      <w:r>
        <w:rPr>
          <w:sz w:val="18"/>
          <w:vertAlign w:val="baseline"/>
        </w:rPr>
        <w:t>(representing</w:t>
      </w:r>
      <w:r>
        <w:rPr>
          <w:spacing w:val="-3"/>
          <w:sz w:val="18"/>
          <w:vertAlign w:val="baseline"/>
        </w:rPr>
        <w:t> </w:t>
      </w:r>
      <w:r>
        <w:rPr>
          <w:sz w:val="18"/>
          <w:vertAlign w:val="baseline"/>
        </w:rPr>
        <w:t>67% of China’s non-emergency rescue lending portfolio in monetary terms) were issued in years when the recipients of these loans were in ﬁnancial distress. These percentages reﬂect the distress marker that was modiﬁed to differentiate between repayment risks and repayment risk mitigation efforts (see footnote </w:t>
      </w:r>
      <w:r>
        <w:rPr>
          <w:sz w:val="18"/>
          <w:vertAlign w:val="baseline"/>
        </w:rPr>
        <w:t>141).</w:t>
      </w:r>
    </w:p>
    <w:p>
      <w:pPr>
        <w:spacing w:before="6"/>
        <w:ind w:left="760" w:right="0" w:firstLine="0"/>
        <w:jc w:val="left"/>
        <w:rPr>
          <w:sz w:val="18"/>
        </w:rPr>
      </w:pPr>
      <w:r>
        <w:rPr>
          <w:sz w:val="18"/>
          <w:vertAlign w:val="superscript"/>
        </w:rPr>
        <w:t>143</w:t>
      </w:r>
      <w:r>
        <w:rPr>
          <w:spacing w:val="-4"/>
          <w:sz w:val="18"/>
          <w:vertAlign w:val="baseline"/>
        </w:rPr>
        <w:t> </w:t>
      </w:r>
      <w:r>
        <w:rPr>
          <w:sz w:val="18"/>
          <w:vertAlign w:val="baseline"/>
        </w:rPr>
        <w:t>This</w:t>
      </w:r>
      <w:r>
        <w:rPr>
          <w:spacing w:val="-2"/>
          <w:sz w:val="18"/>
          <w:vertAlign w:val="baseline"/>
        </w:rPr>
        <w:t> </w:t>
      </w:r>
      <w:r>
        <w:rPr>
          <w:sz w:val="18"/>
          <w:vertAlign w:val="baseline"/>
        </w:rPr>
        <w:t>ﬁnding</w:t>
      </w:r>
      <w:r>
        <w:rPr>
          <w:spacing w:val="-2"/>
          <w:sz w:val="18"/>
          <w:vertAlign w:val="baseline"/>
        </w:rPr>
        <w:t> </w:t>
      </w:r>
      <w:r>
        <w:rPr>
          <w:sz w:val="18"/>
          <w:vertAlign w:val="baseline"/>
        </w:rPr>
        <w:t>is</w:t>
      </w:r>
      <w:r>
        <w:rPr>
          <w:spacing w:val="-2"/>
          <w:sz w:val="18"/>
          <w:vertAlign w:val="baseline"/>
        </w:rPr>
        <w:t> </w:t>
      </w:r>
      <w:r>
        <w:rPr>
          <w:sz w:val="18"/>
          <w:vertAlign w:val="baseline"/>
        </w:rPr>
        <w:t>also</w:t>
      </w:r>
      <w:r>
        <w:rPr>
          <w:spacing w:val="-2"/>
          <w:sz w:val="18"/>
          <w:vertAlign w:val="baseline"/>
        </w:rPr>
        <w:t> </w:t>
      </w:r>
      <w:r>
        <w:rPr>
          <w:sz w:val="18"/>
          <w:vertAlign w:val="baseline"/>
        </w:rPr>
        <w:t>consistent</w:t>
      </w:r>
      <w:r>
        <w:rPr>
          <w:spacing w:val="-3"/>
          <w:sz w:val="18"/>
          <w:vertAlign w:val="baseline"/>
        </w:rPr>
        <w:t> </w:t>
      </w:r>
      <w:r>
        <w:rPr>
          <w:sz w:val="18"/>
          <w:vertAlign w:val="baseline"/>
        </w:rPr>
        <w:t>with</w:t>
      </w:r>
      <w:r>
        <w:rPr>
          <w:spacing w:val="-2"/>
          <w:sz w:val="18"/>
          <w:vertAlign w:val="baseline"/>
        </w:rPr>
        <w:t> </w:t>
      </w:r>
      <w:r>
        <w:rPr>
          <w:sz w:val="18"/>
          <w:vertAlign w:val="baseline"/>
        </w:rPr>
        <w:t>Horn</w:t>
      </w:r>
      <w:r>
        <w:rPr>
          <w:spacing w:val="-2"/>
          <w:sz w:val="18"/>
          <w:vertAlign w:val="baseline"/>
        </w:rPr>
        <w:t> </w:t>
      </w:r>
      <w:r>
        <w:rPr>
          <w:sz w:val="18"/>
          <w:vertAlign w:val="baseline"/>
        </w:rPr>
        <w:t>et</w:t>
      </w:r>
      <w:r>
        <w:rPr>
          <w:spacing w:val="-2"/>
          <w:sz w:val="18"/>
          <w:vertAlign w:val="baseline"/>
        </w:rPr>
        <w:t> </w:t>
      </w:r>
      <w:r>
        <w:rPr>
          <w:sz w:val="18"/>
          <w:vertAlign w:val="baseline"/>
        </w:rPr>
        <w:t>al.</w:t>
      </w:r>
      <w:r>
        <w:rPr>
          <w:spacing w:val="-2"/>
          <w:sz w:val="18"/>
          <w:vertAlign w:val="baseline"/>
        </w:rPr>
        <w:t> </w:t>
      </w:r>
      <w:r>
        <w:rPr>
          <w:sz w:val="18"/>
          <w:vertAlign w:val="baseline"/>
        </w:rPr>
        <w:t>(2023a)</w:t>
      </w:r>
      <w:r>
        <w:rPr>
          <w:spacing w:val="-3"/>
          <w:sz w:val="18"/>
          <w:vertAlign w:val="baseline"/>
        </w:rPr>
        <w:t> </w:t>
      </w:r>
      <w:r>
        <w:rPr>
          <w:sz w:val="18"/>
          <w:vertAlign w:val="baseline"/>
        </w:rPr>
        <w:t>and</w:t>
      </w:r>
      <w:r>
        <w:rPr>
          <w:spacing w:val="-2"/>
          <w:sz w:val="18"/>
          <w:vertAlign w:val="baseline"/>
        </w:rPr>
        <w:t> </w:t>
      </w:r>
      <w:r>
        <w:rPr>
          <w:sz w:val="18"/>
          <w:vertAlign w:val="baseline"/>
        </w:rPr>
        <w:t>Horn</w:t>
      </w:r>
      <w:r>
        <w:rPr>
          <w:spacing w:val="-2"/>
          <w:sz w:val="18"/>
          <w:vertAlign w:val="baseline"/>
        </w:rPr>
        <w:t> </w:t>
      </w:r>
      <w:r>
        <w:rPr>
          <w:sz w:val="18"/>
          <w:vertAlign w:val="baseline"/>
        </w:rPr>
        <w:t>et</w:t>
      </w:r>
      <w:r>
        <w:rPr>
          <w:spacing w:val="-2"/>
          <w:sz w:val="18"/>
          <w:vertAlign w:val="baseline"/>
        </w:rPr>
        <w:t> </w:t>
      </w:r>
      <w:r>
        <w:rPr>
          <w:sz w:val="18"/>
          <w:vertAlign w:val="baseline"/>
        </w:rPr>
        <w:t>al.</w:t>
      </w:r>
      <w:r>
        <w:rPr>
          <w:spacing w:val="-2"/>
          <w:sz w:val="18"/>
          <w:vertAlign w:val="baseline"/>
        </w:rPr>
        <w:t> (2023b).</w:t>
      </w:r>
    </w:p>
    <w:p>
      <w:pPr>
        <w:spacing w:line="249" w:lineRule="auto" w:before="9"/>
        <w:ind w:left="760" w:right="767" w:firstLine="0"/>
        <w:jc w:val="left"/>
        <w:rPr>
          <w:sz w:val="18"/>
        </w:rPr>
      </w:pPr>
      <w:r>
        <w:rPr>
          <w:sz w:val="18"/>
          <w:vertAlign w:val="superscript"/>
        </w:rPr>
        <w:t>144</w:t>
      </w:r>
      <w:r>
        <w:rPr>
          <w:sz w:val="18"/>
          <w:vertAlign w:val="baseline"/>
        </w:rPr>
        <w:t> According to the underlying data that was used to construct Figure 2.9, 100% of the countries that received</w:t>
      </w:r>
      <w:r>
        <w:rPr>
          <w:spacing w:val="-3"/>
          <w:sz w:val="18"/>
          <w:vertAlign w:val="baseline"/>
        </w:rPr>
        <w:t> </w:t>
      </w:r>
      <w:r>
        <w:rPr>
          <w:sz w:val="18"/>
          <w:vertAlign w:val="baseline"/>
        </w:rPr>
        <w:t>serial</w:t>
      </w:r>
      <w:r>
        <w:rPr>
          <w:spacing w:val="-3"/>
          <w:sz w:val="18"/>
          <w:vertAlign w:val="baseline"/>
        </w:rPr>
        <w:t> </w:t>
      </w:r>
      <w:r>
        <w:rPr>
          <w:sz w:val="18"/>
          <w:vertAlign w:val="baseline"/>
        </w:rPr>
        <w:t>debt</w:t>
      </w:r>
      <w:r>
        <w:rPr>
          <w:spacing w:val="-3"/>
          <w:sz w:val="18"/>
          <w:vertAlign w:val="baseline"/>
        </w:rPr>
        <w:t> </w:t>
      </w:r>
      <w:r>
        <w:rPr>
          <w:sz w:val="18"/>
          <w:vertAlign w:val="baseline"/>
        </w:rPr>
        <w:t>reschedulings</w:t>
      </w:r>
      <w:r>
        <w:rPr>
          <w:spacing w:val="-3"/>
          <w:sz w:val="18"/>
          <w:vertAlign w:val="baseline"/>
        </w:rPr>
        <w:t> </w:t>
      </w:r>
      <w:r>
        <w:rPr>
          <w:sz w:val="18"/>
          <w:vertAlign w:val="baseline"/>
        </w:rPr>
        <w:t>and</w:t>
      </w:r>
      <w:r>
        <w:rPr>
          <w:spacing w:val="-3"/>
          <w:sz w:val="18"/>
          <w:vertAlign w:val="baseline"/>
        </w:rPr>
        <w:t> </w:t>
      </w:r>
      <w:r>
        <w:rPr>
          <w:sz w:val="18"/>
          <w:vertAlign w:val="baseline"/>
        </w:rPr>
        <w:t>100%</w:t>
      </w:r>
      <w:r>
        <w:rPr>
          <w:spacing w:val="-3"/>
          <w:sz w:val="18"/>
          <w:vertAlign w:val="baseline"/>
        </w:rPr>
        <w:t> </w:t>
      </w:r>
      <w:r>
        <w:rPr>
          <w:sz w:val="18"/>
          <w:vertAlign w:val="baseline"/>
        </w:rPr>
        <w:t>of</w:t>
      </w:r>
      <w:r>
        <w:rPr>
          <w:spacing w:val="-3"/>
          <w:sz w:val="18"/>
          <w:vertAlign w:val="baseline"/>
        </w:rPr>
        <w:t> </w:t>
      </w:r>
      <w:r>
        <w:rPr>
          <w:sz w:val="18"/>
          <w:vertAlign w:val="baseline"/>
        </w:rPr>
        <w:t>the</w:t>
      </w:r>
      <w:r>
        <w:rPr>
          <w:spacing w:val="-3"/>
          <w:sz w:val="18"/>
          <w:vertAlign w:val="baseline"/>
        </w:rPr>
        <w:t> </w:t>
      </w:r>
      <w:r>
        <w:rPr>
          <w:sz w:val="18"/>
          <w:vertAlign w:val="baseline"/>
        </w:rPr>
        <w:t>countries</w:t>
      </w:r>
      <w:r>
        <w:rPr>
          <w:spacing w:val="-3"/>
          <w:sz w:val="18"/>
          <w:vertAlign w:val="baseline"/>
        </w:rPr>
        <w:t> </w:t>
      </w:r>
      <w:r>
        <w:rPr>
          <w:sz w:val="18"/>
          <w:vertAlign w:val="baseline"/>
        </w:rPr>
        <w:t>that</w:t>
      </w:r>
      <w:r>
        <w:rPr>
          <w:spacing w:val="-3"/>
          <w:sz w:val="18"/>
          <w:vertAlign w:val="baseline"/>
        </w:rPr>
        <w:t> </w:t>
      </w:r>
      <w:r>
        <w:rPr>
          <w:sz w:val="18"/>
          <w:vertAlign w:val="baseline"/>
        </w:rPr>
        <w:t>received</w:t>
      </w:r>
      <w:r>
        <w:rPr>
          <w:spacing w:val="-3"/>
          <w:sz w:val="18"/>
          <w:vertAlign w:val="baseline"/>
        </w:rPr>
        <w:t> </w:t>
      </w:r>
      <w:r>
        <w:rPr>
          <w:sz w:val="18"/>
          <w:vertAlign w:val="baseline"/>
        </w:rPr>
        <w:t>serial</w:t>
      </w:r>
      <w:r>
        <w:rPr>
          <w:spacing w:val="-3"/>
          <w:sz w:val="18"/>
          <w:vertAlign w:val="baseline"/>
        </w:rPr>
        <w:t> </w:t>
      </w:r>
      <w:r>
        <w:rPr>
          <w:sz w:val="18"/>
          <w:vertAlign w:val="baseline"/>
        </w:rPr>
        <w:t>emergency</w:t>
      </w:r>
      <w:r>
        <w:rPr>
          <w:spacing w:val="-3"/>
          <w:sz w:val="18"/>
          <w:vertAlign w:val="baseline"/>
        </w:rPr>
        <w:t> </w:t>
      </w:r>
      <w:r>
        <w:rPr>
          <w:sz w:val="18"/>
          <w:vertAlign w:val="baseline"/>
        </w:rPr>
        <w:t>rescue</w:t>
      </w:r>
      <w:r>
        <w:rPr>
          <w:spacing w:val="-3"/>
          <w:sz w:val="18"/>
          <w:vertAlign w:val="baseline"/>
        </w:rPr>
        <w:t> </w:t>
      </w:r>
      <w:r>
        <w:rPr>
          <w:sz w:val="18"/>
          <w:vertAlign w:val="baseline"/>
        </w:rPr>
        <w:t>loans are formal participants in the BRI. All of these countries rank among Beijing’s 50 largest LIC and MIC borrowers and either beneﬁted from debt reschedulings in two or more consecutive years or emergency rescue loans in two or more consecutive years.</w:t>
      </w:r>
    </w:p>
    <w:p>
      <w:pPr>
        <w:spacing w:line="249" w:lineRule="auto" w:before="4"/>
        <w:ind w:left="760" w:right="964" w:firstLine="0"/>
        <w:jc w:val="left"/>
        <w:rPr>
          <w:sz w:val="18"/>
        </w:rPr>
      </w:pPr>
      <w:r>
        <w:rPr>
          <w:sz w:val="18"/>
          <w:vertAlign w:val="superscript"/>
        </w:rPr>
        <w:t>145</w:t>
      </w:r>
      <w:r>
        <w:rPr>
          <w:sz w:val="18"/>
          <w:vertAlign w:val="baseline"/>
        </w:rPr>
        <w:t> It is important to keep in mind that, from a historical perspective, countercyclical ofﬁcial lending is </w:t>
      </w:r>
      <w:r>
        <w:rPr>
          <w:sz w:val="18"/>
          <w:vertAlign w:val="baseline"/>
        </w:rPr>
        <w:t>the norm rather than the exception. As Horn et al. (2020b) explain, “[d]uring the course of the 1930s, the United States joined European states in extending ofﬁcial loans to states with balance-of-payments problems,</w:t>
      </w:r>
      <w:r>
        <w:rPr>
          <w:spacing w:val="-2"/>
          <w:sz w:val="18"/>
          <w:vertAlign w:val="baseline"/>
        </w:rPr>
        <w:t> </w:t>
      </w:r>
      <w:r>
        <w:rPr>
          <w:sz w:val="18"/>
          <w:vertAlign w:val="baseline"/>
        </w:rPr>
        <w:t>in</w:t>
      </w:r>
      <w:r>
        <w:rPr>
          <w:spacing w:val="-2"/>
          <w:sz w:val="18"/>
          <w:vertAlign w:val="baseline"/>
        </w:rPr>
        <w:t> </w:t>
      </w:r>
      <w:r>
        <w:rPr>
          <w:sz w:val="18"/>
          <w:vertAlign w:val="baseline"/>
        </w:rPr>
        <w:t>particular</w:t>
      </w:r>
      <w:r>
        <w:rPr>
          <w:spacing w:val="-2"/>
          <w:sz w:val="18"/>
          <w:vertAlign w:val="baseline"/>
        </w:rPr>
        <w:t> </w:t>
      </w:r>
      <w:r>
        <w:rPr>
          <w:sz w:val="18"/>
          <w:vertAlign w:val="baseline"/>
        </w:rPr>
        <w:t>through</w:t>
      </w:r>
      <w:r>
        <w:rPr>
          <w:spacing w:val="-2"/>
          <w:sz w:val="18"/>
          <w:vertAlign w:val="baseline"/>
        </w:rPr>
        <w:t> </w:t>
      </w:r>
      <w:r>
        <w:rPr>
          <w:sz w:val="18"/>
          <w:vertAlign w:val="baseline"/>
        </w:rPr>
        <w:t>the</w:t>
      </w:r>
      <w:r>
        <w:rPr>
          <w:spacing w:val="-2"/>
          <w:sz w:val="18"/>
          <w:vertAlign w:val="baseline"/>
        </w:rPr>
        <w:t> </w:t>
      </w:r>
      <w:r>
        <w:rPr>
          <w:sz w:val="18"/>
          <w:vertAlign w:val="baseline"/>
        </w:rPr>
        <w:t>US</w:t>
      </w:r>
      <w:r>
        <w:rPr>
          <w:spacing w:val="-2"/>
          <w:sz w:val="18"/>
          <w:vertAlign w:val="baseline"/>
        </w:rPr>
        <w:t> </w:t>
      </w:r>
      <w:r>
        <w:rPr>
          <w:sz w:val="18"/>
          <w:vertAlign w:val="baseline"/>
        </w:rPr>
        <w:t>Export-Import</w:t>
      </w:r>
      <w:r>
        <w:rPr>
          <w:spacing w:val="-2"/>
          <w:sz w:val="18"/>
          <w:vertAlign w:val="baseline"/>
        </w:rPr>
        <w:t> </w:t>
      </w:r>
      <w:r>
        <w:rPr>
          <w:sz w:val="18"/>
          <w:vertAlign w:val="baseline"/>
        </w:rPr>
        <w:t>Bank</w:t>
      </w:r>
      <w:r>
        <w:rPr>
          <w:spacing w:val="-2"/>
          <w:sz w:val="18"/>
          <w:vertAlign w:val="baseline"/>
        </w:rPr>
        <w:t> </w:t>
      </w:r>
      <w:r>
        <w:rPr>
          <w:sz w:val="18"/>
          <w:vertAlign w:val="baseline"/>
        </w:rPr>
        <w:t>and</w:t>
      </w:r>
      <w:r>
        <w:rPr>
          <w:spacing w:val="-2"/>
          <w:sz w:val="18"/>
          <w:vertAlign w:val="baseline"/>
        </w:rPr>
        <w:t> </w:t>
      </w:r>
      <w:r>
        <w:rPr>
          <w:sz w:val="18"/>
          <w:vertAlign w:val="baseline"/>
        </w:rPr>
        <w:t>the</w:t>
      </w:r>
      <w:r>
        <w:rPr>
          <w:spacing w:val="-2"/>
          <w:sz w:val="18"/>
          <w:vertAlign w:val="baseline"/>
        </w:rPr>
        <w:t> </w:t>
      </w:r>
      <w:r>
        <w:rPr>
          <w:sz w:val="18"/>
          <w:vertAlign w:val="baseline"/>
        </w:rPr>
        <w:t>US</w:t>
      </w:r>
      <w:r>
        <w:rPr>
          <w:spacing w:val="-2"/>
          <w:sz w:val="18"/>
          <w:vertAlign w:val="baseline"/>
        </w:rPr>
        <w:t> </w:t>
      </w:r>
      <w:r>
        <w:rPr>
          <w:sz w:val="18"/>
          <w:vertAlign w:val="baseline"/>
        </w:rPr>
        <w:t>Treasury’s</w:t>
      </w:r>
      <w:r>
        <w:rPr>
          <w:spacing w:val="-2"/>
          <w:sz w:val="18"/>
          <w:vertAlign w:val="baseline"/>
        </w:rPr>
        <w:t> </w:t>
      </w:r>
      <w:r>
        <w:rPr>
          <w:sz w:val="18"/>
          <w:vertAlign w:val="baseline"/>
        </w:rPr>
        <w:t>Exchange</w:t>
      </w:r>
      <w:r>
        <w:rPr>
          <w:spacing w:val="-2"/>
          <w:sz w:val="18"/>
          <w:vertAlign w:val="baseline"/>
        </w:rPr>
        <w:t> </w:t>
      </w:r>
      <w:r>
        <w:rPr>
          <w:sz w:val="18"/>
          <w:vertAlign w:val="baseline"/>
        </w:rPr>
        <w:t>Stabilization Fund, which was established in 1934” (Horn et al. 2020b: 7).</w:t>
      </w:r>
    </w:p>
    <w:p>
      <w:pPr>
        <w:spacing w:before="3"/>
        <w:ind w:left="760" w:right="0" w:firstLine="0"/>
        <w:jc w:val="left"/>
        <w:rPr>
          <w:sz w:val="18"/>
        </w:rPr>
      </w:pPr>
      <w:r>
        <w:rPr>
          <w:sz w:val="18"/>
          <w:vertAlign w:val="superscript"/>
        </w:rPr>
        <w:t>146</w:t>
      </w:r>
      <w:r>
        <w:rPr>
          <w:spacing w:val="-2"/>
          <w:sz w:val="18"/>
          <w:vertAlign w:val="baseline"/>
        </w:rPr>
        <w:t> </w:t>
      </w:r>
      <w:r>
        <w:rPr>
          <w:sz w:val="18"/>
          <w:vertAlign w:val="baseline"/>
        </w:rPr>
        <w:t>For</w:t>
      </w:r>
      <w:r>
        <w:rPr>
          <w:spacing w:val="-1"/>
          <w:sz w:val="18"/>
          <w:vertAlign w:val="baseline"/>
        </w:rPr>
        <w:t> </w:t>
      </w:r>
      <w:r>
        <w:rPr>
          <w:sz w:val="18"/>
          <w:vertAlign w:val="baseline"/>
        </w:rPr>
        <w:t>more on</w:t>
      </w:r>
      <w:r>
        <w:rPr>
          <w:spacing w:val="-1"/>
          <w:sz w:val="18"/>
          <w:vertAlign w:val="baseline"/>
        </w:rPr>
        <w:t> </w:t>
      </w:r>
      <w:r>
        <w:rPr>
          <w:sz w:val="18"/>
          <w:vertAlign w:val="baseline"/>
        </w:rPr>
        <w:t>this</w:t>
      </w:r>
      <w:r>
        <w:rPr>
          <w:spacing w:val="-1"/>
          <w:sz w:val="18"/>
          <w:vertAlign w:val="baseline"/>
        </w:rPr>
        <w:t> </w:t>
      </w:r>
      <w:r>
        <w:rPr>
          <w:sz w:val="18"/>
          <w:vertAlign w:val="baseline"/>
        </w:rPr>
        <w:t>point, see</w:t>
      </w:r>
      <w:r>
        <w:rPr>
          <w:spacing w:val="-1"/>
          <w:sz w:val="18"/>
          <w:vertAlign w:val="baseline"/>
        </w:rPr>
        <w:t> </w:t>
      </w:r>
      <w:r>
        <w:rPr>
          <w:sz w:val="18"/>
          <w:vertAlign w:val="baseline"/>
        </w:rPr>
        <w:t>Horn</w:t>
      </w:r>
      <w:r>
        <w:rPr>
          <w:spacing w:val="-1"/>
          <w:sz w:val="18"/>
          <w:vertAlign w:val="baseline"/>
        </w:rPr>
        <w:t> </w:t>
      </w:r>
      <w:r>
        <w:rPr>
          <w:sz w:val="18"/>
          <w:vertAlign w:val="baseline"/>
        </w:rPr>
        <w:t>et al.</w:t>
      </w:r>
      <w:r>
        <w:rPr>
          <w:spacing w:val="-1"/>
          <w:sz w:val="18"/>
          <w:vertAlign w:val="baseline"/>
        </w:rPr>
        <w:t> </w:t>
      </w:r>
      <w:r>
        <w:rPr>
          <w:sz w:val="18"/>
          <w:vertAlign w:val="baseline"/>
        </w:rPr>
        <w:t>(2023a) and</w:t>
      </w:r>
      <w:r>
        <w:rPr>
          <w:spacing w:val="-1"/>
          <w:sz w:val="18"/>
          <w:vertAlign w:val="baseline"/>
        </w:rPr>
        <w:t> </w:t>
      </w:r>
      <w:r>
        <w:rPr>
          <w:sz w:val="18"/>
          <w:vertAlign w:val="baseline"/>
        </w:rPr>
        <w:t>Horn</w:t>
      </w:r>
      <w:r>
        <w:rPr>
          <w:spacing w:val="-1"/>
          <w:sz w:val="18"/>
          <w:vertAlign w:val="baseline"/>
        </w:rPr>
        <w:t> </w:t>
      </w:r>
      <w:r>
        <w:rPr>
          <w:sz w:val="18"/>
          <w:vertAlign w:val="baseline"/>
        </w:rPr>
        <w:t>et al.</w:t>
      </w:r>
      <w:r>
        <w:rPr>
          <w:spacing w:val="-1"/>
          <w:sz w:val="18"/>
          <w:vertAlign w:val="baseline"/>
        </w:rPr>
        <w:t> </w:t>
      </w:r>
      <w:r>
        <w:rPr>
          <w:spacing w:val="-2"/>
          <w:sz w:val="18"/>
          <w:vertAlign w:val="baseline"/>
        </w:rPr>
        <w:t>(2023b).</w:t>
      </w:r>
    </w:p>
    <w:p>
      <w:pPr>
        <w:spacing w:after="0"/>
        <w:jc w:val="left"/>
        <w:rPr>
          <w:sz w:val="18"/>
        </w:rPr>
        <w:sectPr>
          <w:pgSz w:w="12240" w:h="15840"/>
          <w:pgMar w:header="0" w:footer="720" w:top="1380" w:bottom="920" w:left="1040" w:right="1040"/>
        </w:sectPr>
      </w:pPr>
    </w:p>
    <w:p>
      <w:pPr>
        <w:pStyle w:val="BodyText"/>
        <w:spacing w:line="333" w:lineRule="auto" w:before="27"/>
        <w:ind w:left="760" w:right="1222"/>
      </w:pPr>
      <w:r>
        <w:rPr/>
        <w:t>are difﬁcult to reconcile with the increasingly popular “Beijing in </w:t>
      </w:r>
      <w:r>
        <w:rPr/>
        <w:t>retreat” narrative that we previously described.</w:t>
      </w:r>
    </w:p>
    <w:p>
      <w:pPr>
        <w:pStyle w:val="BodyText"/>
        <w:spacing w:before="9"/>
        <w:rPr>
          <w:sz w:val="27"/>
        </w:rPr>
      </w:pPr>
    </w:p>
    <w:p>
      <w:pPr>
        <w:pStyle w:val="Heading4"/>
        <w:spacing w:line="357" w:lineRule="auto"/>
        <w:ind w:right="1787"/>
      </w:pPr>
      <w:r>
        <w:rPr>
          <w:spacing w:val="-6"/>
        </w:rPr>
        <w:t>A</w:t>
      </w:r>
      <w:r>
        <w:rPr>
          <w:spacing w:val="-12"/>
        </w:rPr>
        <w:t> </w:t>
      </w:r>
      <w:r>
        <w:rPr>
          <w:spacing w:val="-6"/>
        </w:rPr>
        <w:t>strategic</w:t>
      </w:r>
      <w:r>
        <w:rPr>
          <w:spacing w:val="-12"/>
        </w:rPr>
        <w:t> </w:t>
      </w:r>
      <w:r>
        <w:rPr>
          <w:spacing w:val="-6"/>
        </w:rPr>
        <w:t>pivot</w:t>
      </w:r>
      <w:r>
        <w:rPr>
          <w:spacing w:val="-12"/>
        </w:rPr>
        <w:t> </w:t>
      </w:r>
      <w:r>
        <w:rPr>
          <w:spacing w:val="-6"/>
        </w:rPr>
        <w:t>from</w:t>
      </w:r>
      <w:r>
        <w:rPr>
          <w:spacing w:val="-12"/>
        </w:rPr>
        <w:t> </w:t>
      </w:r>
      <w:r>
        <w:rPr>
          <w:spacing w:val="-6"/>
        </w:rPr>
        <w:t>USD-denominated</w:t>
      </w:r>
      <w:r>
        <w:rPr>
          <w:spacing w:val="-12"/>
        </w:rPr>
        <w:t> </w:t>
      </w:r>
      <w:r>
        <w:rPr>
          <w:spacing w:val="-6"/>
        </w:rPr>
        <w:t>bilateral</w:t>
      </w:r>
      <w:r>
        <w:rPr>
          <w:spacing w:val="-12"/>
        </w:rPr>
        <w:t> </w:t>
      </w:r>
      <w:r>
        <w:rPr>
          <w:spacing w:val="-6"/>
        </w:rPr>
        <w:t>lending</w:t>
      </w:r>
      <w:r>
        <w:rPr>
          <w:spacing w:val="-12"/>
        </w:rPr>
        <w:t> </w:t>
      </w:r>
      <w:r>
        <w:rPr>
          <w:spacing w:val="-6"/>
        </w:rPr>
        <w:t>to </w:t>
      </w:r>
      <w:r>
        <w:rPr>
          <w:spacing w:val="-2"/>
        </w:rPr>
        <w:t>RMB-denominated</w:t>
      </w:r>
      <w:r>
        <w:rPr>
          <w:spacing w:val="-8"/>
        </w:rPr>
        <w:t> </w:t>
      </w:r>
      <w:r>
        <w:rPr>
          <w:spacing w:val="-2"/>
        </w:rPr>
        <w:t>bilateral</w:t>
      </w:r>
      <w:r>
        <w:rPr>
          <w:spacing w:val="-8"/>
        </w:rPr>
        <w:t> </w:t>
      </w:r>
      <w:r>
        <w:rPr>
          <w:spacing w:val="-2"/>
        </w:rPr>
        <w:t>lending</w:t>
      </w:r>
    </w:p>
    <w:p>
      <w:pPr>
        <w:pStyle w:val="BodyText"/>
        <w:spacing w:line="333" w:lineRule="auto" w:before="81"/>
        <w:ind w:left="760" w:right="925"/>
      </w:pPr>
      <w:r>
        <w:rPr/>
        <w:t>As we noted in Section 1 of Chapter 2, China dramatically increased its </w:t>
      </w:r>
      <w:r>
        <w:rPr/>
        <w:t>foreign, dollar-denominated lending activities in the immediate aftermath of the 2008 Global Financial Crisis. Figure 1.2 in Chapter 1 demonstrates that the single largest year-on-year increase in ofﬁcial sector lending commitments from China to LICs and MICs was between 2008 and 2009, and Figure 2.2 provides evidence that nearly all of these commitments were denominated in dollars.</w:t>
      </w:r>
    </w:p>
    <w:p>
      <w:pPr>
        <w:pStyle w:val="BodyText"/>
        <w:spacing w:before="6"/>
        <w:rPr>
          <w:sz w:val="27"/>
        </w:rPr>
      </w:pPr>
    </w:p>
    <w:p>
      <w:pPr>
        <w:pStyle w:val="BodyText"/>
        <w:spacing w:line="333" w:lineRule="auto"/>
        <w:ind w:left="760" w:right="767"/>
      </w:pPr>
      <w:r>
        <w:rPr>
          <w:w w:val="105"/>
        </w:rPr>
        <w:t>But</w:t>
      </w:r>
      <w:r>
        <w:rPr>
          <w:spacing w:val="-17"/>
          <w:w w:val="105"/>
        </w:rPr>
        <w:t> </w:t>
      </w:r>
      <w:r>
        <w:rPr>
          <w:w w:val="105"/>
        </w:rPr>
        <w:t>the</w:t>
      </w:r>
      <w:r>
        <w:rPr>
          <w:spacing w:val="-17"/>
          <w:w w:val="105"/>
        </w:rPr>
        <w:t> </w:t>
      </w:r>
      <w:r>
        <w:rPr>
          <w:w w:val="105"/>
        </w:rPr>
        <w:t>3.0</w:t>
      </w:r>
      <w:r>
        <w:rPr>
          <w:spacing w:val="-17"/>
          <w:w w:val="105"/>
        </w:rPr>
        <w:t> </w:t>
      </w:r>
      <w:r>
        <w:rPr>
          <w:w w:val="105"/>
        </w:rPr>
        <w:t>version</w:t>
      </w:r>
      <w:r>
        <w:rPr>
          <w:spacing w:val="-17"/>
          <w:w w:val="105"/>
        </w:rPr>
        <w:t> </w:t>
      </w:r>
      <w:r>
        <w:rPr>
          <w:w w:val="105"/>
        </w:rPr>
        <w:t>of</w:t>
      </w:r>
      <w:r>
        <w:rPr>
          <w:spacing w:val="-17"/>
          <w:w w:val="105"/>
        </w:rPr>
        <w:t> </w:t>
      </w:r>
      <w:r>
        <w:rPr>
          <w:w w:val="105"/>
        </w:rPr>
        <w:t>AidData’s</w:t>
      </w:r>
      <w:r>
        <w:rPr>
          <w:spacing w:val="-17"/>
          <w:w w:val="105"/>
        </w:rPr>
        <w:t> </w:t>
      </w:r>
      <w:r>
        <w:rPr>
          <w:w w:val="105"/>
        </w:rPr>
        <w:t>GCDF</w:t>
      </w:r>
      <w:r>
        <w:rPr>
          <w:spacing w:val="-17"/>
          <w:w w:val="105"/>
        </w:rPr>
        <w:t> </w:t>
      </w:r>
      <w:r>
        <w:rPr>
          <w:w w:val="105"/>
        </w:rPr>
        <w:t>dataset</w:t>
      </w:r>
      <w:r>
        <w:rPr>
          <w:spacing w:val="-17"/>
          <w:w w:val="105"/>
        </w:rPr>
        <w:t> </w:t>
      </w:r>
      <w:r>
        <w:rPr>
          <w:w w:val="105"/>
        </w:rPr>
        <w:t>also</w:t>
      </w:r>
      <w:r>
        <w:rPr>
          <w:spacing w:val="-17"/>
          <w:w w:val="105"/>
        </w:rPr>
        <w:t> </w:t>
      </w:r>
      <w:r>
        <w:rPr>
          <w:w w:val="105"/>
        </w:rPr>
        <w:t>calls</w:t>
      </w:r>
      <w:r>
        <w:rPr>
          <w:spacing w:val="-17"/>
          <w:w w:val="105"/>
        </w:rPr>
        <w:t> </w:t>
      </w:r>
      <w:r>
        <w:rPr>
          <w:w w:val="105"/>
        </w:rPr>
        <w:t>attention</w:t>
      </w:r>
      <w:r>
        <w:rPr>
          <w:spacing w:val="-17"/>
          <w:w w:val="105"/>
        </w:rPr>
        <w:t> </w:t>
      </w:r>
      <w:r>
        <w:rPr>
          <w:w w:val="105"/>
        </w:rPr>
        <w:t>to</w:t>
      </w:r>
      <w:r>
        <w:rPr>
          <w:spacing w:val="-17"/>
          <w:w w:val="105"/>
        </w:rPr>
        <w:t> </w:t>
      </w:r>
      <w:r>
        <w:rPr>
          <w:w w:val="105"/>
        </w:rPr>
        <w:t>three additional</w:t>
      </w:r>
      <w:r>
        <w:rPr>
          <w:spacing w:val="-18"/>
          <w:w w:val="105"/>
        </w:rPr>
        <w:t> </w:t>
      </w:r>
      <w:r>
        <w:rPr>
          <w:w w:val="105"/>
        </w:rPr>
        <w:t>changes</w:t>
      </w:r>
      <w:r>
        <w:rPr>
          <w:spacing w:val="-17"/>
          <w:w w:val="105"/>
        </w:rPr>
        <w:t> </w:t>
      </w:r>
      <w:r>
        <w:rPr>
          <w:w w:val="105"/>
        </w:rPr>
        <w:t>that</w:t>
      </w:r>
      <w:r>
        <w:rPr>
          <w:spacing w:val="-18"/>
          <w:w w:val="105"/>
        </w:rPr>
        <w:t> </w:t>
      </w:r>
      <w:r>
        <w:rPr>
          <w:w w:val="105"/>
        </w:rPr>
        <w:t>took</w:t>
      </w:r>
      <w:r>
        <w:rPr>
          <w:spacing w:val="-18"/>
          <w:w w:val="105"/>
        </w:rPr>
        <w:t> </w:t>
      </w:r>
      <w:r>
        <w:rPr>
          <w:w w:val="105"/>
        </w:rPr>
        <w:t>place</w:t>
      </w:r>
      <w:r>
        <w:rPr>
          <w:spacing w:val="-17"/>
          <w:w w:val="105"/>
        </w:rPr>
        <w:t> </w:t>
      </w:r>
      <w:r>
        <w:rPr>
          <w:w w:val="105"/>
        </w:rPr>
        <w:t>after</w:t>
      </w:r>
      <w:r>
        <w:rPr>
          <w:spacing w:val="-18"/>
          <w:w w:val="105"/>
        </w:rPr>
        <w:t> </w:t>
      </w:r>
      <w:r>
        <w:rPr>
          <w:w w:val="105"/>
        </w:rPr>
        <w:t>the</w:t>
      </w:r>
      <w:r>
        <w:rPr>
          <w:spacing w:val="-17"/>
          <w:w w:val="105"/>
        </w:rPr>
        <w:t> </w:t>
      </w:r>
      <w:r>
        <w:rPr>
          <w:w w:val="105"/>
        </w:rPr>
        <w:t>2008</w:t>
      </w:r>
      <w:r>
        <w:rPr>
          <w:spacing w:val="-18"/>
          <w:w w:val="105"/>
        </w:rPr>
        <w:t> </w:t>
      </w:r>
      <w:r>
        <w:rPr>
          <w:w w:val="105"/>
        </w:rPr>
        <w:t>Global</w:t>
      </w:r>
      <w:r>
        <w:rPr>
          <w:spacing w:val="-17"/>
          <w:w w:val="105"/>
        </w:rPr>
        <w:t> </w:t>
      </w:r>
      <w:r>
        <w:rPr>
          <w:w w:val="105"/>
        </w:rPr>
        <w:t>Financial</w:t>
      </w:r>
      <w:r>
        <w:rPr>
          <w:spacing w:val="-18"/>
          <w:w w:val="105"/>
        </w:rPr>
        <w:t> </w:t>
      </w:r>
      <w:r>
        <w:rPr>
          <w:w w:val="105"/>
        </w:rPr>
        <w:t>Crisis.</w:t>
      </w:r>
      <w:r>
        <w:rPr>
          <w:spacing w:val="-17"/>
          <w:w w:val="105"/>
        </w:rPr>
        <w:t> </w:t>
      </w:r>
      <w:r>
        <w:rPr>
          <w:w w:val="105"/>
        </w:rPr>
        <w:t>First, Chinese</w:t>
      </w:r>
      <w:r>
        <w:rPr>
          <w:spacing w:val="-18"/>
          <w:w w:val="105"/>
        </w:rPr>
        <w:t> </w:t>
      </w:r>
      <w:r>
        <w:rPr>
          <w:w w:val="105"/>
        </w:rPr>
        <w:t>state-owned</w:t>
      </w:r>
      <w:r>
        <w:rPr>
          <w:spacing w:val="-17"/>
          <w:w w:val="105"/>
        </w:rPr>
        <w:t> </w:t>
      </w:r>
      <w:r>
        <w:rPr>
          <w:w w:val="105"/>
        </w:rPr>
        <w:t>creditors</w:t>
      </w:r>
      <w:r>
        <w:rPr>
          <w:spacing w:val="-18"/>
          <w:w w:val="105"/>
        </w:rPr>
        <w:t> </w:t>
      </w:r>
      <w:r>
        <w:rPr>
          <w:w w:val="105"/>
        </w:rPr>
        <w:t>were</w:t>
      </w:r>
      <w:r>
        <w:rPr>
          <w:spacing w:val="-18"/>
          <w:w w:val="105"/>
        </w:rPr>
        <w:t> </w:t>
      </w:r>
      <w:r>
        <w:rPr>
          <w:w w:val="105"/>
        </w:rPr>
        <w:t>already</w:t>
      </w:r>
      <w:r>
        <w:rPr>
          <w:spacing w:val="-17"/>
          <w:w w:val="105"/>
        </w:rPr>
        <w:t> </w:t>
      </w:r>
      <w:r>
        <w:rPr>
          <w:w w:val="105"/>
        </w:rPr>
        <w:t>holding</w:t>
      </w:r>
      <w:r>
        <w:rPr>
          <w:spacing w:val="-18"/>
          <w:w w:val="105"/>
        </w:rPr>
        <w:t> </w:t>
      </w:r>
      <w:r>
        <w:rPr>
          <w:w w:val="105"/>
        </w:rPr>
        <w:t>a</w:t>
      </w:r>
      <w:r>
        <w:rPr>
          <w:spacing w:val="-17"/>
          <w:w w:val="105"/>
        </w:rPr>
        <w:t> </w:t>
      </w:r>
      <w:r>
        <w:rPr>
          <w:w w:val="105"/>
        </w:rPr>
        <w:t>substantial</w:t>
      </w:r>
      <w:r>
        <w:rPr>
          <w:spacing w:val="-18"/>
          <w:w w:val="105"/>
        </w:rPr>
        <w:t> </w:t>
      </w:r>
      <w:r>
        <w:rPr>
          <w:w w:val="105"/>
        </w:rPr>
        <w:t>amount</w:t>
      </w:r>
      <w:r>
        <w:rPr>
          <w:spacing w:val="-17"/>
          <w:w w:val="105"/>
        </w:rPr>
        <w:t> </w:t>
      </w:r>
      <w:r>
        <w:rPr>
          <w:w w:val="105"/>
        </w:rPr>
        <w:t>of </w:t>
      </w:r>
      <w:r>
        <w:rPr/>
        <w:t>distressed, dollar-denominated debt by the time the BRI was announced in </w:t>
      </w:r>
      <w:r>
        <w:rPr/>
        <w:t>2013 (see Figures 1.8 and A4). Second, from 2013 onward, the dollar’s importance in </w:t>
      </w:r>
      <w:r>
        <w:rPr>
          <w:w w:val="105"/>
        </w:rPr>
        <w:t>China’s</w:t>
      </w:r>
      <w:r>
        <w:rPr>
          <w:spacing w:val="-18"/>
          <w:w w:val="105"/>
        </w:rPr>
        <w:t> </w:t>
      </w:r>
      <w:r>
        <w:rPr>
          <w:w w:val="105"/>
        </w:rPr>
        <w:t>overseas</w:t>
      </w:r>
      <w:r>
        <w:rPr>
          <w:spacing w:val="-17"/>
          <w:w w:val="105"/>
        </w:rPr>
        <w:t> </w:t>
      </w:r>
      <w:r>
        <w:rPr>
          <w:w w:val="105"/>
        </w:rPr>
        <w:t>lending</w:t>
      </w:r>
      <w:r>
        <w:rPr>
          <w:spacing w:val="-18"/>
          <w:w w:val="105"/>
        </w:rPr>
        <w:t> </w:t>
      </w:r>
      <w:r>
        <w:rPr>
          <w:w w:val="105"/>
        </w:rPr>
        <w:t>portfolio</w:t>
      </w:r>
      <w:r>
        <w:rPr>
          <w:spacing w:val="-17"/>
          <w:w w:val="105"/>
        </w:rPr>
        <w:t> </w:t>
      </w:r>
      <w:r>
        <w:rPr>
          <w:w w:val="105"/>
        </w:rPr>
        <w:t>steadily</w:t>
      </w:r>
      <w:r>
        <w:rPr>
          <w:spacing w:val="-18"/>
          <w:w w:val="105"/>
        </w:rPr>
        <w:t> </w:t>
      </w:r>
      <w:r>
        <w:rPr>
          <w:w w:val="105"/>
        </w:rPr>
        <w:t>declined:</w:t>
      </w:r>
      <w:r>
        <w:rPr>
          <w:spacing w:val="-17"/>
          <w:w w:val="105"/>
        </w:rPr>
        <w:t> </w:t>
      </w:r>
      <w:r>
        <w:rPr>
          <w:w w:val="105"/>
        </w:rPr>
        <w:t>the</w:t>
      </w:r>
      <w:r>
        <w:rPr>
          <w:spacing w:val="-18"/>
          <w:w w:val="105"/>
        </w:rPr>
        <w:t> </w:t>
      </w:r>
      <w:r>
        <w:rPr>
          <w:w w:val="105"/>
        </w:rPr>
        <w:t>share</w:t>
      </w:r>
      <w:r>
        <w:rPr>
          <w:spacing w:val="-17"/>
          <w:w w:val="105"/>
        </w:rPr>
        <w:t> </w:t>
      </w:r>
      <w:r>
        <w:rPr>
          <w:w w:val="105"/>
        </w:rPr>
        <w:t>of</w:t>
      </w:r>
      <w:r>
        <w:rPr>
          <w:spacing w:val="-18"/>
          <w:w w:val="105"/>
        </w:rPr>
        <w:t> </w:t>
      </w:r>
      <w:r>
        <w:rPr>
          <w:w w:val="105"/>
        </w:rPr>
        <w:t>new</w:t>
      </w:r>
      <w:r>
        <w:rPr>
          <w:spacing w:val="-17"/>
          <w:w w:val="105"/>
        </w:rPr>
        <w:t> </w:t>
      </w:r>
      <w:r>
        <w:rPr>
          <w:w w:val="105"/>
        </w:rPr>
        <w:t>lending commitments</w:t>
      </w:r>
      <w:r>
        <w:rPr>
          <w:spacing w:val="-13"/>
          <w:w w:val="105"/>
        </w:rPr>
        <w:t> </w:t>
      </w:r>
      <w:r>
        <w:rPr>
          <w:w w:val="105"/>
        </w:rPr>
        <w:t>denominated</w:t>
      </w:r>
      <w:r>
        <w:rPr>
          <w:spacing w:val="-13"/>
          <w:w w:val="105"/>
        </w:rPr>
        <w:t> </w:t>
      </w:r>
      <w:r>
        <w:rPr>
          <w:w w:val="105"/>
        </w:rPr>
        <w:t>in</w:t>
      </w:r>
      <w:r>
        <w:rPr>
          <w:spacing w:val="-13"/>
          <w:w w:val="105"/>
        </w:rPr>
        <w:t> </w:t>
      </w:r>
      <w:r>
        <w:rPr>
          <w:w w:val="105"/>
        </w:rPr>
        <w:t>dollars</w:t>
      </w:r>
      <w:r>
        <w:rPr>
          <w:spacing w:val="-13"/>
          <w:w w:val="105"/>
        </w:rPr>
        <w:t> </w:t>
      </w:r>
      <w:r>
        <w:rPr>
          <w:w w:val="105"/>
        </w:rPr>
        <w:t>fell</w:t>
      </w:r>
      <w:r>
        <w:rPr>
          <w:spacing w:val="-13"/>
          <w:w w:val="105"/>
        </w:rPr>
        <w:t> </w:t>
      </w:r>
      <w:r>
        <w:rPr>
          <w:w w:val="105"/>
        </w:rPr>
        <w:t>sharply,</w:t>
      </w:r>
      <w:r>
        <w:rPr>
          <w:spacing w:val="-13"/>
          <w:w w:val="105"/>
        </w:rPr>
        <w:t> </w:t>
      </w:r>
      <w:r>
        <w:rPr>
          <w:w w:val="105"/>
        </w:rPr>
        <w:t>from</w:t>
      </w:r>
      <w:r>
        <w:rPr>
          <w:spacing w:val="-13"/>
          <w:w w:val="105"/>
        </w:rPr>
        <w:t> </w:t>
      </w:r>
      <w:r>
        <w:rPr>
          <w:w w:val="105"/>
        </w:rPr>
        <w:t>93%</w:t>
      </w:r>
      <w:r>
        <w:rPr>
          <w:spacing w:val="-13"/>
          <w:w w:val="105"/>
        </w:rPr>
        <w:t> </w:t>
      </w:r>
      <w:r>
        <w:rPr>
          <w:w w:val="105"/>
        </w:rPr>
        <w:t>in</w:t>
      </w:r>
      <w:r>
        <w:rPr>
          <w:spacing w:val="-13"/>
          <w:w w:val="105"/>
        </w:rPr>
        <w:t> </w:t>
      </w:r>
      <w:r>
        <w:rPr>
          <w:w w:val="105"/>
        </w:rPr>
        <w:t>2013</w:t>
      </w:r>
      <w:r>
        <w:rPr>
          <w:spacing w:val="-13"/>
          <w:w w:val="105"/>
        </w:rPr>
        <w:t> </w:t>
      </w:r>
      <w:r>
        <w:rPr>
          <w:w w:val="105"/>
        </w:rPr>
        <w:t>to</w:t>
      </w:r>
      <w:r>
        <w:rPr>
          <w:spacing w:val="-13"/>
          <w:w w:val="105"/>
        </w:rPr>
        <w:t> </w:t>
      </w:r>
      <w:r>
        <w:rPr>
          <w:w w:val="105"/>
        </w:rPr>
        <w:t>44%</w:t>
      </w:r>
      <w:r>
        <w:rPr>
          <w:spacing w:val="-13"/>
          <w:w w:val="105"/>
        </w:rPr>
        <w:t> </w:t>
      </w:r>
      <w:r>
        <w:rPr>
          <w:w w:val="105"/>
        </w:rPr>
        <w:t>in </w:t>
      </w:r>
      <w:r>
        <w:rPr>
          <w:spacing w:val="-2"/>
          <w:w w:val="105"/>
        </w:rPr>
        <w:t>2021</w:t>
      </w:r>
      <w:r>
        <w:rPr>
          <w:spacing w:val="-11"/>
          <w:w w:val="105"/>
        </w:rPr>
        <w:t> </w:t>
      </w:r>
      <w:r>
        <w:rPr>
          <w:spacing w:val="-2"/>
          <w:w w:val="105"/>
        </w:rPr>
        <w:t>(see</w:t>
      </w:r>
      <w:r>
        <w:rPr>
          <w:spacing w:val="-11"/>
          <w:w w:val="105"/>
        </w:rPr>
        <w:t> </w:t>
      </w:r>
      <w:r>
        <w:rPr>
          <w:spacing w:val="-2"/>
          <w:w w:val="105"/>
        </w:rPr>
        <w:t>Figure</w:t>
      </w:r>
      <w:r>
        <w:rPr>
          <w:spacing w:val="-11"/>
          <w:w w:val="105"/>
        </w:rPr>
        <w:t> </w:t>
      </w:r>
      <w:r>
        <w:rPr>
          <w:spacing w:val="-2"/>
          <w:w w:val="105"/>
        </w:rPr>
        <w:t>2.2).</w:t>
      </w:r>
      <w:r>
        <w:rPr>
          <w:spacing w:val="-11"/>
          <w:w w:val="105"/>
        </w:rPr>
        <w:t> </w:t>
      </w:r>
      <w:r>
        <w:rPr>
          <w:spacing w:val="-2"/>
          <w:w w:val="105"/>
        </w:rPr>
        <w:t>Dollar-denominated</w:t>
      </w:r>
      <w:r>
        <w:rPr>
          <w:spacing w:val="-11"/>
          <w:w w:val="105"/>
        </w:rPr>
        <w:t> </w:t>
      </w:r>
      <w:r>
        <w:rPr>
          <w:spacing w:val="-2"/>
          <w:w w:val="105"/>
        </w:rPr>
        <w:t>loans</w:t>
      </w:r>
      <w:r>
        <w:rPr>
          <w:spacing w:val="-11"/>
          <w:w w:val="105"/>
        </w:rPr>
        <w:t> </w:t>
      </w:r>
      <w:r>
        <w:rPr>
          <w:spacing w:val="-2"/>
          <w:w w:val="105"/>
        </w:rPr>
        <w:t>were</w:t>
      </w:r>
      <w:r>
        <w:rPr>
          <w:spacing w:val="-11"/>
          <w:w w:val="105"/>
        </w:rPr>
        <w:t> </w:t>
      </w:r>
      <w:r>
        <w:rPr>
          <w:spacing w:val="-2"/>
          <w:w w:val="105"/>
        </w:rPr>
        <w:t>replaced</w:t>
      </w:r>
      <w:r>
        <w:rPr>
          <w:spacing w:val="-11"/>
          <w:w w:val="105"/>
        </w:rPr>
        <w:t> </w:t>
      </w:r>
      <w:r>
        <w:rPr>
          <w:spacing w:val="-2"/>
          <w:w w:val="105"/>
        </w:rPr>
        <w:t>by</w:t>
      </w:r>
    </w:p>
    <w:p>
      <w:pPr>
        <w:pStyle w:val="BodyText"/>
        <w:spacing w:line="333" w:lineRule="auto"/>
        <w:ind w:left="760" w:right="924"/>
      </w:pPr>
      <w:r>
        <w:rPr/>
        <w:t>RMB-denominated loans: the share of new lending commitments denominated </w:t>
      </w:r>
      <w:r>
        <w:rPr>
          <w:spacing w:val="-2"/>
          <w:w w:val="105"/>
        </w:rPr>
        <w:t>in</w:t>
      </w:r>
      <w:r>
        <w:rPr>
          <w:spacing w:val="-12"/>
          <w:w w:val="105"/>
        </w:rPr>
        <w:t> </w:t>
      </w:r>
      <w:r>
        <w:rPr>
          <w:spacing w:val="-2"/>
          <w:w w:val="105"/>
        </w:rPr>
        <w:t>RMB</w:t>
      </w:r>
      <w:r>
        <w:rPr>
          <w:spacing w:val="-12"/>
          <w:w w:val="105"/>
        </w:rPr>
        <w:t> </w:t>
      </w:r>
      <w:r>
        <w:rPr>
          <w:spacing w:val="-2"/>
          <w:w w:val="105"/>
        </w:rPr>
        <w:t>soared</w:t>
      </w:r>
      <w:r>
        <w:rPr>
          <w:spacing w:val="-12"/>
          <w:w w:val="105"/>
        </w:rPr>
        <w:t> </w:t>
      </w:r>
      <w:r>
        <w:rPr>
          <w:spacing w:val="-2"/>
          <w:w w:val="105"/>
        </w:rPr>
        <w:t>from</w:t>
      </w:r>
      <w:r>
        <w:rPr>
          <w:spacing w:val="-12"/>
          <w:w w:val="105"/>
        </w:rPr>
        <w:t> </w:t>
      </w:r>
      <w:r>
        <w:rPr>
          <w:spacing w:val="-2"/>
          <w:w w:val="105"/>
        </w:rPr>
        <w:t>6%</w:t>
      </w:r>
      <w:r>
        <w:rPr>
          <w:spacing w:val="-12"/>
          <w:w w:val="105"/>
        </w:rPr>
        <w:t> </w:t>
      </w:r>
      <w:r>
        <w:rPr>
          <w:spacing w:val="-2"/>
          <w:w w:val="105"/>
        </w:rPr>
        <w:t>in</w:t>
      </w:r>
      <w:r>
        <w:rPr>
          <w:spacing w:val="-12"/>
          <w:w w:val="105"/>
        </w:rPr>
        <w:t> </w:t>
      </w:r>
      <w:r>
        <w:rPr>
          <w:spacing w:val="-2"/>
          <w:w w:val="105"/>
        </w:rPr>
        <w:t>2013</w:t>
      </w:r>
      <w:r>
        <w:rPr>
          <w:spacing w:val="-12"/>
          <w:w w:val="105"/>
        </w:rPr>
        <w:t> </w:t>
      </w:r>
      <w:r>
        <w:rPr>
          <w:spacing w:val="-2"/>
          <w:w w:val="105"/>
        </w:rPr>
        <w:t>to</w:t>
      </w:r>
      <w:r>
        <w:rPr>
          <w:spacing w:val="-12"/>
          <w:w w:val="105"/>
        </w:rPr>
        <w:t> </w:t>
      </w:r>
      <w:r>
        <w:rPr>
          <w:spacing w:val="-2"/>
          <w:w w:val="105"/>
        </w:rPr>
        <w:t>50%</w:t>
      </w:r>
      <w:r>
        <w:rPr>
          <w:spacing w:val="-12"/>
          <w:w w:val="105"/>
        </w:rPr>
        <w:t> </w:t>
      </w:r>
      <w:r>
        <w:rPr>
          <w:spacing w:val="-2"/>
          <w:w w:val="105"/>
        </w:rPr>
        <w:t>in</w:t>
      </w:r>
      <w:r>
        <w:rPr>
          <w:spacing w:val="-12"/>
          <w:w w:val="105"/>
        </w:rPr>
        <w:t> </w:t>
      </w:r>
      <w:r>
        <w:rPr>
          <w:spacing w:val="-2"/>
          <w:w w:val="105"/>
        </w:rPr>
        <w:t>2021</w:t>
      </w:r>
      <w:r>
        <w:rPr>
          <w:spacing w:val="-12"/>
          <w:w w:val="105"/>
        </w:rPr>
        <w:t> </w:t>
      </w:r>
      <w:r>
        <w:rPr>
          <w:spacing w:val="-2"/>
          <w:w w:val="105"/>
        </w:rPr>
        <w:t>(see</w:t>
      </w:r>
      <w:r>
        <w:rPr>
          <w:spacing w:val="-12"/>
          <w:w w:val="105"/>
        </w:rPr>
        <w:t> </w:t>
      </w:r>
      <w:r>
        <w:rPr>
          <w:spacing w:val="-2"/>
          <w:w w:val="105"/>
        </w:rPr>
        <w:t>Figure</w:t>
      </w:r>
      <w:r>
        <w:rPr>
          <w:spacing w:val="-12"/>
          <w:w w:val="105"/>
        </w:rPr>
        <w:t> </w:t>
      </w:r>
      <w:r>
        <w:rPr>
          <w:spacing w:val="-2"/>
          <w:w w:val="105"/>
        </w:rPr>
        <w:t>2.2).</w:t>
      </w:r>
      <w:r>
        <w:rPr>
          <w:spacing w:val="-12"/>
          <w:w w:val="105"/>
        </w:rPr>
        <w:t> </w:t>
      </w:r>
      <w:r>
        <w:rPr>
          <w:spacing w:val="-2"/>
          <w:w w:val="105"/>
        </w:rPr>
        <w:t>Third,</w:t>
      </w:r>
      <w:r>
        <w:rPr>
          <w:spacing w:val="-12"/>
          <w:w w:val="105"/>
        </w:rPr>
        <w:t> </w:t>
      </w:r>
      <w:r>
        <w:rPr>
          <w:spacing w:val="-2"/>
          <w:w w:val="105"/>
        </w:rPr>
        <w:t>the </w:t>
      </w:r>
      <w:r>
        <w:rPr/>
        <w:t>RMB-denominated loans that Beijing issued were predominantly emergency rescue</w:t>
      </w:r>
      <w:r>
        <w:rPr>
          <w:spacing w:val="-12"/>
        </w:rPr>
        <w:t> </w:t>
      </w:r>
      <w:r>
        <w:rPr/>
        <w:t>loans</w:t>
      </w:r>
      <w:r>
        <w:rPr>
          <w:spacing w:val="-11"/>
        </w:rPr>
        <w:t> </w:t>
      </w:r>
      <w:r>
        <w:rPr/>
        <w:t>to</w:t>
      </w:r>
      <w:r>
        <w:rPr>
          <w:spacing w:val="-12"/>
        </w:rPr>
        <w:t> </w:t>
      </w:r>
      <w:r>
        <w:rPr/>
        <w:t>countries</w:t>
      </w:r>
      <w:r>
        <w:rPr>
          <w:spacing w:val="-11"/>
        </w:rPr>
        <w:t> </w:t>
      </w:r>
      <w:r>
        <w:rPr/>
        <w:t>in</w:t>
      </w:r>
      <w:r>
        <w:rPr>
          <w:spacing w:val="-11"/>
        </w:rPr>
        <w:t> </w:t>
      </w:r>
      <w:r>
        <w:rPr/>
        <w:t>ﬁnancial</w:t>
      </w:r>
      <w:r>
        <w:rPr>
          <w:spacing w:val="-12"/>
        </w:rPr>
        <w:t> </w:t>
      </w:r>
      <w:r>
        <w:rPr/>
        <w:t>distress</w:t>
      </w:r>
      <w:r>
        <w:rPr>
          <w:spacing w:val="-11"/>
        </w:rPr>
        <w:t> </w:t>
      </w:r>
      <w:r>
        <w:rPr/>
        <w:t>(see</w:t>
      </w:r>
      <w:r>
        <w:rPr>
          <w:spacing w:val="-11"/>
        </w:rPr>
        <w:t> </w:t>
      </w:r>
      <w:r>
        <w:rPr/>
        <w:t>Figures</w:t>
      </w:r>
      <w:r>
        <w:rPr>
          <w:spacing w:val="-12"/>
        </w:rPr>
        <w:t> </w:t>
      </w:r>
      <w:r>
        <w:rPr/>
        <w:t>2.9,</w:t>
      </w:r>
      <w:r>
        <w:rPr>
          <w:spacing w:val="-11"/>
        </w:rPr>
        <w:t> </w:t>
      </w:r>
      <w:r>
        <w:rPr/>
        <w:t>2.10,</w:t>
      </w:r>
      <w:r>
        <w:rPr>
          <w:spacing w:val="-12"/>
        </w:rPr>
        <w:t> </w:t>
      </w:r>
      <w:r>
        <w:rPr/>
        <w:t>and</w:t>
      </w:r>
      <w:r>
        <w:rPr>
          <w:spacing w:val="-11"/>
        </w:rPr>
        <w:t> </w:t>
      </w:r>
      <w:r>
        <w:rPr>
          <w:spacing w:val="-2"/>
        </w:rPr>
        <w:t>A15).</w:t>
      </w:r>
      <w:r>
        <w:rPr>
          <w:spacing w:val="-2"/>
          <w:vertAlign w:val="superscript"/>
        </w:rPr>
        <w:t>147</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r>
        <w:rPr/>
        <w:pict>
          <v:shape style="position:absolute;margin-left:90pt;margin-top:13.005469pt;width:144pt;height:.1pt;mso-position-horizontal-relative:page;mso-position-vertical-relative:paragraph;z-index:-15700992;mso-wrap-distance-left:0;mso-wrap-distance-right:0" id="docshape51" coordorigin="1800,260" coordsize="2880,0" path="m1800,260l4680,260e" filled="false" stroked="true" strokeweight=".75pt" strokecolor="#000000">
            <v:path arrowok="t"/>
            <v:stroke dashstyle="solid"/>
            <w10:wrap type="topAndBottom"/>
          </v:shape>
        </w:pict>
      </w:r>
    </w:p>
    <w:p>
      <w:pPr>
        <w:spacing w:line="249" w:lineRule="auto" w:before="110"/>
        <w:ind w:left="760" w:right="898" w:firstLine="0"/>
        <w:jc w:val="left"/>
        <w:rPr>
          <w:sz w:val="18"/>
        </w:rPr>
      </w:pPr>
      <w:r>
        <w:rPr>
          <w:sz w:val="18"/>
          <w:vertAlign w:val="superscript"/>
        </w:rPr>
        <w:t>147</w:t>
      </w:r>
      <w:r>
        <w:rPr>
          <w:sz w:val="18"/>
          <w:vertAlign w:val="baseline"/>
        </w:rPr>
        <w:t> In the Appendix, we replicate Figure 2.2 for two different cohorts: one for countries in ﬁnancial distress and another for countries not in ﬁnancial distress (see Figures A16 and A17). One can see an increase in RMB-denominated lending across both cohorts, but the increase is more substantial for countries in ﬁnancial</w:t>
      </w:r>
      <w:r>
        <w:rPr>
          <w:spacing w:val="-3"/>
          <w:sz w:val="18"/>
          <w:vertAlign w:val="baseline"/>
        </w:rPr>
        <w:t> </w:t>
      </w:r>
      <w:r>
        <w:rPr>
          <w:sz w:val="18"/>
          <w:vertAlign w:val="baseline"/>
        </w:rPr>
        <w:t>distress.</w:t>
      </w:r>
      <w:r>
        <w:rPr>
          <w:spacing w:val="-3"/>
          <w:sz w:val="18"/>
          <w:vertAlign w:val="baseline"/>
        </w:rPr>
        <w:t> </w:t>
      </w:r>
      <w:r>
        <w:rPr>
          <w:sz w:val="18"/>
          <w:vertAlign w:val="baseline"/>
        </w:rPr>
        <w:t>Figure</w:t>
      </w:r>
      <w:r>
        <w:rPr>
          <w:spacing w:val="-3"/>
          <w:sz w:val="18"/>
          <w:vertAlign w:val="baseline"/>
        </w:rPr>
        <w:t> </w:t>
      </w:r>
      <w:r>
        <w:rPr>
          <w:sz w:val="18"/>
          <w:vertAlign w:val="baseline"/>
        </w:rPr>
        <w:t>2.10,</w:t>
      </w:r>
      <w:r>
        <w:rPr>
          <w:spacing w:val="-3"/>
          <w:sz w:val="18"/>
          <w:vertAlign w:val="baseline"/>
        </w:rPr>
        <w:t> </w:t>
      </w:r>
      <w:r>
        <w:rPr>
          <w:sz w:val="18"/>
          <w:vertAlign w:val="baseline"/>
        </w:rPr>
        <w:t>which</w:t>
      </w:r>
      <w:r>
        <w:rPr>
          <w:spacing w:val="-3"/>
          <w:sz w:val="18"/>
          <w:vertAlign w:val="baseline"/>
        </w:rPr>
        <w:t> </w:t>
      </w:r>
      <w:r>
        <w:rPr>
          <w:sz w:val="18"/>
          <w:vertAlign w:val="baseline"/>
        </w:rPr>
        <w:t>includes</w:t>
      </w:r>
      <w:r>
        <w:rPr>
          <w:spacing w:val="-3"/>
          <w:sz w:val="18"/>
          <w:vertAlign w:val="baseline"/>
        </w:rPr>
        <w:t> </w:t>
      </w:r>
      <w:r>
        <w:rPr>
          <w:sz w:val="18"/>
          <w:vertAlign w:val="baseline"/>
        </w:rPr>
        <w:t>short-term,</w:t>
      </w:r>
      <w:r>
        <w:rPr>
          <w:spacing w:val="-3"/>
          <w:sz w:val="18"/>
          <w:vertAlign w:val="baseline"/>
        </w:rPr>
        <w:t> </w:t>
      </w:r>
      <w:r>
        <w:rPr>
          <w:sz w:val="18"/>
          <w:vertAlign w:val="baseline"/>
        </w:rPr>
        <w:t>roll-over</w:t>
      </w:r>
      <w:r>
        <w:rPr>
          <w:spacing w:val="-3"/>
          <w:sz w:val="18"/>
          <w:vertAlign w:val="baseline"/>
        </w:rPr>
        <w:t> </w:t>
      </w:r>
      <w:r>
        <w:rPr>
          <w:sz w:val="18"/>
          <w:vertAlign w:val="baseline"/>
        </w:rPr>
        <w:t>loan</w:t>
      </w:r>
      <w:r>
        <w:rPr>
          <w:spacing w:val="-3"/>
          <w:sz w:val="18"/>
          <w:vertAlign w:val="baseline"/>
        </w:rPr>
        <w:t> </w:t>
      </w:r>
      <w:r>
        <w:rPr>
          <w:sz w:val="18"/>
          <w:vertAlign w:val="baseline"/>
        </w:rPr>
        <w:t>amounts,</w:t>
      </w:r>
      <w:r>
        <w:rPr>
          <w:spacing w:val="-3"/>
          <w:sz w:val="18"/>
          <w:vertAlign w:val="baseline"/>
        </w:rPr>
        <w:t> </w:t>
      </w:r>
      <w:r>
        <w:rPr>
          <w:sz w:val="18"/>
          <w:vertAlign w:val="baseline"/>
        </w:rPr>
        <w:t>shows</w:t>
      </w:r>
      <w:r>
        <w:rPr>
          <w:spacing w:val="-3"/>
          <w:sz w:val="18"/>
          <w:vertAlign w:val="baseline"/>
        </w:rPr>
        <w:t> </w:t>
      </w:r>
      <w:r>
        <w:rPr>
          <w:sz w:val="18"/>
          <w:vertAlign w:val="baseline"/>
        </w:rPr>
        <w:t>a</w:t>
      </w:r>
      <w:r>
        <w:rPr>
          <w:spacing w:val="-3"/>
          <w:sz w:val="18"/>
          <w:vertAlign w:val="baseline"/>
        </w:rPr>
        <w:t> </w:t>
      </w:r>
      <w:r>
        <w:rPr>
          <w:sz w:val="18"/>
          <w:vertAlign w:val="baseline"/>
        </w:rPr>
        <w:t>similar</w:t>
      </w:r>
      <w:r>
        <w:rPr>
          <w:spacing w:val="-3"/>
          <w:sz w:val="18"/>
          <w:vertAlign w:val="baseline"/>
        </w:rPr>
        <w:t> </w:t>
      </w:r>
      <w:r>
        <w:rPr>
          <w:sz w:val="18"/>
          <w:vertAlign w:val="baseline"/>
        </w:rPr>
        <w:t>pattern</w:t>
      </w:r>
      <w:r>
        <w:rPr>
          <w:spacing w:val="-3"/>
          <w:sz w:val="18"/>
          <w:vertAlign w:val="baseline"/>
        </w:rPr>
        <w:t> </w:t>
      </w:r>
      <w:r>
        <w:rPr>
          <w:sz w:val="18"/>
          <w:vertAlign w:val="baseline"/>
        </w:rPr>
        <w:t>in China’s RMB-denominated rescue lending portfolio.</w:t>
      </w:r>
    </w:p>
    <w:p>
      <w:pPr>
        <w:spacing w:after="0" w:line="249" w:lineRule="auto"/>
        <w:jc w:val="left"/>
        <w:rPr>
          <w:sz w:val="18"/>
        </w:rPr>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52"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2.10</w:t>
                  </w:r>
                </w:p>
              </w:txbxContent>
            </v:textbox>
            <v:fill type="solid"/>
          </v:shape>
        </w:pict>
      </w:r>
      <w:r>
        <w:rPr>
          <w:sz w:val="20"/>
        </w:rPr>
      </w:r>
    </w:p>
    <w:p>
      <w:pPr>
        <w:pStyle w:val="BodyText"/>
        <w:spacing w:before="2"/>
        <w:rPr>
          <w:sz w:val="14"/>
        </w:rPr>
      </w:pPr>
      <w:r>
        <w:rPr/>
        <w:drawing>
          <wp:anchor distT="0" distB="0" distL="0" distR="0" allowOverlap="1" layoutInCell="1" locked="0" behindDoc="0" simplePos="0" relativeHeight="56">
            <wp:simplePos x="0" y="0"/>
            <wp:positionH relativeFrom="page">
              <wp:posOffset>1250453</wp:posOffset>
            </wp:positionH>
            <wp:positionV relativeFrom="paragraph">
              <wp:posOffset>118923</wp:posOffset>
            </wp:positionV>
            <wp:extent cx="5196184" cy="3245739"/>
            <wp:effectExtent l="0" t="0" r="0" b="0"/>
            <wp:wrapTopAndBottom/>
            <wp:docPr id="19" name="image11.jpeg"/>
            <wp:cNvGraphicFramePr>
              <a:graphicFrameLocks noChangeAspect="1"/>
            </wp:cNvGraphicFramePr>
            <a:graphic>
              <a:graphicData uri="http://schemas.openxmlformats.org/drawingml/2006/picture">
                <pic:pic>
                  <pic:nvPicPr>
                    <pic:cNvPr id="20" name="image11.jpeg"/>
                    <pic:cNvPicPr/>
                  </pic:nvPicPr>
                  <pic:blipFill>
                    <a:blip r:embed="rId19" cstate="print"/>
                    <a:stretch>
                      <a:fillRect/>
                    </a:stretch>
                  </pic:blipFill>
                  <pic:spPr>
                    <a:xfrm>
                      <a:off x="0" y="0"/>
                      <a:ext cx="5196184" cy="3245739"/>
                    </a:xfrm>
                    <a:prstGeom prst="rect">
                      <a:avLst/>
                    </a:prstGeom>
                  </pic:spPr>
                </pic:pic>
              </a:graphicData>
            </a:graphic>
          </wp:anchor>
        </w:drawing>
      </w:r>
    </w:p>
    <w:p>
      <w:pPr>
        <w:pStyle w:val="BodyText"/>
        <w:rPr>
          <w:sz w:val="20"/>
        </w:rPr>
      </w:pPr>
    </w:p>
    <w:p>
      <w:pPr>
        <w:pStyle w:val="BodyText"/>
        <w:spacing w:before="10"/>
        <w:rPr>
          <w:sz w:val="20"/>
        </w:rPr>
      </w:pPr>
    </w:p>
    <w:p>
      <w:pPr>
        <w:spacing w:line="333" w:lineRule="auto" w:before="0"/>
        <w:ind w:left="760" w:right="767" w:firstLine="0"/>
        <w:jc w:val="left"/>
        <w:rPr>
          <w:i/>
          <w:sz w:val="18"/>
        </w:rPr>
      </w:pPr>
      <w:r>
        <w:rPr>
          <w:i/>
          <w:sz w:val="18"/>
        </w:rPr>
        <w:t>Notes:</w:t>
      </w:r>
      <w:r>
        <w:rPr>
          <w:i/>
          <w:spacing w:val="-4"/>
          <w:sz w:val="18"/>
        </w:rPr>
        <w:t> </w:t>
      </w:r>
      <w:r>
        <w:rPr>
          <w:i/>
          <w:sz w:val="18"/>
        </w:rPr>
        <w:t>To</w:t>
      </w:r>
      <w:r>
        <w:rPr>
          <w:i/>
          <w:spacing w:val="-4"/>
          <w:sz w:val="18"/>
        </w:rPr>
        <w:t> </w:t>
      </w:r>
      <w:r>
        <w:rPr>
          <w:i/>
          <w:sz w:val="18"/>
        </w:rPr>
        <w:t>determine</w:t>
      </w:r>
      <w:r>
        <w:rPr>
          <w:i/>
          <w:spacing w:val="-4"/>
          <w:sz w:val="18"/>
        </w:rPr>
        <w:t> </w:t>
      </w:r>
      <w:r>
        <w:rPr>
          <w:i/>
          <w:sz w:val="18"/>
        </w:rPr>
        <w:t>if</w:t>
      </w:r>
      <w:r>
        <w:rPr>
          <w:i/>
          <w:spacing w:val="-4"/>
          <w:sz w:val="18"/>
        </w:rPr>
        <w:t> </w:t>
      </w:r>
      <w:r>
        <w:rPr>
          <w:i/>
          <w:sz w:val="18"/>
        </w:rPr>
        <w:t>a</w:t>
      </w:r>
      <w:r>
        <w:rPr>
          <w:i/>
          <w:spacing w:val="-4"/>
          <w:sz w:val="18"/>
        </w:rPr>
        <w:t> </w:t>
      </w:r>
      <w:r>
        <w:rPr>
          <w:i/>
          <w:sz w:val="18"/>
        </w:rPr>
        <w:t>country</w:t>
      </w:r>
      <w:r>
        <w:rPr>
          <w:i/>
          <w:spacing w:val="-4"/>
          <w:sz w:val="18"/>
        </w:rPr>
        <w:t> </w:t>
      </w:r>
      <w:r>
        <w:rPr>
          <w:i/>
          <w:sz w:val="18"/>
        </w:rPr>
        <w:t>experienced</w:t>
      </w:r>
      <w:r>
        <w:rPr>
          <w:i/>
          <w:spacing w:val="-4"/>
          <w:sz w:val="18"/>
        </w:rPr>
        <w:t> </w:t>
      </w:r>
      <w:r>
        <w:rPr>
          <w:i/>
          <w:sz w:val="18"/>
        </w:rPr>
        <w:t>ﬁnancial</w:t>
      </w:r>
      <w:r>
        <w:rPr>
          <w:i/>
          <w:spacing w:val="-4"/>
          <w:sz w:val="18"/>
        </w:rPr>
        <w:t> </w:t>
      </w:r>
      <w:r>
        <w:rPr>
          <w:i/>
          <w:sz w:val="18"/>
        </w:rPr>
        <w:t>distress</w:t>
      </w:r>
      <w:r>
        <w:rPr>
          <w:i/>
          <w:spacing w:val="-4"/>
          <w:sz w:val="18"/>
        </w:rPr>
        <w:t> </w:t>
      </w:r>
      <w:r>
        <w:rPr>
          <w:i/>
          <w:sz w:val="18"/>
        </w:rPr>
        <w:t>in</w:t>
      </w:r>
      <w:r>
        <w:rPr>
          <w:i/>
          <w:spacing w:val="-4"/>
          <w:sz w:val="18"/>
        </w:rPr>
        <w:t> </w:t>
      </w:r>
      <w:r>
        <w:rPr>
          <w:i/>
          <w:sz w:val="18"/>
        </w:rPr>
        <w:t>a</w:t>
      </w:r>
      <w:r>
        <w:rPr>
          <w:i/>
          <w:spacing w:val="-4"/>
          <w:sz w:val="18"/>
        </w:rPr>
        <w:t> </w:t>
      </w:r>
      <w:r>
        <w:rPr>
          <w:i/>
          <w:sz w:val="18"/>
        </w:rPr>
        <w:t>given</w:t>
      </w:r>
      <w:r>
        <w:rPr>
          <w:i/>
          <w:spacing w:val="-4"/>
          <w:sz w:val="18"/>
        </w:rPr>
        <w:t> </w:t>
      </w:r>
      <w:r>
        <w:rPr>
          <w:i/>
          <w:sz w:val="18"/>
        </w:rPr>
        <w:t>year,</w:t>
      </w:r>
      <w:r>
        <w:rPr>
          <w:i/>
          <w:spacing w:val="-4"/>
          <w:sz w:val="18"/>
        </w:rPr>
        <w:t> </w:t>
      </w:r>
      <w:r>
        <w:rPr>
          <w:i/>
          <w:sz w:val="18"/>
        </w:rPr>
        <w:t>we</w:t>
      </w:r>
      <w:r>
        <w:rPr>
          <w:i/>
          <w:spacing w:val="-4"/>
          <w:sz w:val="18"/>
        </w:rPr>
        <w:t> </w:t>
      </w:r>
      <w:r>
        <w:rPr>
          <w:i/>
          <w:sz w:val="18"/>
        </w:rPr>
        <w:t>use</w:t>
      </w:r>
      <w:r>
        <w:rPr>
          <w:i/>
          <w:spacing w:val="-4"/>
          <w:sz w:val="18"/>
        </w:rPr>
        <w:t> </w:t>
      </w:r>
      <w:r>
        <w:rPr>
          <w:i/>
          <w:sz w:val="18"/>
        </w:rPr>
        <w:t>the</w:t>
      </w:r>
      <w:r>
        <w:rPr>
          <w:i/>
          <w:spacing w:val="-4"/>
          <w:sz w:val="18"/>
        </w:rPr>
        <w:t> </w:t>
      </w:r>
      <w:r>
        <w:rPr>
          <w:i/>
          <w:sz w:val="18"/>
        </w:rPr>
        <w:t>binary</w:t>
      </w:r>
      <w:r>
        <w:rPr>
          <w:i/>
          <w:spacing w:val="-4"/>
          <w:sz w:val="18"/>
        </w:rPr>
        <w:t> </w:t>
      </w:r>
      <w:r>
        <w:rPr>
          <w:i/>
          <w:sz w:val="18"/>
        </w:rPr>
        <w:t>measure</w:t>
      </w:r>
      <w:r>
        <w:rPr>
          <w:i/>
          <w:sz w:val="18"/>
        </w:rPr>
        <w:t> that is described in Box 1a in Chapter 1.</w:t>
      </w:r>
    </w:p>
    <w:p>
      <w:pPr>
        <w:pStyle w:val="BodyText"/>
        <w:rPr>
          <w:i/>
          <w:sz w:val="18"/>
        </w:rPr>
      </w:pPr>
    </w:p>
    <w:p>
      <w:pPr>
        <w:pStyle w:val="BodyText"/>
        <w:spacing w:line="333" w:lineRule="auto" w:before="113"/>
        <w:ind w:left="760" w:right="838"/>
      </w:pPr>
      <w:r>
        <w:rPr/>
        <w:t>On</w:t>
      </w:r>
      <w:r>
        <w:rPr>
          <w:spacing w:val="-3"/>
        </w:rPr>
        <w:t> </w:t>
      </w:r>
      <w:r>
        <w:rPr/>
        <w:t>one</w:t>
      </w:r>
      <w:r>
        <w:rPr>
          <w:spacing w:val="-3"/>
        </w:rPr>
        <w:t> </w:t>
      </w:r>
      <w:r>
        <w:rPr/>
        <w:t>hand,</w:t>
      </w:r>
      <w:r>
        <w:rPr>
          <w:spacing w:val="-3"/>
        </w:rPr>
        <w:t> </w:t>
      </w:r>
      <w:r>
        <w:rPr/>
        <w:t>this</w:t>
      </w:r>
      <w:r>
        <w:rPr>
          <w:spacing w:val="-3"/>
        </w:rPr>
        <w:t> </w:t>
      </w:r>
      <w:r>
        <w:rPr/>
        <w:t>strategy</w:t>
      </w:r>
      <w:r>
        <w:rPr>
          <w:spacing w:val="-3"/>
        </w:rPr>
        <w:t> </w:t>
      </w:r>
      <w:r>
        <w:rPr/>
        <w:t>makes</w:t>
      </w:r>
      <w:r>
        <w:rPr>
          <w:spacing w:val="-3"/>
        </w:rPr>
        <w:t> </w:t>
      </w:r>
      <w:r>
        <w:rPr/>
        <w:t>sense.</w:t>
      </w:r>
      <w:r>
        <w:rPr>
          <w:spacing w:val="-3"/>
        </w:rPr>
        <w:t> </w:t>
      </w:r>
      <w:r>
        <w:rPr/>
        <w:t>During</w:t>
      </w:r>
      <w:r>
        <w:rPr>
          <w:spacing w:val="-3"/>
        </w:rPr>
        <w:t> </w:t>
      </w:r>
      <w:r>
        <w:rPr/>
        <w:t>the</w:t>
      </w:r>
      <w:r>
        <w:rPr>
          <w:spacing w:val="-3"/>
        </w:rPr>
        <w:t> </w:t>
      </w:r>
      <w:r>
        <w:rPr/>
        <w:t>1930s</w:t>
      </w:r>
      <w:r>
        <w:rPr>
          <w:spacing w:val="-3"/>
        </w:rPr>
        <w:t> </w:t>
      </w:r>
      <w:r>
        <w:rPr/>
        <w:t>and</w:t>
      </w:r>
      <w:r>
        <w:rPr>
          <w:spacing w:val="-3"/>
        </w:rPr>
        <w:t> </w:t>
      </w:r>
      <w:r>
        <w:rPr/>
        <w:t>after</w:t>
      </w:r>
      <w:r>
        <w:rPr>
          <w:spacing w:val="-3"/>
        </w:rPr>
        <w:t> </w:t>
      </w:r>
      <w:r>
        <w:rPr/>
        <w:t>World</w:t>
      </w:r>
      <w:r>
        <w:rPr>
          <w:spacing w:val="-3"/>
        </w:rPr>
        <w:t> </w:t>
      </w:r>
      <w:r>
        <w:rPr/>
        <w:t>War II, the U.S. became a major international lender of last resort, providing</w:t>
      </w:r>
    </w:p>
    <w:p>
      <w:pPr>
        <w:pStyle w:val="BodyText"/>
        <w:spacing w:line="333" w:lineRule="auto"/>
        <w:ind w:left="760" w:right="767"/>
      </w:pPr>
      <w:r>
        <w:rPr>
          <w:w w:val="105"/>
        </w:rPr>
        <w:t>dollar-denominated</w:t>
      </w:r>
      <w:r>
        <w:rPr>
          <w:spacing w:val="-18"/>
          <w:w w:val="105"/>
        </w:rPr>
        <w:t> </w:t>
      </w:r>
      <w:r>
        <w:rPr>
          <w:w w:val="105"/>
        </w:rPr>
        <w:t>emergency</w:t>
      </w:r>
      <w:r>
        <w:rPr>
          <w:spacing w:val="-17"/>
          <w:w w:val="105"/>
        </w:rPr>
        <w:t> </w:t>
      </w:r>
      <w:r>
        <w:rPr>
          <w:w w:val="105"/>
        </w:rPr>
        <w:t>rescue</w:t>
      </w:r>
      <w:r>
        <w:rPr>
          <w:spacing w:val="-18"/>
          <w:w w:val="105"/>
        </w:rPr>
        <w:t> </w:t>
      </w:r>
      <w:r>
        <w:rPr>
          <w:w w:val="105"/>
        </w:rPr>
        <w:t>loans</w:t>
      </w:r>
      <w:r>
        <w:rPr>
          <w:spacing w:val="-18"/>
          <w:w w:val="105"/>
        </w:rPr>
        <w:t> </w:t>
      </w:r>
      <w:r>
        <w:rPr>
          <w:w w:val="105"/>
        </w:rPr>
        <w:t>to</w:t>
      </w:r>
      <w:r>
        <w:rPr>
          <w:spacing w:val="-17"/>
          <w:w w:val="105"/>
        </w:rPr>
        <w:t> </w:t>
      </w:r>
      <w:r>
        <w:rPr>
          <w:w w:val="105"/>
        </w:rPr>
        <w:t>borrowers</w:t>
      </w:r>
      <w:r>
        <w:rPr>
          <w:spacing w:val="-18"/>
          <w:w w:val="105"/>
        </w:rPr>
        <w:t> </w:t>
      </w:r>
      <w:r>
        <w:rPr>
          <w:w w:val="105"/>
        </w:rPr>
        <w:t>with</w:t>
      </w:r>
      <w:r>
        <w:rPr>
          <w:spacing w:val="-17"/>
          <w:w w:val="105"/>
        </w:rPr>
        <w:t> </w:t>
      </w:r>
      <w:r>
        <w:rPr>
          <w:w w:val="105"/>
        </w:rPr>
        <w:t>large</w:t>
      </w:r>
      <w:r>
        <w:rPr>
          <w:w w:val="105"/>
        </w:rPr>
        <w:t> </w:t>
      </w:r>
      <w:r>
        <w:rPr/>
        <w:t>outstanding dollar-denominated debts to U.S. companies and banks through the</w:t>
      </w:r>
    </w:p>
    <w:p>
      <w:pPr>
        <w:pStyle w:val="BodyText"/>
        <w:spacing w:line="275" w:lineRule="exact"/>
        <w:ind w:left="760"/>
      </w:pPr>
      <w:r>
        <w:rPr>
          <w:spacing w:val="-4"/>
        </w:rPr>
        <w:t>U.S.</w:t>
      </w:r>
      <w:r>
        <w:rPr>
          <w:spacing w:val="-2"/>
        </w:rPr>
        <w:t> </w:t>
      </w:r>
      <w:r>
        <w:rPr>
          <w:spacing w:val="-4"/>
        </w:rPr>
        <w:t>Federal</w:t>
      </w:r>
      <w:r>
        <w:rPr>
          <w:spacing w:val="-2"/>
        </w:rPr>
        <w:t> </w:t>
      </w:r>
      <w:r>
        <w:rPr>
          <w:spacing w:val="-4"/>
        </w:rPr>
        <w:t>Reserve,</w:t>
      </w:r>
      <w:r>
        <w:rPr>
          <w:spacing w:val="-2"/>
        </w:rPr>
        <w:t> </w:t>
      </w:r>
      <w:r>
        <w:rPr>
          <w:spacing w:val="-4"/>
        </w:rPr>
        <w:t>the</w:t>
      </w:r>
      <w:r>
        <w:rPr>
          <w:spacing w:val="-2"/>
        </w:rPr>
        <w:t> </w:t>
      </w:r>
      <w:r>
        <w:rPr>
          <w:spacing w:val="-4"/>
        </w:rPr>
        <w:t>U.S.</w:t>
      </w:r>
      <w:r>
        <w:rPr>
          <w:spacing w:val="-2"/>
        </w:rPr>
        <w:t> </w:t>
      </w:r>
      <w:r>
        <w:rPr>
          <w:spacing w:val="-4"/>
        </w:rPr>
        <w:t>Treasury’s</w:t>
      </w:r>
      <w:r>
        <w:rPr>
          <w:spacing w:val="-2"/>
        </w:rPr>
        <w:t> </w:t>
      </w:r>
      <w:r>
        <w:rPr>
          <w:spacing w:val="-4"/>
        </w:rPr>
        <w:t>Exchange</w:t>
      </w:r>
      <w:r>
        <w:rPr>
          <w:spacing w:val="-2"/>
        </w:rPr>
        <w:t> </w:t>
      </w:r>
      <w:r>
        <w:rPr>
          <w:spacing w:val="-4"/>
        </w:rPr>
        <w:t>Stabilization</w:t>
      </w:r>
      <w:r>
        <w:rPr>
          <w:spacing w:val="-2"/>
        </w:rPr>
        <w:t> </w:t>
      </w:r>
      <w:r>
        <w:rPr>
          <w:spacing w:val="-4"/>
        </w:rPr>
        <w:t>Fund,</w:t>
      </w:r>
      <w:r>
        <w:rPr>
          <w:spacing w:val="-2"/>
        </w:rPr>
        <w:t> </w:t>
      </w:r>
      <w:r>
        <w:rPr>
          <w:spacing w:val="-4"/>
        </w:rPr>
        <w:t>and</w:t>
      </w:r>
      <w:r>
        <w:rPr>
          <w:spacing w:val="-2"/>
        </w:rPr>
        <w:t> </w:t>
      </w:r>
      <w:r>
        <w:rPr>
          <w:spacing w:val="-5"/>
        </w:rPr>
        <w:t>the</w:t>
      </w:r>
    </w:p>
    <w:p>
      <w:pPr>
        <w:pStyle w:val="BodyText"/>
        <w:spacing w:line="333" w:lineRule="auto" w:before="106"/>
        <w:ind w:left="760" w:right="813"/>
      </w:pPr>
      <w:r>
        <w:rPr/>
        <w:t>U.S.</w:t>
      </w:r>
      <w:r>
        <w:rPr>
          <w:spacing w:val="-6"/>
        </w:rPr>
        <w:t> </w:t>
      </w:r>
      <w:r>
        <w:rPr/>
        <w:t>Ex-Im</w:t>
      </w:r>
      <w:r>
        <w:rPr>
          <w:spacing w:val="-6"/>
        </w:rPr>
        <w:t> </w:t>
      </w:r>
      <w:r>
        <w:rPr/>
        <w:t>Bank</w:t>
      </w:r>
      <w:r>
        <w:rPr>
          <w:spacing w:val="-6"/>
        </w:rPr>
        <w:t> </w:t>
      </w:r>
      <w:r>
        <w:rPr/>
        <w:t>(Horn</w:t>
      </w:r>
      <w:r>
        <w:rPr>
          <w:spacing w:val="-6"/>
        </w:rPr>
        <w:t> </w:t>
      </w:r>
      <w:r>
        <w:rPr/>
        <w:t>et</w:t>
      </w:r>
      <w:r>
        <w:rPr>
          <w:spacing w:val="-6"/>
        </w:rPr>
        <w:t> </w:t>
      </w:r>
      <w:r>
        <w:rPr/>
        <w:t>al.</w:t>
      </w:r>
      <w:r>
        <w:rPr>
          <w:spacing w:val="-6"/>
        </w:rPr>
        <w:t> </w:t>
      </w:r>
      <w:r>
        <w:rPr/>
        <w:t>2020b).</w:t>
      </w:r>
      <w:r>
        <w:rPr>
          <w:spacing w:val="-6"/>
        </w:rPr>
        <w:t> </w:t>
      </w:r>
      <w:r>
        <w:rPr/>
        <w:t>These</w:t>
      </w:r>
      <w:r>
        <w:rPr>
          <w:spacing w:val="-6"/>
        </w:rPr>
        <w:t> </w:t>
      </w:r>
      <w:r>
        <w:rPr/>
        <w:t>activities</w:t>
      </w:r>
      <w:r>
        <w:rPr>
          <w:spacing w:val="-6"/>
        </w:rPr>
        <w:t> </w:t>
      </w:r>
      <w:r>
        <w:rPr/>
        <w:t>helped</w:t>
      </w:r>
      <w:r>
        <w:rPr>
          <w:spacing w:val="-6"/>
        </w:rPr>
        <w:t> </w:t>
      </w:r>
      <w:r>
        <w:rPr/>
        <w:t>the</w:t>
      </w:r>
      <w:r>
        <w:rPr>
          <w:spacing w:val="-6"/>
        </w:rPr>
        <w:t> </w:t>
      </w:r>
      <w:r>
        <w:rPr/>
        <w:t>dollar</w:t>
      </w:r>
      <w:r>
        <w:rPr>
          <w:spacing w:val="-6"/>
        </w:rPr>
        <w:t> </w:t>
      </w:r>
      <w:r>
        <w:rPr/>
        <w:t>eventually</w:t>
      </w:r>
      <w:r>
        <w:rPr/>
        <w:t> become a dominant currency for reserve holdings and international ﬁnancial transactions. Now, Chinese state-owned policy banks, state-owned commercial banks, and state-owned enterprises have high levels of exposure to overseas borrowers that are in default or teetering on the edge of default, and the institution with a mandate to protect the health of China’s ﬁnancial sector and internationalize the RMB (the PBOC) is ramping up the provision of emergency rescue loans to ensure that its overseas borrowers are sufﬁciently liquid to continue servicing their outstanding debts to Chinese creditors.</w:t>
      </w:r>
    </w:p>
    <w:p>
      <w:pPr>
        <w:spacing w:after="0" w:line="333" w:lineRule="auto"/>
        <w:sectPr>
          <w:pgSz w:w="12240" w:h="15840"/>
          <w:pgMar w:header="0" w:footer="720" w:top="1560" w:bottom="920" w:left="1040" w:right="1040"/>
        </w:sectPr>
      </w:pPr>
    </w:p>
    <w:p>
      <w:pPr>
        <w:pStyle w:val="BodyText"/>
        <w:spacing w:line="333" w:lineRule="auto" w:before="27"/>
        <w:ind w:left="760" w:right="964"/>
      </w:pPr>
      <w:r>
        <w:rPr/>
        <w:t>On the other hand, the PBOC’s decision to provide RMB-denominated rescue loans is puzzling because the borrowers being bailed out need USD more than </w:t>
      </w:r>
      <w:r>
        <w:rPr>
          <w:w w:val="105"/>
        </w:rPr>
        <w:t>RMB</w:t>
      </w:r>
      <w:r>
        <w:rPr>
          <w:spacing w:val="-9"/>
          <w:w w:val="105"/>
        </w:rPr>
        <w:t> </w:t>
      </w:r>
      <w:r>
        <w:rPr>
          <w:w w:val="105"/>
        </w:rPr>
        <w:t>to</w:t>
      </w:r>
      <w:r>
        <w:rPr>
          <w:spacing w:val="-9"/>
          <w:w w:val="105"/>
        </w:rPr>
        <w:t> </w:t>
      </w:r>
      <w:r>
        <w:rPr>
          <w:w w:val="105"/>
        </w:rPr>
        <w:t>repay</w:t>
      </w:r>
      <w:r>
        <w:rPr>
          <w:spacing w:val="-9"/>
          <w:w w:val="105"/>
        </w:rPr>
        <w:t> </w:t>
      </w:r>
      <w:r>
        <w:rPr>
          <w:w w:val="105"/>
        </w:rPr>
        <w:t>their</w:t>
      </w:r>
      <w:r>
        <w:rPr>
          <w:spacing w:val="-9"/>
          <w:w w:val="105"/>
        </w:rPr>
        <w:t> </w:t>
      </w:r>
      <w:r>
        <w:rPr>
          <w:w w:val="105"/>
        </w:rPr>
        <w:t>outstanding</w:t>
      </w:r>
      <w:r>
        <w:rPr>
          <w:spacing w:val="-9"/>
          <w:w w:val="105"/>
        </w:rPr>
        <w:t> </w:t>
      </w:r>
      <w:r>
        <w:rPr>
          <w:w w:val="105"/>
        </w:rPr>
        <w:t>debts</w:t>
      </w:r>
      <w:r>
        <w:rPr>
          <w:spacing w:val="-9"/>
          <w:w w:val="105"/>
        </w:rPr>
        <w:t> </w:t>
      </w:r>
      <w:r>
        <w:rPr>
          <w:w w:val="105"/>
        </w:rPr>
        <w:t>to</w:t>
      </w:r>
      <w:r>
        <w:rPr>
          <w:spacing w:val="-9"/>
          <w:w w:val="105"/>
        </w:rPr>
        <w:t> </w:t>
      </w:r>
      <w:r>
        <w:rPr>
          <w:w w:val="105"/>
        </w:rPr>
        <w:t>Chinese</w:t>
      </w:r>
      <w:r>
        <w:rPr>
          <w:spacing w:val="-9"/>
          <w:w w:val="105"/>
        </w:rPr>
        <w:t> </w:t>
      </w:r>
      <w:r>
        <w:rPr>
          <w:w w:val="105"/>
        </w:rPr>
        <w:t>creditors.</w:t>
      </w:r>
      <w:r>
        <w:rPr>
          <w:spacing w:val="-9"/>
          <w:w w:val="105"/>
        </w:rPr>
        <w:t> </w:t>
      </w:r>
      <w:r>
        <w:rPr>
          <w:w w:val="105"/>
        </w:rPr>
        <w:t>One</w:t>
      </w:r>
      <w:r>
        <w:rPr>
          <w:spacing w:val="-9"/>
          <w:w w:val="105"/>
        </w:rPr>
        <w:t> </w:t>
      </w:r>
      <w:r>
        <w:rPr>
          <w:w w:val="105"/>
        </w:rPr>
        <w:t>potential </w:t>
      </w:r>
      <w:r>
        <w:rPr/>
        <w:t>explanation is that the PBOC is heeding Winston’s Churchill's advice to “never </w:t>
      </w:r>
      <w:r>
        <w:rPr>
          <w:w w:val="105"/>
        </w:rPr>
        <w:t>let</w:t>
      </w:r>
      <w:r>
        <w:rPr>
          <w:spacing w:val="-18"/>
          <w:w w:val="105"/>
        </w:rPr>
        <w:t> </w:t>
      </w:r>
      <w:r>
        <w:rPr>
          <w:w w:val="105"/>
        </w:rPr>
        <w:t>a</w:t>
      </w:r>
      <w:r>
        <w:rPr>
          <w:spacing w:val="-17"/>
          <w:w w:val="105"/>
        </w:rPr>
        <w:t> </w:t>
      </w:r>
      <w:r>
        <w:rPr>
          <w:w w:val="105"/>
        </w:rPr>
        <w:t>good</w:t>
      </w:r>
      <w:r>
        <w:rPr>
          <w:spacing w:val="-18"/>
          <w:w w:val="105"/>
        </w:rPr>
        <w:t> </w:t>
      </w:r>
      <w:r>
        <w:rPr>
          <w:w w:val="105"/>
        </w:rPr>
        <w:t>crisis</w:t>
      </w:r>
      <w:r>
        <w:rPr>
          <w:spacing w:val="-18"/>
          <w:w w:val="105"/>
        </w:rPr>
        <w:t> </w:t>
      </w:r>
      <w:r>
        <w:rPr>
          <w:w w:val="105"/>
        </w:rPr>
        <w:t>go</w:t>
      </w:r>
      <w:r>
        <w:rPr>
          <w:spacing w:val="-17"/>
          <w:w w:val="105"/>
        </w:rPr>
        <w:t> </w:t>
      </w:r>
      <w:r>
        <w:rPr>
          <w:w w:val="105"/>
        </w:rPr>
        <w:t>to</w:t>
      </w:r>
      <w:r>
        <w:rPr>
          <w:spacing w:val="-18"/>
          <w:w w:val="105"/>
        </w:rPr>
        <w:t> </w:t>
      </w:r>
      <w:r>
        <w:rPr>
          <w:w w:val="105"/>
        </w:rPr>
        <w:t>waste.”</w:t>
      </w:r>
      <w:r>
        <w:rPr>
          <w:spacing w:val="-17"/>
          <w:w w:val="105"/>
        </w:rPr>
        <w:t> </w:t>
      </w:r>
      <w:r>
        <w:rPr>
          <w:w w:val="105"/>
        </w:rPr>
        <w:t>For</w:t>
      </w:r>
      <w:r>
        <w:rPr>
          <w:spacing w:val="-18"/>
          <w:w w:val="105"/>
        </w:rPr>
        <w:t> </w:t>
      </w:r>
      <w:r>
        <w:rPr>
          <w:w w:val="105"/>
        </w:rPr>
        <w:t>many</w:t>
      </w:r>
      <w:r>
        <w:rPr>
          <w:spacing w:val="-17"/>
          <w:w w:val="105"/>
        </w:rPr>
        <w:t> </w:t>
      </w:r>
      <w:r>
        <w:rPr>
          <w:w w:val="105"/>
        </w:rPr>
        <w:t>years,</w:t>
      </w:r>
      <w:r>
        <w:rPr>
          <w:spacing w:val="-18"/>
          <w:w w:val="105"/>
        </w:rPr>
        <w:t> </w:t>
      </w:r>
      <w:r>
        <w:rPr>
          <w:w w:val="105"/>
        </w:rPr>
        <w:t>it</w:t>
      </w:r>
      <w:r>
        <w:rPr>
          <w:spacing w:val="-17"/>
          <w:w w:val="105"/>
        </w:rPr>
        <w:t> </w:t>
      </w:r>
      <w:r>
        <w:rPr>
          <w:w w:val="105"/>
        </w:rPr>
        <w:t>sought</w:t>
      </w:r>
      <w:r>
        <w:rPr>
          <w:spacing w:val="-18"/>
          <w:w w:val="105"/>
        </w:rPr>
        <w:t> </w:t>
      </w:r>
      <w:r>
        <w:rPr>
          <w:w w:val="105"/>
        </w:rPr>
        <w:t>to</w:t>
      </w:r>
      <w:r>
        <w:rPr>
          <w:spacing w:val="-17"/>
          <w:w w:val="105"/>
        </w:rPr>
        <w:t> </w:t>
      </w:r>
      <w:r>
        <w:rPr>
          <w:w w:val="105"/>
        </w:rPr>
        <w:t>internationalize</w:t>
      </w:r>
      <w:r>
        <w:rPr>
          <w:spacing w:val="-18"/>
          <w:w w:val="105"/>
        </w:rPr>
        <w:t> </w:t>
      </w:r>
      <w:r>
        <w:rPr>
          <w:w w:val="105"/>
        </w:rPr>
        <w:t>the RMB—without</w:t>
      </w:r>
      <w:r>
        <w:rPr>
          <w:spacing w:val="-14"/>
          <w:w w:val="105"/>
        </w:rPr>
        <w:t> </w:t>
      </w:r>
      <w:r>
        <w:rPr>
          <w:w w:val="105"/>
        </w:rPr>
        <w:t>achieving</w:t>
      </w:r>
      <w:r>
        <w:rPr>
          <w:spacing w:val="-14"/>
          <w:w w:val="105"/>
        </w:rPr>
        <w:t> </w:t>
      </w:r>
      <w:r>
        <w:rPr>
          <w:w w:val="105"/>
        </w:rPr>
        <w:t>much</w:t>
      </w:r>
      <w:r>
        <w:rPr>
          <w:spacing w:val="-14"/>
          <w:w w:val="105"/>
        </w:rPr>
        <w:t> </w:t>
      </w:r>
      <w:r>
        <w:rPr>
          <w:w w:val="105"/>
        </w:rPr>
        <w:t>progress</w:t>
      </w:r>
      <w:r>
        <w:rPr>
          <w:spacing w:val="-14"/>
          <w:w w:val="105"/>
        </w:rPr>
        <w:t> </w:t>
      </w:r>
      <w:r>
        <w:rPr>
          <w:w w:val="105"/>
        </w:rPr>
        <w:t>due</w:t>
      </w:r>
      <w:r>
        <w:rPr>
          <w:spacing w:val="-14"/>
          <w:w w:val="105"/>
        </w:rPr>
        <w:t> </w:t>
      </w:r>
      <w:r>
        <w:rPr>
          <w:w w:val="105"/>
        </w:rPr>
        <w:t>to</w:t>
      </w:r>
      <w:r>
        <w:rPr>
          <w:spacing w:val="-14"/>
          <w:w w:val="105"/>
        </w:rPr>
        <w:t> </w:t>
      </w:r>
      <w:r>
        <w:rPr>
          <w:w w:val="105"/>
        </w:rPr>
        <w:t>tight</w:t>
      </w:r>
      <w:r>
        <w:rPr>
          <w:spacing w:val="-14"/>
          <w:w w:val="105"/>
        </w:rPr>
        <w:t> </w:t>
      </w:r>
      <w:r>
        <w:rPr>
          <w:w w:val="105"/>
        </w:rPr>
        <w:t>capital</w:t>
      </w:r>
      <w:r>
        <w:rPr>
          <w:spacing w:val="-14"/>
          <w:w w:val="105"/>
        </w:rPr>
        <w:t> </w:t>
      </w:r>
      <w:r>
        <w:rPr>
          <w:w w:val="105"/>
        </w:rPr>
        <w:t>controls</w:t>
      </w:r>
      <w:r>
        <w:rPr>
          <w:spacing w:val="-14"/>
          <w:w w:val="105"/>
        </w:rPr>
        <w:t> </w:t>
      </w:r>
      <w:r>
        <w:rPr>
          <w:w w:val="105"/>
        </w:rPr>
        <w:t>and</w:t>
      </w:r>
      <w:r>
        <w:rPr>
          <w:spacing w:val="-14"/>
          <w:w w:val="105"/>
        </w:rPr>
        <w:t> </w:t>
      </w:r>
      <w:r>
        <w:rPr>
          <w:w w:val="105"/>
        </w:rPr>
        <w:t>an insufﬁciently</w:t>
      </w:r>
      <w:r>
        <w:rPr>
          <w:spacing w:val="-18"/>
          <w:w w:val="105"/>
        </w:rPr>
        <w:t> </w:t>
      </w:r>
      <w:r>
        <w:rPr>
          <w:w w:val="105"/>
        </w:rPr>
        <w:t>deep</w:t>
      </w:r>
      <w:r>
        <w:rPr>
          <w:spacing w:val="-17"/>
          <w:w w:val="105"/>
        </w:rPr>
        <w:t> </w:t>
      </w:r>
      <w:r>
        <w:rPr>
          <w:w w:val="105"/>
        </w:rPr>
        <w:t>and</w:t>
      </w:r>
      <w:r>
        <w:rPr>
          <w:spacing w:val="-18"/>
          <w:w w:val="105"/>
        </w:rPr>
        <w:t> </w:t>
      </w:r>
      <w:r>
        <w:rPr>
          <w:w w:val="105"/>
        </w:rPr>
        <w:t>liquid</w:t>
      </w:r>
      <w:r>
        <w:rPr>
          <w:spacing w:val="-18"/>
          <w:w w:val="105"/>
        </w:rPr>
        <w:t> </w:t>
      </w:r>
      <w:r>
        <w:rPr>
          <w:w w:val="105"/>
        </w:rPr>
        <w:t>RMB</w:t>
      </w:r>
      <w:r>
        <w:rPr>
          <w:spacing w:val="-17"/>
          <w:w w:val="105"/>
        </w:rPr>
        <w:t> </w:t>
      </w:r>
      <w:r>
        <w:rPr>
          <w:w w:val="105"/>
        </w:rPr>
        <w:t>bond</w:t>
      </w:r>
      <w:r>
        <w:rPr>
          <w:spacing w:val="-18"/>
          <w:w w:val="105"/>
        </w:rPr>
        <w:t> </w:t>
      </w:r>
      <w:r>
        <w:rPr>
          <w:w w:val="105"/>
        </w:rPr>
        <w:t>market</w:t>
      </w:r>
      <w:r>
        <w:rPr>
          <w:spacing w:val="-17"/>
          <w:w w:val="105"/>
        </w:rPr>
        <w:t> </w:t>
      </w:r>
      <w:r>
        <w:rPr>
          <w:w w:val="105"/>
        </w:rPr>
        <w:t>outside</w:t>
      </w:r>
      <w:r>
        <w:rPr>
          <w:spacing w:val="-18"/>
          <w:w w:val="105"/>
        </w:rPr>
        <w:t> </w:t>
      </w:r>
      <w:r>
        <w:rPr>
          <w:w w:val="105"/>
        </w:rPr>
        <w:t>of</w:t>
      </w:r>
      <w:r>
        <w:rPr>
          <w:spacing w:val="-17"/>
          <w:w w:val="105"/>
        </w:rPr>
        <w:t> </w:t>
      </w:r>
      <w:r>
        <w:rPr>
          <w:w w:val="105"/>
        </w:rPr>
        <w:t>mainland</w:t>
      </w:r>
      <w:r>
        <w:rPr>
          <w:spacing w:val="-18"/>
          <w:w w:val="105"/>
        </w:rPr>
        <w:t> </w:t>
      </w:r>
      <w:r>
        <w:rPr>
          <w:w w:val="105"/>
        </w:rPr>
        <w:t>China.</w:t>
      </w:r>
      <w:r>
        <w:rPr>
          <w:w w:val="105"/>
          <w:vertAlign w:val="superscript"/>
        </w:rPr>
        <w:t>148</w:t>
      </w:r>
      <w:r>
        <w:rPr>
          <w:w w:val="105"/>
          <w:vertAlign w:val="baseline"/>
        </w:rPr>
        <w:t> However,</w:t>
      </w:r>
      <w:r>
        <w:rPr>
          <w:spacing w:val="-12"/>
          <w:w w:val="105"/>
          <w:vertAlign w:val="baseline"/>
        </w:rPr>
        <w:t> </w:t>
      </w:r>
      <w:r>
        <w:rPr>
          <w:w w:val="105"/>
          <w:vertAlign w:val="baseline"/>
        </w:rPr>
        <w:t>the</w:t>
      </w:r>
      <w:r>
        <w:rPr>
          <w:spacing w:val="-12"/>
          <w:w w:val="105"/>
          <w:vertAlign w:val="baseline"/>
        </w:rPr>
        <w:t> </w:t>
      </w:r>
      <w:r>
        <w:rPr>
          <w:w w:val="105"/>
          <w:vertAlign w:val="baseline"/>
        </w:rPr>
        <w:t>rising</w:t>
      </w:r>
      <w:r>
        <w:rPr>
          <w:spacing w:val="-12"/>
          <w:w w:val="105"/>
          <w:vertAlign w:val="baseline"/>
        </w:rPr>
        <w:t> </w:t>
      </w:r>
      <w:r>
        <w:rPr>
          <w:w w:val="105"/>
          <w:vertAlign w:val="baseline"/>
        </w:rPr>
        <w:t>tide</w:t>
      </w:r>
      <w:r>
        <w:rPr>
          <w:spacing w:val="-12"/>
          <w:w w:val="105"/>
          <w:vertAlign w:val="baseline"/>
        </w:rPr>
        <w:t> </w:t>
      </w:r>
      <w:r>
        <w:rPr>
          <w:w w:val="105"/>
          <w:vertAlign w:val="baseline"/>
        </w:rPr>
        <w:t>of</w:t>
      </w:r>
      <w:r>
        <w:rPr>
          <w:spacing w:val="-12"/>
          <w:w w:val="105"/>
          <w:vertAlign w:val="baseline"/>
        </w:rPr>
        <w:t> </w:t>
      </w:r>
      <w:r>
        <w:rPr>
          <w:w w:val="105"/>
          <w:vertAlign w:val="baseline"/>
        </w:rPr>
        <w:t>debt</w:t>
      </w:r>
      <w:r>
        <w:rPr>
          <w:spacing w:val="-12"/>
          <w:w w:val="105"/>
          <w:vertAlign w:val="baseline"/>
        </w:rPr>
        <w:t> </w:t>
      </w:r>
      <w:r>
        <w:rPr>
          <w:w w:val="105"/>
          <w:vertAlign w:val="baseline"/>
        </w:rPr>
        <w:t>distress</w:t>
      </w:r>
      <w:r>
        <w:rPr>
          <w:spacing w:val="-12"/>
          <w:w w:val="105"/>
          <w:vertAlign w:val="baseline"/>
        </w:rPr>
        <w:t> </w:t>
      </w:r>
      <w:r>
        <w:rPr>
          <w:w w:val="105"/>
          <w:vertAlign w:val="baseline"/>
        </w:rPr>
        <w:t>in</w:t>
      </w:r>
      <w:r>
        <w:rPr>
          <w:spacing w:val="-12"/>
          <w:w w:val="105"/>
          <w:vertAlign w:val="baseline"/>
        </w:rPr>
        <w:t> </w:t>
      </w:r>
      <w:r>
        <w:rPr>
          <w:w w:val="105"/>
          <w:vertAlign w:val="baseline"/>
        </w:rPr>
        <w:t>the</w:t>
      </w:r>
      <w:r>
        <w:rPr>
          <w:spacing w:val="-12"/>
          <w:w w:val="105"/>
          <w:vertAlign w:val="baseline"/>
        </w:rPr>
        <w:t> </w:t>
      </w:r>
      <w:r>
        <w:rPr>
          <w:w w:val="105"/>
          <w:vertAlign w:val="baseline"/>
        </w:rPr>
        <w:t>Global</w:t>
      </w:r>
      <w:r>
        <w:rPr>
          <w:spacing w:val="-12"/>
          <w:w w:val="105"/>
          <w:vertAlign w:val="baseline"/>
        </w:rPr>
        <w:t> </w:t>
      </w:r>
      <w:r>
        <w:rPr>
          <w:w w:val="105"/>
          <w:vertAlign w:val="baseline"/>
        </w:rPr>
        <w:t>South</w:t>
      </w:r>
      <w:r>
        <w:rPr>
          <w:spacing w:val="-12"/>
          <w:w w:val="105"/>
          <w:vertAlign w:val="baseline"/>
        </w:rPr>
        <w:t> </w:t>
      </w:r>
      <w:r>
        <w:rPr>
          <w:w w:val="105"/>
          <w:vertAlign w:val="baseline"/>
        </w:rPr>
        <w:t>has</w:t>
      </w:r>
      <w:r>
        <w:rPr>
          <w:spacing w:val="-12"/>
          <w:w w:val="105"/>
          <w:vertAlign w:val="baseline"/>
        </w:rPr>
        <w:t> </w:t>
      </w:r>
      <w:r>
        <w:rPr>
          <w:w w:val="105"/>
          <w:vertAlign w:val="baseline"/>
        </w:rPr>
        <w:t>made</w:t>
      </w:r>
      <w:r>
        <w:rPr>
          <w:spacing w:val="-12"/>
          <w:w w:val="105"/>
          <w:vertAlign w:val="baseline"/>
        </w:rPr>
        <w:t> </w:t>
      </w:r>
      <w:r>
        <w:rPr>
          <w:w w:val="105"/>
          <w:vertAlign w:val="baseline"/>
        </w:rPr>
        <w:t>two </w:t>
      </w:r>
      <w:r>
        <w:rPr>
          <w:spacing w:val="-2"/>
          <w:w w:val="105"/>
          <w:vertAlign w:val="baseline"/>
        </w:rPr>
        <w:t>groups</w:t>
      </w:r>
      <w:r>
        <w:rPr>
          <w:spacing w:val="-10"/>
          <w:w w:val="105"/>
          <w:vertAlign w:val="baseline"/>
        </w:rPr>
        <w:t> </w:t>
      </w:r>
      <w:r>
        <w:rPr>
          <w:spacing w:val="-2"/>
          <w:w w:val="105"/>
          <w:vertAlign w:val="baseline"/>
        </w:rPr>
        <w:t>of</w:t>
      </w:r>
      <w:r>
        <w:rPr>
          <w:spacing w:val="-10"/>
          <w:w w:val="105"/>
          <w:vertAlign w:val="baseline"/>
        </w:rPr>
        <w:t> </w:t>
      </w:r>
      <w:r>
        <w:rPr>
          <w:spacing w:val="-2"/>
          <w:w w:val="105"/>
          <w:vertAlign w:val="baseline"/>
        </w:rPr>
        <w:t>countries</w:t>
      </w:r>
      <w:r>
        <w:rPr>
          <w:spacing w:val="-10"/>
          <w:w w:val="105"/>
          <w:vertAlign w:val="baseline"/>
        </w:rPr>
        <w:t> </w:t>
      </w:r>
      <w:r>
        <w:rPr>
          <w:spacing w:val="-2"/>
          <w:w w:val="105"/>
          <w:vertAlign w:val="baseline"/>
        </w:rPr>
        <w:t>more</w:t>
      </w:r>
      <w:r>
        <w:rPr>
          <w:spacing w:val="-10"/>
          <w:w w:val="105"/>
          <w:vertAlign w:val="baseline"/>
        </w:rPr>
        <w:t> </w:t>
      </w:r>
      <w:r>
        <w:rPr>
          <w:spacing w:val="-2"/>
          <w:w w:val="105"/>
          <w:vertAlign w:val="baseline"/>
        </w:rPr>
        <w:t>willing</w:t>
      </w:r>
      <w:r>
        <w:rPr>
          <w:spacing w:val="-10"/>
          <w:w w:val="105"/>
          <w:vertAlign w:val="baseline"/>
        </w:rPr>
        <w:t> </w:t>
      </w:r>
      <w:r>
        <w:rPr>
          <w:spacing w:val="-2"/>
          <w:w w:val="105"/>
          <w:vertAlign w:val="baseline"/>
        </w:rPr>
        <w:t>to</w:t>
      </w:r>
      <w:r>
        <w:rPr>
          <w:spacing w:val="-10"/>
          <w:w w:val="105"/>
          <w:vertAlign w:val="baseline"/>
        </w:rPr>
        <w:t> </w:t>
      </w:r>
      <w:r>
        <w:rPr>
          <w:spacing w:val="-2"/>
          <w:w w:val="105"/>
          <w:vertAlign w:val="baseline"/>
        </w:rPr>
        <w:t>increase</w:t>
      </w:r>
      <w:r>
        <w:rPr>
          <w:spacing w:val="-10"/>
          <w:w w:val="105"/>
          <w:vertAlign w:val="baseline"/>
        </w:rPr>
        <w:t> </w:t>
      </w:r>
      <w:r>
        <w:rPr>
          <w:spacing w:val="-2"/>
          <w:w w:val="105"/>
          <w:vertAlign w:val="baseline"/>
        </w:rPr>
        <w:t>their</w:t>
      </w:r>
      <w:r>
        <w:rPr>
          <w:spacing w:val="-10"/>
          <w:w w:val="105"/>
          <w:vertAlign w:val="baseline"/>
        </w:rPr>
        <w:t> </w:t>
      </w:r>
      <w:r>
        <w:rPr>
          <w:spacing w:val="-2"/>
          <w:w w:val="105"/>
          <w:vertAlign w:val="baseline"/>
        </w:rPr>
        <w:t>RMB</w:t>
      </w:r>
      <w:r>
        <w:rPr>
          <w:spacing w:val="-10"/>
          <w:w w:val="105"/>
          <w:vertAlign w:val="baseline"/>
        </w:rPr>
        <w:t> </w:t>
      </w:r>
      <w:r>
        <w:rPr>
          <w:spacing w:val="-2"/>
          <w:w w:val="105"/>
          <w:vertAlign w:val="baseline"/>
        </w:rPr>
        <w:t>reserve</w:t>
      </w:r>
      <w:r>
        <w:rPr>
          <w:spacing w:val="-10"/>
          <w:w w:val="105"/>
          <w:vertAlign w:val="baseline"/>
        </w:rPr>
        <w:t> </w:t>
      </w:r>
      <w:r>
        <w:rPr>
          <w:spacing w:val="-2"/>
          <w:w w:val="105"/>
          <w:vertAlign w:val="baseline"/>
        </w:rPr>
        <w:t>holdings:</w:t>
      </w:r>
      <w:r>
        <w:rPr>
          <w:spacing w:val="-10"/>
          <w:w w:val="105"/>
          <w:vertAlign w:val="baseline"/>
        </w:rPr>
        <w:t> </w:t>
      </w:r>
      <w:r>
        <w:rPr>
          <w:spacing w:val="-2"/>
          <w:w w:val="105"/>
          <w:vertAlign w:val="baseline"/>
        </w:rPr>
        <w:t>(1) </w:t>
      </w:r>
      <w:r>
        <w:rPr>
          <w:w w:val="105"/>
          <w:vertAlign w:val="baseline"/>
        </w:rPr>
        <w:t>countries</w:t>
      </w:r>
      <w:r>
        <w:rPr>
          <w:spacing w:val="-10"/>
          <w:w w:val="105"/>
          <w:vertAlign w:val="baseline"/>
        </w:rPr>
        <w:t> </w:t>
      </w:r>
      <w:r>
        <w:rPr>
          <w:w w:val="105"/>
          <w:vertAlign w:val="baseline"/>
        </w:rPr>
        <w:t>facing</w:t>
      </w:r>
      <w:r>
        <w:rPr>
          <w:spacing w:val="-10"/>
          <w:w w:val="105"/>
          <w:vertAlign w:val="baseline"/>
        </w:rPr>
        <w:t> </w:t>
      </w:r>
      <w:r>
        <w:rPr>
          <w:w w:val="105"/>
          <w:vertAlign w:val="baseline"/>
        </w:rPr>
        <w:t>severe</w:t>
      </w:r>
      <w:r>
        <w:rPr>
          <w:spacing w:val="-10"/>
          <w:w w:val="105"/>
          <w:vertAlign w:val="baseline"/>
        </w:rPr>
        <w:t> </w:t>
      </w:r>
      <w:r>
        <w:rPr>
          <w:w w:val="105"/>
          <w:vertAlign w:val="baseline"/>
        </w:rPr>
        <w:t>liquidity</w:t>
      </w:r>
      <w:r>
        <w:rPr>
          <w:spacing w:val="-10"/>
          <w:w w:val="105"/>
          <w:vertAlign w:val="baseline"/>
        </w:rPr>
        <w:t> </w:t>
      </w:r>
      <w:r>
        <w:rPr>
          <w:w w:val="105"/>
          <w:vertAlign w:val="baseline"/>
        </w:rPr>
        <w:t>and/or</w:t>
      </w:r>
      <w:r>
        <w:rPr>
          <w:spacing w:val="-10"/>
          <w:w w:val="105"/>
          <w:vertAlign w:val="baseline"/>
        </w:rPr>
        <w:t> </w:t>
      </w:r>
      <w:r>
        <w:rPr>
          <w:w w:val="105"/>
          <w:vertAlign w:val="baseline"/>
        </w:rPr>
        <w:t>solvency</w:t>
      </w:r>
      <w:r>
        <w:rPr>
          <w:spacing w:val="-10"/>
          <w:w w:val="105"/>
          <w:vertAlign w:val="baseline"/>
        </w:rPr>
        <w:t> </w:t>
      </w:r>
      <w:r>
        <w:rPr>
          <w:w w:val="105"/>
          <w:vertAlign w:val="baseline"/>
        </w:rPr>
        <w:t>problems</w:t>
      </w:r>
      <w:r>
        <w:rPr>
          <w:spacing w:val="-10"/>
          <w:w w:val="105"/>
          <w:vertAlign w:val="baseline"/>
        </w:rPr>
        <w:t> </w:t>
      </w:r>
      <w:r>
        <w:rPr>
          <w:w w:val="105"/>
          <w:vertAlign w:val="baseline"/>
        </w:rPr>
        <w:t>that</w:t>
      </w:r>
      <w:r>
        <w:rPr>
          <w:spacing w:val="-10"/>
          <w:w w:val="105"/>
          <w:vertAlign w:val="baseline"/>
        </w:rPr>
        <w:t> </w:t>
      </w:r>
      <w:r>
        <w:rPr>
          <w:w w:val="105"/>
          <w:vertAlign w:val="baseline"/>
        </w:rPr>
        <w:t>would</w:t>
      </w:r>
      <w:r>
        <w:rPr>
          <w:spacing w:val="-10"/>
          <w:w w:val="105"/>
          <w:vertAlign w:val="baseline"/>
        </w:rPr>
        <w:t> </w:t>
      </w:r>
      <w:r>
        <w:rPr>
          <w:w w:val="105"/>
          <w:vertAlign w:val="baseline"/>
        </w:rPr>
        <w:t>like</w:t>
      </w:r>
      <w:r>
        <w:rPr>
          <w:spacing w:val="-10"/>
          <w:w w:val="105"/>
          <w:vertAlign w:val="baseline"/>
        </w:rPr>
        <w:t> </w:t>
      </w:r>
      <w:r>
        <w:rPr>
          <w:w w:val="105"/>
          <w:vertAlign w:val="baseline"/>
        </w:rPr>
        <w:t>to </w:t>
      </w:r>
      <w:r>
        <w:rPr>
          <w:vertAlign w:val="baseline"/>
        </w:rPr>
        <w:t>avoid borrowing from the traditional lender of the last resort (the IMF) because of concerns about onerous policy conditionalities (like Venezuela, Belarus, and Laos); and (2) countries facing severe liquidity and/or solvency problems that </w:t>
      </w:r>
      <w:r>
        <w:rPr>
          <w:w w:val="105"/>
          <w:vertAlign w:val="baseline"/>
        </w:rPr>
        <w:t>have</w:t>
      </w:r>
      <w:r>
        <w:rPr>
          <w:spacing w:val="-18"/>
          <w:w w:val="105"/>
          <w:vertAlign w:val="baseline"/>
        </w:rPr>
        <w:t> </w:t>
      </w:r>
      <w:r>
        <w:rPr>
          <w:w w:val="105"/>
          <w:vertAlign w:val="baseline"/>
        </w:rPr>
        <w:t>decided</w:t>
      </w:r>
      <w:r>
        <w:rPr>
          <w:spacing w:val="-17"/>
          <w:w w:val="105"/>
          <w:vertAlign w:val="baseline"/>
        </w:rPr>
        <w:t> </w:t>
      </w:r>
      <w:r>
        <w:rPr>
          <w:w w:val="105"/>
          <w:vertAlign w:val="baseline"/>
        </w:rPr>
        <w:t>to</w:t>
      </w:r>
      <w:r>
        <w:rPr>
          <w:spacing w:val="-18"/>
          <w:w w:val="105"/>
          <w:vertAlign w:val="baseline"/>
        </w:rPr>
        <w:t> </w:t>
      </w:r>
      <w:r>
        <w:rPr>
          <w:w w:val="105"/>
          <w:vertAlign w:val="baseline"/>
        </w:rPr>
        <w:t>seek</w:t>
      </w:r>
      <w:r>
        <w:rPr>
          <w:spacing w:val="-18"/>
          <w:w w:val="105"/>
          <w:vertAlign w:val="baseline"/>
        </w:rPr>
        <w:t> </w:t>
      </w:r>
      <w:r>
        <w:rPr>
          <w:w w:val="105"/>
          <w:vertAlign w:val="baseline"/>
        </w:rPr>
        <w:t>IMF</w:t>
      </w:r>
      <w:r>
        <w:rPr>
          <w:spacing w:val="-17"/>
          <w:w w:val="105"/>
          <w:vertAlign w:val="baseline"/>
        </w:rPr>
        <w:t> </w:t>
      </w:r>
      <w:r>
        <w:rPr>
          <w:w w:val="105"/>
          <w:vertAlign w:val="baseline"/>
        </w:rPr>
        <w:t>support</w:t>
      </w:r>
      <w:r>
        <w:rPr>
          <w:spacing w:val="-18"/>
          <w:w w:val="105"/>
          <w:vertAlign w:val="baseline"/>
        </w:rPr>
        <w:t> </w:t>
      </w:r>
      <w:r>
        <w:rPr>
          <w:w w:val="105"/>
          <w:vertAlign w:val="baseline"/>
        </w:rPr>
        <w:t>but</w:t>
      </w:r>
      <w:r>
        <w:rPr>
          <w:spacing w:val="-17"/>
          <w:w w:val="105"/>
          <w:vertAlign w:val="baseline"/>
        </w:rPr>
        <w:t> </w:t>
      </w:r>
      <w:r>
        <w:rPr>
          <w:w w:val="105"/>
          <w:vertAlign w:val="baseline"/>
        </w:rPr>
        <w:t>need</w:t>
      </w:r>
      <w:r>
        <w:rPr>
          <w:spacing w:val="-18"/>
          <w:w w:val="105"/>
          <w:vertAlign w:val="baseline"/>
        </w:rPr>
        <w:t> </w:t>
      </w:r>
      <w:r>
        <w:rPr>
          <w:w w:val="105"/>
          <w:vertAlign w:val="baseline"/>
        </w:rPr>
        <w:t>additional</w:t>
      </w:r>
      <w:r>
        <w:rPr>
          <w:spacing w:val="-17"/>
          <w:w w:val="105"/>
          <w:vertAlign w:val="baseline"/>
        </w:rPr>
        <w:t> </w:t>
      </w:r>
      <w:r>
        <w:rPr>
          <w:w w:val="105"/>
          <w:vertAlign w:val="baseline"/>
        </w:rPr>
        <w:t>support</w:t>
      </w:r>
      <w:r>
        <w:rPr>
          <w:spacing w:val="-18"/>
          <w:w w:val="105"/>
          <w:vertAlign w:val="baseline"/>
        </w:rPr>
        <w:t> </w:t>
      </w:r>
      <w:r>
        <w:rPr>
          <w:w w:val="105"/>
          <w:vertAlign w:val="baseline"/>
        </w:rPr>
        <w:t>in</w:t>
      </w:r>
      <w:r>
        <w:rPr>
          <w:spacing w:val="-17"/>
          <w:w w:val="105"/>
          <w:vertAlign w:val="baseline"/>
        </w:rPr>
        <w:t> </w:t>
      </w:r>
      <w:r>
        <w:rPr>
          <w:w w:val="105"/>
          <w:vertAlign w:val="baseline"/>
        </w:rPr>
        <w:t>order</w:t>
      </w:r>
      <w:r>
        <w:rPr>
          <w:spacing w:val="-18"/>
          <w:w w:val="105"/>
          <w:vertAlign w:val="baseline"/>
        </w:rPr>
        <w:t> </w:t>
      </w:r>
      <w:r>
        <w:rPr>
          <w:w w:val="105"/>
          <w:vertAlign w:val="baseline"/>
        </w:rPr>
        <w:t>to</w:t>
      </w:r>
      <w:r>
        <w:rPr>
          <w:spacing w:val="-17"/>
          <w:w w:val="105"/>
          <w:vertAlign w:val="baseline"/>
        </w:rPr>
        <w:t> </w:t>
      </w:r>
      <w:r>
        <w:rPr>
          <w:w w:val="105"/>
          <w:vertAlign w:val="baseline"/>
        </w:rPr>
        <w:t>stay </w:t>
      </w:r>
      <w:r>
        <w:rPr>
          <w:spacing w:val="-2"/>
          <w:w w:val="105"/>
          <w:vertAlign w:val="baseline"/>
        </w:rPr>
        <w:t>aﬂoat</w:t>
      </w:r>
      <w:r>
        <w:rPr>
          <w:spacing w:val="-8"/>
          <w:w w:val="105"/>
          <w:vertAlign w:val="baseline"/>
        </w:rPr>
        <w:t> </w:t>
      </w:r>
      <w:r>
        <w:rPr>
          <w:spacing w:val="-2"/>
          <w:w w:val="105"/>
          <w:vertAlign w:val="baseline"/>
        </w:rPr>
        <w:t>(like</w:t>
      </w:r>
      <w:r>
        <w:rPr>
          <w:spacing w:val="-8"/>
          <w:w w:val="105"/>
          <w:vertAlign w:val="baseline"/>
        </w:rPr>
        <w:t> </w:t>
      </w:r>
      <w:r>
        <w:rPr>
          <w:spacing w:val="-2"/>
          <w:w w:val="105"/>
          <w:vertAlign w:val="baseline"/>
        </w:rPr>
        <w:t>Argentina,</w:t>
      </w:r>
      <w:r>
        <w:rPr>
          <w:spacing w:val="-8"/>
          <w:w w:val="105"/>
          <w:vertAlign w:val="baseline"/>
        </w:rPr>
        <w:t> </w:t>
      </w:r>
      <w:r>
        <w:rPr>
          <w:spacing w:val="-2"/>
          <w:w w:val="105"/>
          <w:vertAlign w:val="baseline"/>
        </w:rPr>
        <w:t>Mongolia,</w:t>
      </w:r>
      <w:r>
        <w:rPr>
          <w:spacing w:val="-8"/>
          <w:w w:val="105"/>
          <w:vertAlign w:val="baseline"/>
        </w:rPr>
        <w:t> </w:t>
      </w:r>
      <w:r>
        <w:rPr>
          <w:spacing w:val="-2"/>
          <w:w w:val="105"/>
          <w:vertAlign w:val="baseline"/>
        </w:rPr>
        <w:t>and</w:t>
      </w:r>
      <w:r>
        <w:rPr>
          <w:spacing w:val="-8"/>
          <w:w w:val="105"/>
          <w:vertAlign w:val="baseline"/>
        </w:rPr>
        <w:t> </w:t>
      </w:r>
      <w:r>
        <w:rPr>
          <w:spacing w:val="-2"/>
          <w:w w:val="105"/>
          <w:vertAlign w:val="baseline"/>
        </w:rPr>
        <w:t>Sri</w:t>
      </w:r>
      <w:r>
        <w:rPr>
          <w:spacing w:val="-8"/>
          <w:w w:val="105"/>
          <w:vertAlign w:val="baseline"/>
        </w:rPr>
        <w:t> </w:t>
      </w:r>
      <w:r>
        <w:rPr>
          <w:spacing w:val="-2"/>
          <w:w w:val="105"/>
          <w:vertAlign w:val="baseline"/>
        </w:rPr>
        <w:t>Lanka).</w:t>
      </w:r>
      <w:r>
        <w:rPr>
          <w:spacing w:val="-2"/>
          <w:w w:val="105"/>
          <w:vertAlign w:val="superscript"/>
        </w:rPr>
        <w:t>149</w:t>
      </w:r>
    </w:p>
    <w:p>
      <w:pPr>
        <w:pStyle w:val="BodyText"/>
        <w:spacing w:before="1"/>
        <w:rPr>
          <w:sz w:val="27"/>
        </w:rPr>
      </w:pPr>
    </w:p>
    <w:p>
      <w:pPr>
        <w:pStyle w:val="BodyText"/>
        <w:spacing w:line="333" w:lineRule="auto"/>
        <w:ind w:left="760" w:right="1094"/>
        <w:jc w:val="both"/>
      </w:pPr>
      <w:r>
        <w:rPr/>
        <w:t>Why</w:t>
      </w:r>
      <w:r>
        <w:rPr>
          <w:spacing w:val="-1"/>
        </w:rPr>
        <w:t> </w:t>
      </w:r>
      <w:r>
        <w:rPr/>
        <w:t>has</w:t>
      </w:r>
      <w:r>
        <w:rPr>
          <w:spacing w:val="-1"/>
        </w:rPr>
        <w:t> </w:t>
      </w:r>
      <w:r>
        <w:rPr/>
        <w:t>the</w:t>
      </w:r>
      <w:r>
        <w:rPr>
          <w:spacing w:val="-1"/>
        </w:rPr>
        <w:t> </w:t>
      </w:r>
      <w:r>
        <w:rPr/>
        <w:t>PBOC</w:t>
      </w:r>
      <w:r>
        <w:rPr>
          <w:spacing w:val="-1"/>
        </w:rPr>
        <w:t> </w:t>
      </w:r>
      <w:r>
        <w:rPr/>
        <w:t>channeled</w:t>
      </w:r>
      <w:r>
        <w:rPr>
          <w:spacing w:val="-1"/>
        </w:rPr>
        <w:t> </w:t>
      </w:r>
      <w:r>
        <w:rPr/>
        <w:t>RMB-denominated</w:t>
      </w:r>
      <w:r>
        <w:rPr>
          <w:spacing w:val="-1"/>
        </w:rPr>
        <w:t> </w:t>
      </w:r>
      <w:r>
        <w:rPr/>
        <w:t>emergency</w:t>
      </w:r>
      <w:r>
        <w:rPr>
          <w:spacing w:val="-1"/>
        </w:rPr>
        <w:t> </w:t>
      </w:r>
      <w:r>
        <w:rPr/>
        <w:t>rescue</w:t>
      </w:r>
      <w:r>
        <w:rPr>
          <w:spacing w:val="-1"/>
        </w:rPr>
        <w:t> </w:t>
      </w:r>
      <w:r>
        <w:rPr/>
        <w:t>loans</w:t>
      </w:r>
      <w:r>
        <w:rPr>
          <w:spacing w:val="-1"/>
        </w:rPr>
        <w:t> </w:t>
      </w:r>
      <w:r>
        <w:rPr/>
        <w:t>to both groups of countries since 2013? The logic of doing so in the ﬁrst </w:t>
      </w:r>
      <w:r>
        <w:rPr/>
        <w:t>country cohort seems relatively straightforward: the proceeds from an</w:t>
      </w:r>
    </w:p>
    <w:p>
      <w:pPr>
        <w:pStyle w:val="BodyText"/>
        <w:spacing w:line="333" w:lineRule="auto"/>
        <w:ind w:left="760" w:right="767"/>
      </w:pPr>
      <w:r>
        <w:rPr/>
        <w:t>RMB-denominated emergency loan can be used to service previously </w:t>
      </w:r>
      <w:r>
        <w:rPr/>
        <w:t>contracted loans from Chinese creditors that were denominated in RMB. For the second cohort of countries, Beijing’s intentions are opaque and poorly-understood. But recent events in Argentina may provide a clue. In mid-2023, the dollar reserve holdings of the country’s central bank (BCRA) were perilously low, and it was urgently</w:t>
      </w:r>
      <w:r>
        <w:rPr>
          <w:spacing w:val="39"/>
        </w:rPr>
        <w:t> </w:t>
      </w:r>
      <w:r>
        <w:rPr/>
        <w:t>seeking</w:t>
      </w:r>
      <w:r>
        <w:rPr>
          <w:spacing w:val="39"/>
        </w:rPr>
        <w:t> </w:t>
      </w:r>
      <w:r>
        <w:rPr/>
        <w:t>bridge</w:t>
      </w:r>
      <w:r>
        <w:rPr>
          <w:spacing w:val="39"/>
        </w:rPr>
        <w:t> </w:t>
      </w:r>
      <w:r>
        <w:rPr/>
        <w:t>funding</w:t>
      </w:r>
      <w:r>
        <w:rPr>
          <w:spacing w:val="39"/>
        </w:rPr>
        <w:t> </w:t>
      </w:r>
      <w:r>
        <w:rPr/>
        <w:t>to</w:t>
      </w:r>
      <w:r>
        <w:rPr>
          <w:spacing w:val="39"/>
        </w:rPr>
        <w:t> </w:t>
      </w:r>
      <w:r>
        <w:rPr/>
        <w:t>avoid</w:t>
      </w:r>
      <w:r>
        <w:rPr>
          <w:spacing w:val="39"/>
        </w:rPr>
        <w:t> </w:t>
      </w:r>
      <w:r>
        <w:rPr/>
        <w:t>defaulting</w:t>
      </w:r>
      <w:r>
        <w:rPr>
          <w:spacing w:val="39"/>
        </w:rPr>
        <w:t> </w:t>
      </w:r>
      <w:r>
        <w:rPr/>
        <w:t>on</w:t>
      </w:r>
      <w:r>
        <w:rPr>
          <w:spacing w:val="39"/>
        </w:rPr>
        <w:t> </w:t>
      </w:r>
      <w:r>
        <w:rPr/>
        <w:t>its</w:t>
      </w:r>
      <w:r>
        <w:rPr>
          <w:spacing w:val="39"/>
        </w:rPr>
        <w:t> </w:t>
      </w:r>
      <w:r>
        <w:rPr/>
        <w:t>repayment obligations under a $44 billion loan agreement with the IMF. The PBOC stepped into the breach, helping BCRA make three large debt service payments to the IMF in June 2023, July 2023, and October 2023 (Nugent 2023a, 2023b; Do Rosario 2023b; Do Rosario and Strohecker 2023). It did so by allowing BCRA to use RMB drawings under a swap line between the two central banks worth approximately $9.3 billion. BCRA was able to use short-term RMB swap debt</w:t>
      </w:r>
    </w:p>
    <w:p>
      <w:pPr>
        <w:pStyle w:val="BodyText"/>
        <w:spacing w:before="7"/>
        <w:rPr>
          <w:sz w:val="25"/>
        </w:rPr>
      </w:pPr>
      <w:r>
        <w:rPr/>
        <w:pict>
          <v:shape style="position:absolute;margin-left:90pt;margin-top:15.938623pt;width:144pt;height:.1pt;mso-position-horizontal-relative:page;mso-position-vertical-relative:paragraph;z-index:-15699456;mso-wrap-distance-left:0;mso-wrap-distance-right:0" id="docshape53" coordorigin="1800,319" coordsize="2880,0" path="m1800,319l4680,319e" filled="false" stroked="true" strokeweight=".75pt" strokecolor="#000000">
            <v:path arrowok="t"/>
            <v:stroke dashstyle="solid"/>
            <w10:wrap type="topAndBottom"/>
          </v:shape>
        </w:pict>
      </w:r>
    </w:p>
    <w:p>
      <w:pPr>
        <w:spacing w:line="249" w:lineRule="auto" w:before="110"/>
        <w:ind w:left="760" w:right="0" w:firstLine="0"/>
        <w:jc w:val="left"/>
        <w:rPr>
          <w:sz w:val="18"/>
        </w:rPr>
      </w:pPr>
      <w:r>
        <w:rPr>
          <w:sz w:val="18"/>
          <w:vertAlign w:val="superscript"/>
        </w:rPr>
        <w:t>148</w:t>
      </w:r>
      <w:r>
        <w:rPr>
          <w:spacing w:val="-5"/>
          <w:sz w:val="18"/>
          <w:vertAlign w:val="baseline"/>
        </w:rPr>
        <w:t> </w:t>
      </w:r>
      <w:r>
        <w:rPr>
          <w:sz w:val="18"/>
          <w:vertAlign w:val="baseline"/>
        </w:rPr>
        <w:t>As</w:t>
      </w:r>
      <w:r>
        <w:rPr>
          <w:spacing w:val="-4"/>
          <w:sz w:val="18"/>
          <w:vertAlign w:val="baseline"/>
        </w:rPr>
        <w:t> </w:t>
      </w:r>
      <w:r>
        <w:rPr>
          <w:sz w:val="18"/>
          <w:vertAlign w:val="baseline"/>
        </w:rPr>
        <w:t>of</w:t>
      </w:r>
      <w:r>
        <w:rPr>
          <w:spacing w:val="-4"/>
          <w:sz w:val="18"/>
          <w:vertAlign w:val="baseline"/>
        </w:rPr>
        <w:t> </w:t>
      </w:r>
      <w:r>
        <w:rPr>
          <w:sz w:val="18"/>
          <w:vertAlign w:val="baseline"/>
        </w:rPr>
        <w:t>2022,</w:t>
      </w:r>
      <w:r>
        <w:rPr>
          <w:spacing w:val="-4"/>
          <w:sz w:val="18"/>
          <w:vertAlign w:val="baseline"/>
        </w:rPr>
        <w:t> </w:t>
      </w:r>
      <w:r>
        <w:rPr>
          <w:sz w:val="18"/>
          <w:vertAlign w:val="baseline"/>
        </w:rPr>
        <w:t>the</w:t>
      </w:r>
      <w:r>
        <w:rPr>
          <w:spacing w:val="-4"/>
          <w:sz w:val="18"/>
          <w:vertAlign w:val="baseline"/>
        </w:rPr>
        <w:t> </w:t>
      </w:r>
      <w:r>
        <w:rPr>
          <w:sz w:val="18"/>
          <w:vertAlign w:val="baseline"/>
        </w:rPr>
        <w:t>RMB</w:t>
      </w:r>
      <w:r>
        <w:rPr>
          <w:spacing w:val="-4"/>
          <w:sz w:val="18"/>
          <w:vertAlign w:val="baseline"/>
        </w:rPr>
        <w:t> </w:t>
      </w:r>
      <w:r>
        <w:rPr>
          <w:sz w:val="18"/>
          <w:vertAlign w:val="baseline"/>
        </w:rPr>
        <w:t>accounted</w:t>
      </w:r>
      <w:r>
        <w:rPr>
          <w:spacing w:val="-4"/>
          <w:sz w:val="18"/>
          <w:vertAlign w:val="baseline"/>
        </w:rPr>
        <w:t> </w:t>
      </w:r>
      <w:r>
        <w:rPr>
          <w:sz w:val="18"/>
          <w:vertAlign w:val="baseline"/>
        </w:rPr>
        <w:t>for</w:t>
      </w:r>
      <w:r>
        <w:rPr>
          <w:spacing w:val="-4"/>
          <w:sz w:val="18"/>
          <w:vertAlign w:val="baseline"/>
        </w:rPr>
        <w:t> </w:t>
      </w:r>
      <w:r>
        <w:rPr>
          <w:sz w:val="18"/>
          <w:vertAlign w:val="baseline"/>
        </w:rPr>
        <w:t>less</w:t>
      </w:r>
      <w:r>
        <w:rPr>
          <w:spacing w:val="-4"/>
          <w:sz w:val="18"/>
          <w:vertAlign w:val="baseline"/>
        </w:rPr>
        <w:t> </w:t>
      </w:r>
      <w:r>
        <w:rPr>
          <w:sz w:val="18"/>
          <w:vertAlign w:val="baseline"/>
        </w:rPr>
        <w:t>than</w:t>
      </w:r>
      <w:r>
        <w:rPr>
          <w:spacing w:val="-4"/>
          <w:sz w:val="18"/>
          <w:vertAlign w:val="baseline"/>
        </w:rPr>
        <w:t> </w:t>
      </w:r>
      <w:r>
        <w:rPr>
          <w:sz w:val="18"/>
          <w:vertAlign w:val="baseline"/>
        </w:rPr>
        <w:t>3%</w:t>
      </w:r>
      <w:r>
        <w:rPr>
          <w:spacing w:val="-4"/>
          <w:sz w:val="18"/>
          <w:vertAlign w:val="baseline"/>
        </w:rPr>
        <w:t> </w:t>
      </w:r>
      <w:r>
        <w:rPr>
          <w:sz w:val="18"/>
          <w:vertAlign w:val="baseline"/>
        </w:rPr>
        <w:t>of</w:t>
      </w:r>
      <w:r>
        <w:rPr>
          <w:spacing w:val="-4"/>
          <w:sz w:val="18"/>
          <w:vertAlign w:val="baseline"/>
        </w:rPr>
        <w:t> </w:t>
      </w:r>
      <w:r>
        <w:rPr>
          <w:sz w:val="18"/>
          <w:vertAlign w:val="baseline"/>
        </w:rPr>
        <w:t>global</w:t>
      </w:r>
      <w:r>
        <w:rPr>
          <w:spacing w:val="-4"/>
          <w:sz w:val="18"/>
          <w:vertAlign w:val="baseline"/>
        </w:rPr>
        <w:t> </w:t>
      </w:r>
      <w:r>
        <w:rPr>
          <w:sz w:val="18"/>
          <w:vertAlign w:val="baseline"/>
        </w:rPr>
        <w:t>currency</w:t>
      </w:r>
      <w:r>
        <w:rPr>
          <w:spacing w:val="-4"/>
          <w:sz w:val="18"/>
          <w:vertAlign w:val="baseline"/>
        </w:rPr>
        <w:t> </w:t>
      </w:r>
      <w:r>
        <w:rPr>
          <w:sz w:val="18"/>
          <w:vertAlign w:val="baseline"/>
        </w:rPr>
        <w:t>reserves</w:t>
      </w:r>
      <w:r>
        <w:rPr>
          <w:spacing w:val="-4"/>
          <w:sz w:val="18"/>
          <w:vertAlign w:val="baseline"/>
        </w:rPr>
        <w:t> </w:t>
      </w:r>
      <w:r>
        <w:rPr>
          <w:sz w:val="18"/>
          <w:vertAlign w:val="baseline"/>
        </w:rPr>
        <w:t>and</w:t>
      </w:r>
      <w:r>
        <w:rPr>
          <w:spacing w:val="-4"/>
          <w:sz w:val="18"/>
          <w:vertAlign w:val="baseline"/>
        </w:rPr>
        <w:t> </w:t>
      </w:r>
      <w:r>
        <w:rPr>
          <w:sz w:val="18"/>
          <w:vertAlign w:val="baseline"/>
        </w:rPr>
        <w:t>less</w:t>
      </w:r>
      <w:r>
        <w:rPr>
          <w:spacing w:val="-4"/>
          <w:sz w:val="18"/>
          <w:vertAlign w:val="baseline"/>
        </w:rPr>
        <w:t> </w:t>
      </w:r>
      <w:r>
        <w:rPr>
          <w:sz w:val="18"/>
          <w:vertAlign w:val="baseline"/>
        </w:rPr>
        <w:t>than</w:t>
      </w:r>
      <w:r>
        <w:rPr>
          <w:spacing w:val="-4"/>
          <w:sz w:val="18"/>
          <w:vertAlign w:val="baseline"/>
        </w:rPr>
        <w:t> </w:t>
      </w:r>
      <w:r>
        <w:rPr>
          <w:sz w:val="18"/>
          <w:vertAlign w:val="baseline"/>
        </w:rPr>
        <w:t>2.5%</w:t>
      </w:r>
      <w:r>
        <w:rPr>
          <w:spacing w:val="-4"/>
          <w:sz w:val="18"/>
          <w:vertAlign w:val="baseline"/>
        </w:rPr>
        <w:t> </w:t>
      </w:r>
      <w:r>
        <w:rPr>
          <w:sz w:val="18"/>
          <w:vertAlign w:val="baseline"/>
        </w:rPr>
        <w:t>of</w:t>
      </w:r>
      <w:r>
        <w:rPr>
          <w:spacing w:val="-4"/>
          <w:sz w:val="18"/>
          <w:vertAlign w:val="baseline"/>
        </w:rPr>
        <w:t> </w:t>
      </w:r>
      <w:r>
        <w:rPr>
          <w:sz w:val="18"/>
          <w:vertAlign w:val="baseline"/>
        </w:rPr>
        <w:t>global </w:t>
      </w:r>
      <w:r>
        <w:rPr>
          <w:w w:val="105"/>
          <w:sz w:val="18"/>
          <w:vertAlign w:val="baseline"/>
        </w:rPr>
        <w:t>payments.</w:t>
      </w:r>
      <w:r>
        <w:rPr>
          <w:spacing w:val="-8"/>
          <w:w w:val="105"/>
          <w:sz w:val="18"/>
          <w:vertAlign w:val="baseline"/>
        </w:rPr>
        <w:t> </w:t>
      </w:r>
      <w:r>
        <w:rPr>
          <w:w w:val="105"/>
          <w:sz w:val="18"/>
          <w:vertAlign w:val="baseline"/>
        </w:rPr>
        <w:t>Key</w:t>
      </w:r>
      <w:r>
        <w:rPr>
          <w:spacing w:val="-8"/>
          <w:w w:val="105"/>
          <w:sz w:val="18"/>
          <w:vertAlign w:val="baseline"/>
        </w:rPr>
        <w:t> </w:t>
      </w:r>
      <w:r>
        <w:rPr>
          <w:w w:val="105"/>
          <w:sz w:val="18"/>
          <w:vertAlign w:val="baseline"/>
        </w:rPr>
        <w:t>impediments</w:t>
      </w:r>
      <w:r>
        <w:rPr>
          <w:spacing w:val="-8"/>
          <w:w w:val="105"/>
          <w:sz w:val="18"/>
          <w:vertAlign w:val="baseline"/>
        </w:rPr>
        <w:t> </w:t>
      </w:r>
      <w:r>
        <w:rPr>
          <w:w w:val="105"/>
          <w:sz w:val="18"/>
          <w:vertAlign w:val="baseline"/>
        </w:rPr>
        <w:t>to</w:t>
      </w:r>
      <w:r>
        <w:rPr>
          <w:spacing w:val="-8"/>
          <w:w w:val="105"/>
          <w:sz w:val="18"/>
          <w:vertAlign w:val="baseline"/>
        </w:rPr>
        <w:t> </w:t>
      </w:r>
      <w:r>
        <w:rPr>
          <w:w w:val="105"/>
          <w:sz w:val="18"/>
          <w:vertAlign w:val="baseline"/>
        </w:rPr>
        <w:t>RMB</w:t>
      </w:r>
      <w:r>
        <w:rPr>
          <w:spacing w:val="-8"/>
          <w:w w:val="105"/>
          <w:sz w:val="18"/>
          <w:vertAlign w:val="baseline"/>
        </w:rPr>
        <w:t> </w:t>
      </w:r>
      <w:r>
        <w:rPr>
          <w:w w:val="105"/>
          <w:sz w:val="18"/>
          <w:vertAlign w:val="baseline"/>
        </w:rPr>
        <w:t>internationalization</w:t>
      </w:r>
      <w:r>
        <w:rPr>
          <w:spacing w:val="-8"/>
          <w:w w:val="105"/>
          <w:sz w:val="18"/>
          <w:vertAlign w:val="baseline"/>
        </w:rPr>
        <w:t> </w:t>
      </w:r>
      <w:r>
        <w:rPr>
          <w:w w:val="105"/>
          <w:sz w:val="18"/>
          <w:vertAlign w:val="baseline"/>
        </w:rPr>
        <w:t>include</w:t>
      </w:r>
      <w:r>
        <w:rPr>
          <w:spacing w:val="-8"/>
          <w:w w:val="105"/>
          <w:sz w:val="18"/>
          <w:vertAlign w:val="baseline"/>
        </w:rPr>
        <w:t> </w:t>
      </w:r>
      <w:r>
        <w:rPr>
          <w:w w:val="105"/>
          <w:sz w:val="18"/>
          <w:vertAlign w:val="baseline"/>
        </w:rPr>
        <w:t>tight</w:t>
      </w:r>
      <w:r>
        <w:rPr>
          <w:spacing w:val="-8"/>
          <w:w w:val="105"/>
          <w:sz w:val="18"/>
          <w:vertAlign w:val="baseline"/>
        </w:rPr>
        <w:t> </w:t>
      </w:r>
      <w:r>
        <w:rPr>
          <w:w w:val="105"/>
          <w:sz w:val="18"/>
          <w:vertAlign w:val="baseline"/>
        </w:rPr>
        <w:t>capital</w:t>
      </w:r>
      <w:r>
        <w:rPr>
          <w:spacing w:val="-8"/>
          <w:w w:val="105"/>
          <w:sz w:val="18"/>
          <w:vertAlign w:val="baseline"/>
        </w:rPr>
        <w:t> </w:t>
      </w:r>
      <w:r>
        <w:rPr>
          <w:w w:val="105"/>
          <w:sz w:val="18"/>
          <w:vertAlign w:val="baseline"/>
        </w:rPr>
        <w:t>controls</w:t>
      </w:r>
      <w:r>
        <w:rPr>
          <w:spacing w:val="-8"/>
          <w:w w:val="105"/>
          <w:sz w:val="18"/>
          <w:vertAlign w:val="baseline"/>
        </w:rPr>
        <w:t> </w:t>
      </w:r>
      <w:r>
        <w:rPr>
          <w:w w:val="105"/>
          <w:sz w:val="18"/>
          <w:vertAlign w:val="baseline"/>
        </w:rPr>
        <w:t>that</w:t>
      </w:r>
      <w:r>
        <w:rPr>
          <w:spacing w:val="-8"/>
          <w:w w:val="105"/>
          <w:sz w:val="18"/>
          <w:vertAlign w:val="baseline"/>
        </w:rPr>
        <w:t> </w:t>
      </w:r>
      <w:r>
        <w:rPr>
          <w:w w:val="105"/>
          <w:sz w:val="18"/>
          <w:vertAlign w:val="baseline"/>
        </w:rPr>
        <w:t>inhibit</w:t>
      </w:r>
      <w:r>
        <w:rPr>
          <w:spacing w:val="-8"/>
          <w:w w:val="105"/>
          <w:sz w:val="18"/>
          <w:vertAlign w:val="baseline"/>
        </w:rPr>
        <w:t> </w:t>
      </w:r>
      <w:r>
        <w:rPr>
          <w:w w:val="105"/>
          <w:sz w:val="18"/>
          <w:vertAlign w:val="baseline"/>
        </w:rPr>
        <w:t>the</w:t>
      </w:r>
      <w:r>
        <w:rPr>
          <w:spacing w:val="-8"/>
          <w:w w:val="105"/>
          <w:sz w:val="18"/>
          <w:vertAlign w:val="baseline"/>
        </w:rPr>
        <w:t> </w:t>
      </w:r>
      <w:r>
        <w:rPr>
          <w:w w:val="105"/>
          <w:sz w:val="18"/>
          <w:vertAlign w:val="baseline"/>
        </w:rPr>
        <w:t>free movement</w:t>
      </w:r>
      <w:r>
        <w:rPr>
          <w:spacing w:val="-14"/>
          <w:w w:val="105"/>
          <w:sz w:val="18"/>
          <w:vertAlign w:val="baseline"/>
        </w:rPr>
        <w:t> </w:t>
      </w:r>
      <w:r>
        <w:rPr>
          <w:w w:val="105"/>
          <w:sz w:val="18"/>
          <w:vertAlign w:val="baseline"/>
        </w:rPr>
        <w:t>of</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currency</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absence</w:t>
      </w:r>
      <w:r>
        <w:rPr>
          <w:spacing w:val="-13"/>
          <w:w w:val="105"/>
          <w:sz w:val="18"/>
          <w:vertAlign w:val="baseline"/>
        </w:rPr>
        <w:t> </w:t>
      </w:r>
      <w:r>
        <w:rPr>
          <w:w w:val="105"/>
          <w:sz w:val="18"/>
          <w:vertAlign w:val="baseline"/>
        </w:rPr>
        <w:t>of</w:t>
      </w:r>
      <w:r>
        <w:rPr>
          <w:spacing w:val="-14"/>
          <w:w w:val="105"/>
          <w:sz w:val="18"/>
          <w:vertAlign w:val="baseline"/>
        </w:rPr>
        <w:t> </w:t>
      </w:r>
      <w:r>
        <w:rPr>
          <w:w w:val="105"/>
          <w:sz w:val="18"/>
          <w:vertAlign w:val="baseline"/>
        </w:rPr>
        <w:t>a</w:t>
      </w:r>
      <w:r>
        <w:rPr>
          <w:spacing w:val="-13"/>
          <w:w w:val="105"/>
          <w:sz w:val="18"/>
          <w:vertAlign w:val="baseline"/>
        </w:rPr>
        <w:t> </w:t>
      </w:r>
      <w:r>
        <w:rPr>
          <w:w w:val="105"/>
          <w:sz w:val="18"/>
          <w:vertAlign w:val="baseline"/>
        </w:rPr>
        <w:t>large</w:t>
      </w:r>
      <w:r>
        <w:rPr>
          <w:spacing w:val="-13"/>
          <w:w w:val="105"/>
          <w:sz w:val="18"/>
          <w:vertAlign w:val="baseline"/>
        </w:rPr>
        <w:t> </w:t>
      </w:r>
      <w:r>
        <w:rPr>
          <w:w w:val="105"/>
          <w:sz w:val="18"/>
          <w:vertAlign w:val="baseline"/>
        </w:rPr>
        <w:t>offshore</w:t>
      </w:r>
      <w:r>
        <w:rPr>
          <w:spacing w:val="-13"/>
          <w:w w:val="105"/>
          <w:sz w:val="18"/>
          <w:vertAlign w:val="baseline"/>
        </w:rPr>
        <w:t> </w:t>
      </w:r>
      <w:r>
        <w:rPr>
          <w:w w:val="105"/>
          <w:sz w:val="18"/>
          <w:vertAlign w:val="baseline"/>
        </w:rPr>
        <w:t>market</w:t>
      </w:r>
      <w:r>
        <w:rPr>
          <w:spacing w:val="-13"/>
          <w:w w:val="105"/>
          <w:sz w:val="18"/>
          <w:vertAlign w:val="baseline"/>
        </w:rPr>
        <w:t> </w:t>
      </w:r>
      <w:r>
        <w:rPr>
          <w:w w:val="105"/>
          <w:sz w:val="18"/>
          <w:vertAlign w:val="baseline"/>
        </w:rPr>
        <w:t>for</w:t>
      </w:r>
      <w:r>
        <w:rPr>
          <w:spacing w:val="-13"/>
          <w:w w:val="105"/>
          <w:sz w:val="18"/>
          <w:vertAlign w:val="baseline"/>
        </w:rPr>
        <w:t> </w:t>
      </w:r>
      <w:r>
        <w:rPr>
          <w:w w:val="105"/>
          <w:sz w:val="18"/>
          <w:vertAlign w:val="baseline"/>
        </w:rPr>
        <w:t>investors</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purchase</w:t>
      </w:r>
      <w:r>
        <w:rPr>
          <w:spacing w:val="-14"/>
          <w:w w:val="105"/>
          <w:sz w:val="18"/>
          <w:vertAlign w:val="baseline"/>
        </w:rPr>
        <w:t> </w:t>
      </w:r>
      <w:r>
        <w:rPr>
          <w:w w:val="105"/>
          <w:sz w:val="18"/>
          <w:vertAlign w:val="baseline"/>
        </w:rPr>
        <w:t>safe,</w:t>
      </w:r>
    </w:p>
    <w:p>
      <w:pPr>
        <w:spacing w:before="2"/>
        <w:ind w:left="760" w:right="0" w:firstLine="0"/>
        <w:jc w:val="left"/>
        <w:rPr>
          <w:sz w:val="18"/>
        </w:rPr>
      </w:pPr>
      <w:r>
        <w:rPr>
          <w:sz w:val="18"/>
        </w:rPr>
        <w:t>RMB-denominated</w:t>
      </w:r>
      <w:r>
        <w:rPr>
          <w:spacing w:val="-8"/>
          <w:sz w:val="18"/>
        </w:rPr>
        <w:t> </w:t>
      </w:r>
      <w:r>
        <w:rPr>
          <w:sz w:val="18"/>
        </w:rPr>
        <w:t>assets</w:t>
      </w:r>
      <w:r>
        <w:rPr>
          <w:spacing w:val="-7"/>
          <w:sz w:val="18"/>
        </w:rPr>
        <w:t> </w:t>
      </w:r>
      <w:r>
        <w:rPr>
          <w:sz w:val="18"/>
        </w:rPr>
        <w:t>that</w:t>
      </w:r>
      <w:r>
        <w:rPr>
          <w:spacing w:val="-8"/>
          <w:sz w:val="18"/>
        </w:rPr>
        <w:t> </w:t>
      </w:r>
      <w:r>
        <w:rPr>
          <w:sz w:val="18"/>
        </w:rPr>
        <w:t>are</w:t>
      </w:r>
      <w:r>
        <w:rPr>
          <w:spacing w:val="-7"/>
          <w:sz w:val="18"/>
        </w:rPr>
        <w:t> </w:t>
      </w:r>
      <w:r>
        <w:rPr>
          <w:sz w:val="18"/>
        </w:rPr>
        <w:t>comparable</w:t>
      </w:r>
      <w:r>
        <w:rPr>
          <w:spacing w:val="-7"/>
          <w:sz w:val="18"/>
        </w:rPr>
        <w:t> </w:t>
      </w:r>
      <w:r>
        <w:rPr>
          <w:sz w:val="18"/>
        </w:rPr>
        <w:t>to</w:t>
      </w:r>
      <w:r>
        <w:rPr>
          <w:spacing w:val="-8"/>
          <w:sz w:val="18"/>
        </w:rPr>
        <w:t> </w:t>
      </w:r>
      <w:r>
        <w:rPr>
          <w:sz w:val="18"/>
        </w:rPr>
        <w:t>U.S.</w:t>
      </w:r>
      <w:r>
        <w:rPr>
          <w:spacing w:val="-7"/>
          <w:sz w:val="18"/>
        </w:rPr>
        <w:t> </w:t>
      </w:r>
      <w:r>
        <w:rPr>
          <w:sz w:val="18"/>
        </w:rPr>
        <w:t>Treasury</w:t>
      </w:r>
      <w:r>
        <w:rPr>
          <w:spacing w:val="-8"/>
          <w:sz w:val="18"/>
        </w:rPr>
        <w:t> </w:t>
      </w:r>
      <w:r>
        <w:rPr>
          <w:sz w:val="18"/>
        </w:rPr>
        <w:t>bonds</w:t>
      </w:r>
      <w:r>
        <w:rPr>
          <w:spacing w:val="-7"/>
          <w:sz w:val="18"/>
        </w:rPr>
        <w:t> </w:t>
      </w:r>
      <w:r>
        <w:rPr>
          <w:sz w:val="18"/>
        </w:rPr>
        <w:t>(Bertaut</w:t>
      </w:r>
      <w:r>
        <w:rPr>
          <w:spacing w:val="-7"/>
          <w:sz w:val="18"/>
        </w:rPr>
        <w:t> </w:t>
      </w:r>
      <w:r>
        <w:rPr>
          <w:sz w:val="18"/>
        </w:rPr>
        <w:t>et</w:t>
      </w:r>
      <w:r>
        <w:rPr>
          <w:spacing w:val="-8"/>
          <w:sz w:val="18"/>
        </w:rPr>
        <w:t> </w:t>
      </w:r>
      <w:r>
        <w:rPr>
          <w:sz w:val="18"/>
        </w:rPr>
        <w:t>al.</w:t>
      </w:r>
      <w:r>
        <w:rPr>
          <w:spacing w:val="-7"/>
          <w:sz w:val="18"/>
        </w:rPr>
        <w:t> </w:t>
      </w:r>
      <w:r>
        <w:rPr>
          <w:spacing w:val="-2"/>
          <w:sz w:val="18"/>
        </w:rPr>
        <w:t>2023).</w:t>
      </w:r>
    </w:p>
    <w:p>
      <w:pPr>
        <w:spacing w:before="9"/>
        <w:ind w:left="760" w:right="0" w:firstLine="0"/>
        <w:jc w:val="left"/>
        <w:rPr>
          <w:sz w:val="18"/>
        </w:rPr>
      </w:pPr>
      <w:r>
        <w:rPr>
          <w:sz w:val="18"/>
          <w:vertAlign w:val="superscript"/>
        </w:rPr>
        <w:t>149</w:t>
      </w:r>
      <w:r>
        <w:rPr>
          <w:spacing w:val="-9"/>
          <w:sz w:val="18"/>
          <w:vertAlign w:val="baseline"/>
        </w:rPr>
        <w:t> </w:t>
      </w:r>
      <w:r>
        <w:rPr>
          <w:sz w:val="18"/>
          <w:vertAlign w:val="baseline"/>
        </w:rPr>
        <w:t>See</w:t>
      </w:r>
      <w:r>
        <w:rPr>
          <w:spacing w:val="-7"/>
          <w:sz w:val="18"/>
          <w:vertAlign w:val="baseline"/>
        </w:rPr>
        <w:t> </w:t>
      </w:r>
      <w:r>
        <w:rPr>
          <w:sz w:val="18"/>
          <w:vertAlign w:val="baseline"/>
        </w:rPr>
        <w:t>Horn</w:t>
      </w:r>
      <w:r>
        <w:rPr>
          <w:spacing w:val="-7"/>
          <w:sz w:val="18"/>
          <w:vertAlign w:val="baseline"/>
        </w:rPr>
        <w:t> </w:t>
      </w:r>
      <w:r>
        <w:rPr>
          <w:sz w:val="18"/>
          <w:vertAlign w:val="baseline"/>
        </w:rPr>
        <w:t>et</w:t>
      </w:r>
      <w:r>
        <w:rPr>
          <w:spacing w:val="-8"/>
          <w:sz w:val="18"/>
          <w:vertAlign w:val="baseline"/>
        </w:rPr>
        <w:t> </w:t>
      </w:r>
      <w:r>
        <w:rPr>
          <w:sz w:val="18"/>
          <w:vertAlign w:val="baseline"/>
        </w:rPr>
        <w:t>al.</w:t>
      </w:r>
      <w:r>
        <w:rPr>
          <w:spacing w:val="-7"/>
          <w:sz w:val="18"/>
          <w:vertAlign w:val="baseline"/>
        </w:rPr>
        <w:t> </w:t>
      </w:r>
      <w:r>
        <w:rPr>
          <w:sz w:val="18"/>
          <w:vertAlign w:val="baseline"/>
        </w:rPr>
        <w:t>(2023a,</w:t>
      </w:r>
      <w:r>
        <w:rPr>
          <w:spacing w:val="-7"/>
          <w:sz w:val="18"/>
          <w:vertAlign w:val="baseline"/>
        </w:rPr>
        <w:t> </w:t>
      </w:r>
      <w:r>
        <w:rPr>
          <w:spacing w:val="-2"/>
          <w:sz w:val="18"/>
          <w:vertAlign w:val="baseline"/>
        </w:rPr>
        <w:t>2023b).</w:t>
      </w:r>
    </w:p>
    <w:p>
      <w:pPr>
        <w:spacing w:after="0"/>
        <w:jc w:val="left"/>
        <w:rPr>
          <w:sz w:val="18"/>
        </w:rPr>
        <w:sectPr>
          <w:pgSz w:w="12240" w:h="15840"/>
          <w:pgMar w:header="0" w:footer="720" w:top="1400" w:bottom="920" w:left="1040" w:right="1040"/>
        </w:sectPr>
      </w:pPr>
    </w:p>
    <w:p>
      <w:pPr>
        <w:pStyle w:val="BodyText"/>
        <w:spacing w:line="333" w:lineRule="auto" w:before="27"/>
        <w:ind w:left="760" w:right="767"/>
      </w:pPr>
      <w:r>
        <w:rPr/>
        <w:t>from the PBOC to repay the IMF “without touching [its] dollar reserves” (do Rosario and Otaola 2023) for two reasons: (1) money is fungible, and (2) IMF loans can be repaid with multiple currencies (including USD, EUR, RMB, JPY, GBP,</w:t>
      </w:r>
      <w:r>
        <w:rPr>
          <w:spacing w:val="-9"/>
        </w:rPr>
        <w:t> </w:t>
      </w:r>
      <w:r>
        <w:rPr/>
        <w:t>and</w:t>
      </w:r>
      <w:r>
        <w:rPr>
          <w:spacing w:val="-9"/>
        </w:rPr>
        <w:t> </w:t>
      </w:r>
      <w:r>
        <w:rPr/>
        <w:t>SDR).</w:t>
      </w:r>
      <w:r>
        <w:rPr>
          <w:spacing w:val="-9"/>
        </w:rPr>
        <w:t> </w:t>
      </w:r>
      <w:r>
        <w:rPr/>
        <w:t>In</w:t>
      </w:r>
      <w:r>
        <w:rPr>
          <w:spacing w:val="-9"/>
        </w:rPr>
        <w:t> </w:t>
      </w:r>
      <w:r>
        <w:rPr/>
        <w:t>other</w:t>
      </w:r>
      <w:r>
        <w:rPr>
          <w:spacing w:val="-9"/>
        </w:rPr>
        <w:t> </w:t>
      </w:r>
      <w:r>
        <w:rPr/>
        <w:t>words,</w:t>
      </w:r>
      <w:r>
        <w:rPr>
          <w:spacing w:val="-9"/>
        </w:rPr>
        <w:t> </w:t>
      </w:r>
      <w:r>
        <w:rPr/>
        <w:t>BCRA</w:t>
      </w:r>
      <w:r>
        <w:rPr>
          <w:spacing w:val="-9"/>
        </w:rPr>
        <w:t> </w:t>
      </w:r>
      <w:r>
        <w:rPr/>
        <w:t>repaid</w:t>
      </w:r>
      <w:r>
        <w:rPr>
          <w:spacing w:val="-9"/>
        </w:rPr>
        <w:t> </w:t>
      </w:r>
      <w:r>
        <w:rPr/>
        <w:t>its</w:t>
      </w:r>
      <w:r>
        <w:rPr>
          <w:spacing w:val="-9"/>
        </w:rPr>
        <w:t> </w:t>
      </w:r>
      <w:r>
        <w:rPr/>
        <w:t>debt</w:t>
      </w:r>
      <w:r>
        <w:rPr>
          <w:spacing w:val="-9"/>
        </w:rPr>
        <w:t> </w:t>
      </w:r>
      <w:r>
        <w:rPr/>
        <w:t>to</w:t>
      </w:r>
      <w:r>
        <w:rPr>
          <w:spacing w:val="-9"/>
        </w:rPr>
        <w:t> </w:t>
      </w:r>
      <w:r>
        <w:rPr/>
        <w:t>the</w:t>
      </w:r>
      <w:r>
        <w:rPr>
          <w:spacing w:val="-9"/>
        </w:rPr>
        <w:t> </w:t>
      </w:r>
      <w:r>
        <w:rPr/>
        <w:t>IMF</w:t>
      </w:r>
      <w:r>
        <w:rPr>
          <w:spacing w:val="-9"/>
        </w:rPr>
        <w:t> </w:t>
      </w:r>
      <w:r>
        <w:rPr/>
        <w:t>in</w:t>
      </w:r>
      <w:r>
        <w:rPr>
          <w:spacing w:val="-9"/>
        </w:rPr>
        <w:t> </w:t>
      </w:r>
      <w:r>
        <w:rPr/>
        <w:t>RMB,</w:t>
      </w:r>
      <w:r>
        <w:rPr>
          <w:spacing w:val="-9"/>
        </w:rPr>
        <w:t> </w:t>
      </w:r>
      <w:r>
        <w:rPr/>
        <w:t>which allowed it to preserve its dollar reserve holdings.</w:t>
      </w:r>
      <w:r>
        <w:rPr>
          <w:vertAlign w:val="superscript"/>
        </w:rPr>
        <w:t>150</w:t>
      </w:r>
      <w:r>
        <w:rPr>
          <w:vertAlign w:val="baseline"/>
        </w:rPr>
        <w:t> The case of Argentina also calls attention to a separate, but closely related, point: Beijing has an encompassing interest in ensuring that its largest borrowers with</w:t>
      </w:r>
    </w:p>
    <w:p>
      <w:pPr>
        <w:pStyle w:val="BodyText"/>
        <w:spacing w:line="333" w:lineRule="auto"/>
        <w:ind w:left="760" w:right="898"/>
      </w:pPr>
      <w:r>
        <w:rPr/>
        <w:t>dollar-denominated debts to Chinese creditors do not exhaust their </w:t>
      </w:r>
      <w:r>
        <w:rPr/>
        <w:t>dollar </w:t>
      </w:r>
      <w:r>
        <w:rPr>
          <w:w w:val="105"/>
        </w:rPr>
        <w:t>reserve holdings.</w:t>
      </w:r>
      <w:r>
        <w:rPr>
          <w:w w:val="105"/>
          <w:vertAlign w:val="superscript"/>
        </w:rPr>
        <w:t>151</w:t>
      </w:r>
    </w:p>
    <w:p>
      <w:pPr>
        <w:pStyle w:val="BodyText"/>
        <w:spacing w:before="4"/>
        <w:rPr>
          <w:sz w:val="27"/>
        </w:rPr>
      </w:pPr>
    </w:p>
    <w:p>
      <w:pPr>
        <w:pStyle w:val="BodyText"/>
        <w:spacing w:line="333" w:lineRule="auto"/>
        <w:ind w:left="760" w:right="838"/>
      </w:pPr>
      <w:r>
        <w:rPr/>
        <w:t>In this way, the PBOC’s willingness to serve as an international lender of last resort suggests that it may be seeking to kill several birds with one stone: preserving the dollar reserve holdings of its biggest borrowers, encouraging greater use of the RMB in cross-border transactions, and laying the groundwork for</w:t>
      </w:r>
      <w:r>
        <w:rPr>
          <w:spacing w:val="-6"/>
        </w:rPr>
        <w:t> </w:t>
      </w:r>
      <w:r>
        <w:rPr/>
        <w:t>the</w:t>
      </w:r>
      <w:r>
        <w:rPr>
          <w:spacing w:val="-6"/>
        </w:rPr>
        <w:t> </w:t>
      </w:r>
      <w:r>
        <w:rPr/>
        <w:t>RMB</w:t>
      </w:r>
      <w:r>
        <w:rPr>
          <w:spacing w:val="-6"/>
        </w:rPr>
        <w:t> </w:t>
      </w:r>
      <w:r>
        <w:rPr/>
        <w:t>to</w:t>
      </w:r>
      <w:r>
        <w:rPr>
          <w:spacing w:val="-6"/>
        </w:rPr>
        <w:t> </w:t>
      </w:r>
      <w:r>
        <w:rPr/>
        <w:t>eventually</w:t>
      </w:r>
      <w:r>
        <w:rPr>
          <w:spacing w:val="-6"/>
        </w:rPr>
        <w:t> </w:t>
      </w:r>
      <w:r>
        <w:rPr/>
        <w:t>achieve</w:t>
      </w:r>
      <w:r>
        <w:rPr>
          <w:spacing w:val="-6"/>
        </w:rPr>
        <w:t> </w:t>
      </w:r>
      <w:r>
        <w:rPr/>
        <w:t>global</w:t>
      </w:r>
      <w:r>
        <w:rPr>
          <w:spacing w:val="-6"/>
        </w:rPr>
        <w:t> </w:t>
      </w:r>
      <w:r>
        <w:rPr/>
        <w:t>reserve</w:t>
      </w:r>
      <w:r>
        <w:rPr>
          <w:spacing w:val="-6"/>
        </w:rPr>
        <w:t> </w:t>
      </w:r>
      <w:r>
        <w:rPr/>
        <w:t>currency</w:t>
      </w:r>
      <w:r>
        <w:rPr>
          <w:spacing w:val="-6"/>
        </w:rPr>
        <w:t> </w:t>
      </w:r>
      <w:r>
        <w:rPr/>
        <w:t>status.</w:t>
      </w:r>
      <w:r>
        <w:rPr>
          <w:vertAlign w:val="superscript"/>
        </w:rPr>
        <w:t>152</w:t>
      </w:r>
      <w:r>
        <w:rPr>
          <w:spacing w:val="-7"/>
          <w:vertAlign w:val="baseline"/>
        </w:rPr>
        <w:t> </w:t>
      </w:r>
      <w:r>
        <w:rPr>
          <w:vertAlign w:val="baseline"/>
        </w:rPr>
        <w:t>The</w:t>
      </w:r>
      <w:r>
        <w:rPr>
          <w:spacing w:val="-6"/>
          <w:vertAlign w:val="baseline"/>
        </w:rPr>
        <w:t> </w:t>
      </w:r>
      <w:r>
        <w:rPr>
          <w:vertAlign w:val="baseline"/>
        </w:rPr>
        <w:t>fact</w:t>
      </w:r>
      <w:r>
        <w:rPr>
          <w:spacing w:val="-6"/>
          <w:vertAlign w:val="baseline"/>
        </w:rPr>
        <w:t> </w:t>
      </w:r>
      <w:r>
        <w:rPr>
          <w:vertAlign w:val="baseline"/>
        </w:rPr>
        <w:t>that the PBOC played an instrumental role in helping the IMF’s single largest borrower meet its repayment obligations with RMB also suggests that former</w:t>
      </w:r>
    </w:p>
    <w:p>
      <w:pPr>
        <w:pStyle w:val="BodyText"/>
        <w:spacing w:line="333" w:lineRule="auto"/>
        <w:ind w:left="760" w:right="767"/>
      </w:pPr>
      <w:r>
        <w:rPr/>
        <w:t>U.S.</w:t>
      </w:r>
      <w:r>
        <w:rPr>
          <w:spacing w:val="-17"/>
        </w:rPr>
        <w:t> </w:t>
      </w:r>
      <w:r>
        <w:rPr/>
        <w:t>Treasury</w:t>
      </w:r>
      <w:r>
        <w:rPr>
          <w:spacing w:val="-17"/>
        </w:rPr>
        <w:t> </w:t>
      </w:r>
      <w:r>
        <w:rPr/>
        <w:t>Secretary</w:t>
      </w:r>
      <w:r>
        <w:rPr>
          <w:spacing w:val="-16"/>
        </w:rPr>
        <w:t> </w:t>
      </w:r>
      <w:r>
        <w:rPr/>
        <w:t>Larry</w:t>
      </w:r>
      <w:r>
        <w:rPr>
          <w:spacing w:val="-17"/>
        </w:rPr>
        <w:t> </w:t>
      </w:r>
      <w:r>
        <w:rPr/>
        <w:t>Summers</w:t>
      </w:r>
      <w:r>
        <w:rPr>
          <w:spacing w:val="-17"/>
        </w:rPr>
        <w:t> </w:t>
      </w:r>
      <w:r>
        <w:rPr/>
        <w:t>may</w:t>
      </w:r>
      <w:r>
        <w:rPr>
          <w:spacing w:val="-17"/>
        </w:rPr>
        <w:t> </w:t>
      </w:r>
      <w:r>
        <w:rPr/>
        <w:t>have</w:t>
      </w:r>
      <w:r>
        <w:rPr>
          <w:spacing w:val="-16"/>
        </w:rPr>
        <w:t> </w:t>
      </w:r>
      <w:r>
        <w:rPr/>
        <w:t>been</w:t>
      </w:r>
      <w:r>
        <w:rPr>
          <w:spacing w:val="-17"/>
        </w:rPr>
        <w:t> </w:t>
      </w:r>
      <w:r>
        <w:rPr/>
        <w:t>overly</w:t>
      </w:r>
      <w:r>
        <w:rPr>
          <w:spacing w:val="-17"/>
        </w:rPr>
        <w:t> </w:t>
      </w:r>
      <w:r>
        <w:rPr/>
        <w:t>optimistic</w:t>
      </w:r>
      <w:r>
        <w:rPr>
          <w:spacing w:val="-16"/>
        </w:rPr>
        <w:t> </w:t>
      </w:r>
      <w:r>
        <w:rPr/>
        <w:t>when</w:t>
      </w:r>
      <w:r>
        <w:rPr>
          <w:spacing w:val="-17"/>
        </w:rPr>
        <w:t> </w:t>
      </w:r>
      <w:r>
        <w:rPr/>
        <w:t>he</w:t>
      </w:r>
      <w:r>
        <w:rPr/>
        <w:t> </w:t>
      </w:r>
      <w:r>
        <w:rPr>
          <w:w w:val="105"/>
        </w:rPr>
        <w:t>was</w:t>
      </w:r>
      <w:r>
        <w:rPr>
          <w:spacing w:val="-11"/>
          <w:w w:val="105"/>
        </w:rPr>
        <w:t> </w:t>
      </w:r>
      <w:r>
        <w:rPr>
          <w:w w:val="105"/>
        </w:rPr>
        <w:t>asked</w:t>
      </w:r>
      <w:r>
        <w:rPr>
          <w:spacing w:val="-11"/>
          <w:w w:val="105"/>
        </w:rPr>
        <w:t> </w:t>
      </w:r>
      <w:r>
        <w:rPr>
          <w:w w:val="105"/>
        </w:rPr>
        <w:t>about</w:t>
      </w:r>
      <w:r>
        <w:rPr>
          <w:spacing w:val="-11"/>
          <w:w w:val="105"/>
        </w:rPr>
        <w:t> </w:t>
      </w:r>
      <w:r>
        <w:rPr>
          <w:w w:val="105"/>
        </w:rPr>
        <w:t>the</w:t>
      </w:r>
      <w:r>
        <w:rPr>
          <w:spacing w:val="-11"/>
          <w:w w:val="105"/>
        </w:rPr>
        <w:t> </w:t>
      </w:r>
      <w:r>
        <w:rPr>
          <w:w w:val="105"/>
        </w:rPr>
        <w:t>risk</w:t>
      </w:r>
      <w:r>
        <w:rPr>
          <w:spacing w:val="-11"/>
          <w:w w:val="105"/>
        </w:rPr>
        <w:t> </w:t>
      </w:r>
      <w:r>
        <w:rPr>
          <w:w w:val="105"/>
        </w:rPr>
        <w:t>of</w:t>
      </w:r>
      <w:r>
        <w:rPr>
          <w:spacing w:val="-11"/>
          <w:w w:val="105"/>
        </w:rPr>
        <w:t> </w:t>
      </w:r>
      <w:r>
        <w:rPr>
          <w:w w:val="105"/>
        </w:rPr>
        <w:t>de-dollarization</w:t>
      </w:r>
      <w:r>
        <w:rPr>
          <w:spacing w:val="-11"/>
          <w:w w:val="105"/>
        </w:rPr>
        <w:t> </w:t>
      </w:r>
      <w:r>
        <w:rPr>
          <w:w w:val="105"/>
        </w:rPr>
        <w:t>and</w:t>
      </w:r>
      <w:r>
        <w:rPr>
          <w:spacing w:val="-11"/>
          <w:w w:val="105"/>
        </w:rPr>
        <w:t> </w:t>
      </w:r>
      <w:r>
        <w:rPr>
          <w:w w:val="105"/>
        </w:rPr>
        <w:t>responded</w:t>
      </w:r>
      <w:r>
        <w:rPr>
          <w:spacing w:val="-11"/>
          <w:w w:val="105"/>
        </w:rPr>
        <w:t> </w:t>
      </w:r>
      <w:r>
        <w:rPr>
          <w:w w:val="105"/>
        </w:rPr>
        <w:t>that:</w:t>
      </w:r>
      <w:r>
        <w:rPr>
          <w:spacing w:val="-11"/>
          <w:w w:val="105"/>
        </w:rPr>
        <w:t> </w:t>
      </w:r>
      <w:r>
        <w:rPr>
          <w:w w:val="105"/>
        </w:rPr>
        <w:t>“you</w:t>
      </w:r>
      <w:r>
        <w:rPr>
          <w:spacing w:val="-11"/>
          <w:w w:val="105"/>
        </w:rPr>
        <w:t> </w:t>
      </w:r>
      <w:r>
        <w:rPr>
          <w:w w:val="105"/>
        </w:rPr>
        <w:t>cannot </w:t>
      </w:r>
      <w:r>
        <w:rPr/>
        <w:t>replace something with nothing. […] Europe’s a museum, Japan’s a nursing </w:t>
      </w:r>
      <w:r>
        <w:rPr>
          <w:w w:val="105"/>
        </w:rPr>
        <w:t>home,</w:t>
      </w:r>
      <w:r>
        <w:rPr>
          <w:spacing w:val="-15"/>
          <w:w w:val="105"/>
        </w:rPr>
        <w:t> </w:t>
      </w:r>
      <w:r>
        <w:rPr>
          <w:w w:val="105"/>
        </w:rPr>
        <w:t>and</w:t>
      </w:r>
      <w:r>
        <w:rPr>
          <w:spacing w:val="-15"/>
          <w:w w:val="105"/>
        </w:rPr>
        <w:t> </w:t>
      </w:r>
      <w:r>
        <w:rPr>
          <w:w w:val="105"/>
        </w:rPr>
        <w:t>China’s</w:t>
      </w:r>
      <w:r>
        <w:rPr>
          <w:spacing w:val="-15"/>
          <w:w w:val="105"/>
        </w:rPr>
        <w:t> </w:t>
      </w:r>
      <w:r>
        <w:rPr>
          <w:w w:val="105"/>
        </w:rPr>
        <w:t>a</w:t>
      </w:r>
      <w:r>
        <w:rPr>
          <w:spacing w:val="-15"/>
          <w:w w:val="105"/>
        </w:rPr>
        <w:t> </w:t>
      </w:r>
      <w:r>
        <w:rPr>
          <w:w w:val="105"/>
        </w:rPr>
        <w:t>jail.</w:t>
      </w:r>
      <w:r>
        <w:rPr>
          <w:spacing w:val="-15"/>
          <w:w w:val="105"/>
        </w:rPr>
        <w:t> </w:t>
      </w:r>
      <w:r>
        <w:rPr>
          <w:w w:val="105"/>
        </w:rPr>
        <w:t>We</w:t>
      </w:r>
      <w:r>
        <w:rPr>
          <w:spacing w:val="-15"/>
          <w:w w:val="105"/>
        </w:rPr>
        <w:t> </w:t>
      </w:r>
      <w:r>
        <w:rPr>
          <w:w w:val="105"/>
        </w:rPr>
        <w:t>don’t</w:t>
      </w:r>
      <w:r>
        <w:rPr>
          <w:spacing w:val="-15"/>
          <w:w w:val="105"/>
        </w:rPr>
        <w:t> </w:t>
      </w:r>
      <w:r>
        <w:rPr>
          <w:w w:val="105"/>
        </w:rPr>
        <w:t>need</w:t>
      </w:r>
      <w:r>
        <w:rPr>
          <w:spacing w:val="-15"/>
          <w:w w:val="105"/>
        </w:rPr>
        <w:t> </w:t>
      </w:r>
      <w:r>
        <w:rPr>
          <w:w w:val="105"/>
        </w:rPr>
        <w:t>to</w:t>
      </w:r>
      <w:r>
        <w:rPr>
          <w:spacing w:val="-15"/>
          <w:w w:val="105"/>
        </w:rPr>
        <w:t> </w:t>
      </w:r>
      <w:r>
        <w:rPr>
          <w:w w:val="105"/>
        </w:rPr>
        <w:t>worry</w:t>
      </w:r>
      <w:r>
        <w:rPr>
          <w:spacing w:val="-15"/>
          <w:w w:val="105"/>
        </w:rPr>
        <w:t> </w:t>
      </w:r>
      <w:r>
        <w:rPr>
          <w:w w:val="105"/>
        </w:rPr>
        <w:t>about</w:t>
      </w:r>
      <w:r>
        <w:rPr>
          <w:spacing w:val="-15"/>
          <w:w w:val="105"/>
        </w:rPr>
        <w:t> </w:t>
      </w:r>
      <w:r>
        <w:rPr>
          <w:w w:val="105"/>
        </w:rPr>
        <w:t>those</w:t>
      </w:r>
      <w:r>
        <w:rPr>
          <w:spacing w:val="-15"/>
          <w:w w:val="105"/>
        </w:rPr>
        <w:t> </w:t>
      </w:r>
      <w:r>
        <w:rPr>
          <w:w w:val="105"/>
        </w:rPr>
        <w:t>currencies</w:t>
      </w:r>
      <w:r>
        <w:rPr>
          <w:spacing w:val="-15"/>
          <w:w w:val="105"/>
        </w:rPr>
        <w:t> </w:t>
      </w:r>
      <w:r>
        <w:rPr>
          <w:w w:val="105"/>
        </w:rPr>
        <w:t>being some kind of major threat to us.”</w:t>
      </w:r>
      <w:r>
        <w:rPr>
          <w:w w:val="105"/>
          <w:vertAlign w:val="superscript"/>
        </w:rPr>
        <w:t>1</w:t>
      </w:r>
      <w:r>
        <w:rPr>
          <w:w w:val="105"/>
          <w:vertAlign w:val="superscript"/>
        </w:rPr>
        <w:t>5</w:t>
      </w:r>
      <w:r>
        <w:rPr>
          <w:w w:val="105"/>
          <w:vertAlign w:val="superscript"/>
        </w:rPr>
        <w:t>3</w:t>
      </w:r>
    </w:p>
    <w:p>
      <w:pPr>
        <w:pStyle w:val="BodyText"/>
        <w:rPr>
          <w:sz w:val="20"/>
        </w:rPr>
      </w:pPr>
    </w:p>
    <w:p>
      <w:pPr>
        <w:pStyle w:val="BodyText"/>
        <w:rPr>
          <w:sz w:val="20"/>
        </w:rPr>
      </w:pPr>
    </w:p>
    <w:p>
      <w:pPr>
        <w:pStyle w:val="BodyText"/>
        <w:spacing w:before="4"/>
        <w:rPr>
          <w:sz w:val="23"/>
        </w:rPr>
      </w:pPr>
      <w:r>
        <w:rPr/>
        <w:pict>
          <v:shape style="position:absolute;margin-left:90pt;margin-top:14.663917pt;width:144pt;height:.1pt;mso-position-horizontal-relative:page;mso-position-vertical-relative:paragraph;z-index:-15698944;mso-wrap-distance-left:0;mso-wrap-distance-right:0" id="docshape54" coordorigin="1800,293" coordsize="2880,0" path="m1800,293l4680,293e" filled="false" stroked="true" strokeweight=".75pt" strokecolor="#000000">
            <v:path arrowok="t"/>
            <v:stroke dashstyle="solid"/>
            <w10:wrap type="topAndBottom"/>
          </v:shape>
        </w:pict>
      </w:r>
    </w:p>
    <w:p>
      <w:pPr>
        <w:spacing w:line="249" w:lineRule="auto" w:before="101"/>
        <w:ind w:left="760" w:right="767" w:firstLine="0"/>
        <w:jc w:val="left"/>
        <w:rPr>
          <w:sz w:val="18"/>
        </w:rPr>
      </w:pPr>
      <w:r>
        <w:rPr>
          <w:sz w:val="18"/>
          <w:vertAlign w:val="superscript"/>
        </w:rPr>
        <w:t>150</w:t>
      </w:r>
      <w:r>
        <w:rPr>
          <w:spacing w:val="-1"/>
          <w:sz w:val="18"/>
          <w:vertAlign w:val="baseline"/>
        </w:rPr>
        <w:t> </w:t>
      </w:r>
      <w:r>
        <w:rPr>
          <w:sz w:val="18"/>
          <w:vertAlign w:val="baseline"/>
        </w:rPr>
        <w:t>In August 2023, Argentina’s central bank (BCRA) decided to repay some of its outstanding swap debt </w:t>
      </w:r>
      <w:r>
        <w:rPr>
          <w:sz w:val="18"/>
          <w:vertAlign w:val="baseline"/>
        </w:rPr>
        <w:t>to the PBOC with the proceeds from an IMF loan disbursement (Do Rosario 2023a).</w:t>
      </w:r>
    </w:p>
    <w:p>
      <w:pPr>
        <w:spacing w:line="249" w:lineRule="auto" w:before="2"/>
        <w:ind w:left="760" w:right="767" w:firstLine="0"/>
        <w:jc w:val="left"/>
        <w:rPr>
          <w:sz w:val="18"/>
        </w:rPr>
      </w:pPr>
      <w:r>
        <w:rPr>
          <w:sz w:val="18"/>
          <w:vertAlign w:val="superscript"/>
        </w:rPr>
        <w:t>151</w:t>
      </w:r>
      <w:r>
        <w:rPr>
          <w:spacing w:val="-4"/>
          <w:sz w:val="18"/>
          <w:vertAlign w:val="baseline"/>
        </w:rPr>
        <w:t> </w:t>
      </w:r>
      <w:r>
        <w:rPr>
          <w:sz w:val="18"/>
          <w:vertAlign w:val="baseline"/>
        </w:rPr>
        <w:t>There</w:t>
      </w:r>
      <w:r>
        <w:rPr>
          <w:spacing w:val="-3"/>
          <w:sz w:val="18"/>
          <w:vertAlign w:val="baseline"/>
        </w:rPr>
        <w:t> </w:t>
      </w:r>
      <w:r>
        <w:rPr>
          <w:sz w:val="18"/>
          <w:vertAlign w:val="baseline"/>
        </w:rPr>
        <w:t>is</w:t>
      </w:r>
      <w:r>
        <w:rPr>
          <w:spacing w:val="-3"/>
          <w:sz w:val="18"/>
          <w:vertAlign w:val="baseline"/>
        </w:rPr>
        <w:t> </w:t>
      </w:r>
      <w:r>
        <w:rPr>
          <w:sz w:val="18"/>
          <w:vertAlign w:val="baseline"/>
        </w:rPr>
        <w:t>also</w:t>
      </w:r>
      <w:r>
        <w:rPr>
          <w:spacing w:val="-3"/>
          <w:sz w:val="18"/>
          <w:vertAlign w:val="baseline"/>
        </w:rPr>
        <w:t> </w:t>
      </w:r>
      <w:r>
        <w:rPr>
          <w:sz w:val="18"/>
          <w:vertAlign w:val="baseline"/>
        </w:rPr>
        <w:t>a</w:t>
      </w:r>
      <w:r>
        <w:rPr>
          <w:spacing w:val="-3"/>
          <w:sz w:val="18"/>
          <w:vertAlign w:val="baseline"/>
        </w:rPr>
        <w:t> </w:t>
      </w:r>
      <w:r>
        <w:rPr>
          <w:sz w:val="18"/>
          <w:vertAlign w:val="baseline"/>
        </w:rPr>
        <w:t>potential</w:t>
      </w:r>
      <w:r>
        <w:rPr>
          <w:spacing w:val="-3"/>
          <w:sz w:val="18"/>
          <w:vertAlign w:val="baseline"/>
        </w:rPr>
        <w:t> </w:t>
      </w:r>
      <w:r>
        <w:rPr>
          <w:sz w:val="18"/>
          <w:vertAlign w:val="baseline"/>
        </w:rPr>
        <w:t>demand-side</w:t>
      </w:r>
      <w:r>
        <w:rPr>
          <w:spacing w:val="-3"/>
          <w:sz w:val="18"/>
          <w:vertAlign w:val="baseline"/>
        </w:rPr>
        <w:t> </w:t>
      </w:r>
      <w:r>
        <w:rPr>
          <w:sz w:val="18"/>
          <w:vertAlign w:val="baseline"/>
        </w:rPr>
        <w:t>explanation</w:t>
      </w:r>
      <w:r>
        <w:rPr>
          <w:spacing w:val="-3"/>
          <w:sz w:val="18"/>
          <w:vertAlign w:val="baseline"/>
        </w:rPr>
        <w:t> </w:t>
      </w:r>
      <w:r>
        <w:rPr>
          <w:sz w:val="18"/>
          <w:vertAlign w:val="baseline"/>
        </w:rPr>
        <w:t>for</w:t>
      </w:r>
      <w:r>
        <w:rPr>
          <w:spacing w:val="-3"/>
          <w:sz w:val="18"/>
          <w:vertAlign w:val="baseline"/>
        </w:rPr>
        <w:t> </w:t>
      </w:r>
      <w:r>
        <w:rPr>
          <w:sz w:val="18"/>
          <w:vertAlign w:val="baseline"/>
        </w:rPr>
        <w:t>why</w:t>
      </w:r>
      <w:r>
        <w:rPr>
          <w:spacing w:val="-3"/>
          <w:sz w:val="18"/>
          <w:vertAlign w:val="baseline"/>
        </w:rPr>
        <w:t> </w:t>
      </w:r>
      <w:r>
        <w:rPr>
          <w:sz w:val="18"/>
          <w:vertAlign w:val="baseline"/>
        </w:rPr>
        <w:t>sovereigns</w:t>
      </w:r>
      <w:r>
        <w:rPr>
          <w:spacing w:val="-3"/>
          <w:sz w:val="18"/>
          <w:vertAlign w:val="baseline"/>
        </w:rPr>
        <w:t> </w:t>
      </w:r>
      <w:r>
        <w:rPr>
          <w:sz w:val="18"/>
          <w:vertAlign w:val="baseline"/>
        </w:rPr>
        <w:t>in</w:t>
      </w:r>
      <w:r>
        <w:rPr>
          <w:spacing w:val="-3"/>
          <w:sz w:val="18"/>
          <w:vertAlign w:val="baseline"/>
        </w:rPr>
        <w:t> </w:t>
      </w:r>
      <w:r>
        <w:rPr>
          <w:sz w:val="18"/>
          <w:vertAlign w:val="baseline"/>
        </w:rPr>
        <w:t>ﬁnancial</w:t>
      </w:r>
      <w:r>
        <w:rPr>
          <w:spacing w:val="-3"/>
          <w:sz w:val="18"/>
          <w:vertAlign w:val="baseline"/>
        </w:rPr>
        <w:t> </w:t>
      </w:r>
      <w:r>
        <w:rPr>
          <w:sz w:val="18"/>
          <w:vertAlign w:val="baseline"/>
        </w:rPr>
        <w:t>distress—like</w:t>
      </w:r>
      <w:r>
        <w:rPr>
          <w:spacing w:val="-3"/>
          <w:sz w:val="18"/>
          <w:vertAlign w:val="baseline"/>
        </w:rPr>
        <w:t> </w:t>
      </w:r>
      <w:r>
        <w:rPr>
          <w:sz w:val="18"/>
          <w:vertAlign w:val="baseline"/>
        </w:rPr>
        <w:t>Argentina </w:t>
      </w:r>
      <w:r>
        <w:rPr>
          <w:w w:val="105"/>
          <w:sz w:val="18"/>
          <w:vertAlign w:val="baseline"/>
        </w:rPr>
        <w:t>and</w:t>
      </w:r>
      <w:r>
        <w:rPr>
          <w:spacing w:val="-14"/>
          <w:w w:val="105"/>
          <w:sz w:val="18"/>
          <w:vertAlign w:val="baseline"/>
        </w:rPr>
        <w:t> </w:t>
      </w:r>
      <w:r>
        <w:rPr>
          <w:w w:val="105"/>
          <w:sz w:val="18"/>
          <w:vertAlign w:val="baseline"/>
        </w:rPr>
        <w:t>Sri</w:t>
      </w:r>
      <w:r>
        <w:rPr>
          <w:spacing w:val="-13"/>
          <w:w w:val="105"/>
          <w:sz w:val="18"/>
          <w:vertAlign w:val="baseline"/>
        </w:rPr>
        <w:t> </w:t>
      </w:r>
      <w:r>
        <w:rPr>
          <w:w w:val="105"/>
          <w:sz w:val="18"/>
          <w:vertAlign w:val="baseline"/>
        </w:rPr>
        <w:t>Lanka—are</w:t>
      </w:r>
      <w:r>
        <w:rPr>
          <w:spacing w:val="-13"/>
          <w:w w:val="105"/>
          <w:sz w:val="18"/>
          <w:vertAlign w:val="baseline"/>
        </w:rPr>
        <w:t> </w:t>
      </w:r>
      <w:r>
        <w:rPr>
          <w:w w:val="105"/>
          <w:sz w:val="18"/>
          <w:vertAlign w:val="baseline"/>
        </w:rPr>
        <w:t>willing</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contract</w:t>
      </w:r>
      <w:r>
        <w:rPr>
          <w:spacing w:val="-13"/>
          <w:w w:val="105"/>
          <w:sz w:val="18"/>
          <w:vertAlign w:val="baseline"/>
        </w:rPr>
        <w:t> </w:t>
      </w:r>
      <w:r>
        <w:rPr>
          <w:w w:val="105"/>
          <w:sz w:val="18"/>
          <w:vertAlign w:val="baseline"/>
        </w:rPr>
        <w:t>RMB-denominated</w:t>
      </w:r>
      <w:r>
        <w:rPr>
          <w:spacing w:val="-13"/>
          <w:w w:val="105"/>
          <w:sz w:val="18"/>
          <w:vertAlign w:val="baseline"/>
        </w:rPr>
        <w:t> </w:t>
      </w:r>
      <w:r>
        <w:rPr>
          <w:w w:val="105"/>
          <w:sz w:val="18"/>
          <w:vertAlign w:val="baseline"/>
        </w:rPr>
        <w:t>swap</w:t>
      </w:r>
      <w:r>
        <w:rPr>
          <w:spacing w:val="-14"/>
          <w:w w:val="105"/>
          <w:sz w:val="18"/>
          <w:vertAlign w:val="baseline"/>
        </w:rPr>
        <w:t> </w:t>
      </w:r>
      <w:r>
        <w:rPr>
          <w:w w:val="105"/>
          <w:sz w:val="18"/>
          <w:vertAlign w:val="baseline"/>
        </w:rPr>
        <w:t>debt</w:t>
      </w:r>
      <w:r>
        <w:rPr>
          <w:spacing w:val="-13"/>
          <w:w w:val="105"/>
          <w:sz w:val="18"/>
          <w:vertAlign w:val="baseline"/>
        </w:rPr>
        <w:t> </w:t>
      </w:r>
      <w:r>
        <w:rPr>
          <w:w w:val="105"/>
          <w:sz w:val="18"/>
          <w:vertAlign w:val="baseline"/>
        </w:rPr>
        <w:t>from</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PBOC.</w:t>
      </w:r>
      <w:r>
        <w:rPr>
          <w:spacing w:val="-13"/>
          <w:w w:val="105"/>
          <w:sz w:val="18"/>
          <w:vertAlign w:val="baseline"/>
        </w:rPr>
        <w:t> </w:t>
      </w:r>
      <w:r>
        <w:rPr>
          <w:w w:val="105"/>
          <w:sz w:val="18"/>
          <w:vertAlign w:val="baseline"/>
        </w:rPr>
        <w:t>Despite</w:t>
      </w:r>
      <w:r>
        <w:rPr>
          <w:spacing w:val="-13"/>
          <w:w w:val="105"/>
          <w:sz w:val="18"/>
          <w:vertAlign w:val="baseline"/>
        </w:rPr>
        <w:t> </w:t>
      </w:r>
      <w:r>
        <w:rPr>
          <w:w w:val="105"/>
          <w:sz w:val="18"/>
          <w:vertAlign w:val="baseline"/>
        </w:rPr>
        <w:t>signiﬁcant </w:t>
      </w:r>
      <w:r>
        <w:rPr>
          <w:sz w:val="18"/>
          <w:vertAlign w:val="baseline"/>
        </w:rPr>
        <w:t>restrictions</w:t>
      </w:r>
      <w:r>
        <w:rPr>
          <w:spacing w:val="-4"/>
          <w:sz w:val="18"/>
          <w:vertAlign w:val="baseline"/>
        </w:rPr>
        <w:t> </w:t>
      </w:r>
      <w:r>
        <w:rPr>
          <w:sz w:val="18"/>
          <w:vertAlign w:val="baseline"/>
        </w:rPr>
        <w:t>on</w:t>
      </w:r>
      <w:r>
        <w:rPr>
          <w:spacing w:val="-4"/>
          <w:sz w:val="18"/>
          <w:vertAlign w:val="baseline"/>
        </w:rPr>
        <w:t> </w:t>
      </w:r>
      <w:r>
        <w:rPr>
          <w:sz w:val="18"/>
          <w:vertAlign w:val="baseline"/>
        </w:rPr>
        <w:t>the</w:t>
      </w:r>
      <w:r>
        <w:rPr>
          <w:spacing w:val="-4"/>
          <w:sz w:val="18"/>
          <w:vertAlign w:val="baseline"/>
        </w:rPr>
        <w:t> </w:t>
      </w:r>
      <w:r>
        <w:rPr>
          <w:sz w:val="18"/>
          <w:vertAlign w:val="baseline"/>
        </w:rPr>
        <w:t>free</w:t>
      </w:r>
      <w:r>
        <w:rPr>
          <w:spacing w:val="-4"/>
          <w:sz w:val="18"/>
          <w:vertAlign w:val="baseline"/>
        </w:rPr>
        <w:t> </w:t>
      </w:r>
      <w:r>
        <w:rPr>
          <w:sz w:val="18"/>
          <w:vertAlign w:val="baseline"/>
        </w:rPr>
        <w:t>and</w:t>
      </w:r>
      <w:r>
        <w:rPr>
          <w:spacing w:val="-4"/>
          <w:sz w:val="18"/>
          <w:vertAlign w:val="baseline"/>
        </w:rPr>
        <w:t> </w:t>
      </w:r>
      <w:r>
        <w:rPr>
          <w:sz w:val="18"/>
          <w:vertAlign w:val="baseline"/>
        </w:rPr>
        <w:t>ﬂexible</w:t>
      </w:r>
      <w:r>
        <w:rPr>
          <w:spacing w:val="-4"/>
          <w:sz w:val="18"/>
          <w:vertAlign w:val="baseline"/>
        </w:rPr>
        <w:t> </w:t>
      </w:r>
      <w:r>
        <w:rPr>
          <w:sz w:val="18"/>
          <w:vertAlign w:val="baseline"/>
        </w:rPr>
        <w:t>use</w:t>
      </w:r>
      <w:r>
        <w:rPr>
          <w:spacing w:val="-4"/>
          <w:sz w:val="18"/>
          <w:vertAlign w:val="baseline"/>
        </w:rPr>
        <w:t> </w:t>
      </w:r>
      <w:r>
        <w:rPr>
          <w:sz w:val="18"/>
          <w:vertAlign w:val="baseline"/>
        </w:rPr>
        <w:t>of</w:t>
      </w:r>
      <w:r>
        <w:rPr>
          <w:spacing w:val="-4"/>
          <w:sz w:val="18"/>
          <w:vertAlign w:val="baseline"/>
        </w:rPr>
        <w:t> </w:t>
      </w:r>
      <w:r>
        <w:rPr>
          <w:sz w:val="18"/>
          <w:vertAlign w:val="baseline"/>
        </w:rPr>
        <w:t>PBOC</w:t>
      </w:r>
      <w:r>
        <w:rPr>
          <w:spacing w:val="-4"/>
          <w:sz w:val="18"/>
          <w:vertAlign w:val="baseline"/>
        </w:rPr>
        <w:t> </w:t>
      </w:r>
      <w:r>
        <w:rPr>
          <w:sz w:val="18"/>
          <w:vertAlign w:val="baseline"/>
        </w:rPr>
        <w:t>swap</w:t>
      </w:r>
      <w:r>
        <w:rPr>
          <w:spacing w:val="-4"/>
          <w:sz w:val="18"/>
          <w:vertAlign w:val="baseline"/>
        </w:rPr>
        <w:t> </w:t>
      </w:r>
      <w:r>
        <w:rPr>
          <w:sz w:val="18"/>
          <w:vertAlign w:val="baseline"/>
        </w:rPr>
        <w:t>drawings,</w:t>
      </w:r>
      <w:r>
        <w:rPr>
          <w:spacing w:val="-4"/>
          <w:sz w:val="18"/>
          <w:vertAlign w:val="baseline"/>
        </w:rPr>
        <w:t> </w:t>
      </w:r>
      <w:r>
        <w:rPr>
          <w:sz w:val="18"/>
          <w:vertAlign w:val="baseline"/>
        </w:rPr>
        <w:t>central</w:t>
      </w:r>
      <w:r>
        <w:rPr>
          <w:spacing w:val="-4"/>
          <w:sz w:val="18"/>
          <w:vertAlign w:val="baseline"/>
        </w:rPr>
        <w:t> </w:t>
      </w:r>
      <w:r>
        <w:rPr>
          <w:sz w:val="18"/>
          <w:vertAlign w:val="baseline"/>
        </w:rPr>
        <w:t>banks</w:t>
      </w:r>
      <w:r>
        <w:rPr>
          <w:spacing w:val="-4"/>
          <w:sz w:val="18"/>
          <w:vertAlign w:val="baseline"/>
        </w:rPr>
        <w:t> </w:t>
      </w:r>
      <w:r>
        <w:rPr>
          <w:sz w:val="18"/>
          <w:vertAlign w:val="baseline"/>
        </w:rPr>
        <w:t>can</w:t>
      </w:r>
      <w:r>
        <w:rPr>
          <w:spacing w:val="-4"/>
          <w:sz w:val="18"/>
          <w:vertAlign w:val="baseline"/>
        </w:rPr>
        <w:t> </w:t>
      </w:r>
      <w:r>
        <w:rPr>
          <w:sz w:val="18"/>
          <w:vertAlign w:val="baseline"/>
        </w:rPr>
        <w:t>use</w:t>
      </w:r>
      <w:r>
        <w:rPr>
          <w:spacing w:val="-4"/>
          <w:sz w:val="18"/>
          <w:vertAlign w:val="baseline"/>
        </w:rPr>
        <w:t> </w:t>
      </w:r>
      <w:r>
        <w:rPr>
          <w:sz w:val="18"/>
          <w:vertAlign w:val="baseline"/>
        </w:rPr>
        <w:t>these</w:t>
      </w:r>
      <w:r>
        <w:rPr>
          <w:spacing w:val="-4"/>
          <w:sz w:val="18"/>
          <w:vertAlign w:val="baseline"/>
        </w:rPr>
        <w:t> </w:t>
      </w:r>
      <w:r>
        <w:rPr>
          <w:sz w:val="18"/>
          <w:vertAlign w:val="baseline"/>
        </w:rPr>
        <w:t>RMB</w:t>
      </w:r>
      <w:r>
        <w:rPr>
          <w:spacing w:val="-4"/>
          <w:sz w:val="18"/>
          <w:vertAlign w:val="baseline"/>
        </w:rPr>
        <w:t> </w:t>
      </w:r>
      <w:r>
        <w:rPr>
          <w:sz w:val="18"/>
          <w:vertAlign w:val="baseline"/>
        </w:rPr>
        <w:t>drawings </w:t>
      </w:r>
      <w:r>
        <w:rPr>
          <w:w w:val="105"/>
          <w:sz w:val="18"/>
          <w:vertAlign w:val="baseline"/>
        </w:rPr>
        <w:t>as</w:t>
      </w:r>
      <w:r>
        <w:rPr>
          <w:spacing w:val="-13"/>
          <w:w w:val="105"/>
          <w:sz w:val="18"/>
          <w:vertAlign w:val="baseline"/>
        </w:rPr>
        <w:t> </w:t>
      </w:r>
      <w:r>
        <w:rPr>
          <w:w w:val="105"/>
          <w:sz w:val="18"/>
          <w:vertAlign w:val="baseline"/>
        </w:rPr>
        <w:t>a</w:t>
      </w:r>
      <w:r>
        <w:rPr>
          <w:spacing w:val="-13"/>
          <w:w w:val="105"/>
          <w:sz w:val="18"/>
          <w:vertAlign w:val="baseline"/>
        </w:rPr>
        <w:t> </w:t>
      </w:r>
      <w:r>
        <w:rPr>
          <w:w w:val="105"/>
          <w:sz w:val="18"/>
          <w:vertAlign w:val="baseline"/>
        </w:rPr>
        <w:t>“window</w:t>
      </w:r>
      <w:r>
        <w:rPr>
          <w:spacing w:val="-13"/>
          <w:w w:val="105"/>
          <w:sz w:val="18"/>
          <w:vertAlign w:val="baseline"/>
        </w:rPr>
        <w:t> </w:t>
      </w:r>
      <w:r>
        <w:rPr>
          <w:w w:val="105"/>
          <w:sz w:val="18"/>
          <w:vertAlign w:val="baseline"/>
        </w:rPr>
        <w:t>dressing”</w:t>
      </w:r>
      <w:r>
        <w:rPr>
          <w:spacing w:val="-13"/>
          <w:w w:val="105"/>
          <w:sz w:val="18"/>
          <w:vertAlign w:val="baseline"/>
        </w:rPr>
        <w:t> </w:t>
      </w:r>
      <w:r>
        <w:rPr>
          <w:w w:val="105"/>
          <w:sz w:val="18"/>
          <w:vertAlign w:val="baseline"/>
        </w:rPr>
        <w:t>device</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temporarily</w:t>
      </w:r>
      <w:r>
        <w:rPr>
          <w:spacing w:val="-13"/>
          <w:w w:val="105"/>
          <w:sz w:val="18"/>
          <w:vertAlign w:val="baseline"/>
        </w:rPr>
        <w:t> </w:t>
      </w:r>
      <w:r>
        <w:rPr>
          <w:w w:val="105"/>
          <w:sz w:val="18"/>
          <w:vertAlign w:val="baseline"/>
        </w:rPr>
        <w:t>inﬂate</w:t>
      </w:r>
      <w:r>
        <w:rPr>
          <w:spacing w:val="-13"/>
          <w:w w:val="105"/>
          <w:sz w:val="18"/>
          <w:vertAlign w:val="baseline"/>
        </w:rPr>
        <w:t> </w:t>
      </w:r>
      <w:r>
        <w:rPr>
          <w:w w:val="105"/>
          <w:sz w:val="18"/>
          <w:vertAlign w:val="baseline"/>
        </w:rPr>
        <w:t>their</w:t>
      </w:r>
      <w:r>
        <w:rPr>
          <w:spacing w:val="-13"/>
          <w:w w:val="105"/>
          <w:sz w:val="18"/>
          <w:vertAlign w:val="baseline"/>
        </w:rPr>
        <w:t> </w:t>
      </w:r>
      <w:r>
        <w:rPr>
          <w:w w:val="105"/>
          <w:sz w:val="18"/>
          <w:vertAlign w:val="baseline"/>
        </w:rPr>
        <w:t>gross</w:t>
      </w:r>
      <w:r>
        <w:rPr>
          <w:spacing w:val="-13"/>
          <w:w w:val="105"/>
          <w:sz w:val="18"/>
          <w:vertAlign w:val="baseline"/>
        </w:rPr>
        <w:t> </w:t>
      </w:r>
      <w:r>
        <w:rPr>
          <w:w w:val="105"/>
          <w:sz w:val="18"/>
          <w:vertAlign w:val="baseline"/>
        </w:rPr>
        <w:t>international</w:t>
      </w:r>
      <w:r>
        <w:rPr>
          <w:spacing w:val="-13"/>
          <w:w w:val="105"/>
          <w:sz w:val="18"/>
          <w:vertAlign w:val="baseline"/>
        </w:rPr>
        <w:t> </w:t>
      </w:r>
      <w:r>
        <w:rPr>
          <w:w w:val="105"/>
          <w:sz w:val="18"/>
          <w:vertAlign w:val="baseline"/>
        </w:rPr>
        <w:t>reserves</w:t>
      </w:r>
      <w:r>
        <w:rPr>
          <w:spacing w:val="-13"/>
          <w:w w:val="105"/>
          <w:sz w:val="18"/>
          <w:vertAlign w:val="baseline"/>
        </w:rPr>
        <w:t> </w:t>
      </w:r>
      <w:r>
        <w:rPr>
          <w:w w:val="105"/>
          <w:sz w:val="18"/>
          <w:vertAlign w:val="baseline"/>
        </w:rPr>
        <w:t>(Horn</w:t>
      </w:r>
      <w:r>
        <w:rPr>
          <w:spacing w:val="-13"/>
          <w:w w:val="105"/>
          <w:sz w:val="18"/>
          <w:vertAlign w:val="baseline"/>
        </w:rPr>
        <w:t> </w:t>
      </w:r>
      <w:r>
        <w:rPr>
          <w:w w:val="105"/>
          <w:sz w:val="18"/>
          <w:vertAlign w:val="baseline"/>
        </w:rPr>
        <w:t>et</w:t>
      </w:r>
      <w:r>
        <w:rPr>
          <w:spacing w:val="-13"/>
          <w:w w:val="105"/>
          <w:sz w:val="18"/>
          <w:vertAlign w:val="baseline"/>
        </w:rPr>
        <w:t> </w:t>
      </w:r>
      <w:r>
        <w:rPr>
          <w:w w:val="105"/>
          <w:sz w:val="18"/>
          <w:vertAlign w:val="baseline"/>
        </w:rPr>
        <w:t>al.</w:t>
      </w:r>
      <w:r>
        <w:rPr>
          <w:spacing w:val="-13"/>
          <w:w w:val="105"/>
          <w:sz w:val="18"/>
          <w:vertAlign w:val="baseline"/>
        </w:rPr>
        <w:t> </w:t>
      </w:r>
      <w:r>
        <w:rPr>
          <w:w w:val="105"/>
          <w:sz w:val="18"/>
          <w:vertAlign w:val="baseline"/>
        </w:rPr>
        <w:t>2023a). This</w:t>
      </w:r>
      <w:r>
        <w:rPr>
          <w:spacing w:val="-14"/>
          <w:w w:val="105"/>
          <w:sz w:val="18"/>
          <w:vertAlign w:val="baseline"/>
        </w:rPr>
        <w:t> </w:t>
      </w:r>
      <w:r>
        <w:rPr>
          <w:w w:val="105"/>
          <w:sz w:val="18"/>
          <w:vertAlign w:val="baseline"/>
        </w:rPr>
        <w:t>approach</w:t>
      </w:r>
      <w:r>
        <w:rPr>
          <w:spacing w:val="-13"/>
          <w:w w:val="105"/>
          <w:sz w:val="18"/>
          <w:vertAlign w:val="baseline"/>
        </w:rPr>
        <w:t> </w:t>
      </w:r>
      <w:r>
        <w:rPr>
          <w:w w:val="105"/>
          <w:sz w:val="18"/>
          <w:vertAlign w:val="baseline"/>
        </w:rPr>
        <w:t>might</w:t>
      </w:r>
      <w:r>
        <w:rPr>
          <w:spacing w:val="-13"/>
          <w:w w:val="105"/>
          <w:sz w:val="18"/>
          <w:vertAlign w:val="baseline"/>
        </w:rPr>
        <w:t> </w:t>
      </w:r>
      <w:r>
        <w:rPr>
          <w:w w:val="105"/>
          <w:sz w:val="18"/>
          <w:vertAlign w:val="baseline"/>
        </w:rPr>
        <w:t>help</w:t>
      </w:r>
      <w:r>
        <w:rPr>
          <w:spacing w:val="-13"/>
          <w:w w:val="105"/>
          <w:sz w:val="18"/>
          <w:vertAlign w:val="baseline"/>
        </w:rPr>
        <w:t> </w:t>
      </w:r>
      <w:r>
        <w:rPr>
          <w:w w:val="105"/>
          <w:sz w:val="18"/>
          <w:vertAlign w:val="baseline"/>
        </w:rPr>
        <w:t>avert</w:t>
      </w:r>
      <w:r>
        <w:rPr>
          <w:spacing w:val="-13"/>
          <w:w w:val="105"/>
          <w:sz w:val="18"/>
          <w:vertAlign w:val="baseline"/>
        </w:rPr>
        <w:t> </w:t>
      </w:r>
      <w:r>
        <w:rPr>
          <w:w w:val="105"/>
          <w:sz w:val="18"/>
          <w:vertAlign w:val="baseline"/>
        </w:rPr>
        <w:t>credit</w:t>
      </w:r>
      <w:r>
        <w:rPr>
          <w:spacing w:val="-13"/>
          <w:w w:val="105"/>
          <w:sz w:val="18"/>
          <w:vertAlign w:val="baseline"/>
        </w:rPr>
        <w:t> </w:t>
      </w:r>
      <w:r>
        <w:rPr>
          <w:w w:val="105"/>
          <w:sz w:val="18"/>
          <w:vertAlign w:val="baseline"/>
        </w:rPr>
        <w:t>rating</w:t>
      </w:r>
      <w:r>
        <w:rPr>
          <w:spacing w:val="-13"/>
          <w:w w:val="105"/>
          <w:sz w:val="18"/>
          <w:vertAlign w:val="baseline"/>
        </w:rPr>
        <w:t> </w:t>
      </w:r>
      <w:r>
        <w:rPr>
          <w:w w:val="105"/>
          <w:sz w:val="18"/>
          <w:vertAlign w:val="baseline"/>
        </w:rPr>
        <w:t>downgrades</w:t>
      </w:r>
      <w:r>
        <w:rPr>
          <w:spacing w:val="-14"/>
          <w:w w:val="105"/>
          <w:sz w:val="18"/>
          <w:vertAlign w:val="baseline"/>
        </w:rPr>
        <w:t> </w:t>
      </w:r>
      <w:r>
        <w:rPr>
          <w:w w:val="105"/>
          <w:sz w:val="18"/>
          <w:vertAlign w:val="baseline"/>
        </w:rPr>
        <w:t>and</w:t>
      </w:r>
      <w:r>
        <w:rPr>
          <w:spacing w:val="-13"/>
          <w:w w:val="105"/>
          <w:sz w:val="18"/>
          <w:vertAlign w:val="baseline"/>
        </w:rPr>
        <w:t> </w:t>
      </w:r>
      <w:r>
        <w:rPr>
          <w:w w:val="105"/>
          <w:sz w:val="18"/>
          <w:vertAlign w:val="baseline"/>
        </w:rPr>
        <w:t>borrowing</w:t>
      </w:r>
      <w:r>
        <w:rPr>
          <w:spacing w:val="-13"/>
          <w:w w:val="105"/>
          <w:sz w:val="18"/>
          <w:vertAlign w:val="baseline"/>
        </w:rPr>
        <w:t> </w:t>
      </w:r>
      <w:r>
        <w:rPr>
          <w:w w:val="105"/>
          <w:sz w:val="18"/>
          <w:vertAlign w:val="baseline"/>
        </w:rPr>
        <w:t>cost</w:t>
      </w:r>
      <w:r>
        <w:rPr>
          <w:spacing w:val="-13"/>
          <w:w w:val="105"/>
          <w:sz w:val="18"/>
          <w:vertAlign w:val="baseline"/>
        </w:rPr>
        <w:t> </w:t>
      </w:r>
      <w:r>
        <w:rPr>
          <w:w w:val="105"/>
          <w:sz w:val="18"/>
          <w:vertAlign w:val="baseline"/>
        </w:rPr>
        <w:t>increases.</w:t>
      </w:r>
      <w:r>
        <w:rPr>
          <w:spacing w:val="-13"/>
          <w:w w:val="105"/>
          <w:sz w:val="18"/>
          <w:vertAlign w:val="baseline"/>
        </w:rPr>
        <w:t> </w:t>
      </w:r>
      <w:r>
        <w:rPr>
          <w:w w:val="105"/>
          <w:sz w:val="18"/>
          <w:vertAlign w:val="baseline"/>
        </w:rPr>
        <w:t>However,</w:t>
      </w:r>
      <w:r>
        <w:rPr>
          <w:spacing w:val="-13"/>
          <w:w w:val="105"/>
          <w:sz w:val="18"/>
          <w:vertAlign w:val="baseline"/>
        </w:rPr>
        <w:t> </w:t>
      </w:r>
      <w:r>
        <w:rPr>
          <w:w w:val="105"/>
          <w:sz w:val="18"/>
          <w:vertAlign w:val="baseline"/>
        </w:rPr>
        <w:t>it</w:t>
      </w:r>
      <w:r>
        <w:rPr>
          <w:spacing w:val="-13"/>
          <w:w w:val="105"/>
          <w:sz w:val="18"/>
          <w:vertAlign w:val="baseline"/>
        </w:rPr>
        <w:t> </w:t>
      </w:r>
      <w:r>
        <w:rPr>
          <w:w w:val="105"/>
          <w:sz w:val="18"/>
          <w:vertAlign w:val="baseline"/>
        </w:rPr>
        <w:t>can </w:t>
      </w:r>
      <w:r>
        <w:rPr>
          <w:sz w:val="18"/>
          <w:vertAlign w:val="baseline"/>
        </w:rPr>
        <w:t>also free up otherwise encumbered foreign exchange reserves to facilitate dollar-denominated debt service to Chinese creditors (other than PBOC) and non-Chinese creditors. For example, Brad Setser has argued (see </w:t>
      </w:r>
      <w:hyperlink r:id="rId20">
        <w:r>
          <w:rPr>
            <w:color w:val="1154CC"/>
            <w:sz w:val="18"/>
            <w:u w:val="thick" w:color="1154CC"/>
            <w:vertAlign w:val="baseline"/>
          </w:rPr>
          <w:t>https://twitter.com/Brad_Setser/status/1602151579150438401</w:t>
        </w:r>
      </w:hyperlink>
      <w:r>
        <w:rPr>
          <w:sz w:val="18"/>
          <w:vertAlign w:val="baseline"/>
        </w:rPr>
        <w:t>) that the receipt of PBOC swap debt in Sri Lanka freed up foreign exchange reserves to facilitate a $400 million payment on a maturing Eurobond </w:t>
      </w:r>
      <w:r>
        <w:rPr>
          <w:w w:val="105"/>
          <w:sz w:val="18"/>
          <w:vertAlign w:val="baseline"/>
        </w:rPr>
        <w:t>and</w:t>
      </w:r>
      <w:r>
        <w:rPr>
          <w:spacing w:val="-2"/>
          <w:w w:val="105"/>
          <w:sz w:val="18"/>
          <w:vertAlign w:val="baseline"/>
        </w:rPr>
        <w:t> </w:t>
      </w:r>
      <w:r>
        <w:rPr>
          <w:w w:val="105"/>
          <w:sz w:val="18"/>
          <w:vertAlign w:val="baseline"/>
        </w:rPr>
        <w:t>dollar-denominated</w:t>
      </w:r>
      <w:r>
        <w:rPr>
          <w:spacing w:val="-2"/>
          <w:w w:val="105"/>
          <w:sz w:val="18"/>
          <w:vertAlign w:val="baseline"/>
        </w:rPr>
        <w:t> </w:t>
      </w:r>
      <w:r>
        <w:rPr>
          <w:w w:val="105"/>
          <w:sz w:val="18"/>
          <w:vertAlign w:val="baseline"/>
        </w:rPr>
        <w:t>debt</w:t>
      </w:r>
      <w:r>
        <w:rPr>
          <w:spacing w:val="-2"/>
          <w:w w:val="105"/>
          <w:sz w:val="18"/>
          <w:vertAlign w:val="baseline"/>
        </w:rPr>
        <w:t> </w:t>
      </w:r>
      <w:r>
        <w:rPr>
          <w:w w:val="105"/>
          <w:sz w:val="18"/>
          <w:vertAlign w:val="baseline"/>
        </w:rPr>
        <w:t>service</w:t>
      </w:r>
      <w:r>
        <w:rPr>
          <w:spacing w:val="-2"/>
          <w:w w:val="105"/>
          <w:sz w:val="18"/>
          <w:vertAlign w:val="baseline"/>
        </w:rPr>
        <w:t> </w:t>
      </w:r>
      <w:r>
        <w:rPr>
          <w:w w:val="105"/>
          <w:sz w:val="18"/>
          <w:vertAlign w:val="baseline"/>
        </w:rPr>
        <w:t>to</w:t>
      </w:r>
      <w:r>
        <w:rPr>
          <w:spacing w:val="-2"/>
          <w:w w:val="105"/>
          <w:sz w:val="18"/>
          <w:vertAlign w:val="baseline"/>
        </w:rPr>
        <w:t> </w:t>
      </w:r>
      <w:r>
        <w:rPr>
          <w:w w:val="105"/>
          <w:sz w:val="18"/>
          <w:vertAlign w:val="baseline"/>
        </w:rPr>
        <w:t>China</w:t>
      </w:r>
      <w:r>
        <w:rPr>
          <w:spacing w:val="-2"/>
          <w:w w:val="105"/>
          <w:sz w:val="18"/>
          <w:vertAlign w:val="baseline"/>
        </w:rPr>
        <w:t> </w:t>
      </w:r>
      <w:r>
        <w:rPr>
          <w:w w:val="105"/>
          <w:sz w:val="18"/>
          <w:vertAlign w:val="baseline"/>
        </w:rPr>
        <w:t>Eximbank.</w:t>
      </w:r>
    </w:p>
    <w:p>
      <w:pPr>
        <w:spacing w:line="249" w:lineRule="auto" w:before="7"/>
        <w:ind w:left="760" w:right="1857" w:firstLine="0"/>
        <w:jc w:val="left"/>
        <w:rPr>
          <w:sz w:val="18"/>
        </w:rPr>
      </w:pPr>
      <w:r>
        <w:rPr>
          <w:sz w:val="18"/>
          <w:vertAlign w:val="superscript"/>
        </w:rPr>
        <w:t>152</w:t>
      </w:r>
      <w:r>
        <w:rPr>
          <w:sz w:val="18"/>
          <w:vertAlign w:val="baseline"/>
        </w:rPr>
        <w:t> It is also noteworthy that Beijing has changed its public messaging about the advisability </w:t>
      </w:r>
      <w:r>
        <w:rPr>
          <w:sz w:val="18"/>
          <w:vertAlign w:val="baseline"/>
        </w:rPr>
        <w:t>of </w:t>
      </w:r>
      <w:r>
        <w:rPr>
          <w:w w:val="105"/>
          <w:sz w:val="18"/>
          <w:vertAlign w:val="baseline"/>
        </w:rPr>
        <w:t>dollar-denominated</w:t>
      </w:r>
      <w:r>
        <w:rPr>
          <w:spacing w:val="-6"/>
          <w:w w:val="105"/>
          <w:sz w:val="18"/>
          <w:vertAlign w:val="baseline"/>
        </w:rPr>
        <w:t> </w:t>
      </w:r>
      <w:r>
        <w:rPr>
          <w:w w:val="105"/>
          <w:sz w:val="18"/>
          <w:vertAlign w:val="baseline"/>
        </w:rPr>
        <w:t>overseas</w:t>
      </w:r>
      <w:r>
        <w:rPr>
          <w:spacing w:val="-6"/>
          <w:w w:val="105"/>
          <w:sz w:val="18"/>
          <w:vertAlign w:val="baseline"/>
        </w:rPr>
        <w:t> </w:t>
      </w:r>
      <w:r>
        <w:rPr>
          <w:w w:val="105"/>
          <w:sz w:val="18"/>
          <w:vertAlign w:val="baseline"/>
        </w:rPr>
        <w:t>lending</w:t>
      </w:r>
      <w:r>
        <w:rPr>
          <w:spacing w:val="-6"/>
          <w:w w:val="105"/>
          <w:sz w:val="18"/>
          <w:vertAlign w:val="baseline"/>
        </w:rPr>
        <w:t> </w:t>
      </w:r>
      <w:r>
        <w:rPr>
          <w:w w:val="105"/>
          <w:sz w:val="18"/>
          <w:vertAlign w:val="baseline"/>
        </w:rPr>
        <w:t>and</w:t>
      </w:r>
      <w:r>
        <w:rPr>
          <w:spacing w:val="-6"/>
          <w:w w:val="105"/>
          <w:sz w:val="18"/>
          <w:vertAlign w:val="baseline"/>
        </w:rPr>
        <w:t> </w:t>
      </w:r>
      <w:r>
        <w:rPr>
          <w:w w:val="105"/>
          <w:sz w:val="18"/>
          <w:vertAlign w:val="baseline"/>
        </w:rPr>
        <w:t>borrowing</w:t>
      </w:r>
      <w:r>
        <w:rPr>
          <w:spacing w:val="-6"/>
          <w:w w:val="105"/>
          <w:sz w:val="18"/>
          <w:vertAlign w:val="baseline"/>
        </w:rPr>
        <w:t> </w:t>
      </w:r>
      <w:r>
        <w:rPr>
          <w:w w:val="105"/>
          <w:sz w:val="18"/>
          <w:vertAlign w:val="baseline"/>
        </w:rPr>
        <w:t>(e.g.,</w:t>
      </w:r>
      <w:r>
        <w:rPr>
          <w:spacing w:val="-6"/>
          <w:w w:val="105"/>
          <w:sz w:val="18"/>
          <w:vertAlign w:val="baseline"/>
        </w:rPr>
        <w:t> </w:t>
      </w:r>
      <w:r>
        <w:rPr>
          <w:w w:val="105"/>
          <w:sz w:val="18"/>
          <w:vertAlign w:val="baseline"/>
        </w:rPr>
        <w:t>Qing</w:t>
      </w:r>
      <w:r>
        <w:rPr>
          <w:spacing w:val="-6"/>
          <w:w w:val="105"/>
          <w:sz w:val="18"/>
          <w:vertAlign w:val="baseline"/>
        </w:rPr>
        <w:t> </w:t>
      </w:r>
      <w:r>
        <w:rPr>
          <w:w w:val="105"/>
          <w:sz w:val="18"/>
          <w:vertAlign w:val="baseline"/>
        </w:rPr>
        <w:t>2023).</w:t>
      </w:r>
    </w:p>
    <w:p>
      <w:pPr>
        <w:spacing w:line="249" w:lineRule="auto" w:before="1"/>
        <w:ind w:left="760" w:right="786" w:firstLine="0"/>
        <w:jc w:val="left"/>
        <w:rPr>
          <w:sz w:val="18"/>
        </w:rPr>
      </w:pPr>
      <w:r>
        <w:rPr>
          <w:sz w:val="18"/>
          <w:vertAlign w:val="superscript"/>
        </w:rPr>
        <w:t>153</w:t>
      </w:r>
      <w:r>
        <w:rPr>
          <w:sz w:val="18"/>
          <w:vertAlign w:val="baseline"/>
        </w:rPr>
        <w:t> Indeed, there is evidence that signing a currency swap agreement with the PBOC results in a 14% increase in the probability of a country using the RMB for international payments (Bahaj and Reis 2022). Large-scale borrowing via PBOC swap lines can also have the direct effect of changing the currency composition of a country’s reserve holdings. After nearly a decade of RMB drawdowns through its swap </w:t>
      </w:r>
      <w:r>
        <w:rPr>
          <w:sz w:val="18"/>
          <w:vertAlign w:val="baseline"/>
        </w:rPr>
        <w:t>line with PBOC, approximately 50% of Argentina’s reserve holdings consisted of RMB (Douglas 2022).</w:t>
      </w:r>
    </w:p>
    <w:p>
      <w:pPr>
        <w:spacing w:after="0" w:line="249" w:lineRule="auto"/>
        <w:jc w:val="left"/>
        <w:rPr>
          <w:sz w:val="18"/>
        </w:rPr>
        <w:sectPr>
          <w:pgSz w:w="12240" w:h="15840"/>
          <w:pgMar w:header="0" w:footer="720" w:top="1400" w:bottom="920" w:left="1040" w:right="1040"/>
        </w:sectPr>
      </w:pPr>
    </w:p>
    <w:p>
      <w:pPr>
        <w:pStyle w:val="Heading3"/>
        <w:spacing w:line="312" w:lineRule="auto" w:before="28"/>
        <w:ind w:right="1210"/>
        <w:jc w:val="both"/>
      </w:pPr>
      <w:r>
        <w:rPr/>
        <w:t>Section</w:t>
      </w:r>
      <w:r>
        <w:rPr>
          <w:spacing w:val="-8"/>
        </w:rPr>
        <w:t> </w:t>
      </w:r>
      <w:r>
        <w:rPr/>
        <w:t>3:</w:t>
      </w:r>
      <w:r>
        <w:rPr>
          <w:spacing w:val="-7"/>
        </w:rPr>
        <w:t> </w:t>
      </w:r>
      <w:r>
        <w:rPr/>
        <w:t>Beijing’s</w:t>
      </w:r>
      <w:r>
        <w:rPr>
          <w:spacing w:val="-7"/>
        </w:rPr>
        <w:t> </w:t>
      </w:r>
      <w:r>
        <w:rPr/>
        <w:t>crisis-time</w:t>
      </w:r>
      <w:r>
        <w:rPr>
          <w:spacing w:val="-8"/>
        </w:rPr>
        <w:t> </w:t>
      </w:r>
      <w:r>
        <w:rPr/>
        <w:t>approach</w:t>
      </w:r>
      <w:r>
        <w:rPr>
          <w:spacing w:val="-7"/>
        </w:rPr>
        <w:t> </w:t>
      </w:r>
      <w:r>
        <w:rPr/>
        <w:t>to</w:t>
      </w:r>
      <w:r>
        <w:rPr>
          <w:spacing w:val="-8"/>
        </w:rPr>
        <w:t> </w:t>
      </w:r>
      <w:r>
        <w:rPr/>
        <w:t>repayment</w:t>
      </w:r>
      <w:r>
        <w:rPr>
          <w:spacing w:val="-7"/>
        </w:rPr>
        <w:t> </w:t>
      </w:r>
      <w:r>
        <w:rPr/>
        <w:t>risk mitigation—Fool me once, shame on you. Fool me twice, shame on me.</w:t>
      </w:r>
    </w:p>
    <w:p>
      <w:pPr>
        <w:pStyle w:val="BodyText"/>
        <w:spacing w:line="333" w:lineRule="auto" w:before="164"/>
        <w:ind w:left="760" w:right="767"/>
      </w:pPr>
      <w:r>
        <w:rPr/>
        <w:t>In</w:t>
      </w:r>
      <w:r>
        <w:rPr>
          <w:spacing w:val="-5"/>
        </w:rPr>
        <w:t> </w:t>
      </w:r>
      <w:r>
        <w:rPr/>
        <w:t>the</w:t>
      </w:r>
      <w:r>
        <w:rPr>
          <w:spacing w:val="-5"/>
        </w:rPr>
        <w:t> </w:t>
      </w:r>
      <w:r>
        <w:rPr/>
        <w:t>next</w:t>
      </w:r>
      <w:r>
        <w:rPr>
          <w:spacing w:val="-5"/>
        </w:rPr>
        <w:t> </w:t>
      </w:r>
      <w:r>
        <w:rPr/>
        <w:t>section</w:t>
      </w:r>
      <w:r>
        <w:rPr>
          <w:spacing w:val="-5"/>
        </w:rPr>
        <w:t> </w:t>
      </w:r>
      <w:r>
        <w:rPr/>
        <w:t>of</w:t>
      </w:r>
      <w:r>
        <w:rPr>
          <w:spacing w:val="-5"/>
        </w:rPr>
        <w:t> </w:t>
      </w:r>
      <w:r>
        <w:rPr/>
        <w:t>this</w:t>
      </w:r>
      <w:r>
        <w:rPr>
          <w:spacing w:val="-5"/>
        </w:rPr>
        <w:t> </w:t>
      </w:r>
      <w:r>
        <w:rPr/>
        <w:t>chapter,</w:t>
      </w:r>
      <w:r>
        <w:rPr>
          <w:spacing w:val="-5"/>
        </w:rPr>
        <w:t> </w:t>
      </w:r>
      <w:r>
        <w:rPr/>
        <w:t>we</w:t>
      </w:r>
      <w:r>
        <w:rPr>
          <w:spacing w:val="-5"/>
        </w:rPr>
        <w:t> </w:t>
      </w:r>
      <w:r>
        <w:rPr/>
        <w:t>analyze</w:t>
      </w:r>
      <w:r>
        <w:rPr>
          <w:spacing w:val="-5"/>
        </w:rPr>
        <w:t> </w:t>
      </w:r>
      <w:r>
        <w:rPr/>
        <w:t>the</w:t>
      </w:r>
      <w:r>
        <w:rPr>
          <w:spacing w:val="-5"/>
        </w:rPr>
        <w:t> </w:t>
      </w:r>
      <w:r>
        <w:rPr/>
        <w:t>3.0</w:t>
      </w:r>
      <w:r>
        <w:rPr>
          <w:spacing w:val="-5"/>
        </w:rPr>
        <w:t> </w:t>
      </w:r>
      <w:r>
        <w:rPr/>
        <w:t>version</w:t>
      </w:r>
      <w:r>
        <w:rPr>
          <w:spacing w:val="-5"/>
        </w:rPr>
        <w:t> </w:t>
      </w:r>
      <w:r>
        <w:rPr/>
        <w:t>of</w:t>
      </w:r>
      <w:r>
        <w:rPr>
          <w:spacing w:val="-5"/>
        </w:rPr>
        <w:t> </w:t>
      </w:r>
      <w:r>
        <w:rPr/>
        <w:t>AidData’s</w:t>
      </w:r>
      <w:r>
        <w:rPr>
          <w:spacing w:val="-5"/>
        </w:rPr>
        <w:t> </w:t>
      </w:r>
      <w:r>
        <w:rPr/>
        <w:t>GCDF dataset to better understand how Beijing is seeking to de-risk its overseas loan portfolio. We see evidence of Chinese state-owned lenders taking the following risk mitigation efforts:</w:t>
      </w:r>
    </w:p>
    <w:p>
      <w:pPr>
        <w:pStyle w:val="BodyText"/>
        <w:spacing w:before="7"/>
        <w:rPr>
          <w:sz w:val="27"/>
        </w:rPr>
      </w:pPr>
    </w:p>
    <w:p>
      <w:pPr>
        <w:pStyle w:val="ListParagraph"/>
        <w:numPr>
          <w:ilvl w:val="0"/>
          <w:numId w:val="4"/>
        </w:numPr>
        <w:tabs>
          <w:tab w:pos="1480" w:val="left" w:leader="none"/>
        </w:tabs>
        <w:spacing w:line="240" w:lineRule="auto" w:before="0" w:after="0"/>
        <w:ind w:left="1480" w:right="0" w:hanging="360"/>
        <w:jc w:val="left"/>
        <w:rPr>
          <w:sz w:val="24"/>
        </w:rPr>
      </w:pPr>
      <w:r>
        <w:rPr>
          <w:sz w:val="24"/>
        </w:rPr>
        <w:t>Sweeping</w:t>
      </w:r>
      <w:r>
        <w:rPr>
          <w:spacing w:val="-7"/>
          <w:sz w:val="24"/>
        </w:rPr>
        <w:t> </w:t>
      </w:r>
      <w:r>
        <w:rPr>
          <w:sz w:val="24"/>
        </w:rPr>
        <w:t>cash</w:t>
      </w:r>
      <w:r>
        <w:rPr>
          <w:spacing w:val="-6"/>
          <w:sz w:val="24"/>
        </w:rPr>
        <w:t> </w:t>
      </w:r>
      <w:r>
        <w:rPr>
          <w:sz w:val="24"/>
        </w:rPr>
        <w:t>out</w:t>
      </w:r>
      <w:r>
        <w:rPr>
          <w:spacing w:val="-6"/>
          <w:sz w:val="24"/>
        </w:rPr>
        <w:t> </w:t>
      </w:r>
      <w:r>
        <w:rPr>
          <w:sz w:val="24"/>
        </w:rPr>
        <w:t>of</w:t>
      </w:r>
      <w:r>
        <w:rPr>
          <w:spacing w:val="-6"/>
          <w:sz w:val="24"/>
        </w:rPr>
        <w:t> </w:t>
      </w:r>
      <w:r>
        <w:rPr>
          <w:sz w:val="24"/>
        </w:rPr>
        <w:t>escrow</w:t>
      </w:r>
      <w:r>
        <w:rPr>
          <w:spacing w:val="-6"/>
          <w:sz w:val="24"/>
        </w:rPr>
        <w:t> </w:t>
      </w:r>
      <w:r>
        <w:rPr>
          <w:spacing w:val="-2"/>
          <w:sz w:val="24"/>
        </w:rPr>
        <w:t>accounts</w:t>
      </w:r>
    </w:p>
    <w:p>
      <w:pPr>
        <w:pStyle w:val="BodyText"/>
      </w:pPr>
    </w:p>
    <w:p>
      <w:pPr>
        <w:pStyle w:val="ListParagraph"/>
        <w:numPr>
          <w:ilvl w:val="0"/>
          <w:numId w:val="4"/>
        </w:numPr>
        <w:tabs>
          <w:tab w:pos="1480" w:val="left" w:leader="none"/>
        </w:tabs>
        <w:spacing w:line="333" w:lineRule="auto" w:before="151" w:after="0"/>
        <w:ind w:left="1480" w:right="1388" w:hanging="360"/>
        <w:jc w:val="left"/>
        <w:rPr>
          <w:sz w:val="24"/>
        </w:rPr>
      </w:pPr>
      <w:r>
        <w:rPr>
          <w:sz w:val="24"/>
        </w:rPr>
        <w:t>Providing</w:t>
      </w:r>
      <w:r>
        <w:rPr>
          <w:spacing w:val="-1"/>
          <w:sz w:val="24"/>
        </w:rPr>
        <w:t> </w:t>
      </w:r>
      <w:r>
        <w:rPr>
          <w:sz w:val="24"/>
        </w:rPr>
        <w:t>short-term</w:t>
      </w:r>
      <w:r>
        <w:rPr>
          <w:spacing w:val="-1"/>
          <w:sz w:val="24"/>
        </w:rPr>
        <w:t> </w:t>
      </w:r>
      <w:r>
        <w:rPr>
          <w:sz w:val="24"/>
        </w:rPr>
        <w:t>cash</w:t>
      </w:r>
      <w:r>
        <w:rPr>
          <w:spacing w:val="-1"/>
          <w:sz w:val="24"/>
        </w:rPr>
        <w:t> </w:t>
      </w:r>
      <w:r>
        <w:rPr>
          <w:sz w:val="24"/>
        </w:rPr>
        <w:t>ﬂow</w:t>
      </w:r>
      <w:r>
        <w:rPr>
          <w:spacing w:val="-1"/>
          <w:sz w:val="24"/>
        </w:rPr>
        <w:t> </w:t>
      </w:r>
      <w:r>
        <w:rPr>
          <w:sz w:val="24"/>
        </w:rPr>
        <w:t>relief</w:t>
      </w:r>
      <w:r>
        <w:rPr>
          <w:spacing w:val="-1"/>
          <w:sz w:val="24"/>
        </w:rPr>
        <w:t> </w:t>
      </w:r>
      <w:r>
        <w:rPr>
          <w:sz w:val="24"/>
        </w:rPr>
        <w:t>in</w:t>
      </w:r>
      <w:r>
        <w:rPr>
          <w:spacing w:val="-1"/>
          <w:sz w:val="24"/>
        </w:rPr>
        <w:t> </w:t>
      </w:r>
      <w:r>
        <w:rPr>
          <w:sz w:val="24"/>
        </w:rPr>
        <w:t>exchange</w:t>
      </w:r>
      <w:r>
        <w:rPr>
          <w:spacing w:val="-1"/>
          <w:sz w:val="24"/>
        </w:rPr>
        <w:t> </w:t>
      </w:r>
      <w:r>
        <w:rPr>
          <w:sz w:val="24"/>
        </w:rPr>
        <w:t>for</w:t>
      </w:r>
      <w:r>
        <w:rPr>
          <w:spacing w:val="-1"/>
          <w:sz w:val="24"/>
        </w:rPr>
        <w:t> </w:t>
      </w:r>
      <w:r>
        <w:rPr>
          <w:sz w:val="24"/>
        </w:rPr>
        <w:t>escrow</w:t>
      </w:r>
      <w:r>
        <w:rPr>
          <w:spacing w:val="-1"/>
          <w:sz w:val="24"/>
        </w:rPr>
        <w:t> </w:t>
      </w:r>
      <w:r>
        <w:rPr>
          <w:sz w:val="24"/>
        </w:rPr>
        <w:t>account</w:t>
      </w:r>
      <w:r>
        <w:rPr>
          <w:sz w:val="24"/>
        </w:rPr>
        <w:t> </w:t>
      </w:r>
      <w:r>
        <w:rPr>
          <w:spacing w:val="-2"/>
          <w:sz w:val="24"/>
        </w:rPr>
        <w:t>replenishment</w:t>
      </w:r>
    </w:p>
    <w:p>
      <w:pPr>
        <w:pStyle w:val="BodyText"/>
        <w:spacing w:before="9"/>
        <w:rPr>
          <w:sz w:val="27"/>
        </w:rPr>
      </w:pPr>
    </w:p>
    <w:p>
      <w:pPr>
        <w:pStyle w:val="ListParagraph"/>
        <w:numPr>
          <w:ilvl w:val="0"/>
          <w:numId w:val="4"/>
        </w:numPr>
        <w:tabs>
          <w:tab w:pos="1480" w:val="left" w:leader="none"/>
        </w:tabs>
        <w:spacing w:line="333" w:lineRule="auto" w:before="0" w:after="0"/>
        <w:ind w:left="1480" w:right="1435" w:hanging="360"/>
        <w:jc w:val="left"/>
        <w:rPr>
          <w:sz w:val="24"/>
        </w:rPr>
      </w:pPr>
      <w:r>
        <w:rPr>
          <w:sz w:val="24"/>
        </w:rPr>
        <w:t>Lending with higher interest rates, shorter repayment periods, </w:t>
      </w:r>
      <w:r>
        <w:rPr>
          <w:sz w:val="24"/>
        </w:rPr>
        <w:t>more</w:t>
      </w:r>
      <w:r>
        <w:rPr>
          <w:sz w:val="24"/>
        </w:rPr>
        <w:t> safeguards, and more severe penalties for default</w:t>
      </w:r>
    </w:p>
    <w:p>
      <w:pPr>
        <w:pStyle w:val="BodyText"/>
        <w:spacing w:before="8"/>
        <w:rPr>
          <w:sz w:val="27"/>
        </w:rPr>
      </w:pPr>
    </w:p>
    <w:p>
      <w:pPr>
        <w:pStyle w:val="ListParagraph"/>
        <w:numPr>
          <w:ilvl w:val="0"/>
          <w:numId w:val="4"/>
        </w:numPr>
        <w:tabs>
          <w:tab w:pos="1480" w:val="left" w:leader="none"/>
        </w:tabs>
        <w:spacing w:line="333" w:lineRule="auto" w:before="0" w:after="0"/>
        <w:ind w:left="1480" w:right="758" w:hanging="360"/>
        <w:jc w:val="left"/>
        <w:rPr>
          <w:sz w:val="24"/>
        </w:rPr>
      </w:pPr>
      <w:r>
        <w:rPr>
          <w:sz w:val="24"/>
        </w:rPr>
        <w:t>Taking a differentiated approach with borrowers that present high and </w:t>
      </w:r>
      <w:r>
        <w:rPr>
          <w:sz w:val="24"/>
        </w:rPr>
        <w:t>low</w:t>
      </w:r>
      <w:r>
        <w:rPr>
          <w:sz w:val="24"/>
        </w:rPr>
        <w:t> </w:t>
      </w:r>
      <w:r>
        <w:rPr>
          <w:w w:val="105"/>
          <w:sz w:val="24"/>
        </w:rPr>
        <w:t>levels of repayment risk</w:t>
      </w:r>
    </w:p>
    <w:p>
      <w:pPr>
        <w:pStyle w:val="BodyText"/>
        <w:spacing w:before="8"/>
        <w:rPr>
          <w:sz w:val="27"/>
        </w:rPr>
      </w:pPr>
    </w:p>
    <w:p>
      <w:pPr>
        <w:pStyle w:val="ListParagraph"/>
        <w:numPr>
          <w:ilvl w:val="0"/>
          <w:numId w:val="4"/>
        </w:numPr>
        <w:tabs>
          <w:tab w:pos="1480" w:val="left" w:leader="none"/>
        </w:tabs>
        <w:spacing w:line="333" w:lineRule="auto" w:before="1" w:after="0"/>
        <w:ind w:left="1480" w:right="1735" w:hanging="360"/>
        <w:jc w:val="left"/>
        <w:rPr>
          <w:sz w:val="24"/>
        </w:rPr>
      </w:pPr>
      <w:r>
        <w:rPr>
          <w:sz w:val="24"/>
        </w:rPr>
        <w:t>Scaling down bilateral lending operations and scaling up </w:t>
      </w:r>
      <w:r>
        <w:rPr>
          <w:sz w:val="24"/>
        </w:rPr>
        <w:t>lending</w:t>
      </w:r>
      <w:r>
        <w:rPr>
          <w:sz w:val="24"/>
        </w:rPr>
        <w:t> operations via syndication and multilateralization</w:t>
      </w:r>
    </w:p>
    <w:p>
      <w:pPr>
        <w:pStyle w:val="BodyText"/>
        <w:spacing w:before="9"/>
        <w:rPr>
          <w:sz w:val="27"/>
        </w:rPr>
      </w:pPr>
    </w:p>
    <w:p>
      <w:pPr>
        <w:pStyle w:val="Heading4"/>
      </w:pPr>
      <w:r>
        <w:rPr>
          <w:w w:val="90"/>
        </w:rPr>
        <w:t>Risk</w:t>
      </w:r>
      <w:r>
        <w:rPr>
          <w:spacing w:val="13"/>
        </w:rPr>
        <w:t> </w:t>
      </w:r>
      <w:r>
        <w:rPr>
          <w:w w:val="90"/>
        </w:rPr>
        <w:t>mitigation</w:t>
      </w:r>
      <w:r>
        <w:rPr>
          <w:spacing w:val="13"/>
        </w:rPr>
        <w:t> </w:t>
      </w:r>
      <w:r>
        <w:rPr>
          <w:w w:val="90"/>
        </w:rPr>
        <w:t>strategy</w:t>
      </w:r>
      <w:r>
        <w:rPr>
          <w:spacing w:val="14"/>
        </w:rPr>
        <w:t> </w:t>
      </w:r>
      <w:r>
        <w:rPr>
          <w:w w:val="90"/>
        </w:rPr>
        <w:t>#1:</w:t>
      </w:r>
      <w:r>
        <w:rPr>
          <w:spacing w:val="13"/>
        </w:rPr>
        <w:t> </w:t>
      </w:r>
      <w:r>
        <w:rPr>
          <w:w w:val="90"/>
        </w:rPr>
        <w:t>Sweeping</w:t>
      </w:r>
      <w:r>
        <w:rPr>
          <w:spacing w:val="14"/>
        </w:rPr>
        <w:t> </w:t>
      </w:r>
      <w:r>
        <w:rPr>
          <w:w w:val="90"/>
        </w:rPr>
        <w:t>cash</w:t>
      </w:r>
      <w:r>
        <w:rPr>
          <w:spacing w:val="13"/>
        </w:rPr>
        <w:t> </w:t>
      </w:r>
      <w:r>
        <w:rPr>
          <w:w w:val="90"/>
        </w:rPr>
        <w:t>out</w:t>
      </w:r>
      <w:r>
        <w:rPr>
          <w:spacing w:val="14"/>
        </w:rPr>
        <w:t> </w:t>
      </w:r>
      <w:r>
        <w:rPr>
          <w:w w:val="90"/>
        </w:rPr>
        <w:t>of</w:t>
      </w:r>
      <w:r>
        <w:rPr>
          <w:spacing w:val="13"/>
        </w:rPr>
        <w:t> </w:t>
      </w:r>
      <w:r>
        <w:rPr>
          <w:w w:val="90"/>
        </w:rPr>
        <w:t>escrow</w:t>
      </w:r>
      <w:r>
        <w:rPr>
          <w:spacing w:val="14"/>
        </w:rPr>
        <w:t> </w:t>
      </w:r>
      <w:r>
        <w:rPr>
          <w:spacing w:val="-2"/>
          <w:w w:val="90"/>
        </w:rPr>
        <w:t>accounts</w:t>
      </w:r>
    </w:p>
    <w:p>
      <w:pPr>
        <w:pStyle w:val="BodyText"/>
        <w:spacing w:line="333" w:lineRule="auto" w:before="237"/>
        <w:ind w:left="760" w:right="767"/>
      </w:pPr>
      <w:r>
        <w:rPr>
          <w:w w:val="105"/>
        </w:rPr>
        <w:t>In</w:t>
      </w:r>
      <w:r>
        <w:rPr>
          <w:spacing w:val="-17"/>
          <w:w w:val="105"/>
        </w:rPr>
        <w:t> </w:t>
      </w:r>
      <w:r>
        <w:rPr>
          <w:w w:val="105"/>
        </w:rPr>
        <w:t>March</w:t>
      </w:r>
      <w:r>
        <w:rPr>
          <w:spacing w:val="-17"/>
          <w:w w:val="105"/>
        </w:rPr>
        <w:t> </w:t>
      </w:r>
      <w:r>
        <w:rPr>
          <w:w w:val="105"/>
        </w:rPr>
        <w:t>2021,</w:t>
      </w:r>
      <w:r>
        <w:rPr>
          <w:spacing w:val="-17"/>
          <w:w w:val="105"/>
        </w:rPr>
        <w:t> </w:t>
      </w:r>
      <w:r>
        <w:rPr>
          <w:w w:val="105"/>
        </w:rPr>
        <w:t>a</w:t>
      </w:r>
      <w:r>
        <w:rPr>
          <w:spacing w:val="-17"/>
          <w:w w:val="105"/>
        </w:rPr>
        <w:t> </w:t>
      </w:r>
      <w:r>
        <w:rPr>
          <w:w w:val="105"/>
        </w:rPr>
        <w:t>team</w:t>
      </w:r>
      <w:r>
        <w:rPr>
          <w:spacing w:val="-17"/>
          <w:w w:val="105"/>
        </w:rPr>
        <w:t> </w:t>
      </w:r>
      <w:r>
        <w:rPr>
          <w:w w:val="105"/>
        </w:rPr>
        <w:t>of</w:t>
      </w:r>
      <w:r>
        <w:rPr>
          <w:spacing w:val="-17"/>
          <w:w w:val="105"/>
        </w:rPr>
        <w:t> </w:t>
      </w:r>
      <w:r>
        <w:rPr>
          <w:w w:val="105"/>
        </w:rPr>
        <w:t>researchers</w:t>
      </w:r>
      <w:r>
        <w:rPr>
          <w:spacing w:val="-17"/>
          <w:w w:val="105"/>
        </w:rPr>
        <w:t> </w:t>
      </w:r>
      <w:r>
        <w:rPr>
          <w:w w:val="105"/>
        </w:rPr>
        <w:t>from</w:t>
      </w:r>
      <w:r>
        <w:rPr>
          <w:spacing w:val="-17"/>
          <w:w w:val="105"/>
        </w:rPr>
        <w:t> </w:t>
      </w:r>
      <w:r>
        <w:rPr>
          <w:w w:val="105"/>
        </w:rPr>
        <w:t>AidData,</w:t>
      </w:r>
      <w:r>
        <w:rPr>
          <w:spacing w:val="-17"/>
          <w:w w:val="105"/>
        </w:rPr>
        <w:t> </w:t>
      </w:r>
      <w:r>
        <w:rPr>
          <w:w w:val="105"/>
        </w:rPr>
        <w:t>the</w:t>
      </w:r>
      <w:r>
        <w:rPr>
          <w:spacing w:val="-17"/>
          <w:w w:val="105"/>
        </w:rPr>
        <w:t> </w:t>
      </w:r>
      <w:r>
        <w:rPr>
          <w:w w:val="105"/>
        </w:rPr>
        <w:t>Center</w:t>
      </w:r>
      <w:r>
        <w:rPr>
          <w:spacing w:val="-17"/>
          <w:w w:val="105"/>
        </w:rPr>
        <w:t> </w:t>
      </w:r>
      <w:r>
        <w:rPr>
          <w:w w:val="105"/>
        </w:rPr>
        <w:t>for</w:t>
      </w:r>
      <w:r>
        <w:rPr>
          <w:spacing w:val="-17"/>
          <w:w w:val="105"/>
        </w:rPr>
        <w:t> </w:t>
      </w:r>
      <w:r>
        <w:rPr>
          <w:w w:val="105"/>
        </w:rPr>
        <w:t>Global </w:t>
      </w:r>
      <w:r>
        <w:rPr/>
        <w:t>Development (CGD), the Kiel Institute for the World Economy, and the </w:t>
      </w:r>
      <w:r>
        <w:rPr/>
        <w:t>Peterson </w:t>
      </w:r>
      <w:r>
        <w:rPr>
          <w:w w:val="105"/>
        </w:rPr>
        <w:t>Institute</w:t>
      </w:r>
      <w:r>
        <w:rPr>
          <w:spacing w:val="-17"/>
          <w:w w:val="105"/>
        </w:rPr>
        <w:t> </w:t>
      </w:r>
      <w:r>
        <w:rPr>
          <w:w w:val="105"/>
        </w:rPr>
        <w:t>for</w:t>
      </w:r>
      <w:r>
        <w:rPr>
          <w:spacing w:val="-17"/>
          <w:w w:val="105"/>
        </w:rPr>
        <w:t> </w:t>
      </w:r>
      <w:r>
        <w:rPr>
          <w:w w:val="105"/>
        </w:rPr>
        <w:t>International</w:t>
      </w:r>
      <w:r>
        <w:rPr>
          <w:spacing w:val="-17"/>
          <w:w w:val="105"/>
        </w:rPr>
        <w:t> </w:t>
      </w:r>
      <w:r>
        <w:rPr>
          <w:w w:val="105"/>
        </w:rPr>
        <w:t>Economics</w:t>
      </w:r>
      <w:r>
        <w:rPr>
          <w:spacing w:val="-17"/>
          <w:w w:val="105"/>
        </w:rPr>
        <w:t> </w:t>
      </w:r>
      <w:r>
        <w:rPr>
          <w:w w:val="105"/>
        </w:rPr>
        <w:t>(PIIE)</w:t>
      </w:r>
      <w:r>
        <w:rPr>
          <w:spacing w:val="-17"/>
          <w:w w:val="105"/>
        </w:rPr>
        <w:t> </w:t>
      </w:r>
      <w:r>
        <w:rPr>
          <w:w w:val="105"/>
        </w:rPr>
        <w:t>published</w:t>
      </w:r>
      <w:r>
        <w:rPr>
          <w:spacing w:val="-17"/>
          <w:w w:val="105"/>
        </w:rPr>
        <w:t> </w:t>
      </w:r>
      <w:r>
        <w:rPr>
          <w:w w:val="105"/>
        </w:rPr>
        <w:t>a</w:t>
      </w:r>
      <w:r>
        <w:rPr>
          <w:spacing w:val="-17"/>
          <w:w w:val="105"/>
        </w:rPr>
        <w:t> </w:t>
      </w:r>
      <w:r>
        <w:rPr>
          <w:w w:val="105"/>
        </w:rPr>
        <w:t>study</w:t>
      </w:r>
      <w:r>
        <w:rPr>
          <w:spacing w:val="-17"/>
          <w:w w:val="105"/>
        </w:rPr>
        <w:t> </w:t>
      </w:r>
      <w:r>
        <w:rPr>
          <w:w w:val="105"/>
        </w:rPr>
        <w:t>entitled</w:t>
      </w:r>
      <w:r>
        <w:rPr>
          <w:spacing w:val="-17"/>
          <w:w w:val="105"/>
        </w:rPr>
        <w:t> </w:t>
      </w:r>
      <w:r>
        <w:rPr>
          <w:w w:val="105"/>
        </w:rPr>
        <w:t>“How </w:t>
      </w:r>
      <w:r>
        <w:rPr>
          <w:spacing w:val="-2"/>
          <w:w w:val="105"/>
        </w:rPr>
        <w:t>China</w:t>
      </w:r>
      <w:r>
        <w:rPr>
          <w:spacing w:val="-8"/>
          <w:w w:val="105"/>
        </w:rPr>
        <w:t> </w:t>
      </w:r>
      <w:r>
        <w:rPr>
          <w:spacing w:val="-2"/>
          <w:w w:val="105"/>
        </w:rPr>
        <w:t>Lends,”</w:t>
      </w:r>
      <w:r>
        <w:rPr>
          <w:spacing w:val="-8"/>
          <w:w w:val="105"/>
        </w:rPr>
        <w:t> </w:t>
      </w:r>
      <w:r>
        <w:rPr>
          <w:spacing w:val="-2"/>
          <w:w w:val="105"/>
        </w:rPr>
        <w:t>which</w:t>
      </w:r>
      <w:r>
        <w:rPr>
          <w:spacing w:val="-8"/>
          <w:w w:val="105"/>
        </w:rPr>
        <w:t> </w:t>
      </w:r>
      <w:r>
        <w:rPr>
          <w:spacing w:val="-2"/>
          <w:w w:val="105"/>
        </w:rPr>
        <w:t>demonstrated</w:t>
      </w:r>
      <w:r>
        <w:rPr>
          <w:spacing w:val="-8"/>
          <w:w w:val="105"/>
        </w:rPr>
        <w:t> </w:t>
      </w:r>
      <w:r>
        <w:rPr>
          <w:spacing w:val="-2"/>
          <w:w w:val="105"/>
        </w:rPr>
        <w:t>that</w:t>
      </w:r>
      <w:r>
        <w:rPr>
          <w:spacing w:val="-8"/>
          <w:w w:val="105"/>
        </w:rPr>
        <w:t> </w:t>
      </w:r>
      <w:r>
        <w:rPr>
          <w:spacing w:val="-2"/>
          <w:w w:val="105"/>
        </w:rPr>
        <w:t>Chinese</w:t>
      </w:r>
      <w:r>
        <w:rPr>
          <w:spacing w:val="-8"/>
          <w:w w:val="105"/>
        </w:rPr>
        <w:t> </w:t>
      </w:r>
      <w:r>
        <w:rPr>
          <w:spacing w:val="-2"/>
          <w:w w:val="105"/>
        </w:rPr>
        <w:t>state-owned</w:t>
      </w:r>
      <w:r>
        <w:rPr>
          <w:spacing w:val="-8"/>
          <w:w w:val="105"/>
        </w:rPr>
        <w:t> </w:t>
      </w:r>
      <w:r>
        <w:rPr>
          <w:spacing w:val="-2"/>
          <w:w w:val="105"/>
        </w:rPr>
        <w:t>lenders</w:t>
      </w:r>
      <w:r>
        <w:rPr>
          <w:spacing w:val="-8"/>
          <w:w w:val="105"/>
        </w:rPr>
        <w:t> </w:t>
      </w:r>
      <w:r>
        <w:rPr>
          <w:spacing w:val="-2"/>
          <w:w w:val="105"/>
        </w:rPr>
        <w:t>have</w:t>
      </w:r>
      <w:r>
        <w:rPr>
          <w:spacing w:val="-8"/>
          <w:w w:val="105"/>
        </w:rPr>
        <w:t> </w:t>
      </w:r>
      <w:r>
        <w:rPr>
          <w:spacing w:val="-2"/>
          <w:w w:val="105"/>
        </w:rPr>
        <w:t>a </w:t>
      </w:r>
      <w:r>
        <w:rPr>
          <w:w w:val="105"/>
        </w:rPr>
        <w:t>preference</w:t>
      </w:r>
      <w:r>
        <w:rPr>
          <w:spacing w:val="-8"/>
          <w:w w:val="105"/>
        </w:rPr>
        <w:t> </w:t>
      </w:r>
      <w:r>
        <w:rPr>
          <w:w w:val="105"/>
        </w:rPr>
        <w:t>for</w:t>
      </w:r>
      <w:r>
        <w:rPr>
          <w:spacing w:val="-8"/>
          <w:w w:val="105"/>
        </w:rPr>
        <w:t> </w:t>
      </w:r>
      <w:r>
        <w:rPr>
          <w:w w:val="105"/>
        </w:rPr>
        <w:t>sources</w:t>
      </w:r>
      <w:r>
        <w:rPr>
          <w:spacing w:val="-8"/>
          <w:w w:val="105"/>
        </w:rPr>
        <w:t> </w:t>
      </w:r>
      <w:r>
        <w:rPr>
          <w:w w:val="105"/>
        </w:rPr>
        <w:t>of</w:t>
      </w:r>
      <w:r>
        <w:rPr>
          <w:spacing w:val="-8"/>
          <w:w w:val="105"/>
        </w:rPr>
        <w:t> </w:t>
      </w:r>
      <w:r>
        <w:rPr>
          <w:w w:val="105"/>
        </w:rPr>
        <w:t>collateral</w:t>
      </w:r>
      <w:r>
        <w:rPr>
          <w:spacing w:val="-8"/>
          <w:w w:val="105"/>
        </w:rPr>
        <w:t> </w:t>
      </w:r>
      <w:r>
        <w:rPr>
          <w:w w:val="105"/>
        </w:rPr>
        <w:t>that</w:t>
      </w:r>
      <w:r>
        <w:rPr>
          <w:spacing w:val="-8"/>
          <w:w w:val="105"/>
        </w:rPr>
        <w:t> </w:t>
      </w:r>
      <w:r>
        <w:rPr>
          <w:w w:val="105"/>
        </w:rPr>
        <w:t>do</w:t>
      </w:r>
      <w:r>
        <w:rPr>
          <w:spacing w:val="-8"/>
          <w:w w:val="105"/>
        </w:rPr>
        <w:t> </w:t>
      </w:r>
      <w:r>
        <w:rPr>
          <w:w w:val="105"/>
        </w:rPr>
        <w:t>not</w:t>
      </w:r>
      <w:r>
        <w:rPr>
          <w:spacing w:val="-8"/>
          <w:w w:val="105"/>
        </w:rPr>
        <w:t> </w:t>
      </w:r>
      <w:r>
        <w:rPr>
          <w:w w:val="105"/>
        </w:rPr>
        <w:t>require</w:t>
      </w:r>
      <w:r>
        <w:rPr>
          <w:spacing w:val="-8"/>
          <w:w w:val="105"/>
        </w:rPr>
        <w:t> </w:t>
      </w:r>
      <w:r>
        <w:rPr>
          <w:w w:val="105"/>
        </w:rPr>
        <w:t>liquidation</w:t>
      </w:r>
      <w:r>
        <w:rPr>
          <w:spacing w:val="-8"/>
          <w:w w:val="105"/>
        </w:rPr>
        <w:t> </w:t>
      </w:r>
      <w:r>
        <w:rPr>
          <w:w w:val="105"/>
        </w:rPr>
        <w:t>through</w:t>
      </w:r>
      <w:r>
        <w:rPr>
          <w:spacing w:val="-8"/>
          <w:w w:val="105"/>
        </w:rPr>
        <w:t> </w:t>
      </w:r>
      <w:r>
        <w:rPr>
          <w:w w:val="105"/>
        </w:rPr>
        <w:t>a </w:t>
      </w:r>
      <w:r>
        <w:rPr>
          <w:spacing w:val="-2"/>
          <w:w w:val="105"/>
        </w:rPr>
        <w:t>costly,</w:t>
      </w:r>
      <w:r>
        <w:rPr>
          <w:spacing w:val="-7"/>
          <w:w w:val="105"/>
        </w:rPr>
        <w:t> </w:t>
      </w:r>
      <w:r>
        <w:rPr>
          <w:spacing w:val="-2"/>
          <w:w w:val="105"/>
        </w:rPr>
        <w:t>time-consuming,</w:t>
      </w:r>
      <w:r>
        <w:rPr>
          <w:spacing w:val="-7"/>
          <w:w w:val="105"/>
        </w:rPr>
        <w:t> </w:t>
      </w:r>
      <w:r>
        <w:rPr>
          <w:spacing w:val="-2"/>
          <w:w w:val="105"/>
        </w:rPr>
        <w:t>and</w:t>
      </w:r>
      <w:r>
        <w:rPr>
          <w:spacing w:val="-7"/>
          <w:w w:val="105"/>
        </w:rPr>
        <w:t> </w:t>
      </w:r>
      <w:r>
        <w:rPr>
          <w:spacing w:val="-2"/>
          <w:w w:val="105"/>
        </w:rPr>
        <w:t>uncertain</w:t>
      </w:r>
      <w:r>
        <w:rPr>
          <w:spacing w:val="-7"/>
          <w:w w:val="105"/>
        </w:rPr>
        <w:t> </w:t>
      </w:r>
      <w:r>
        <w:rPr>
          <w:spacing w:val="-2"/>
          <w:w w:val="105"/>
        </w:rPr>
        <w:t>judicial</w:t>
      </w:r>
      <w:r>
        <w:rPr>
          <w:spacing w:val="-7"/>
          <w:w w:val="105"/>
        </w:rPr>
        <w:t> </w:t>
      </w:r>
      <w:r>
        <w:rPr>
          <w:spacing w:val="-2"/>
          <w:w w:val="105"/>
        </w:rPr>
        <w:t>process</w:t>
      </w:r>
      <w:r>
        <w:rPr>
          <w:spacing w:val="-7"/>
          <w:w w:val="105"/>
        </w:rPr>
        <w:t> </w:t>
      </w:r>
      <w:r>
        <w:rPr>
          <w:spacing w:val="-2"/>
          <w:w w:val="105"/>
        </w:rPr>
        <w:t>(Gelpern</w:t>
      </w:r>
      <w:r>
        <w:rPr>
          <w:spacing w:val="-7"/>
          <w:w w:val="105"/>
        </w:rPr>
        <w:t> </w:t>
      </w:r>
      <w:r>
        <w:rPr>
          <w:spacing w:val="-2"/>
          <w:w w:val="105"/>
        </w:rPr>
        <w:t>et</w:t>
      </w:r>
      <w:r>
        <w:rPr>
          <w:spacing w:val="-7"/>
          <w:w w:val="105"/>
        </w:rPr>
        <w:t> </w:t>
      </w:r>
      <w:r>
        <w:rPr>
          <w:spacing w:val="-2"/>
          <w:w w:val="105"/>
        </w:rPr>
        <w:t>al.</w:t>
      </w:r>
      <w:r>
        <w:rPr>
          <w:spacing w:val="-7"/>
          <w:w w:val="105"/>
        </w:rPr>
        <w:t> </w:t>
      </w:r>
      <w:r>
        <w:rPr>
          <w:spacing w:val="-2"/>
          <w:w w:val="105"/>
        </w:rPr>
        <w:t>2021, </w:t>
      </w:r>
      <w:r>
        <w:rPr>
          <w:w w:val="105"/>
        </w:rPr>
        <w:t>2022).</w:t>
      </w:r>
      <w:r>
        <w:rPr>
          <w:spacing w:val="-18"/>
          <w:w w:val="105"/>
        </w:rPr>
        <w:t> </w:t>
      </w:r>
      <w:r>
        <w:rPr>
          <w:w w:val="105"/>
        </w:rPr>
        <w:t>More</w:t>
      </w:r>
      <w:r>
        <w:rPr>
          <w:spacing w:val="-17"/>
          <w:w w:val="105"/>
        </w:rPr>
        <w:t> </w:t>
      </w:r>
      <w:r>
        <w:rPr>
          <w:w w:val="105"/>
        </w:rPr>
        <w:t>speciﬁcally,</w:t>
      </w:r>
      <w:r>
        <w:rPr>
          <w:spacing w:val="-18"/>
          <w:w w:val="105"/>
        </w:rPr>
        <w:t> </w:t>
      </w:r>
      <w:r>
        <w:rPr>
          <w:w w:val="105"/>
        </w:rPr>
        <w:t>the</w:t>
      </w:r>
      <w:r>
        <w:rPr>
          <w:spacing w:val="-18"/>
          <w:w w:val="105"/>
        </w:rPr>
        <w:t> </w:t>
      </w:r>
      <w:r>
        <w:rPr>
          <w:w w:val="105"/>
        </w:rPr>
        <w:t>study</w:t>
      </w:r>
      <w:r>
        <w:rPr>
          <w:spacing w:val="-17"/>
          <w:w w:val="105"/>
        </w:rPr>
        <w:t> </w:t>
      </w:r>
      <w:r>
        <w:rPr>
          <w:w w:val="105"/>
        </w:rPr>
        <w:t>found</w:t>
      </w:r>
      <w:r>
        <w:rPr>
          <w:spacing w:val="-18"/>
          <w:w w:val="105"/>
        </w:rPr>
        <w:t> </w:t>
      </w:r>
      <w:r>
        <w:rPr>
          <w:w w:val="105"/>
        </w:rPr>
        <w:t>that</w:t>
      </w:r>
      <w:r>
        <w:rPr>
          <w:spacing w:val="-17"/>
          <w:w w:val="105"/>
        </w:rPr>
        <w:t> </w:t>
      </w:r>
      <w:r>
        <w:rPr>
          <w:w w:val="105"/>
        </w:rPr>
        <w:t>Chinese</w:t>
      </w:r>
      <w:r>
        <w:rPr>
          <w:spacing w:val="-18"/>
          <w:w w:val="105"/>
        </w:rPr>
        <w:t> </w:t>
      </w:r>
      <w:r>
        <w:rPr>
          <w:w w:val="105"/>
        </w:rPr>
        <w:t>state-owned</w:t>
      </w:r>
      <w:r>
        <w:rPr>
          <w:spacing w:val="-17"/>
          <w:w w:val="105"/>
        </w:rPr>
        <w:t> </w:t>
      </w:r>
      <w:r>
        <w:rPr>
          <w:w w:val="105"/>
        </w:rPr>
        <w:t>lenders </w:t>
      </w:r>
      <w:r>
        <w:rPr/>
        <w:t>prefer to collateralize on foreign currency deposits in escrow accounts that they </w:t>
      </w:r>
      <w:r>
        <w:rPr>
          <w:spacing w:val="-2"/>
          <w:w w:val="105"/>
        </w:rPr>
        <w:t>control</w:t>
      </w:r>
      <w:r>
        <w:rPr>
          <w:spacing w:val="-7"/>
          <w:w w:val="105"/>
        </w:rPr>
        <w:t> </w:t>
      </w:r>
      <w:r>
        <w:rPr>
          <w:spacing w:val="-2"/>
          <w:w w:val="105"/>
        </w:rPr>
        <w:t>and</w:t>
      </w:r>
      <w:r>
        <w:rPr>
          <w:spacing w:val="-7"/>
          <w:w w:val="105"/>
        </w:rPr>
        <w:t> </w:t>
      </w:r>
      <w:r>
        <w:rPr>
          <w:spacing w:val="-2"/>
          <w:w w:val="105"/>
        </w:rPr>
        <w:t>can</w:t>
      </w:r>
      <w:r>
        <w:rPr>
          <w:spacing w:val="-7"/>
          <w:w w:val="105"/>
        </w:rPr>
        <w:t> </w:t>
      </w:r>
      <w:r>
        <w:rPr>
          <w:spacing w:val="-2"/>
          <w:w w:val="105"/>
        </w:rPr>
        <w:t>unilaterally</w:t>
      </w:r>
      <w:r>
        <w:rPr>
          <w:spacing w:val="-7"/>
          <w:w w:val="105"/>
        </w:rPr>
        <w:t> </w:t>
      </w:r>
      <w:r>
        <w:rPr>
          <w:spacing w:val="-2"/>
          <w:w w:val="105"/>
        </w:rPr>
        <w:t>debit</w:t>
      </w:r>
      <w:r>
        <w:rPr>
          <w:spacing w:val="-7"/>
          <w:w w:val="105"/>
        </w:rPr>
        <w:t> </w:t>
      </w:r>
      <w:r>
        <w:rPr>
          <w:spacing w:val="-2"/>
          <w:w w:val="105"/>
        </w:rPr>
        <w:t>(without</w:t>
      </w:r>
      <w:r>
        <w:rPr>
          <w:spacing w:val="-7"/>
          <w:w w:val="105"/>
        </w:rPr>
        <w:t> </w:t>
      </w:r>
      <w:r>
        <w:rPr>
          <w:spacing w:val="-2"/>
          <w:w w:val="105"/>
        </w:rPr>
        <w:t>having</w:t>
      </w:r>
      <w:r>
        <w:rPr>
          <w:spacing w:val="-7"/>
          <w:w w:val="105"/>
        </w:rPr>
        <w:t> </w:t>
      </w:r>
      <w:r>
        <w:rPr>
          <w:spacing w:val="-2"/>
          <w:w w:val="105"/>
        </w:rPr>
        <w:t>to</w:t>
      </w:r>
      <w:r>
        <w:rPr>
          <w:spacing w:val="-7"/>
          <w:w w:val="105"/>
        </w:rPr>
        <w:t> </w:t>
      </w:r>
      <w:r>
        <w:rPr>
          <w:spacing w:val="-2"/>
          <w:w w:val="105"/>
        </w:rPr>
        <w:t>initiate</w:t>
      </w:r>
      <w:r>
        <w:rPr>
          <w:spacing w:val="-7"/>
          <w:w w:val="105"/>
        </w:rPr>
        <w:t> </w:t>
      </w:r>
      <w:r>
        <w:rPr>
          <w:spacing w:val="-2"/>
          <w:w w:val="105"/>
        </w:rPr>
        <w:t>judicial</w:t>
      </w:r>
      <w:r>
        <w:rPr>
          <w:spacing w:val="-7"/>
          <w:w w:val="105"/>
        </w:rPr>
        <w:t> </w:t>
      </w:r>
      <w:r>
        <w:rPr>
          <w:spacing w:val="-2"/>
          <w:w w:val="105"/>
        </w:rPr>
        <w:t>proceedings </w:t>
      </w:r>
      <w:r>
        <w:rPr>
          <w:w w:val="105"/>
        </w:rPr>
        <w:t>to</w:t>
      </w:r>
      <w:r>
        <w:rPr>
          <w:spacing w:val="-12"/>
          <w:w w:val="105"/>
        </w:rPr>
        <w:t> </w:t>
      </w:r>
      <w:r>
        <w:rPr>
          <w:w w:val="105"/>
        </w:rPr>
        <w:t>try</w:t>
      </w:r>
      <w:r>
        <w:rPr>
          <w:spacing w:val="-12"/>
          <w:w w:val="105"/>
        </w:rPr>
        <w:t> </w:t>
      </w:r>
      <w:r>
        <w:rPr>
          <w:w w:val="105"/>
        </w:rPr>
        <w:t>to</w:t>
      </w:r>
      <w:r>
        <w:rPr>
          <w:spacing w:val="-12"/>
          <w:w w:val="105"/>
        </w:rPr>
        <w:t> </w:t>
      </w:r>
      <w:r>
        <w:rPr>
          <w:w w:val="105"/>
        </w:rPr>
        <w:t>recover</w:t>
      </w:r>
      <w:r>
        <w:rPr>
          <w:spacing w:val="-12"/>
          <w:w w:val="105"/>
        </w:rPr>
        <w:t> </w:t>
      </w:r>
      <w:r>
        <w:rPr>
          <w:w w:val="105"/>
        </w:rPr>
        <w:t>an</w:t>
      </w:r>
      <w:r>
        <w:rPr>
          <w:spacing w:val="-12"/>
          <w:w w:val="105"/>
        </w:rPr>
        <w:t> </w:t>
      </w:r>
      <w:r>
        <w:rPr>
          <w:w w:val="105"/>
        </w:rPr>
        <w:t>overdue</w:t>
      </w:r>
      <w:r>
        <w:rPr>
          <w:spacing w:val="-12"/>
          <w:w w:val="105"/>
        </w:rPr>
        <w:t> </w:t>
      </w:r>
      <w:r>
        <w:rPr>
          <w:w w:val="105"/>
        </w:rPr>
        <w:t>debt</w:t>
      </w:r>
      <w:r>
        <w:rPr>
          <w:spacing w:val="-12"/>
          <w:w w:val="105"/>
        </w:rPr>
        <w:t> </w:t>
      </w:r>
      <w:r>
        <w:rPr>
          <w:w w:val="105"/>
        </w:rPr>
        <w:t>by</w:t>
      </w:r>
      <w:r>
        <w:rPr>
          <w:spacing w:val="-12"/>
          <w:w w:val="105"/>
        </w:rPr>
        <w:t> </w:t>
      </w:r>
      <w:r>
        <w:rPr>
          <w:w w:val="105"/>
        </w:rPr>
        <w:t>seizing</w:t>
      </w:r>
      <w:r>
        <w:rPr>
          <w:spacing w:val="-12"/>
          <w:w w:val="105"/>
        </w:rPr>
        <w:t> </w:t>
      </w:r>
      <w:r>
        <w:rPr>
          <w:w w:val="105"/>
        </w:rPr>
        <w:t>or</w:t>
      </w:r>
      <w:r>
        <w:rPr>
          <w:spacing w:val="-12"/>
          <w:w w:val="105"/>
        </w:rPr>
        <w:t> </w:t>
      </w:r>
      <w:r>
        <w:rPr>
          <w:w w:val="105"/>
        </w:rPr>
        <w:t>liquidating</w:t>
      </w:r>
      <w:r>
        <w:rPr>
          <w:spacing w:val="-12"/>
          <w:w w:val="105"/>
        </w:rPr>
        <w:t> </w:t>
      </w:r>
      <w:r>
        <w:rPr>
          <w:w w:val="105"/>
        </w:rPr>
        <w:t>a</w:t>
      </w:r>
      <w:r>
        <w:rPr>
          <w:spacing w:val="-12"/>
          <w:w w:val="105"/>
        </w:rPr>
        <w:t> </w:t>
      </w:r>
      <w:r>
        <w:rPr>
          <w:w w:val="105"/>
        </w:rPr>
        <w:t>physical</w:t>
      </w:r>
      <w:r>
        <w:rPr>
          <w:spacing w:val="-12"/>
          <w:w w:val="105"/>
        </w:rPr>
        <w:t> </w:t>
      </w:r>
      <w:r>
        <w:rPr>
          <w:w w:val="105"/>
        </w:rPr>
        <w:t>asset).</w:t>
      </w:r>
      <w:r>
        <w:rPr>
          <w:spacing w:val="-12"/>
          <w:w w:val="105"/>
        </w:rPr>
        <w:t> </w:t>
      </w:r>
      <w:r>
        <w:rPr>
          <w:w w:val="105"/>
        </w:rPr>
        <w:t>It also</w:t>
      </w:r>
      <w:r>
        <w:rPr>
          <w:spacing w:val="-16"/>
          <w:w w:val="105"/>
        </w:rPr>
        <w:t> </w:t>
      </w:r>
      <w:r>
        <w:rPr>
          <w:w w:val="105"/>
        </w:rPr>
        <w:t>found</w:t>
      </w:r>
      <w:r>
        <w:rPr>
          <w:spacing w:val="-16"/>
          <w:w w:val="105"/>
        </w:rPr>
        <w:t> </w:t>
      </w:r>
      <w:r>
        <w:rPr>
          <w:w w:val="105"/>
        </w:rPr>
        <w:t>that</w:t>
      </w:r>
      <w:r>
        <w:rPr>
          <w:spacing w:val="-16"/>
          <w:w w:val="105"/>
        </w:rPr>
        <w:t> </w:t>
      </w:r>
      <w:r>
        <w:rPr>
          <w:w w:val="105"/>
        </w:rPr>
        <w:t>borrowers</w:t>
      </w:r>
      <w:r>
        <w:rPr>
          <w:spacing w:val="-16"/>
          <w:w w:val="105"/>
        </w:rPr>
        <w:t> </w:t>
      </w:r>
      <w:r>
        <w:rPr>
          <w:w w:val="105"/>
        </w:rPr>
        <w:t>are</w:t>
      </w:r>
      <w:r>
        <w:rPr>
          <w:spacing w:val="-16"/>
          <w:w w:val="105"/>
        </w:rPr>
        <w:t> </w:t>
      </w:r>
      <w:r>
        <w:rPr>
          <w:w w:val="105"/>
        </w:rPr>
        <w:t>typically</w:t>
      </w:r>
      <w:r>
        <w:rPr>
          <w:spacing w:val="-16"/>
          <w:w w:val="105"/>
        </w:rPr>
        <w:t> </w:t>
      </w:r>
      <w:r>
        <w:rPr>
          <w:w w:val="105"/>
        </w:rPr>
        <w:t>required</w:t>
      </w:r>
      <w:r>
        <w:rPr>
          <w:spacing w:val="-16"/>
          <w:w w:val="105"/>
        </w:rPr>
        <w:t> </w:t>
      </w:r>
      <w:r>
        <w:rPr>
          <w:w w:val="105"/>
        </w:rPr>
        <w:t>to</w:t>
      </w:r>
      <w:r>
        <w:rPr>
          <w:spacing w:val="-16"/>
          <w:w w:val="105"/>
        </w:rPr>
        <w:t> </w:t>
      </w:r>
      <w:r>
        <w:rPr>
          <w:w w:val="105"/>
        </w:rPr>
        <w:t>maintain</w:t>
      </w:r>
      <w:r>
        <w:rPr>
          <w:spacing w:val="-16"/>
          <w:w w:val="105"/>
        </w:rPr>
        <w:t> </w:t>
      </w:r>
      <w:r>
        <w:rPr>
          <w:w w:val="105"/>
        </w:rPr>
        <w:t>a</w:t>
      </w:r>
      <w:r>
        <w:rPr>
          <w:spacing w:val="-16"/>
          <w:w w:val="105"/>
        </w:rPr>
        <w:t> </w:t>
      </w:r>
      <w:r>
        <w:rPr>
          <w:w w:val="105"/>
        </w:rPr>
        <w:t>minimum</w:t>
      </w:r>
      <w:r>
        <w:rPr>
          <w:spacing w:val="-16"/>
          <w:w w:val="105"/>
        </w:rPr>
        <w:t> </w:t>
      </w:r>
      <w:r>
        <w:rPr>
          <w:w w:val="105"/>
        </w:rPr>
        <w:t>cash</w:t>
      </w:r>
    </w:p>
    <w:p>
      <w:pPr>
        <w:spacing w:after="0" w:line="333" w:lineRule="auto"/>
        <w:sectPr>
          <w:pgSz w:w="12240" w:h="15840"/>
          <w:pgMar w:header="0" w:footer="720" w:top="1400" w:bottom="920" w:left="1040" w:right="1040"/>
        </w:sectPr>
      </w:pPr>
    </w:p>
    <w:p>
      <w:pPr>
        <w:pStyle w:val="BodyText"/>
        <w:spacing w:line="333" w:lineRule="auto" w:before="27"/>
        <w:ind w:left="760" w:right="964"/>
        <w:jc w:val="both"/>
      </w:pPr>
      <w:r>
        <w:rPr/>
        <w:t>balance</w:t>
      </w:r>
      <w:r>
        <w:rPr>
          <w:spacing w:val="-2"/>
        </w:rPr>
        <w:t> </w:t>
      </w:r>
      <w:r>
        <w:rPr/>
        <w:t>in</w:t>
      </w:r>
      <w:r>
        <w:rPr>
          <w:spacing w:val="-2"/>
        </w:rPr>
        <w:t> </w:t>
      </w:r>
      <w:r>
        <w:rPr/>
        <w:t>a</w:t>
      </w:r>
      <w:r>
        <w:rPr>
          <w:spacing w:val="-2"/>
        </w:rPr>
        <w:t> </w:t>
      </w:r>
      <w:r>
        <w:rPr/>
        <w:t>special</w:t>
      </w:r>
      <w:r>
        <w:rPr>
          <w:spacing w:val="-2"/>
        </w:rPr>
        <w:t> </w:t>
      </w:r>
      <w:r>
        <w:rPr/>
        <w:t>type</w:t>
      </w:r>
      <w:r>
        <w:rPr>
          <w:spacing w:val="-2"/>
        </w:rPr>
        <w:t> </w:t>
      </w:r>
      <w:r>
        <w:rPr/>
        <w:t>of</w:t>
      </w:r>
      <w:r>
        <w:rPr>
          <w:spacing w:val="-2"/>
        </w:rPr>
        <w:t> </w:t>
      </w:r>
      <w:r>
        <w:rPr/>
        <w:t>escrow</w:t>
      </w:r>
      <w:r>
        <w:rPr>
          <w:spacing w:val="-2"/>
        </w:rPr>
        <w:t> </w:t>
      </w:r>
      <w:r>
        <w:rPr/>
        <w:t>account—known</w:t>
      </w:r>
      <w:r>
        <w:rPr>
          <w:spacing w:val="-2"/>
        </w:rPr>
        <w:t> </w:t>
      </w:r>
      <w:r>
        <w:rPr/>
        <w:t>as</w:t>
      </w:r>
      <w:r>
        <w:rPr>
          <w:spacing w:val="-2"/>
        </w:rPr>
        <w:t> </w:t>
      </w:r>
      <w:r>
        <w:rPr/>
        <w:t>a</w:t>
      </w:r>
      <w:r>
        <w:rPr>
          <w:spacing w:val="-2"/>
        </w:rPr>
        <w:t> </w:t>
      </w:r>
      <w:r>
        <w:rPr/>
        <w:t>“Repayment</w:t>
      </w:r>
      <w:r>
        <w:rPr>
          <w:spacing w:val="-2"/>
        </w:rPr>
        <w:t> </w:t>
      </w:r>
      <w:r>
        <w:rPr/>
        <w:t>Reserve Account” or “Debt Service Reserve Account” (DSRA)—equivalent to one </w:t>
      </w:r>
      <w:r>
        <w:rPr/>
        <w:t>year’s worth of principal and interest repayments.</w:t>
      </w:r>
    </w:p>
    <w:p>
      <w:pPr>
        <w:pStyle w:val="BodyText"/>
        <w:spacing w:before="8"/>
        <w:rPr>
          <w:sz w:val="27"/>
        </w:rPr>
      </w:pPr>
    </w:p>
    <w:p>
      <w:pPr>
        <w:pStyle w:val="BodyText"/>
        <w:spacing w:line="333" w:lineRule="auto"/>
        <w:ind w:left="760" w:right="898"/>
      </w:pPr>
      <w:r>
        <w:rPr/>
        <w:t>At the time that the study was published, there was no hard evidence of borrowers complying with these escrow account conditions. Nor was there </w:t>
      </w:r>
      <w:r>
        <w:rPr/>
        <w:t>any hard</w:t>
      </w:r>
      <w:r>
        <w:rPr>
          <w:spacing w:val="-5"/>
        </w:rPr>
        <w:t> </w:t>
      </w:r>
      <w:r>
        <w:rPr/>
        <w:t>evidence</w:t>
      </w:r>
      <w:r>
        <w:rPr>
          <w:spacing w:val="-5"/>
        </w:rPr>
        <w:t> </w:t>
      </w:r>
      <w:r>
        <w:rPr/>
        <w:t>of</w:t>
      </w:r>
      <w:r>
        <w:rPr>
          <w:spacing w:val="-5"/>
        </w:rPr>
        <w:t> </w:t>
      </w:r>
      <w:r>
        <w:rPr/>
        <w:t>Chinese</w:t>
      </w:r>
      <w:r>
        <w:rPr>
          <w:spacing w:val="-5"/>
        </w:rPr>
        <w:t> </w:t>
      </w:r>
      <w:r>
        <w:rPr/>
        <w:t>lenders</w:t>
      </w:r>
      <w:r>
        <w:rPr>
          <w:spacing w:val="-5"/>
        </w:rPr>
        <w:t> </w:t>
      </w:r>
      <w:r>
        <w:rPr/>
        <w:t>sweeping</w:t>
      </w:r>
      <w:r>
        <w:rPr>
          <w:spacing w:val="-5"/>
        </w:rPr>
        <w:t> </w:t>
      </w:r>
      <w:r>
        <w:rPr/>
        <w:t>cash</w:t>
      </w:r>
      <w:r>
        <w:rPr>
          <w:spacing w:val="-5"/>
        </w:rPr>
        <w:t> </w:t>
      </w:r>
      <w:r>
        <w:rPr/>
        <w:t>out</w:t>
      </w:r>
      <w:r>
        <w:rPr>
          <w:spacing w:val="-5"/>
        </w:rPr>
        <w:t> </w:t>
      </w:r>
      <w:r>
        <w:rPr/>
        <w:t>of</w:t>
      </w:r>
      <w:r>
        <w:rPr>
          <w:spacing w:val="-5"/>
        </w:rPr>
        <w:t> </w:t>
      </w:r>
      <w:r>
        <w:rPr/>
        <w:t>these</w:t>
      </w:r>
      <w:r>
        <w:rPr>
          <w:spacing w:val="-5"/>
        </w:rPr>
        <w:t> </w:t>
      </w:r>
      <w:r>
        <w:rPr/>
        <w:t>escrow</w:t>
      </w:r>
      <w:r>
        <w:rPr>
          <w:spacing w:val="-5"/>
        </w:rPr>
        <w:t> </w:t>
      </w:r>
      <w:r>
        <w:rPr/>
        <w:t>accounts in</w:t>
      </w:r>
      <w:r>
        <w:rPr>
          <w:spacing w:val="4"/>
        </w:rPr>
        <w:t> </w:t>
      </w:r>
      <w:r>
        <w:rPr/>
        <w:t>order</w:t>
      </w:r>
      <w:r>
        <w:rPr>
          <w:spacing w:val="5"/>
        </w:rPr>
        <w:t> </w:t>
      </w:r>
      <w:r>
        <w:rPr/>
        <w:t>to</w:t>
      </w:r>
      <w:r>
        <w:rPr>
          <w:spacing w:val="5"/>
        </w:rPr>
        <w:t> </w:t>
      </w:r>
      <w:r>
        <w:rPr/>
        <w:t>deal</w:t>
      </w:r>
      <w:r>
        <w:rPr>
          <w:spacing w:val="5"/>
        </w:rPr>
        <w:t> </w:t>
      </w:r>
      <w:r>
        <w:rPr/>
        <w:t>with</w:t>
      </w:r>
      <w:r>
        <w:rPr>
          <w:spacing w:val="5"/>
        </w:rPr>
        <w:t> </w:t>
      </w:r>
      <w:r>
        <w:rPr/>
        <w:t>nonpayment</w:t>
      </w:r>
      <w:r>
        <w:rPr>
          <w:spacing w:val="5"/>
        </w:rPr>
        <w:t> </w:t>
      </w:r>
      <w:r>
        <w:rPr/>
        <w:t>or</w:t>
      </w:r>
      <w:r>
        <w:rPr>
          <w:spacing w:val="5"/>
        </w:rPr>
        <w:t> </w:t>
      </w:r>
      <w:r>
        <w:rPr/>
        <w:t>late</w:t>
      </w:r>
      <w:r>
        <w:rPr>
          <w:spacing w:val="5"/>
        </w:rPr>
        <w:t> </w:t>
      </w:r>
      <w:r>
        <w:rPr/>
        <w:t>payment</w:t>
      </w:r>
      <w:r>
        <w:rPr>
          <w:spacing w:val="5"/>
        </w:rPr>
        <w:t> </w:t>
      </w:r>
      <w:r>
        <w:rPr/>
        <w:t>by</w:t>
      </w:r>
      <w:r>
        <w:rPr>
          <w:spacing w:val="5"/>
        </w:rPr>
        <w:t> </w:t>
      </w:r>
      <w:r>
        <w:rPr/>
        <w:t>overseas</w:t>
      </w:r>
      <w:r>
        <w:rPr>
          <w:spacing w:val="4"/>
        </w:rPr>
        <w:t> </w:t>
      </w:r>
      <w:r>
        <w:rPr/>
        <w:t>borrowers.</w:t>
      </w:r>
      <w:r>
        <w:rPr>
          <w:spacing w:val="5"/>
        </w:rPr>
        <w:t> </w:t>
      </w:r>
      <w:r>
        <w:rPr>
          <w:spacing w:val="-5"/>
        </w:rPr>
        <w:t>The</w:t>
      </w:r>
    </w:p>
    <w:p>
      <w:pPr>
        <w:pStyle w:val="BodyText"/>
        <w:spacing w:line="274" w:lineRule="exact"/>
        <w:ind w:left="760"/>
      </w:pPr>
      <w:r>
        <w:rPr/>
        <w:t>3.0</w:t>
      </w:r>
      <w:r>
        <w:rPr>
          <w:spacing w:val="-4"/>
        </w:rPr>
        <w:t> </w:t>
      </w:r>
      <w:r>
        <w:rPr/>
        <w:t>version</w:t>
      </w:r>
      <w:r>
        <w:rPr>
          <w:spacing w:val="-4"/>
        </w:rPr>
        <w:t> </w:t>
      </w:r>
      <w:r>
        <w:rPr/>
        <w:t>of</w:t>
      </w:r>
      <w:r>
        <w:rPr>
          <w:spacing w:val="-3"/>
        </w:rPr>
        <w:t> </w:t>
      </w:r>
      <w:r>
        <w:rPr/>
        <w:t>the</w:t>
      </w:r>
      <w:r>
        <w:rPr>
          <w:spacing w:val="-4"/>
        </w:rPr>
        <w:t> </w:t>
      </w:r>
      <w:r>
        <w:rPr/>
        <w:t>GCDF</w:t>
      </w:r>
      <w:r>
        <w:rPr>
          <w:spacing w:val="-4"/>
        </w:rPr>
        <w:t> </w:t>
      </w:r>
      <w:r>
        <w:rPr/>
        <w:t>dataset</w:t>
      </w:r>
      <w:r>
        <w:rPr>
          <w:spacing w:val="-4"/>
        </w:rPr>
        <w:t> </w:t>
      </w:r>
      <w:r>
        <w:rPr/>
        <w:t>provides</w:t>
      </w:r>
      <w:r>
        <w:rPr>
          <w:spacing w:val="-3"/>
        </w:rPr>
        <w:t> </w:t>
      </w:r>
      <w:r>
        <w:rPr/>
        <w:t>such</w:t>
      </w:r>
      <w:r>
        <w:rPr>
          <w:spacing w:val="-4"/>
        </w:rPr>
        <w:t> </w:t>
      </w:r>
      <w:r>
        <w:rPr>
          <w:spacing w:val="-2"/>
        </w:rPr>
        <w:t>evidence.</w:t>
      </w:r>
      <w:r>
        <w:rPr>
          <w:spacing w:val="-2"/>
          <w:vertAlign w:val="superscript"/>
        </w:rPr>
        <w:t>1</w:t>
      </w:r>
      <w:r>
        <w:rPr>
          <w:spacing w:val="-2"/>
          <w:vertAlign w:val="superscript"/>
        </w:rPr>
        <w:t>5</w:t>
      </w:r>
      <w:r>
        <w:rPr>
          <w:spacing w:val="-2"/>
          <w:vertAlign w:val="superscript"/>
        </w:rPr>
        <w:t>4</w:t>
      </w:r>
    </w:p>
    <w:p>
      <w:pPr>
        <w:pStyle w:val="BodyText"/>
        <w:rPr>
          <w:sz w:val="20"/>
        </w:rPr>
      </w:pPr>
    </w:p>
    <w:p>
      <w:pPr>
        <w:pStyle w:val="BodyText"/>
        <w:spacing w:before="2"/>
        <w:rPr>
          <w:sz w:val="26"/>
        </w:rPr>
      </w:pPr>
      <w:r>
        <w:rPr/>
        <w:pict>
          <v:shape style="position:absolute;margin-left:82pt;margin-top:16.248730pt;width:447pt;height:38pt;mso-position-horizontal-relative:page;mso-position-vertical-relative:paragraph;z-index:-15698432;mso-wrap-distance-left:0;mso-wrap-distance-right:0" type="#_x0000_t202" id="docshape55" filled="true" fillcolor="#5b666f" stroked="false">
            <v:textbox inset="0,0,0,0">
              <w:txbxContent>
                <w:p>
                  <w:pPr>
                    <w:spacing w:before="131"/>
                    <w:ind w:left="16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2.3</w:t>
                  </w:r>
                </w:p>
              </w:txbxContent>
            </v:textbox>
            <v:fill type="solid"/>
            <w10:wrap type="topAndBottom"/>
          </v:shape>
        </w:pict>
      </w:r>
    </w:p>
    <w:p>
      <w:pPr>
        <w:pStyle w:val="Heading2"/>
        <w:spacing w:line="328" w:lineRule="auto" w:before="0"/>
        <w:ind w:left="760" w:right="767"/>
      </w:pPr>
      <w:r>
        <w:rPr>
          <w:spacing w:val="-6"/>
        </w:rPr>
        <w:t>Illustrative</w:t>
      </w:r>
      <w:r>
        <w:rPr>
          <w:spacing w:val="-15"/>
        </w:rPr>
        <w:t> </w:t>
      </w:r>
      <w:r>
        <w:rPr>
          <w:spacing w:val="-6"/>
        </w:rPr>
        <w:t>escrow</w:t>
      </w:r>
      <w:r>
        <w:rPr>
          <w:spacing w:val="-15"/>
        </w:rPr>
        <w:t> </w:t>
      </w:r>
      <w:r>
        <w:rPr>
          <w:spacing w:val="-6"/>
        </w:rPr>
        <w:t>account</w:t>
      </w:r>
      <w:r>
        <w:rPr>
          <w:spacing w:val="-15"/>
        </w:rPr>
        <w:t> </w:t>
      </w:r>
      <w:r>
        <w:rPr>
          <w:spacing w:val="-6"/>
        </w:rPr>
        <w:t>balances</w:t>
      </w:r>
      <w:r>
        <w:rPr>
          <w:spacing w:val="-15"/>
        </w:rPr>
        <w:t> </w:t>
      </w:r>
      <w:r>
        <w:rPr>
          <w:spacing w:val="-6"/>
        </w:rPr>
        <w:t>linked</w:t>
      </w:r>
      <w:r>
        <w:rPr>
          <w:spacing w:val="-15"/>
        </w:rPr>
        <w:t> </w:t>
      </w:r>
      <w:r>
        <w:rPr>
          <w:spacing w:val="-6"/>
        </w:rPr>
        <w:t>to</w:t>
      </w:r>
      <w:r>
        <w:rPr>
          <w:spacing w:val="-15"/>
        </w:rPr>
        <w:t> </w:t>
      </w:r>
      <w:r>
        <w:rPr>
          <w:spacing w:val="-6"/>
        </w:rPr>
        <w:t>loans</w:t>
      </w:r>
      <w:r>
        <w:rPr>
          <w:spacing w:val="-15"/>
        </w:rPr>
        <w:t> </w:t>
      </w:r>
      <w:r>
        <w:rPr>
          <w:spacing w:val="-6"/>
        </w:rPr>
        <w:t>from </w:t>
      </w:r>
      <w:r>
        <w:rPr/>
        <w:t>China</w:t>
      </w:r>
      <w:r>
        <w:rPr>
          <w:spacing w:val="-2"/>
        </w:rPr>
        <w:t> </w:t>
      </w:r>
      <w:r>
        <w:rPr/>
        <w:t>Eximbank,</w:t>
      </w:r>
      <w:r>
        <w:rPr>
          <w:spacing w:val="-2"/>
        </w:rPr>
        <w:t> </w:t>
      </w:r>
      <w:r>
        <w:rPr/>
        <w:t>CDB,</w:t>
      </w:r>
      <w:r>
        <w:rPr>
          <w:spacing w:val="-2"/>
        </w:rPr>
        <w:t> </w:t>
      </w:r>
      <w:r>
        <w:rPr/>
        <w:t>and</w:t>
      </w:r>
      <w:r>
        <w:rPr>
          <w:spacing w:val="-2"/>
        </w:rPr>
        <w:t> </w:t>
      </w:r>
      <w:r>
        <w:rPr/>
        <w:t>ICBC</w:t>
      </w:r>
    </w:p>
    <w:p>
      <w:pPr>
        <w:spacing w:before="18" w:after="42"/>
        <w:ind w:left="4372" w:right="3721" w:firstLine="0"/>
        <w:jc w:val="center"/>
        <w:rPr>
          <w:b/>
          <w:sz w:val="18"/>
        </w:rPr>
      </w:pPr>
      <w:r>
        <w:rPr>
          <w:b/>
          <w:spacing w:val="-4"/>
          <w:sz w:val="18"/>
        </w:rPr>
        <w:t>Aggregate</w:t>
      </w:r>
      <w:r>
        <w:rPr>
          <w:b/>
          <w:spacing w:val="-7"/>
          <w:sz w:val="18"/>
        </w:rPr>
        <w:t> </w:t>
      </w:r>
      <w:r>
        <w:rPr>
          <w:b/>
          <w:spacing w:val="-4"/>
          <w:sz w:val="18"/>
        </w:rPr>
        <w:t>Cash</w:t>
      </w:r>
      <w:r>
        <w:rPr>
          <w:b/>
          <w:spacing w:val="-7"/>
          <w:sz w:val="18"/>
        </w:rPr>
        <w:t> </w:t>
      </w:r>
      <w:r>
        <w:rPr>
          <w:b/>
          <w:spacing w:val="-4"/>
          <w:sz w:val="18"/>
        </w:rPr>
        <w:t>Balance</w:t>
      </w:r>
    </w:p>
    <w:tbl>
      <w:tblPr>
        <w:tblW w:w="0" w:type="auto"/>
        <w:jc w:val="left"/>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5"/>
        <w:gridCol w:w="1142"/>
        <w:gridCol w:w="1526"/>
        <w:gridCol w:w="1896"/>
        <w:gridCol w:w="3279"/>
      </w:tblGrid>
      <w:tr>
        <w:trPr>
          <w:trHeight w:val="395" w:hRule="atLeast"/>
        </w:trPr>
        <w:tc>
          <w:tcPr>
            <w:tcW w:w="1095" w:type="dxa"/>
            <w:tcBorders>
              <w:bottom w:val="single" w:sz="8" w:space="0" w:color="000000"/>
            </w:tcBorders>
          </w:tcPr>
          <w:p>
            <w:pPr>
              <w:pStyle w:val="TableParagraph"/>
              <w:spacing w:line="174" w:lineRule="exact"/>
              <w:ind w:left="25"/>
              <w:rPr>
                <w:b/>
                <w:sz w:val="18"/>
              </w:rPr>
            </w:pPr>
            <w:r>
              <w:rPr>
                <w:b/>
                <w:spacing w:val="-2"/>
                <w:sz w:val="18"/>
              </w:rPr>
              <w:t>Country</w:t>
            </w:r>
          </w:p>
        </w:tc>
        <w:tc>
          <w:tcPr>
            <w:tcW w:w="1142" w:type="dxa"/>
            <w:tcBorders>
              <w:bottom w:val="single" w:sz="8" w:space="0" w:color="000000"/>
            </w:tcBorders>
          </w:tcPr>
          <w:p>
            <w:pPr>
              <w:pStyle w:val="TableParagraph"/>
              <w:spacing w:line="174" w:lineRule="exact"/>
              <w:ind w:left="160"/>
              <w:rPr>
                <w:b/>
                <w:sz w:val="18"/>
              </w:rPr>
            </w:pPr>
            <w:r>
              <w:rPr>
                <w:b/>
                <w:spacing w:val="-2"/>
                <w:sz w:val="18"/>
              </w:rPr>
              <w:t>Lender</w:t>
            </w:r>
          </w:p>
        </w:tc>
        <w:tc>
          <w:tcPr>
            <w:tcW w:w="1526" w:type="dxa"/>
            <w:tcBorders>
              <w:bottom w:val="single" w:sz="8" w:space="0" w:color="000000"/>
            </w:tcBorders>
          </w:tcPr>
          <w:p>
            <w:pPr>
              <w:pStyle w:val="TableParagraph"/>
              <w:spacing w:line="174" w:lineRule="exact"/>
              <w:ind w:left="203"/>
              <w:rPr>
                <w:b/>
                <w:sz w:val="18"/>
              </w:rPr>
            </w:pPr>
            <w:r>
              <w:rPr>
                <w:b/>
                <w:spacing w:val="-2"/>
                <w:sz w:val="18"/>
              </w:rPr>
              <w:t>Borrower</w:t>
            </w:r>
          </w:p>
        </w:tc>
        <w:tc>
          <w:tcPr>
            <w:tcW w:w="1896" w:type="dxa"/>
            <w:tcBorders>
              <w:bottom w:val="single" w:sz="8" w:space="0" w:color="000000"/>
            </w:tcBorders>
          </w:tcPr>
          <w:p>
            <w:pPr>
              <w:pStyle w:val="TableParagraph"/>
              <w:spacing w:line="174" w:lineRule="exact"/>
              <w:ind w:left="42"/>
              <w:rPr>
                <w:b/>
                <w:sz w:val="18"/>
              </w:rPr>
            </w:pPr>
            <w:r>
              <w:rPr>
                <w:b/>
                <w:w w:val="90"/>
                <w:sz w:val="18"/>
              </w:rPr>
              <w:t>of</w:t>
            </w:r>
            <w:r>
              <w:rPr>
                <w:b/>
                <w:sz w:val="18"/>
              </w:rPr>
              <w:t> </w:t>
            </w:r>
            <w:r>
              <w:rPr>
                <w:b/>
                <w:w w:val="90"/>
                <w:sz w:val="18"/>
              </w:rPr>
              <w:t>Escrow</w:t>
            </w:r>
            <w:r>
              <w:rPr>
                <w:b/>
                <w:sz w:val="18"/>
              </w:rPr>
              <w:t> </w:t>
            </w:r>
            <w:r>
              <w:rPr>
                <w:b/>
                <w:spacing w:val="-2"/>
                <w:w w:val="90"/>
                <w:sz w:val="18"/>
              </w:rPr>
              <w:t>Accounts</w:t>
            </w:r>
          </w:p>
          <w:p>
            <w:pPr>
              <w:pStyle w:val="TableParagraph"/>
              <w:spacing w:line="192" w:lineRule="exact" w:before="9"/>
              <w:ind w:left="42"/>
              <w:rPr>
                <w:b/>
                <w:sz w:val="18"/>
              </w:rPr>
            </w:pPr>
            <w:r>
              <w:rPr>
                <w:b/>
                <w:spacing w:val="-2"/>
                <w:sz w:val="18"/>
              </w:rPr>
              <w:t>(Maximum)</w:t>
            </w:r>
          </w:p>
        </w:tc>
        <w:tc>
          <w:tcPr>
            <w:tcW w:w="3279" w:type="dxa"/>
            <w:tcBorders>
              <w:bottom w:val="single" w:sz="8" w:space="0" w:color="000000"/>
            </w:tcBorders>
          </w:tcPr>
          <w:p>
            <w:pPr>
              <w:pStyle w:val="TableParagraph"/>
              <w:spacing w:line="174" w:lineRule="exact"/>
              <w:ind w:left="276"/>
              <w:rPr>
                <w:b/>
                <w:sz w:val="18"/>
              </w:rPr>
            </w:pPr>
            <w:r>
              <w:rPr>
                <w:b/>
                <w:spacing w:val="-7"/>
                <w:sz w:val="18"/>
              </w:rPr>
              <w:t>Corresponding</w:t>
            </w:r>
            <w:r>
              <w:rPr>
                <w:b/>
                <w:spacing w:val="10"/>
                <w:sz w:val="18"/>
              </w:rPr>
              <w:t> </w:t>
            </w:r>
            <w:r>
              <w:rPr>
                <w:b/>
                <w:spacing w:val="-2"/>
                <w:sz w:val="18"/>
              </w:rPr>
              <w:t>Loan(s)</w:t>
            </w:r>
          </w:p>
        </w:tc>
      </w:tr>
      <w:tr>
        <w:trPr>
          <w:trHeight w:val="229" w:hRule="atLeast"/>
        </w:trPr>
        <w:tc>
          <w:tcPr>
            <w:tcW w:w="1095" w:type="dxa"/>
            <w:tcBorders>
              <w:top w:val="single" w:sz="8" w:space="0" w:color="000000"/>
            </w:tcBorders>
          </w:tcPr>
          <w:p>
            <w:pPr>
              <w:pStyle w:val="TableParagraph"/>
              <w:spacing w:line="206" w:lineRule="exact"/>
              <w:ind w:left="25"/>
              <w:rPr>
                <w:sz w:val="18"/>
              </w:rPr>
            </w:pPr>
            <w:r>
              <w:rPr>
                <w:spacing w:val="-2"/>
                <w:sz w:val="18"/>
              </w:rPr>
              <w:t>Tanzania</w:t>
            </w:r>
          </w:p>
        </w:tc>
        <w:tc>
          <w:tcPr>
            <w:tcW w:w="1142" w:type="dxa"/>
            <w:tcBorders>
              <w:top w:val="single" w:sz="8" w:space="0" w:color="000000"/>
            </w:tcBorders>
          </w:tcPr>
          <w:p>
            <w:pPr>
              <w:pStyle w:val="TableParagraph"/>
              <w:spacing w:line="206" w:lineRule="exact"/>
              <w:ind w:left="160"/>
              <w:rPr>
                <w:sz w:val="18"/>
              </w:rPr>
            </w:pPr>
            <w:r>
              <w:rPr>
                <w:spacing w:val="-2"/>
                <w:sz w:val="18"/>
              </w:rPr>
              <w:t>China</w:t>
            </w:r>
          </w:p>
        </w:tc>
        <w:tc>
          <w:tcPr>
            <w:tcW w:w="1526" w:type="dxa"/>
            <w:tcBorders>
              <w:top w:val="single" w:sz="8" w:space="0" w:color="000000"/>
            </w:tcBorders>
          </w:tcPr>
          <w:p>
            <w:pPr>
              <w:pStyle w:val="TableParagraph"/>
              <w:spacing w:line="206" w:lineRule="exact"/>
              <w:ind w:left="203"/>
              <w:rPr>
                <w:sz w:val="18"/>
              </w:rPr>
            </w:pPr>
            <w:r>
              <w:rPr>
                <w:sz w:val="18"/>
              </w:rPr>
              <w:t>Ministry</w:t>
            </w:r>
            <w:r>
              <w:rPr>
                <w:spacing w:val="6"/>
                <w:sz w:val="18"/>
              </w:rPr>
              <w:t> </w:t>
            </w:r>
            <w:r>
              <w:rPr>
                <w:spacing w:val="-5"/>
                <w:sz w:val="18"/>
              </w:rPr>
              <w:t>of</w:t>
            </w:r>
          </w:p>
        </w:tc>
        <w:tc>
          <w:tcPr>
            <w:tcW w:w="1896" w:type="dxa"/>
            <w:tcBorders>
              <w:top w:val="single" w:sz="8" w:space="0" w:color="000000"/>
            </w:tcBorders>
          </w:tcPr>
          <w:p>
            <w:pPr>
              <w:pStyle w:val="TableParagraph"/>
              <w:spacing w:line="206" w:lineRule="exact"/>
              <w:ind w:left="42"/>
              <w:rPr>
                <w:sz w:val="18"/>
              </w:rPr>
            </w:pPr>
            <w:r>
              <w:rPr>
                <w:sz w:val="18"/>
              </w:rPr>
              <w:t>$60.3</w:t>
            </w:r>
            <w:r>
              <w:rPr>
                <w:spacing w:val="-6"/>
                <w:sz w:val="18"/>
              </w:rPr>
              <w:t> </w:t>
            </w:r>
            <w:r>
              <w:rPr>
                <w:spacing w:val="-2"/>
                <w:sz w:val="18"/>
              </w:rPr>
              <w:t>million</w:t>
            </w:r>
          </w:p>
        </w:tc>
        <w:tc>
          <w:tcPr>
            <w:tcW w:w="3279" w:type="dxa"/>
            <w:tcBorders>
              <w:top w:val="single" w:sz="8" w:space="0" w:color="000000"/>
            </w:tcBorders>
          </w:tcPr>
          <w:p>
            <w:pPr>
              <w:pStyle w:val="TableParagraph"/>
              <w:spacing w:line="206" w:lineRule="exact"/>
              <w:ind w:left="276"/>
              <w:rPr>
                <w:sz w:val="18"/>
              </w:rPr>
            </w:pPr>
            <w:r>
              <w:rPr>
                <w:sz w:val="18"/>
              </w:rPr>
              <w:t>$920</w:t>
            </w:r>
            <w:r>
              <w:rPr>
                <w:spacing w:val="-5"/>
                <w:sz w:val="18"/>
              </w:rPr>
              <w:t> </w:t>
            </w:r>
            <w:r>
              <w:rPr>
                <w:sz w:val="18"/>
              </w:rPr>
              <w:t>million</w:t>
            </w:r>
            <w:r>
              <w:rPr>
                <w:spacing w:val="-4"/>
                <w:sz w:val="18"/>
              </w:rPr>
              <w:t> </w:t>
            </w:r>
            <w:r>
              <w:rPr>
                <w:sz w:val="18"/>
              </w:rPr>
              <w:t>(2012),</w:t>
            </w:r>
            <w:r>
              <w:rPr>
                <w:spacing w:val="-5"/>
                <w:sz w:val="18"/>
              </w:rPr>
              <w:t> </w:t>
            </w:r>
            <w:r>
              <w:rPr>
                <w:sz w:val="18"/>
              </w:rPr>
              <w:t>$275</w:t>
            </w:r>
            <w:r>
              <w:rPr>
                <w:spacing w:val="-4"/>
                <w:sz w:val="18"/>
              </w:rPr>
              <w:t> </w:t>
            </w:r>
            <w:r>
              <w:rPr>
                <w:spacing w:val="-2"/>
                <w:sz w:val="18"/>
              </w:rPr>
              <w:t>million</w:t>
            </w:r>
          </w:p>
        </w:tc>
      </w:tr>
      <w:tr>
        <w:trPr>
          <w:trHeight w:val="270" w:hRule="atLeast"/>
        </w:trPr>
        <w:tc>
          <w:tcPr>
            <w:tcW w:w="1095" w:type="dxa"/>
            <w:tcBorders>
              <w:bottom w:val="single" w:sz="8" w:space="0" w:color="D9D9D9"/>
            </w:tcBorders>
          </w:tcPr>
          <w:p>
            <w:pPr>
              <w:pStyle w:val="TableParagraph"/>
              <w:rPr>
                <w:rFonts w:ascii="Times New Roman"/>
                <w:sz w:val="20"/>
              </w:rPr>
            </w:pPr>
          </w:p>
        </w:tc>
        <w:tc>
          <w:tcPr>
            <w:tcW w:w="1142" w:type="dxa"/>
            <w:tcBorders>
              <w:bottom w:val="single" w:sz="8" w:space="0" w:color="D9D9D9"/>
            </w:tcBorders>
          </w:tcPr>
          <w:p>
            <w:pPr>
              <w:pStyle w:val="TableParagraph"/>
              <w:spacing w:line="192" w:lineRule="exact"/>
              <w:ind w:left="160"/>
              <w:rPr>
                <w:sz w:val="18"/>
              </w:rPr>
            </w:pPr>
            <w:r>
              <w:rPr>
                <w:spacing w:val="-2"/>
                <w:sz w:val="18"/>
              </w:rPr>
              <w:t>Eximbank</w:t>
            </w:r>
          </w:p>
        </w:tc>
        <w:tc>
          <w:tcPr>
            <w:tcW w:w="1526" w:type="dxa"/>
            <w:tcBorders>
              <w:bottom w:val="single" w:sz="8" w:space="0" w:color="D9D9D9"/>
            </w:tcBorders>
          </w:tcPr>
          <w:p>
            <w:pPr>
              <w:pStyle w:val="TableParagraph"/>
              <w:spacing w:line="192" w:lineRule="exact"/>
              <w:ind w:left="203"/>
              <w:rPr>
                <w:sz w:val="18"/>
              </w:rPr>
            </w:pPr>
            <w:r>
              <w:rPr>
                <w:spacing w:val="-2"/>
                <w:sz w:val="18"/>
              </w:rPr>
              <w:t>Finance,</w:t>
            </w:r>
            <w:r>
              <w:rPr>
                <w:spacing w:val="-5"/>
                <w:sz w:val="18"/>
              </w:rPr>
              <w:t> </w:t>
            </w:r>
            <w:r>
              <w:rPr>
                <w:spacing w:val="-4"/>
                <w:sz w:val="18"/>
              </w:rPr>
              <w:t>TPDC</w:t>
            </w:r>
          </w:p>
        </w:tc>
        <w:tc>
          <w:tcPr>
            <w:tcW w:w="1896" w:type="dxa"/>
            <w:tcBorders>
              <w:bottom w:val="single" w:sz="8" w:space="0" w:color="D9D9D9"/>
            </w:tcBorders>
          </w:tcPr>
          <w:p>
            <w:pPr>
              <w:pStyle w:val="TableParagraph"/>
              <w:rPr>
                <w:rFonts w:ascii="Times New Roman"/>
                <w:sz w:val="20"/>
              </w:rPr>
            </w:pPr>
          </w:p>
        </w:tc>
        <w:tc>
          <w:tcPr>
            <w:tcW w:w="3279" w:type="dxa"/>
            <w:tcBorders>
              <w:bottom w:val="single" w:sz="8" w:space="0" w:color="D9D9D9"/>
            </w:tcBorders>
          </w:tcPr>
          <w:p>
            <w:pPr>
              <w:pStyle w:val="TableParagraph"/>
              <w:spacing w:line="192" w:lineRule="exact"/>
              <w:ind w:left="276"/>
              <w:rPr>
                <w:sz w:val="18"/>
              </w:rPr>
            </w:pPr>
            <w:r>
              <w:rPr>
                <w:spacing w:val="-2"/>
                <w:sz w:val="18"/>
              </w:rPr>
              <w:t>(2012)</w:t>
            </w:r>
          </w:p>
        </w:tc>
      </w:tr>
      <w:tr>
        <w:trPr>
          <w:trHeight w:val="234" w:hRule="atLeast"/>
        </w:trPr>
        <w:tc>
          <w:tcPr>
            <w:tcW w:w="1095" w:type="dxa"/>
            <w:tcBorders>
              <w:top w:val="single" w:sz="8" w:space="0" w:color="D9D9D9"/>
            </w:tcBorders>
          </w:tcPr>
          <w:p>
            <w:pPr>
              <w:pStyle w:val="TableParagraph"/>
              <w:spacing w:before="4"/>
              <w:ind w:left="25"/>
              <w:rPr>
                <w:sz w:val="18"/>
              </w:rPr>
            </w:pPr>
            <w:r>
              <w:rPr>
                <w:spacing w:val="-2"/>
                <w:sz w:val="18"/>
              </w:rPr>
              <w:t>Guinea</w:t>
            </w:r>
          </w:p>
        </w:tc>
        <w:tc>
          <w:tcPr>
            <w:tcW w:w="1142" w:type="dxa"/>
            <w:tcBorders>
              <w:top w:val="single" w:sz="8" w:space="0" w:color="D9D9D9"/>
            </w:tcBorders>
          </w:tcPr>
          <w:p>
            <w:pPr>
              <w:pStyle w:val="TableParagraph"/>
              <w:spacing w:before="4"/>
              <w:ind w:left="160"/>
              <w:rPr>
                <w:sz w:val="18"/>
              </w:rPr>
            </w:pPr>
            <w:r>
              <w:rPr>
                <w:spacing w:val="-4"/>
                <w:sz w:val="18"/>
              </w:rPr>
              <w:t>ICBC</w:t>
            </w:r>
          </w:p>
        </w:tc>
        <w:tc>
          <w:tcPr>
            <w:tcW w:w="1526" w:type="dxa"/>
            <w:tcBorders>
              <w:top w:val="single" w:sz="8" w:space="0" w:color="D9D9D9"/>
            </w:tcBorders>
          </w:tcPr>
          <w:p>
            <w:pPr>
              <w:pStyle w:val="TableParagraph"/>
              <w:spacing w:before="4"/>
              <w:ind w:left="203"/>
              <w:rPr>
                <w:sz w:val="18"/>
              </w:rPr>
            </w:pPr>
            <w:r>
              <w:rPr>
                <w:spacing w:val="-2"/>
                <w:sz w:val="18"/>
              </w:rPr>
              <w:t>Central</w:t>
            </w:r>
          </w:p>
        </w:tc>
        <w:tc>
          <w:tcPr>
            <w:tcW w:w="1896" w:type="dxa"/>
            <w:tcBorders>
              <w:top w:val="single" w:sz="8" w:space="0" w:color="D9D9D9"/>
            </w:tcBorders>
          </w:tcPr>
          <w:p>
            <w:pPr>
              <w:pStyle w:val="TableParagraph"/>
              <w:spacing w:before="4"/>
              <w:ind w:left="42"/>
              <w:rPr>
                <w:sz w:val="18"/>
              </w:rPr>
            </w:pPr>
            <w:r>
              <w:rPr>
                <w:sz w:val="18"/>
              </w:rPr>
              <w:t>€76.35</w:t>
            </w:r>
            <w:r>
              <w:rPr>
                <w:spacing w:val="-7"/>
                <w:sz w:val="18"/>
              </w:rPr>
              <w:t> </w:t>
            </w:r>
            <w:r>
              <w:rPr>
                <w:spacing w:val="-2"/>
                <w:sz w:val="18"/>
              </w:rPr>
              <w:t>million</w:t>
            </w:r>
          </w:p>
        </w:tc>
        <w:tc>
          <w:tcPr>
            <w:tcW w:w="3279" w:type="dxa"/>
            <w:tcBorders>
              <w:top w:val="single" w:sz="8" w:space="0" w:color="D9D9D9"/>
            </w:tcBorders>
          </w:tcPr>
          <w:p>
            <w:pPr>
              <w:pStyle w:val="TableParagraph"/>
              <w:spacing w:before="4"/>
              <w:ind w:left="276"/>
              <w:rPr>
                <w:sz w:val="18"/>
              </w:rPr>
            </w:pPr>
            <w:r>
              <w:rPr>
                <w:sz w:val="18"/>
              </w:rPr>
              <w:t>€559.4</w:t>
            </w:r>
            <w:r>
              <w:rPr>
                <w:spacing w:val="7"/>
                <w:sz w:val="18"/>
              </w:rPr>
              <w:t> </w:t>
            </w:r>
            <w:r>
              <w:rPr>
                <w:sz w:val="18"/>
              </w:rPr>
              <w:t>million</w:t>
            </w:r>
            <w:r>
              <w:rPr>
                <w:spacing w:val="8"/>
                <w:sz w:val="18"/>
              </w:rPr>
              <w:t> </w:t>
            </w:r>
            <w:r>
              <w:rPr>
                <w:spacing w:val="-2"/>
                <w:sz w:val="18"/>
              </w:rPr>
              <w:t>(2018)</w:t>
            </w:r>
          </w:p>
        </w:tc>
      </w:tr>
      <w:tr>
        <w:trPr>
          <w:trHeight w:val="265" w:hRule="atLeast"/>
        </w:trPr>
        <w:tc>
          <w:tcPr>
            <w:tcW w:w="1095" w:type="dxa"/>
            <w:tcBorders>
              <w:bottom w:val="single" w:sz="8" w:space="0" w:color="D9D9D9"/>
            </w:tcBorders>
          </w:tcPr>
          <w:p>
            <w:pPr>
              <w:pStyle w:val="TableParagraph"/>
              <w:rPr>
                <w:rFonts w:ascii="Times New Roman"/>
                <w:sz w:val="18"/>
              </w:rPr>
            </w:pPr>
          </w:p>
        </w:tc>
        <w:tc>
          <w:tcPr>
            <w:tcW w:w="1142" w:type="dxa"/>
            <w:tcBorders>
              <w:bottom w:val="single" w:sz="8" w:space="0" w:color="D9D9D9"/>
            </w:tcBorders>
          </w:tcPr>
          <w:p>
            <w:pPr>
              <w:pStyle w:val="TableParagraph"/>
              <w:rPr>
                <w:rFonts w:ascii="Times New Roman"/>
                <w:sz w:val="18"/>
              </w:rPr>
            </w:pPr>
          </w:p>
        </w:tc>
        <w:tc>
          <w:tcPr>
            <w:tcW w:w="1526" w:type="dxa"/>
            <w:tcBorders>
              <w:bottom w:val="single" w:sz="8" w:space="0" w:color="D9D9D9"/>
            </w:tcBorders>
          </w:tcPr>
          <w:p>
            <w:pPr>
              <w:pStyle w:val="TableParagraph"/>
              <w:spacing w:line="192" w:lineRule="exact"/>
              <w:ind w:left="203"/>
              <w:rPr>
                <w:sz w:val="18"/>
              </w:rPr>
            </w:pPr>
            <w:r>
              <w:rPr>
                <w:spacing w:val="-2"/>
                <w:sz w:val="18"/>
              </w:rPr>
              <w:t>Government</w:t>
            </w:r>
          </w:p>
        </w:tc>
        <w:tc>
          <w:tcPr>
            <w:tcW w:w="1896" w:type="dxa"/>
            <w:tcBorders>
              <w:bottom w:val="single" w:sz="8" w:space="0" w:color="D9D9D9"/>
            </w:tcBorders>
          </w:tcPr>
          <w:p>
            <w:pPr>
              <w:pStyle w:val="TableParagraph"/>
              <w:rPr>
                <w:rFonts w:ascii="Times New Roman"/>
                <w:sz w:val="18"/>
              </w:rPr>
            </w:pPr>
          </w:p>
        </w:tc>
        <w:tc>
          <w:tcPr>
            <w:tcW w:w="3279" w:type="dxa"/>
            <w:tcBorders>
              <w:bottom w:val="single" w:sz="8" w:space="0" w:color="D9D9D9"/>
            </w:tcBorders>
          </w:tcPr>
          <w:p>
            <w:pPr>
              <w:pStyle w:val="TableParagraph"/>
              <w:rPr>
                <w:rFonts w:ascii="Times New Roman"/>
                <w:sz w:val="18"/>
              </w:rPr>
            </w:pPr>
          </w:p>
        </w:tc>
      </w:tr>
      <w:tr>
        <w:trPr>
          <w:trHeight w:val="239" w:hRule="atLeast"/>
        </w:trPr>
        <w:tc>
          <w:tcPr>
            <w:tcW w:w="1095" w:type="dxa"/>
            <w:tcBorders>
              <w:top w:val="single" w:sz="8" w:space="0" w:color="D9D9D9"/>
            </w:tcBorders>
          </w:tcPr>
          <w:p>
            <w:pPr>
              <w:pStyle w:val="TableParagraph"/>
              <w:spacing w:before="9"/>
              <w:ind w:left="25"/>
              <w:rPr>
                <w:sz w:val="18"/>
              </w:rPr>
            </w:pPr>
            <w:r>
              <w:rPr>
                <w:sz w:val="18"/>
              </w:rPr>
              <w:t>Republic</w:t>
            </w:r>
            <w:r>
              <w:rPr>
                <w:spacing w:val="-5"/>
                <w:sz w:val="18"/>
              </w:rPr>
              <w:t> of</w:t>
            </w:r>
          </w:p>
        </w:tc>
        <w:tc>
          <w:tcPr>
            <w:tcW w:w="1142" w:type="dxa"/>
            <w:tcBorders>
              <w:top w:val="single" w:sz="8" w:space="0" w:color="D9D9D9"/>
            </w:tcBorders>
          </w:tcPr>
          <w:p>
            <w:pPr>
              <w:pStyle w:val="TableParagraph"/>
              <w:spacing w:before="9"/>
              <w:ind w:left="160"/>
              <w:rPr>
                <w:sz w:val="18"/>
              </w:rPr>
            </w:pPr>
            <w:r>
              <w:rPr>
                <w:spacing w:val="-2"/>
                <w:sz w:val="18"/>
              </w:rPr>
              <w:t>China</w:t>
            </w:r>
          </w:p>
        </w:tc>
        <w:tc>
          <w:tcPr>
            <w:tcW w:w="1526" w:type="dxa"/>
            <w:tcBorders>
              <w:top w:val="single" w:sz="8" w:space="0" w:color="D9D9D9"/>
            </w:tcBorders>
          </w:tcPr>
          <w:p>
            <w:pPr>
              <w:pStyle w:val="TableParagraph"/>
              <w:spacing w:before="9"/>
              <w:ind w:left="203"/>
              <w:rPr>
                <w:sz w:val="18"/>
              </w:rPr>
            </w:pPr>
            <w:r>
              <w:rPr>
                <w:spacing w:val="-2"/>
                <w:sz w:val="18"/>
              </w:rPr>
              <w:t>Central</w:t>
            </w:r>
          </w:p>
        </w:tc>
        <w:tc>
          <w:tcPr>
            <w:tcW w:w="1896" w:type="dxa"/>
            <w:tcBorders>
              <w:top w:val="single" w:sz="8" w:space="0" w:color="D9D9D9"/>
            </w:tcBorders>
          </w:tcPr>
          <w:p>
            <w:pPr>
              <w:pStyle w:val="TableParagraph"/>
              <w:spacing w:before="9"/>
              <w:ind w:left="42"/>
              <w:rPr>
                <w:sz w:val="18"/>
              </w:rPr>
            </w:pPr>
            <w:r>
              <w:rPr>
                <w:sz w:val="18"/>
              </w:rPr>
              <w:t>$338</w:t>
            </w:r>
            <w:r>
              <w:rPr>
                <w:spacing w:val="-6"/>
                <w:sz w:val="18"/>
              </w:rPr>
              <w:t> </w:t>
            </w:r>
            <w:r>
              <w:rPr>
                <w:spacing w:val="-2"/>
                <w:sz w:val="18"/>
              </w:rPr>
              <w:t>million</w:t>
            </w:r>
          </w:p>
        </w:tc>
        <w:tc>
          <w:tcPr>
            <w:tcW w:w="3279" w:type="dxa"/>
            <w:tcBorders>
              <w:top w:val="single" w:sz="8" w:space="0" w:color="D9D9D9"/>
            </w:tcBorders>
          </w:tcPr>
          <w:p>
            <w:pPr>
              <w:pStyle w:val="TableParagraph"/>
              <w:spacing w:before="9"/>
              <w:ind w:left="276"/>
              <w:rPr>
                <w:sz w:val="18"/>
              </w:rPr>
            </w:pPr>
            <w:r>
              <w:rPr>
                <w:sz w:val="18"/>
              </w:rPr>
              <w:t>~20</w:t>
            </w:r>
            <w:r>
              <w:rPr>
                <w:spacing w:val="5"/>
                <w:sz w:val="18"/>
              </w:rPr>
              <w:t> </w:t>
            </w:r>
            <w:r>
              <w:rPr>
                <w:sz w:val="18"/>
              </w:rPr>
              <w:t>loans</w:t>
            </w:r>
            <w:r>
              <w:rPr>
                <w:spacing w:val="6"/>
                <w:sz w:val="18"/>
              </w:rPr>
              <w:t> </w:t>
            </w:r>
            <w:r>
              <w:rPr>
                <w:sz w:val="18"/>
              </w:rPr>
              <w:t>under</w:t>
            </w:r>
            <w:r>
              <w:rPr>
                <w:spacing w:val="6"/>
                <w:sz w:val="18"/>
              </w:rPr>
              <w:t> </w:t>
            </w:r>
            <w:r>
              <w:rPr>
                <w:sz w:val="18"/>
              </w:rPr>
              <w:t>$1.6</w:t>
            </w:r>
            <w:r>
              <w:rPr>
                <w:spacing w:val="6"/>
                <w:sz w:val="18"/>
              </w:rPr>
              <w:t> </w:t>
            </w:r>
            <w:r>
              <w:rPr>
                <w:sz w:val="18"/>
              </w:rPr>
              <w:t>billion</w:t>
            </w:r>
            <w:r>
              <w:rPr>
                <w:spacing w:val="6"/>
                <w:sz w:val="18"/>
              </w:rPr>
              <w:t> </w:t>
            </w:r>
            <w:r>
              <w:rPr>
                <w:spacing w:val="-2"/>
                <w:sz w:val="18"/>
              </w:rPr>
              <w:t>(2006)</w:t>
            </w:r>
          </w:p>
        </w:tc>
      </w:tr>
      <w:tr>
        <w:trPr>
          <w:trHeight w:val="215" w:hRule="atLeast"/>
        </w:trPr>
        <w:tc>
          <w:tcPr>
            <w:tcW w:w="1095" w:type="dxa"/>
          </w:tcPr>
          <w:p>
            <w:pPr>
              <w:pStyle w:val="TableParagraph"/>
              <w:spacing w:line="192" w:lineRule="exact"/>
              <w:ind w:left="25"/>
              <w:rPr>
                <w:sz w:val="18"/>
              </w:rPr>
            </w:pPr>
            <w:r>
              <w:rPr>
                <w:spacing w:val="-2"/>
                <w:w w:val="105"/>
                <w:sz w:val="18"/>
              </w:rPr>
              <w:t>Congo</w:t>
            </w:r>
          </w:p>
        </w:tc>
        <w:tc>
          <w:tcPr>
            <w:tcW w:w="1142" w:type="dxa"/>
          </w:tcPr>
          <w:p>
            <w:pPr>
              <w:pStyle w:val="TableParagraph"/>
              <w:spacing w:line="192" w:lineRule="exact"/>
              <w:ind w:left="160"/>
              <w:rPr>
                <w:sz w:val="18"/>
              </w:rPr>
            </w:pPr>
            <w:r>
              <w:rPr>
                <w:spacing w:val="-2"/>
                <w:sz w:val="18"/>
              </w:rPr>
              <w:t>Eximbank</w:t>
            </w:r>
          </w:p>
        </w:tc>
        <w:tc>
          <w:tcPr>
            <w:tcW w:w="1526" w:type="dxa"/>
          </w:tcPr>
          <w:p>
            <w:pPr>
              <w:pStyle w:val="TableParagraph"/>
              <w:spacing w:line="192" w:lineRule="exact"/>
              <w:ind w:left="203"/>
              <w:rPr>
                <w:sz w:val="18"/>
              </w:rPr>
            </w:pPr>
            <w:r>
              <w:rPr>
                <w:spacing w:val="-2"/>
                <w:sz w:val="18"/>
              </w:rPr>
              <w:t>Government</w:t>
            </w:r>
          </w:p>
        </w:tc>
        <w:tc>
          <w:tcPr>
            <w:tcW w:w="1896" w:type="dxa"/>
          </w:tcPr>
          <w:p>
            <w:pPr>
              <w:pStyle w:val="TableParagraph"/>
              <w:rPr>
                <w:rFonts w:ascii="Times New Roman"/>
                <w:sz w:val="14"/>
              </w:rPr>
            </w:pPr>
          </w:p>
        </w:tc>
        <w:tc>
          <w:tcPr>
            <w:tcW w:w="3279" w:type="dxa"/>
          </w:tcPr>
          <w:p>
            <w:pPr>
              <w:pStyle w:val="TableParagraph"/>
              <w:spacing w:line="192" w:lineRule="exact"/>
              <w:ind w:left="276"/>
              <w:rPr>
                <w:sz w:val="18"/>
              </w:rPr>
            </w:pPr>
            <w:r>
              <w:rPr>
                <w:sz w:val="18"/>
              </w:rPr>
              <w:t>and</w:t>
            </w:r>
            <w:r>
              <w:rPr>
                <w:spacing w:val="-2"/>
                <w:sz w:val="18"/>
              </w:rPr>
              <w:t> </w:t>
            </w:r>
            <w:r>
              <w:rPr>
                <w:sz w:val="18"/>
              </w:rPr>
              <w:t>$1</w:t>
            </w:r>
            <w:r>
              <w:rPr>
                <w:spacing w:val="-1"/>
                <w:sz w:val="18"/>
              </w:rPr>
              <w:t> </w:t>
            </w:r>
            <w:r>
              <w:rPr>
                <w:sz w:val="18"/>
              </w:rPr>
              <w:t>billion</w:t>
            </w:r>
            <w:r>
              <w:rPr>
                <w:spacing w:val="-1"/>
                <w:sz w:val="18"/>
              </w:rPr>
              <w:t> </w:t>
            </w:r>
            <w:r>
              <w:rPr>
                <w:sz w:val="18"/>
              </w:rPr>
              <w:t>(2012)</w:t>
            </w:r>
            <w:r>
              <w:rPr>
                <w:spacing w:val="-1"/>
                <w:sz w:val="18"/>
              </w:rPr>
              <w:t> </w:t>
            </w:r>
            <w:r>
              <w:rPr>
                <w:spacing w:val="-2"/>
                <w:sz w:val="18"/>
              </w:rPr>
              <w:t>framework</w:t>
            </w:r>
          </w:p>
        </w:tc>
      </w:tr>
      <w:tr>
        <w:trPr>
          <w:trHeight w:val="187" w:hRule="atLeast"/>
        </w:trPr>
        <w:tc>
          <w:tcPr>
            <w:tcW w:w="1095" w:type="dxa"/>
            <w:tcBorders>
              <w:bottom w:val="single" w:sz="8" w:space="0" w:color="D9D9D9"/>
            </w:tcBorders>
          </w:tcPr>
          <w:p>
            <w:pPr>
              <w:pStyle w:val="TableParagraph"/>
              <w:rPr>
                <w:rFonts w:ascii="Times New Roman"/>
                <w:sz w:val="12"/>
              </w:rPr>
            </w:pPr>
          </w:p>
        </w:tc>
        <w:tc>
          <w:tcPr>
            <w:tcW w:w="1142" w:type="dxa"/>
            <w:tcBorders>
              <w:bottom w:val="single" w:sz="8" w:space="0" w:color="D9D9D9"/>
            </w:tcBorders>
          </w:tcPr>
          <w:p>
            <w:pPr>
              <w:pStyle w:val="TableParagraph"/>
              <w:rPr>
                <w:rFonts w:ascii="Times New Roman"/>
                <w:sz w:val="12"/>
              </w:rPr>
            </w:pPr>
          </w:p>
        </w:tc>
        <w:tc>
          <w:tcPr>
            <w:tcW w:w="1526" w:type="dxa"/>
            <w:tcBorders>
              <w:bottom w:val="single" w:sz="8" w:space="0" w:color="D9D9D9"/>
            </w:tcBorders>
          </w:tcPr>
          <w:p>
            <w:pPr>
              <w:pStyle w:val="TableParagraph"/>
              <w:rPr>
                <w:rFonts w:ascii="Times New Roman"/>
                <w:sz w:val="12"/>
              </w:rPr>
            </w:pPr>
          </w:p>
        </w:tc>
        <w:tc>
          <w:tcPr>
            <w:tcW w:w="1896" w:type="dxa"/>
            <w:tcBorders>
              <w:bottom w:val="single" w:sz="8" w:space="0" w:color="D9D9D9"/>
            </w:tcBorders>
          </w:tcPr>
          <w:p>
            <w:pPr>
              <w:pStyle w:val="TableParagraph"/>
              <w:rPr>
                <w:rFonts w:ascii="Times New Roman"/>
                <w:sz w:val="12"/>
              </w:rPr>
            </w:pPr>
          </w:p>
        </w:tc>
        <w:tc>
          <w:tcPr>
            <w:tcW w:w="3279" w:type="dxa"/>
            <w:tcBorders>
              <w:bottom w:val="single" w:sz="8" w:space="0" w:color="D9D9D9"/>
            </w:tcBorders>
          </w:tcPr>
          <w:p>
            <w:pPr>
              <w:pStyle w:val="TableParagraph"/>
              <w:spacing w:line="164" w:lineRule="exact"/>
              <w:ind w:left="276"/>
              <w:rPr>
                <w:sz w:val="18"/>
              </w:rPr>
            </w:pPr>
            <w:r>
              <w:rPr>
                <w:spacing w:val="-2"/>
                <w:sz w:val="18"/>
              </w:rPr>
              <w:t>agreements</w:t>
            </w:r>
          </w:p>
        </w:tc>
      </w:tr>
      <w:tr>
        <w:trPr>
          <w:trHeight w:val="239" w:hRule="atLeast"/>
        </w:trPr>
        <w:tc>
          <w:tcPr>
            <w:tcW w:w="1095" w:type="dxa"/>
            <w:tcBorders>
              <w:top w:val="single" w:sz="8" w:space="0" w:color="D9D9D9"/>
            </w:tcBorders>
          </w:tcPr>
          <w:p>
            <w:pPr>
              <w:pStyle w:val="TableParagraph"/>
              <w:spacing w:before="12"/>
              <w:ind w:left="25"/>
              <w:rPr>
                <w:sz w:val="18"/>
              </w:rPr>
            </w:pPr>
            <w:r>
              <w:rPr>
                <w:spacing w:val="-2"/>
                <w:sz w:val="18"/>
              </w:rPr>
              <w:t>Suriname</w:t>
            </w:r>
          </w:p>
        </w:tc>
        <w:tc>
          <w:tcPr>
            <w:tcW w:w="1142" w:type="dxa"/>
            <w:tcBorders>
              <w:top w:val="single" w:sz="8" w:space="0" w:color="D9D9D9"/>
            </w:tcBorders>
          </w:tcPr>
          <w:p>
            <w:pPr>
              <w:pStyle w:val="TableParagraph"/>
              <w:spacing w:before="12"/>
              <w:ind w:left="160"/>
              <w:rPr>
                <w:sz w:val="18"/>
              </w:rPr>
            </w:pPr>
            <w:r>
              <w:rPr>
                <w:spacing w:val="-2"/>
                <w:sz w:val="18"/>
              </w:rPr>
              <w:t>China</w:t>
            </w:r>
          </w:p>
        </w:tc>
        <w:tc>
          <w:tcPr>
            <w:tcW w:w="1526" w:type="dxa"/>
            <w:tcBorders>
              <w:top w:val="single" w:sz="8" w:space="0" w:color="D9D9D9"/>
            </w:tcBorders>
          </w:tcPr>
          <w:p>
            <w:pPr>
              <w:pStyle w:val="TableParagraph"/>
              <w:spacing w:before="12"/>
              <w:ind w:left="203"/>
              <w:rPr>
                <w:sz w:val="18"/>
              </w:rPr>
            </w:pPr>
            <w:r>
              <w:rPr>
                <w:spacing w:val="-2"/>
                <w:sz w:val="18"/>
              </w:rPr>
              <w:t>Central</w:t>
            </w:r>
          </w:p>
        </w:tc>
        <w:tc>
          <w:tcPr>
            <w:tcW w:w="1896" w:type="dxa"/>
            <w:tcBorders>
              <w:top w:val="single" w:sz="8" w:space="0" w:color="D9D9D9"/>
            </w:tcBorders>
          </w:tcPr>
          <w:p>
            <w:pPr>
              <w:pStyle w:val="TableParagraph"/>
              <w:spacing w:before="12"/>
              <w:ind w:left="42"/>
              <w:rPr>
                <w:sz w:val="18"/>
              </w:rPr>
            </w:pPr>
            <w:r>
              <w:rPr>
                <w:sz w:val="18"/>
              </w:rPr>
              <w:t>$9.3</w:t>
            </w:r>
            <w:r>
              <w:rPr>
                <w:spacing w:val="-5"/>
                <w:sz w:val="18"/>
              </w:rPr>
              <w:t> </w:t>
            </w:r>
            <w:r>
              <w:rPr>
                <w:spacing w:val="-2"/>
                <w:sz w:val="18"/>
              </w:rPr>
              <w:t>million</w:t>
            </w:r>
          </w:p>
        </w:tc>
        <w:tc>
          <w:tcPr>
            <w:tcW w:w="3279" w:type="dxa"/>
            <w:tcBorders>
              <w:top w:val="single" w:sz="8" w:space="0" w:color="D9D9D9"/>
            </w:tcBorders>
          </w:tcPr>
          <w:p>
            <w:pPr>
              <w:pStyle w:val="TableParagraph"/>
              <w:spacing w:before="12"/>
              <w:ind w:left="276"/>
              <w:rPr>
                <w:sz w:val="18"/>
              </w:rPr>
            </w:pPr>
            <w:r>
              <w:rPr>
                <w:sz w:val="18"/>
              </w:rPr>
              <w:t>$98.4</w:t>
            </w:r>
            <w:r>
              <w:rPr>
                <w:spacing w:val="8"/>
                <w:sz w:val="18"/>
              </w:rPr>
              <w:t> </w:t>
            </w:r>
            <w:r>
              <w:rPr>
                <w:sz w:val="18"/>
              </w:rPr>
              <w:t>million</w:t>
            </w:r>
            <w:r>
              <w:rPr>
                <w:spacing w:val="8"/>
                <w:sz w:val="18"/>
              </w:rPr>
              <w:t> </w:t>
            </w:r>
            <w:r>
              <w:rPr>
                <w:spacing w:val="-2"/>
                <w:sz w:val="18"/>
              </w:rPr>
              <w:t>(2016)</w:t>
            </w:r>
          </w:p>
        </w:tc>
      </w:tr>
      <w:tr>
        <w:trPr>
          <w:trHeight w:val="216" w:hRule="atLeast"/>
        </w:trPr>
        <w:tc>
          <w:tcPr>
            <w:tcW w:w="1095" w:type="dxa"/>
          </w:tcPr>
          <w:p>
            <w:pPr>
              <w:pStyle w:val="TableParagraph"/>
              <w:rPr>
                <w:rFonts w:ascii="Times New Roman"/>
                <w:sz w:val="14"/>
              </w:rPr>
            </w:pPr>
          </w:p>
        </w:tc>
        <w:tc>
          <w:tcPr>
            <w:tcW w:w="1142" w:type="dxa"/>
          </w:tcPr>
          <w:p>
            <w:pPr>
              <w:pStyle w:val="TableParagraph"/>
              <w:spacing w:line="192" w:lineRule="exact"/>
              <w:ind w:left="160"/>
              <w:rPr>
                <w:sz w:val="18"/>
              </w:rPr>
            </w:pPr>
            <w:r>
              <w:rPr>
                <w:spacing w:val="-2"/>
                <w:sz w:val="18"/>
              </w:rPr>
              <w:t>Eximbank</w:t>
            </w:r>
          </w:p>
        </w:tc>
        <w:tc>
          <w:tcPr>
            <w:tcW w:w="1526" w:type="dxa"/>
          </w:tcPr>
          <w:p>
            <w:pPr>
              <w:pStyle w:val="TableParagraph"/>
              <w:spacing w:line="192" w:lineRule="exact"/>
              <w:ind w:left="203"/>
              <w:rPr>
                <w:sz w:val="18"/>
              </w:rPr>
            </w:pPr>
            <w:r>
              <w:rPr>
                <w:spacing w:val="-2"/>
                <w:sz w:val="18"/>
              </w:rPr>
              <w:t>Government,</w:t>
            </w:r>
          </w:p>
        </w:tc>
        <w:tc>
          <w:tcPr>
            <w:tcW w:w="1896" w:type="dxa"/>
          </w:tcPr>
          <w:p>
            <w:pPr>
              <w:pStyle w:val="TableParagraph"/>
              <w:rPr>
                <w:rFonts w:ascii="Times New Roman"/>
                <w:sz w:val="14"/>
              </w:rPr>
            </w:pPr>
          </w:p>
        </w:tc>
        <w:tc>
          <w:tcPr>
            <w:tcW w:w="3279" w:type="dxa"/>
          </w:tcPr>
          <w:p>
            <w:pPr>
              <w:pStyle w:val="TableParagraph"/>
              <w:rPr>
                <w:rFonts w:ascii="Times New Roman"/>
                <w:sz w:val="14"/>
              </w:rPr>
            </w:pPr>
          </w:p>
        </w:tc>
      </w:tr>
      <w:tr>
        <w:trPr>
          <w:trHeight w:val="188" w:hRule="atLeast"/>
        </w:trPr>
        <w:tc>
          <w:tcPr>
            <w:tcW w:w="1095" w:type="dxa"/>
            <w:tcBorders>
              <w:bottom w:val="single" w:sz="8" w:space="0" w:color="D9D9D9"/>
            </w:tcBorders>
          </w:tcPr>
          <w:p>
            <w:pPr>
              <w:pStyle w:val="TableParagraph"/>
              <w:rPr>
                <w:rFonts w:ascii="Times New Roman"/>
                <w:sz w:val="12"/>
              </w:rPr>
            </w:pPr>
          </w:p>
        </w:tc>
        <w:tc>
          <w:tcPr>
            <w:tcW w:w="1142" w:type="dxa"/>
            <w:tcBorders>
              <w:bottom w:val="single" w:sz="8" w:space="0" w:color="D9D9D9"/>
            </w:tcBorders>
          </w:tcPr>
          <w:p>
            <w:pPr>
              <w:pStyle w:val="TableParagraph"/>
              <w:rPr>
                <w:rFonts w:ascii="Times New Roman"/>
                <w:sz w:val="12"/>
              </w:rPr>
            </w:pPr>
          </w:p>
        </w:tc>
        <w:tc>
          <w:tcPr>
            <w:tcW w:w="1526" w:type="dxa"/>
            <w:tcBorders>
              <w:bottom w:val="single" w:sz="8" w:space="0" w:color="D9D9D9"/>
            </w:tcBorders>
          </w:tcPr>
          <w:p>
            <w:pPr>
              <w:pStyle w:val="TableParagraph"/>
              <w:spacing w:line="161" w:lineRule="exact"/>
              <w:ind w:left="203"/>
              <w:rPr>
                <w:sz w:val="18"/>
              </w:rPr>
            </w:pPr>
            <w:r>
              <w:rPr>
                <w:spacing w:val="-2"/>
                <w:sz w:val="18"/>
              </w:rPr>
              <w:t>Telesur</w:t>
            </w:r>
          </w:p>
        </w:tc>
        <w:tc>
          <w:tcPr>
            <w:tcW w:w="1896" w:type="dxa"/>
            <w:tcBorders>
              <w:bottom w:val="single" w:sz="8" w:space="0" w:color="D9D9D9"/>
            </w:tcBorders>
          </w:tcPr>
          <w:p>
            <w:pPr>
              <w:pStyle w:val="TableParagraph"/>
              <w:rPr>
                <w:rFonts w:ascii="Times New Roman"/>
                <w:sz w:val="12"/>
              </w:rPr>
            </w:pPr>
          </w:p>
        </w:tc>
        <w:tc>
          <w:tcPr>
            <w:tcW w:w="3279" w:type="dxa"/>
            <w:tcBorders>
              <w:bottom w:val="single" w:sz="8" w:space="0" w:color="D9D9D9"/>
            </w:tcBorders>
          </w:tcPr>
          <w:p>
            <w:pPr>
              <w:pStyle w:val="TableParagraph"/>
              <w:rPr>
                <w:rFonts w:ascii="Times New Roman"/>
                <w:sz w:val="12"/>
              </w:rPr>
            </w:pPr>
          </w:p>
        </w:tc>
      </w:tr>
      <w:tr>
        <w:trPr>
          <w:trHeight w:val="238" w:hRule="atLeast"/>
        </w:trPr>
        <w:tc>
          <w:tcPr>
            <w:tcW w:w="1095" w:type="dxa"/>
            <w:tcBorders>
              <w:top w:val="single" w:sz="8" w:space="0" w:color="D9D9D9"/>
            </w:tcBorders>
          </w:tcPr>
          <w:p>
            <w:pPr>
              <w:pStyle w:val="TableParagraph"/>
              <w:spacing w:before="15"/>
              <w:ind w:left="25"/>
              <w:rPr>
                <w:sz w:val="18"/>
              </w:rPr>
            </w:pPr>
            <w:r>
              <w:rPr>
                <w:spacing w:val="-2"/>
                <w:sz w:val="18"/>
              </w:rPr>
              <w:t>Ghana</w:t>
            </w:r>
          </w:p>
        </w:tc>
        <w:tc>
          <w:tcPr>
            <w:tcW w:w="1142" w:type="dxa"/>
            <w:tcBorders>
              <w:top w:val="single" w:sz="8" w:space="0" w:color="D9D9D9"/>
            </w:tcBorders>
          </w:tcPr>
          <w:p>
            <w:pPr>
              <w:pStyle w:val="TableParagraph"/>
              <w:spacing w:before="15"/>
              <w:ind w:left="160"/>
              <w:rPr>
                <w:sz w:val="18"/>
              </w:rPr>
            </w:pPr>
            <w:r>
              <w:rPr>
                <w:spacing w:val="-5"/>
                <w:sz w:val="18"/>
              </w:rPr>
              <w:t>CDB</w:t>
            </w:r>
          </w:p>
        </w:tc>
        <w:tc>
          <w:tcPr>
            <w:tcW w:w="1526" w:type="dxa"/>
            <w:tcBorders>
              <w:top w:val="single" w:sz="8" w:space="0" w:color="D9D9D9"/>
            </w:tcBorders>
          </w:tcPr>
          <w:p>
            <w:pPr>
              <w:pStyle w:val="TableParagraph"/>
              <w:spacing w:before="15"/>
              <w:ind w:left="203"/>
              <w:rPr>
                <w:sz w:val="18"/>
              </w:rPr>
            </w:pPr>
            <w:r>
              <w:rPr>
                <w:spacing w:val="-2"/>
                <w:sz w:val="18"/>
              </w:rPr>
              <w:t>Central</w:t>
            </w:r>
          </w:p>
        </w:tc>
        <w:tc>
          <w:tcPr>
            <w:tcW w:w="1896" w:type="dxa"/>
            <w:tcBorders>
              <w:top w:val="single" w:sz="8" w:space="0" w:color="D9D9D9"/>
            </w:tcBorders>
          </w:tcPr>
          <w:p>
            <w:pPr>
              <w:pStyle w:val="TableParagraph"/>
              <w:spacing w:before="15"/>
              <w:ind w:left="42"/>
              <w:rPr>
                <w:sz w:val="18"/>
              </w:rPr>
            </w:pPr>
            <w:r>
              <w:rPr>
                <w:sz w:val="18"/>
              </w:rPr>
              <w:t>$71.2</w:t>
            </w:r>
            <w:r>
              <w:rPr>
                <w:spacing w:val="-6"/>
                <w:sz w:val="18"/>
              </w:rPr>
              <w:t> </w:t>
            </w:r>
            <w:r>
              <w:rPr>
                <w:spacing w:val="-2"/>
                <w:sz w:val="18"/>
              </w:rPr>
              <w:t>million</w:t>
            </w:r>
          </w:p>
        </w:tc>
        <w:tc>
          <w:tcPr>
            <w:tcW w:w="3279" w:type="dxa"/>
            <w:tcBorders>
              <w:top w:val="single" w:sz="8" w:space="0" w:color="D9D9D9"/>
            </w:tcBorders>
          </w:tcPr>
          <w:p>
            <w:pPr>
              <w:pStyle w:val="TableParagraph"/>
              <w:spacing w:before="15"/>
              <w:ind w:left="276"/>
              <w:rPr>
                <w:sz w:val="18"/>
              </w:rPr>
            </w:pPr>
            <w:r>
              <w:rPr>
                <w:sz w:val="18"/>
              </w:rPr>
              <w:t>$850</w:t>
            </w:r>
            <w:r>
              <w:rPr>
                <w:spacing w:val="-5"/>
                <w:sz w:val="18"/>
              </w:rPr>
              <w:t> </w:t>
            </w:r>
            <w:r>
              <w:rPr>
                <w:sz w:val="18"/>
              </w:rPr>
              <w:t>million</w:t>
            </w:r>
            <w:r>
              <w:rPr>
                <w:spacing w:val="-4"/>
                <w:sz w:val="18"/>
              </w:rPr>
              <w:t> </w:t>
            </w:r>
            <w:r>
              <w:rPr>
                <w:sz w:val="18"/>
              </w:rPr>
              <w:t>(2012),</w:t>
            </w:r>
            <w:r>
              <w:rPr>
                <w:spacing w:val="-5"/>
                <w:sz w:val="18"/>
              </w:rPr>
              <w:t> </w:t>
            </w:r>
            <w:r>
              <w:rPr>
                <w:sz w:val="18"/>
              </w:rPr>
              <w:t>$150</w:t>
            </w:r>
            <w:r>
              <w:rPr>
                <w:spacing w:val="-4"/>
                <w:sz w:val="18"/>
              </w:rPr>
              <w:t> </w:t>
            </w:r>
            <w:r>
              <w:rPr>
                <w:spacing w:val="-2"/>
                <w:sz w:val="18"/>
              </w:rPr>
              <w:t>million</w:t>
            </w:r>
          </w:p>
        </w:tc>
      </w:tr>
      <w:tr>
        <w:trPr>
          <w:trHeight w:val="216" w:hRule="atLeast"/>
        </w:trPr>
        <w:tc>
          <w:tcPr>
            <w:tcW w:w="1095" w:type="dxa"/>
          </w:tcPr>
          <w:p>
            <w:pPr>
              <w:pStyle w:val="TableParagraph"/>
              <w:rPr>
                <w:rFonts w:ascii="Times New Roman"/>
                <w:sz w:val="14"/>
              </w:rPr>
            </w:pPr>
          </w:p>
        </w:tc>
        <w:tc>
          <w:tcPr>
            <w:tcW w:w="1142" w:type="dxa"/>
          </w:tcPr>
          <w:p>
            <w:pPr>
              <w:pStyle w:val="TableParagraph"/>
              <w:rPr>
                <w:rFonts w:ascii="Times New Roman"/>
                <w:sz w:val="14"/>
              </w:rPr>
            </w:pPr>
          </w:p>
        </w:tc>
        <w:tc>
          <w:tcPr>
            <w:tcW w:w="1526" w:type="dxa"/>
          </w:tcPr>
          <w:p>
            <w:pPr>
              <w:pStyle w:val="TableParagraph"/>
              <w:spacing w:line="192" w:lineRule="exact"/>
              <w:ind w:left="203"/>
              <w:rPr>
                <w:sz w:val="18"/>
              </w:rPr>
            </w:pPr>
            <w:r>
              <w:rPr>
                <w:spacing w:val="-2"/>
                <w:sz w:val="18"/>
              </w:rPr>
              <w:t>Government</w:t>
            </w:r>
          </w:p>
        </w:tc>
        <w:tc>
          <w:tcPr>
            <w:tcW w:w="1896" w:type="dxa"/>
          </w:tcPr>
          <w:p>
            <w:pPr>
              <w:pStyle w:val="TableParagraph"/>
              <w:rPr>
                <w:rFonts w:ascii="Times New Roman"/>
                <w:sz w:val="14"/>
              </w:rPr>
            </w:pPr>
          </w:p>
        </w:tc>
        <w:tc>
          <w:tcPr>
            <w:tcW w:w="3279" w:type="dxa"/>
          </w:tcPr>
          <w:p>
            <w:pPr>
              <w:pStyle w:val="TableParagraph"/>
              <w:spacing w:line="192" w:lineRule="exact"/>
              <w:ind w:left="276"/>
              <w:rPr>
                <w:sz w:val="18"/>
              </w:rPr>
            </w:pPr>
            <w:r>
              <w:rPr>
                <w:sz w:val="18"/>
              </w:rPr>
              <w:t>(2013),</w:t>
            </w:r>
            <w:r>
              <w:rPr>
                <w:spacing w:val="-12"/>
                <w:sz w:val="18"/>
              </w:rPr>
              <w:t> </w:t>
            </w:r>
            <w:r>
              <w:rPr>
                <w:sz w:val="18"/>
              </w:rPr>
              <w:t>$210.6</w:t>
            </w:r>
            <w:r>
              <w:rPr>
                <w:spacing w:val="-11"/>
                <w:sz w:val="18"/>
              </w:rPr>
              <w:t> </w:t>
            </w:r>
            <w:r>
              <w:rPr>
                <w:sz w:val="18"/>
              </w:rPr>
              <w:t>million</w:t>
            </w:r>
            <w:r>
              <w:rPr>
                <w:spacing w:val="-11"/>
                <w:sz w:val="18"/>
              </w:rPr>
              <w:t> </w:t>
            </w:r>
            <w:r>
              <w:rPr>
                <w:sz w:val="18"/>
              </w:rPr>
              <w:t>(2019),</w:t>
            </w:r>
            <w:r>
              <w:rPr>
                <w:spacing w:val="-11"/>
                <w:sz w:val="18"/>
              </w:rPr>
              <w:t> </w:t>
            </w:r>
            <w:r>
              <w:rPr>
                <w:spacing w:val="-2"/>
                <w:sz w:val="18"/>
              </w:rPr>
              <w:t>$185.5</w:t>
            </w:r>
          </w:p>
        </w:tc>
      </w:tr>
      <w:tr>
        <w:trPr>
          <w:trHeight w:val="188" w:hRule="atLeast"/>
        </w:trPr>
        <w:tc>
          <w:tcPr>
            <w:tcW w:w="1095" w:type="dxa"/>
            <w:tcBorders>
              <w:bottom w:val="single" w:sz="8" w:space="0" w:color="D9D9D9"/>
            </w:tcBorders>
          </w:tcPr>
          <w:p>
            <w:pPr>
              <w:pStyle w:val="TableParagraph"/>
              <w:rPr>
                <w:rFonts w:ascii="Times New Roman"/>
                <w:sz w:val="12"/>
              </w:rPr>
            </w:pPr>
          </w:p>
        </w:tc>
        <w:tc>
          <w:tcPr>
            <w:tcW w:w="1142" w:type="dxa"/>
            <w:tcBorders>
              <w:bottom w:val="single" w:sz="8" w:space="0" w:color="D9D9D9"/>
            </w:tcBorders>
          </w:tcPr>
          <w:p>
            <w:pPr>
              <w:pStyle w:val="TableParagraph"/>
              <w:rPr>
                <w:rFonts w:ascii="Times New Roman"/>
                <w:sz w:val="12"/>
              </w:rPr>
            </w:pPr>
          </w:p>
        </w:tc>
        <w:tc>
          <w:tcPr>
            <w:tcW w:w="1526" w:type="dxa"/>
            <w:tcBorders>
              <w:bottom w:val="single" w:sz="8" w:space="0" w:color="D9D9D9"/>
            </w:tcBorders>
          </w:tcPr>
          <w:p>
            <w:pPr>
              <w:pStyle w:val="TableParagraph"/>
              <w:rPr>
                <w:rFonts w:ascii="Times New Roman"/>
                <w:sz w:val="12"/>
              </w:rPr>
            </w:pPr>
          </w:p>
        </w:tc>
        <w:tc>
          <w:tcPr>
            <w:tcW w:w="1896" w:type="dxa"/>
            <w:tcBorders>
              <w:bottom w:val="single" w:sz="8" w:space="0" w:color="D9D9D9"/>
            </w:tcBorders>
          </w:tcPr>
          <w:p>
            <w:pPr>
              <w:pStyle w:val="TableParagraph"/>
              <w:rPr>
                <w:rFonts w:ascii="Times New Roman"/>
                <w:sz w:val="12"/>
              </w:rPr>
            </w:pPr>
          </w:p>
        </w:tc>
        <w:tc>
          <w:tcPr>
            <w:tcW w:w="3279" w:type="dxa"/>
            <w:tcBorders>
              <w:bottom w:val="single" w:sz="8" w:space="0" w:color="D9D9D9"/>
            </w:tcBorders>
          </w:tcPr>
          <w:p>
            <w:pPr>
              <w:pStyle w:val="TableParagraph"/>
              <w:spacing w:line="158" w:lineRule="exact"/>
              <w:ind w:left="276"/>
              <w:rPr>
                <w:sz w:val="18"/>
              </w:rPr>
            </w:pPr>
            <w:r>
              <w:rPr>
                <w:sz w:val="18"/>
              </w:rPr>
              <w:t>million</w:t>
            </w:r>
            <w:r>
              <w:rPr>
                <w:spacing w:val="20"/>
                <w:sz w:val="18"/>
              </w:rPr>
              <w:t> </w:t>
            </w:r>
            <w:r>
              <w:rPr>
                <w:spacing w:val="-2"/>
                <w:sz w:val="18"/>
              </w:rPr>
              <w:t>(2019)</w:t>
            </w:r>
          </w:p>
        </w:tc>
      </w:tr>
      <w:tr>
        <w:trPr>
          <w:trHeight w:val="238" w:hRule="atLeast"/>
        </w:trPr>
        <w:tc>
          <w:tcPr>
            <w:tcW w:w="1095" w:type="dxa"/>
            <w:tcBorders>
              <w:top w:val="single" w:sz="8" w:space="0" w:color="D9D9D9"/>
            </w:tcBorders>
          </w:tcPr>
          <w:p>
            <w:pPr>
              <w:pStyle w:val="TableParagraph"/>
              <w:spacing w:before="18"/>
              <w:ind w:left="25"/>
              <w:rPr>
                <w:sz w:val="18"/>
              </w:rPr>
            </w:pPr>
            <w:r>
              <w:rPr>
                <w:spacing w:val="-2"/>
                <w:sz w:val="18"/>
              </w:rPr>
              <w:t>Malawi</w:t>
            </w:r>
          </w:p>
        </w:tc>
        <w:tc>
          <w:tcPr>
            <w:tcW w:w="1142" w:type="dxa"/>
            <w:tcBorders>
              <w:top w:val="single" w:sz="8" w:space="0" w:color="D9D9D9"/>
            </w:tcBorders>
          </w:tcPr>
          <w:p>
            <w:pPr>
              <w:pStyle w:val="TableParagraph"/>
              <w:spacing w:before="18"/>
              <w:ind w:left="160"/>
              <w:rPr>
                <w:sz w:val="18"/>
              </w:rPr>
            </w:pPr>
            <w:r>
              <w:rPr>
                <w:spacing w:val="-4"/>
                <w:sz w:val="18"/>
              </w:rPr>
              <w:t>ICBC</w:t>
            </w:r>
          </w:p>
        </w:tc>
        <w:tc>
          <w:tcPr>
            <w:tcW w:w="1526" w:type="dxa"/>
            <w:tcBorders>
              <w:top w:val="single" w:sz="8" w:space="0" w:color="D9D9D9"/>
            </w:tcBorders>
          </w:tcPr>
          <w:p>
            <w:pPr>
              <w:pStyle w:val="TableParagraph"/>
              <w:spacing w:before="18"/>
              <w:ind w:left="203"/>
              <w:rPr>
                <w:sz w:val="18"/>
              </w:rPr>
            </w:pPr>
            <w:r>
              <w:rPr>
                <w:spacing w:val="-6"/>
                <w:sz w:val="18"/>
              </w:rPr>
              <w:t>Reserve</w:t>
            </w:r>
            <w:r>
              <w:rPr>
                <w:spacing w:val="1"/>
                <w:sz w:val="18"/>
              </w:rPr>
              <w:t> </w:t>
            </w:r>
            <w:r>
              <w:rPr>
                <w:spacing w:val="-6"/>
                <w:sz w:val="18"/>
              </w:rPr>
              <w:t>Bank</w:t>
            </w:r>
            <w:r>
              <w:rPr>
                <w:spacing w:val="2"/>
                <w:sz w:val="18"/>
              </w:rPr>
              <w:t> </w:t>
            </w:r>
            <w:r>
              <w:rPr>
                <w:spacing w:val="-6"/>
                <w:sz w:val="18"/>
              </w:rPr>
              <w:t>of</w:t>
            </w:r>
          </w:p>
        </w:tc>
        <w:tc>
          <w:tcPr>
            <w:tcW w:w="1896" w:type="dxa"/>
            <w:tcBorders>
              <w:top w:val="single" w:sz="8" w:space="0" w:color="D9D9D9"/>
            </w:tcBorders>
          </w:tcPr>
          <w:p>
            <w:pPr>
              <w:pStyle w:val="TableParagraph"/>
              <w:spacing w:before="18"/>
              <w:ind w:left="42"/>
              <w:rPr>
                <w:sz w:val="18"/>
              </w:rPr>
            </w:pPr>
            <w:r>
              <w:rPr>
                <w:sz w:val="18"/>
              </w:rPr>
              <w:t>$32</w:t>
            </w:r>
            <w:r>
              <w:rPr>
                <w:spacing w:val="-5"/>
                <w:sz w:val="18"/>
              </w:rPr>
              <w:t> </w:t>
            </w:r>
            <w:r>
              <w:rPr>
                <w:spacing w:val="-2"/>
                <w:sz w:val="18"/>
              </w:rPr>
              <w:t>million</w:t>
            </w:r>
          </w:p>
        </w:tc>
        <w:tc>
          <w:tcPr>
            <w:tcW w:w="3279" w:type="dxa"/>
            <w:tcBorders>
              <w:top w:val="single" w:sz="8" w:space="0" w:color="D9D9D9"/>
            </w:tcBorders>
          </w:tcPr>
          <w:p>
            <w:pPr>
              <w:pStyle w:val="TableParagraph"/>
              <w:spacing w:before="18"/>
              <w:ind w:left="276"/>
              <w:rPr>
                <w:sz w:val="18"/>
              </w:rPr>
            </w:pPr>
            <w:r>
              <w:rPr>
                <w:sz w:val="18"/>
              </w:rPr>
              <w:t>$66</w:t>
            </w:r>
            <w:r>
              <w:rPr>
                <w:spacing w:val="8"/>
                <w:sz w:val="18"/>
              </w:rPr>
              <w:t> </w:t>
            </w:r>
            <w:r>
              <w:rPr>
                <w:sz w:val="18"/>
              </w:rPr>
              <w:t>million</w:t>
            </w:r>
            <w:r>
              <w:rPr>
                <w:spacing w:val="9"/>
                <w:sz w:val="18"/>
              </w:rPr>
              <w:t> </w:t>
            </w:r>
            <w:r>
              <w:rPr>
                <w:spacing w:val="-2"/>
                <w:sz w:val="18"/>
              </w:rPr>
              <w:t>(2021)</w:t>
            </w:r>
          </w:p>
        </w:tc>
      </w:tr>
      <w:tr>
        <w:trPr>
          <w:trHeight w:val="271" w:hRule="atLeast"/>
        </w:trPr>
        <w:tc>
          <w:tcPr>
            <w:tcW w:w="1095" w:type="dxa"/>
            <w:tcBorders>
              <w:bottom w:val="single" w:sz="8" w:space="0" w:color="D9D9D9"/>
            </w:tcBorders>
          </w:tcPr>
          <w:p>
            <w:pPr>
              <w:pStyle w:val="TableParagraph"/>
              <w:rPr>
                <w:rFonts w:ascii="Times New Roman"/>
                <w:sz w:val="20"/>
              </w:rPr>
            </w:pPr>
          </w:p>
        </w:tc>
        <w:tc>
          <w:tcPr>
            <w:tcW w:w="1142" w:type="dxa"/>
            <w:tcBorders>
              <w:bottom w:val="single" w:sz="8" w:space="0" w:color="D9D9D9"/>
            </w:tcBorders>
          </w:tcPr>
          <w:p>
            <w:pPr>
              <w:pStyle w:val="TableParagraph"/>
              <w:rPr>
                <w:rFonts w:ascii="Times New Roman"/>
                <w:sz w:val="20"/>
              </w:rPr>
            </w:pPr>
          </w:p>
        </w:tc>
        <w:tc>
          <w:tcPr>
            <w:tcW w:w="1526" w:type="dxa"/>
            <w:tcBorders>
              <w:bottom w:val="single" w:sz="8" w:space="0" w:color="D9D9D9"/>
            </w:tcBorders>
          </w:tcPr>
          <w:p>
            <w:pPr>
              <w:pStyle w:val="TableParagraph"/>
              <w:spacing w:line="192" w:lineRule="exact"/>
              <w:ind w:left="203"/>
              <w:rPr>
                <w:sz w:val="18"/>
              </w:rPr>
            </w:pPr>
            <w:r>
              <w:rPr>
                <w:spacing w:val="-2"/>
                <w:sz w:val="18"/>
              </w:rPr>
              <w:t>Malawi</w:t>
            </w:r>
          </w:p>
        </w:tc>
        <w:tc>
          <w:tcPr>
            <w:tcW w:w="1896" w:type="dxa"/>
            <w:tcBorders>
              <w:bottom w:val="single" w:sz="8" w:space="0" w:color="D9D9D9"/>
            </w:tcBorders>
          </w:tcPr>
          <w:p>
            <w:pPr>
              <w:pStyle w:val="TableParagraph"/>
              <w:rPr>
                <w:rFonts w:ascii="Times New Roman"/>
                <w:sz w:val="20"/>
              </w:rPr>
            </w:pPr>
          </w:p>
        </w:tc>
        <w:tc>
          <w:tcPr>
            <w:tcW w:w="3279" w:type="dxa"/>
            <w:tcBorders>
              <w:bottom w:val="single" w:sz="8" w:space="0" w:color="D9D9D9"/>
            </w:tcBorders>
          </w:tcPr>
          <w:p>
            <w:pPr>
              <w:pStyle w:val="TableParagraph"/>
              <w:rPr>
                <w:rFonts w:ascii="Times New Roman"/>
                <w:sz w:val="20"/>
              </w:rPr>
            </w:pPr>
          </w:p>
        </w:tc>
      </w:tr>
      <w:tr>
        <w:trPr>
          <w:trHeight w:val="233" w:hRule="atLeast"/>
        </w:trPr>
        <w:tc>
          <w:tcPr>
            <w:tcW w:w="1095" w:type="dxa"/>
            <w:tcBorders>
              <w:top w:val="single" w:sz="8" w:space="0" w:color="D9D9D9"/>
            </w:tcBorders>
          </w:tcPr>
          <w:p>
            <w:pPr>
              <w:pStyle w:val="TableParagraph"/>
              <w:spacing w:before="3"/>
              <w:ind w:left="25"/>
              <w:rPr>
                <w:sz w:val="18"/>
              </w:rPr>
            </w:pPr>
            <w:r>
              <w:rPr>
                <w:spacing w:val="-2"/>
                <w:sz w:val="18"/>
              </w:rPr>
              <w:t>Myanmar</w:t>
            </w:r>
          </w:p>
        </w:tc>
        <w:tc>
          <w:tcPr>
            <w:tcW w:w="1142" w:type="dxa"/>
            <w:tcBorders>
              <w:top w:val="single" w:sz="8" w:space="0" w:color="D9D9D9"/>
            </w:tcBorders>
          </w:tcPr>
          <w:p>
            <w:pPr>
              <w:pStyle w:val="TableParagraph"/>
              <w:spacing w:before="3"/>
              <w:ind w:left="160"/>
              <w:rPr>
                <w:sz w:val="18"/>
              </w:rPr>
            </w:pPr>
            <w:r>
              <w:rPr>
                <w:spacing w:val="-5"/>
                <w:sz w:val="18"/>
              </w:rPr>
              <w:t>CDB</w:t>
            </w:r>
          </w:p>
        </w:tc>
        <w:tc>
          <w:tcPr>
            <w:tcW w:w="1526" w:type="dxa"/>
            <w:tcBorders>
              <w:top w:val="single" w:sz="8" w:space="0" w:color="D9D9D9"/>
            </w:tcBorders>
          </w:tcPr>
          <w:p>
            <w:pPr>
              <w:pStyle w:val="TableParagraph"/>
              <w:spacing w:before="3"/>
              <w:ind w:left="203"/>
              <w:rPr>
                <w:sz w:val="18"/>
              </w:rPr>
            </w:pPr>
            <w:r>
              <w:rPr>
                <w:sz w:val="18"/>
              </w:rPr>
              <w:t>Myanmar</w:t>
            </w:r>
            <w:r>
              <w:rPr>
                <w:spacing w:val="-8"/>
                <w:sz w:val="18"/>
              </w:rPr>
              <w:t> </w:t>
            </w:r>
            <w:r>
              <w:rPr>
                <w:spacing w:val="-5"/>
                <w:sz w:val="18"/>
              </w:rPr>
              <w:t>Oil</w:t>
            </w:r>
          </w:p>
        </w:tc>
        <w:tc>
          <w:tcPr>
            <w:tcW w:w="1896" w:type="dxa"/>
            <w:tcBorders>
              <w:top w:val="single" w:sz="8" w:space="0" w:color="D9D9D9"/>
            </w:tcBorders>
          </w:tcPr>
          <w:p>
            <w:pPr>
              <w:pStyle w:val="TableParagraph"/>
              <w:spacing w:before="3"/>
              <w:ind w:left="42"/>
              <w:rPr>
                <w:sz w:val="18"/>
              </w:rPr>
            </w:pPr>
            <w:r>
              <w:rPr>
                <w:sz w:val="18"/>
              </w:rPr>
              <w:t>$77.1</w:t>
            </w:r>
            <w:r>
              <w:rPr>
                <w:spacing w:val="1"/>
                <w:sz w:val="18"/>
              </w:rPr>
              <w:t> </w:t>
            </w:r>
            <w:r>
              <w:rPr>
                <w:sz w:val="18"/>
              </w:rPr>
              <w:t>million</w:t>
            </w:r>
            <w:r>
              <w:rPr>
                <w:spacing w:val="2"/>
                <w:sz w:val="18"/>
              </w:rPr>
              <w:t> </w:t>
            </w:r>
            <w:r>
              <w:rPr>
                <w:sz w:val="18"/>
              </w:rPr>
              <w:t>(in</w:t>
            </w:r>
            <w:r>
              <w:rPr>
                <w:spacing w:val="2"/>
                <w:sz w:val="18"/>
              </w:rPr>
              <w:t> </w:t>
            </w:r>
            <w:r>
              <w:rPr>
                <w:spacing w:val="-10"/>
                <w:sz w:val="18"/>
              </w:rPr>
              <w:t>€</w:t>
            </w:r>
          </w:p>
        </w:tc>
        <w:tc>
          <w:tcPr>
            <w:tcW w:w="3279" w:type="dxa"/>
            <w:tcBorders>
              <w:top w:val="single" w:sz="8" w:space="0" w:color="D9D9D9"/>
            </w:tcBorders>
          </w:tcPr>
          <w:p>
            <w:pPr>
              <w:pStyle w:val="TableParagraph"/>
              <w:spacing w:before="3"/>
              <w:ind w:left="276"/>
              <w:rPr>
                <w:sz w:val="18"/>
              </w:rPr>
            </w:pPr>
            <w:r>
              <w:rPr>
                <w:sz w:val="18"/>
              </w:rPr>
              <w:t>€452.7</w:t>
            </w:r>
            <w:r>
              <w:rPr>
                <w:spacing w:val="7"/>
                <w:sz w:val="18"/>
              </w:rPr>
              <w:t> </w:t>
            </w:r>
            <w:r>
              <w:rPr>
                <w:sz w:val="18"/>
              </w:rPr>
              <w:t>million</w:t>
            </w:r>
            <w:r>
              <w:rPr>
                <w:spacing w:val="8"/>
                <w:sz w:val="18"/>
              </w:rPr>
              <w:t> </w:t>
            </w:r>
            <w:r>
              <w:rPr>
                <w:spacing w:val="-2"/>
                <w:sz w:val="18"/>
              </w:rPr>
              <w:t>(2010)</w:t>
            </w:r>
          </w:p>
        </w:tc>
      </w:tr>
      <w:tr>
        <w:trPr>
          <w:trHeight w:val="216" w:hRule="atLeast"/>
        </w:trPr>
        <w:tc>
          <w:tcPr>
            <w:tcW w:w="1095" w:type="dxa"/>
          </w:tcPr>
          <w:p>
            <w:pPr>
              <w:pStyle w:val="TableParagraph"/>
              <w:rPr>
                <w:rFonts w:ascii="Times New Roman"/>
                <w:sz w:val="14"/>
              </w:rPr>
            </w:pPr>
          </w:p>
        </w:tc>
        <w:tc>
          <w:tcPr>
            <w:tcW w:w="1142" w:type="dxa"/>
          </w:tcPr>
          <w:p>
            <w:pPr>
              <w:pStyle w:val="TableParagraph"/>
              <w:rPr>
                <w:rFonts w:ascii="Times New Roman"/>
                <w:sz w:val="14"/>
              </w:rPr>
            </w:pPr>
          </w:p>
        </w:tc>
        <w:tc>
          <w:tcPr>
            <w:tcW w:w="1526" w:type="dxa"/>
          </w:tcPr>
          <w:p>
            <w:pPr>
              <w:pStyle w:val="TableParagraph"/>
              <w:spacing w:line="192" w:lineRule="exact"/>
              <w:ind w:left="203"/>
              <w:rPr>
                <w:sz w:val="18"/>
              </w:rPr>
            </w:pPr>
            <w:r>
              <w:rPr>
                <w:sz w:val="18"/>
              </w:rPr>
              <w:t>and</w:t>
            </w:r>
            <w:r>
              <w:rPr>
                <w:spacing w:val="1"/>
                <w:sz w:val="18"/>
              </w:rPr>
              <w:t> </w:t>
            </w:r>
            <w:r>
              <w:rPr>
                <w:spacing w:val="-5"/>
                <w:sz w:val="18"/>
              </w:rPr>
              <w:t>Gas</w:t>
            </w:r>
          </w:p>
        </w:tc>
        <w:tc>
          <w:tcPr>
            <w:tcW w:w="1896" w:type="dxa"/>
          </w:tcPr>
          <w:p>
            <w:pPr>
              <w:pStyle w:val="TableParagraph"/>
              <w:spacing w:line="192" w:lineRule="exact"/>
              <w:ind w:left="42"/>
              <w:rPr>
                <w:sz w:val="18"/>
              </w:rPr>
            </w:pPr>
            <w:r>
              <w:rPr>
                <w:spacing w:val="-2"/>
                <w:sz w:val="18"/>
              </w:rPr>
              <w:t>equivalent)</w:t>
            </w:r>
          </w:p>
        </w:tc>
        <w:tc>
          <w:tcPr>
            <w:tcW w:w="3279" w:type="dxa"/>
          </w:tcPr>
          <w:p>
            <w:pPr>
              <w:pStyle w:val="TableParagraph"/>
              <w:rPr>
                <w:rFonts w:ascii="Times New Roman"/>
                <w:sz w:val="14"/>
              </w:rPr>
            </w:pPr>
          </w:p>
        </w:tc>
      </w:tr>
      <w:tr>
        <w:trPr>
          <w:trHeight w:val="190" w:hRule="atLeast"/>
        </w:trPr>
        <w:tc>
          <w:tcPr>
            <w:tcW w:w="1095" w:type="dxa"/>
            <w:tcBorders>
              <w:bottom w:val="single" w:sz="8" w:space="0" w:color="D9D9D9"/>
            </w:tcBorders>
          </w:tcPr>
          <w:p>
            <w:pPr>
              <w:pStyle w:val="TableParagraph"/>
              <w:rPr>
                <w:rFonts w:ascii="Times New Roman"/>
                <w:sz w:val="12"/>
              </w:rPr>
            </w:pPr>
          </w:p>
        </w:tc>
        <w:tc>
          <w:tcPr>
            <w:tcW w:w="1142" w:type="dxa"/>
            <w:tcBorders>
              <w:bottom w:val="single" w:sz="8" w:space="0" w:color="D9D9D9"/>
            </w:tcBorders>
          </w:tcPr>
          <w:p>
            <w:pPr>
              <w:pStyle w:val="TableParagraph"/>
              <w:rPr>
                <w:rFonts w:ascii="Times New Roman"/>
                <w:sz w:val="12"/>
              </w:rPr>
            </w:pPr>
          </w:p>
        </w:tc>
        <w:tc>
          <w:tcPr>
            <w:tcW w:w="1526" w:type="dxa"/>
            <w:tcBorders>
              <w:bottom w:val="single" w:sz="8" w:space="0" w:color="D9D9D9"/>
            </w:tcBorders>
          </w:tcPr>
          <w:p>
            <w:pPr>
              <w:pStyle w:val="TableParagraph"/>
              <w:spacing w:line="170" w:lineRule="exact"/>
              <w:ind w:left="203"/>
              <w:rPr>
                <w:sz w:val="18"/>
              </w:rPr>
            </w:pPr>
            <w:r>
              <w:rPr>
                <w:spacing w:val="-2"/>
                <w:sz w:val="18"/>
              </w:rPr>
              <w:t>Enterprise</w:t>
            </w:r>
          </w:p>
        </w:tc>
        <w:tc>
          <w:tcPr>
            <w:tcW w:w="1896" w:type="dxa"/>
            <w:tcBorders>
              <w:bottom w:val="single" w:sz="8" w:space="0" w:color="D9D9D9"/>
            </w:tcBorders>
          </w:tcPr>
          <w:p>
            <w:pPr>
              <w:pStyle w:val="TableParagraph"/>
              <w:rPr>
                <w:rFonts w:ascii="Times New Roman"/>
                <w:sz w:val="12"/>
              </w:rPr>
            </w:pPr>
          </w:p>
        </w:tc>
        <w:tc>
          <w:tcPr>
            <w:tcW w:w="3279" w:type="dxa"/>
            <w:tcBorders>
              <w:bottom w:val="single" w:sz="8" w:space="0" w:color="D9D9D9"/>
            </w:tcBorders>
          </w:tcPr>
          <w:p>
            <w:pPr>
              <w:pStyle w:val="TableParagraph"/>
              <w:rPr>
                <w:rFonts w:ascii="Times New Roman"/>
                <w:sz w:val="12"/>
              </w:rPr>
            </w:pPr>
          </w:p>
        </w:tc>
      </w:tr>
      <w:tr>
        <w:trPr>
          <w:trHeight w:val="236" w:hRule="atLeast"/>
        </w:trPr>
        <w:tc>
          <w:tcPr>
            <w:tcW w:w="1095" w:type="dxa"/>
            <w:tcBorders>
              <w:top w:val="single" w:sz="8" w:space="0" w:color="D9D9D9"/>
            </w:tcBorders>
          </w:tcPr>
          <w:p>
            <w:pPr>
              <w:pStyle w:val="TableParagraph"/>
              <w:spacing w:before="6"/>
              <w:ind w:left="25"/>
              <w:rPr>
                <w:sz w:val="18"/>
              </w:rPr>
            </w:pPr>
            <w:r>
              <w:rPr>
                <w:spacing w:val="-2"/>
                <w:sz w:val="18"/>
              </w:rPr>
              <w:t>Zimbabwe</w:t>
            </w:r>
          </w:p>
        </w:tc>
        <w:tc>
          <w:tcPr>
            <w:tcW w:w="1142" w:type="dxa"/>
            <w:tcBorders>
              <w:top w:val="single" w:sz="8" w:space="0" w:color="D9D9D9"/>
            </w:tcBorders>
          </w:tcPr>
          <w:p>
            <w:pPr>
              <w:pStyle w:val="TableParagraph"/>
              <w:spacing w:before="6"/>
              <w:ind w:left="160"/>
              <w:rPr>
                <w:sz w:val="18"/>
              </w:rPr>
            </w:pPr>
            <w:r>
              <w:rPr>
                <w:spacing w:val="-2"/>
                <w:sz w:val="18"/>
              </w:rPr>
              <w:t>China</w:t>
            </w:r>
          </w:p>
        </w:tc>
        <w:tc>
          <w:tcPr>
            <w:tcW w:w="1526" w:type="dxa"/>
            <w:tcBorders>
              <w:top w:val="single" w:sz="8" w:space="0" w:color="D9D9D9"/>
            </w:tcBorders>
          </w:tcPr>
          <w:p>
            <w:pPr>
              <w:pStyle w:val="TableParagraph"/>
              <w:spacing w:before="6"/>
              <w:ind w:left="203"/>
              <w:rPr>
                <w:sz w:val="18"/>
              </w:rPr>
            </w:pPr>
            <w:r>
              <w:rPr>
                <w:sz w:val="18"/>
              </w:rPr>
              <w:t>Ministry</w:t>
            </w:r>
            <w:r>
              <w:rPr>
                <w:spacing w:val="6"/>
                <w:sz w:val="18"/>
              </w:rPr>
              <w:t> </w:t>
            </w:r>
            <w:r>
              <w:rPr>
                <w:spacing w:val="-5"/>
                <w:sz w:val="18"/>
              </w:rPr>
              <w:t>of</w:t>
            </w:r>
          </w:p>
        </w:tc>
        <w:tc>
          <w:tcPr>
            <w:tcW w:w="1896" w:type="dxa"/>
            <w:tcBorders>
              <w:top w:val="single" w:sz="8" w:space="0" w:color="D9D9D9"/>
            </w:tcBorders>
          </w:tcPr>
          <w:p>
            <w:pPr>
              <w:pStyle w:val="TableParagraph"/>
              <w:spacing w:before="6"/>
              <w:ind w:left="42"/>
              <w:rPr>
                <w:sz w:val="18"/>
              </w:rPr>
            </w:pPr>
            <w:r>
              <w:rPr>
                <w:sz w:val="18"/>
              </w:rPr>
              <w:t>$17.2</w:t>
            </w:r>
            <w:r>
              <w:rPr>
                <w:spacing w:val="-6"/>
                <w:sz w:val="18"/>
              </w:rPr>
              <w:t> </w:t>
            </w:r>
            <w:r>
              <w:rPr>
                <w:spacing w:val="-2"/>
                <w:sz w:val="18"/>
              </w:rPr>
              <w:t>million</w:t>
            </w:r>
          </w:p>
        </w:tc>
        <w:tc>
          <w:tcPr>
            <w:tcW w:w="3279" w:type="dxa"/>
            <w:tcBorders>
              <w:top w:val="single" w:sz="8" w:space="0" w:color="D9D9D9"/>
            </w:tcBorders>
          </w:tcPr>
          <w:p>
            <w:pPr>
              <w:pStyle w:val="TableParagraph"/>
              <w:spacing w:before="6"/>
              <w:ind w:left="276"/>
              <w:rPr>
                <w:sz w:val="18"/>
              </w:rPr>
            </w:pPr>
            <w:r>
              <w:rPr>
                <w:sz w:val="18"/>
              </w:rPr>
              <w:t>$319</w:t>
            </w:r>
            <w:r>
              <w:rPr>
                <w:spacing w:val="8"/>
                <w:sz w:val="18"/>
              </w:rPr>
              <w:t> </w:t>
            </w:r>
            <w:r>
              <w:rPr>
                <w:sz w:val="18"/>
              </w:rPr>
              <w:t>million</w:t>
            </w:r>
            <w:r>
              <w:rPr>
                <w:spacing w:val="8"/>
                <w:sz w:val="18"/>
              </w:rPr>
              <w:t> </w:t>
            </w:r>
            <w:r>
              <w:rPr>
                <w:spacing w:val="-2"/>
                <w:sz w:val="18"/>
              </w:rPr>
              <w:t>(2013)</w:t>
            </w:r>
          </w:p>
        </w:tc>
      </w:tr>
      <w:tr>
        <w:trPr>
          <w:trHeight w:val="263" w:hRule="atLeast"/>
        </w:trPr>
        <w:tc>
          <w:tcPr>
            <w:tcW w:w="1095" w:type="dxa"/>
            <w:tcBorders>
              <w:bottom w:val="single" w:sz="8" w:space="0" w:color="D9D9D9"/>
            </w:tcBorders>
          </w:tcPr>
          <w:p>
            <w:pPr>
              <w:pStyle w:val="TableParagraph"/>
              <w:rPr>
                <w:rFonts w:ascii="Times New Roman"/>
                <w:sz w:val="18"/>
              </w:rPr>
            </w:pPr>
          </w:p>
        </w:tc>
        <w:tc>
          <w:tcPr>
            <w:tcW w:w="1142" w:type="dxa"/>
            <w:tcBorders>
              <w:bottom w:val="single" w:sz="8" w:space="0" w:color="D9D9D9"/>
            </w:tcBorders>
          </w:tcPr>
          <w:p>
            <w:pPr>
              <w:pStyle w:val="TableParagraph"/>
              <w:spacing w:line="192" w:lineRule="exact"/>
              <w:ind w:left="160"/>
              <w:rPr>
                <w:sz w:val="18"/>
              </w:rPr>
            </w:pPr>
            <w:r>
              <w:rPr>
                <w:spacing w:val="-2"/>
                <w:sz w:val="18"/>
              </w:rPr>
              <w:t>Eximbank</w:t>
            </w:r>
          </w:p>
        </w:tc>
        <w:tc>
          <w:tcPr>
            <w:tcW w:w="1526" w:type="dxa"/>
            <w:tcBorders>
              <w:bottom w:val="single" w:sz="8" w:space="0" w:color="D9D9D9"/>
            </w:tcBorders>
          </w:tcPr>
          <w:p>
            <w:pPr>
              <w:pStyle w:val="TableParagraph"/>
              <w:spacing w:line="192" w:lineRule="exact"/>
              <w:ind w:left="203"/>
              <w:rPr>
                <w:sz w:val="18"/>
              </w:rPr>
            </w:pPr>
            <w:r>
              <w:rPr>
                <w:spacing w:val="-2"/>
                <w:sz w:val="18"/>
              </w:rPr>
              <w:t>Finance,</w:t>
            </w:r>
            <w:r>
              <w:rPr>
                <w:spacing w:val="-5"/>
                <w:sz w:val="18"/>
              </w:rPr>
              <w:t> </w:t>
            </w:r>
            <w:r>
              <w:rPr>
                <w:spacing w:val="-4"/>
                <w:sz w:val="18"/>
              </w:rPr>
              <w:t>KHPC</w:t>
            </w:r>
          </w:p>
        </w:tc>
        <w:tc>
          <w:tcPr>
            <w:tcW w:w="1896" w:type="dxa"/>
            <w:tcBorders>
              <w:bottom w:val="single" w:sz="8" w:space="0" w:color="D9D9D9"/>
            </w:tcBorders>
          </w:tcPr>
          <w:p>
            <w:pPr>
              <w:pStyle w:val="TableParagraph"/>
              <w:rPr>
                <w:rFonts w:ascii="Times New Roman"/>
                <w:sz w:val="18"/>
              </w:rPr>
            </w:pPr>
          </w:p>
        </w:tc>
        <w:tc>
          <w:tcPr>
            <w:tcW w:w="3279" w:type="dxa"/>
            <w:tcBorders>
              <w:bottom w:val="single" w:sz="8" w:space="0" w:color="D9D9D9"/>
            </w:tcBorders>
          </w:tcPr>
          <w:p>
            <w:pPr>
              <w:pStyle w:val="TableParagraph"/>
              <w:rPr>
                <w:rFonts w:ascii="Times New Roman"/>
                <w:sz w:val="18"/>
              </w:rPr>
            </w:pPr>
          </w:p>
        </w:tc>
      </w:tr>
      <w:tr>
        <w:trPr>
          <w:trHeight w:val="241" w:hRule="atLeast"/>
        </w:trPr>
        <w:tc>
          <w:tcPr>
            <w:tcW w:w="1095" w:type="dxa"/>
            <w:tcBorders>
              <w:top w:val="single" w:sz="8" w:space="0" w:color="D9D9D9"/>
            </w:tcBorders>
          </w:tcPr>
          <w:p>
            <w:pPr>
              <w:pStyle w:val="TableParagraph"/>
              <w:spacing w:before="11"/>
              <w:ind w:left="25"/>
              <w:rPr>
                <w:sz w:val="18"/>
              </w:rPr>
            </w:pPr>
            <w:r>
              <w:rPr>
                <w:spacing w:val="-2"/>
                <w:w w:val="105"/>
                <w:sz w:val="18"/>
              </w:rPr>
              <w:t>Angola</w:t>
            </w:r>
          </w:p>
        </w:tc>
        <w:tc>
          <w:tcPr>
            <w:tcW w:w="1142" w:type="dxa"/>
            <w:tcBorders>
              <w:top w:val="single" w:sz="8" w:space="0" w:color="D9D9D9"/>
            </w:tcBorders>
          </w:tcPr>
          <w:p>
            <w:pPr>
              <w:pStyle w:val="TableParagraph"/>
              <w:spacing w:before="11"/>
              <w:ind w:left="160"/>
              <w:rPr>
                <w:sz w:val="18"/>
              </w:rPr>
            </w:pPr>
            <w:r>
              <w:rPr>
                <w:spacing w:val="-5"/>
                <w:sz w:val="18"/>
              </w:rPr>
              <w:t>CDB</w:t>
            </w:r>
          </w:p>
        </w:tc>
        <w:tc>
          <w:tcPr>
            <w:tcW w:w="1526" w:type="dxa"/>
            <w:tcBorders>
              <w:top w:val="single" w:sz="8" w:space="0" w:color="D9D9D9"/>
            </w:tcBorders>
          </w:tcPr>
          <w:p>
            <w:pPr>
              <w:pStyle w:val="TableParagraph"/>
              <w:spacing w:before="11"/>
              <w:ind w:left="203"/>
              <w:rPr>
                <w:sz w:val="18"/>
              </w:rPr>
            </w:pPr>
            <w:r>
              <w:rPr>
                <w:sz w:val="18"/>
              </w:rPr>
              <w:t>Ministry</w:t>
            </w:r>
            <w:r>
              <w:rPr>
                <w:spacing w:val="6"/>
                <w:sz w:val="18"/>
              </w:rPr>
              <w:t> </w:t>
            </w:r>
            <w:r>
              <w:rPr>
                <w:spacing w:val="-5"/>
                <w:sz w:val="18"/>
              </w:rPr>
              <w:t>of</w:t>
            </w:r>
          </w:p>
        </w:tc>
        <w:tc>
          <w:tcPr>
            <w:tcW w:w="1896" w:type="dxa"/>
            <w:tcBorders>
              <w:top w:val="single" w:sz="8" w:space="0" w:color="D9D9D9"/>
            </w:tcBorders>
          </w:tcPr>
          <w:p>
            <w:pPr>
              <w:pStyle w:val="TableParagraph"/>
              <w:spacing w:before="11"/>
              <w:ind w:left="42"/>
              <w:rPr>
                <w:sz w:val="18"/>
              </w:rPr>
            </w:pPr>
            <w:r>
              <w:rPr>
                <w:sz w:val="18"/>
              </w:rPr>
              <w:t>$1.5</w:t>
            </w:r>
            <w:r>
              <w:rPr>
                <w:spacing w:val="-5"/>
                <w:sz w:val="18"/>
              </w:rPr>
              <w:t> </w:t>
            </w:r>
            <w:r>
              <w:rPr>
                <w:spacing w:val="-2"/>
                <w:sz w:val="18"/>
              </w:rPr>
              <w:t>billion</w:t>
            </w:r>
          </w:p>
        </w:tc>
        <w:tc>
          <w:tcPr>
            <w:tcW w:w="3279" w:type="dxa"/>
            <w:tcBorders>
              <w:top w:val="single" w:sz="8" w:space="0" w:color="D9D9D9"/>
            </w:tcBorders>
          </w:tcPr>
          <w:p>
            <w:pPr>
              <w:pStyle w:val="TableParagraph"/>
              <w:spacing w:before="11"/>
              <w:ind w:left="276"/>
              <w:rPr>
                <w:sz w:val="18"/>
              </w:rPr>
            </w:pPr>
            <w:r>
              <w:rPr>
                <w:sz w:val="18"/>
              </w:rPr>
              <w:t>$15</w:t>
            </w:r>
            <w:r>
              <w:rPr>
                <w:spacing w:val="11"/>
                <w:sz w:val="18"/>
              </w:rPr>
              <w:t> </w:t>
            </w:r>
            <w:r>
              <w:rPr>
                <w:sz w:val="18"/>
              </w:rPr>
              <w:t>billion</w:t>
            </w:r>
            <w:r>
              <w:rPr>
                <w:spacing w:val="12"/>
                <w:sz w:val="18"/>
              </w:rPr>
              <w:t> </w:t>
            </w:r>
            <w:r>
              <w:rPr>
                <w:spacing w:val="-2"/>
                <w:sz w:val="18"/>
              </w:rPr>
              <w:t>(2015)</w:t>
            </w:r>
          </w:p>
        </w:tc>
      </w:tr>
      <w:tr>
        <w:trPr>
          <w:trHeight w:val="258" w:hRule="atLeast"/>
        </w:trPr>
        <w:tc>
          <w:tcPr>
            <w:tcW w:w="1095" w:type="dxa"/>
            <w:tcBorders>
              <w:bottom w:val="single" w:sz="8" w:space="0" w:color="D9D9D9"/>
            </w:tcBorders>
          </w:tcPr>
          <w:p>
            <w:pPr>
              <w:pStyle w:val="TableParagraph"/>
              <w:rPr>
                <w:rFonts w:ascii="Times New Roman"/>
                <w:sz w:val="18"/>
              </w:rPr>
            </w:pPr>
          </w:p>
        </w:tc>
        <w:tc>
          <w:tcPr>
            <w:tcW w:w="1142" w:type="dxa"/>
            <w:tcBorders>
              <w:bottom w:val="single" w:sz="8" w:space="0" w:color="D9D9D9"/>
            </w:tcBorders>
          </w:tcPr>
          <w:p>
            <w:pPr>
              <w:pStyle w:val="TableParagraph"/>
              <w:rPr>
                <w:rFonts w:ascii="Times New Roman"/>
                <w:sz w:val="18"/>
              </w:rPr>
            </w:pPr>
          </w:p>
        </w:tc>
        <w:tc>
          <w:tcPr>
            <w:tcW w:w="1526" w:type="dxa"/>
            <w:tcBorders>
              <w:bottom w:val="single" w:sz="8" w:space="0" w:color="D9D9D9"/>
            </w:tcBorders>
          </w:tcPr>
          <w:p>
            <w:pPr>
              <w:pStyle w:val="TableParagraph"/>
              <w:spacing w:line="192" w:lineRule="exact"/>
              <w:ind w:left="203"/>
              <w:rPr>
                <w:sz w:val="18"/>
              </w:rPr>
            </w:pPr>
            <w:r>
              <w:rPr>
                <w:spacing w:val="-2"/>
                <w:sz w:val="18"/>
              </w:rPr>
              <w:t>Finance</w:t>
            </w:r>
          </w:p>
        </w:tc>
        <w:tc>
          <w:tcPr>
            <w:tcW w:w="1896" w:type="dxa"/>
            <w:tcBorders>
              <w:bottom w:val="single" w:sz="8" w:space="0" w:color="D9D9D9"/>
            </w:tcBorders>
          </w:tcPr>
          <w:p>
            <w:pPr>
              <w:pStyle w:val="TableParagraph"/>
              <w:rPr>
                <w:rFonts w:ascii="Times New Roman"/>
                <w:sz w:val="18"/>
              </w:rPr>
            </w:pPr>
          </w:p>
        </w:tc>
        <w:tc>
          <w:tcPr>
            <w:tcW w:w="3279" w:type="dxa"/>
            <w:tcBorders>
              <w:bottom w:val="single" w:sz="8" w:space="0" w:color="D9D9D9"/>
            </w:tcBorders>
          </w:tcPr>
          <w:p>
            <w:pPr>
              <w:pStyle w:val="TableParagraph"/>
              <w:rPr>
                <w:rFonts w:ascii="Times New Roman"/>
                <w:sz w:val="18"/>
              </w:rPr>
            </w:pPr>
          </w:p>
        </w:tc>
      </w:tr>
      <w:tr>
        <w:trPr>
          <w:trHeight w:val="246" w:hRule="atLeast"/>
        </w:trPr>
        <w:tc>
          <w:tcPr>
            <w:tcW w:w="1095" w:type="dxa"/>
            <w:tcBorders>
              <w:top w:val="single" w:sz="8" w:space="0" w:color="D9D9D9"/>
            </w:tcBorders>
          </w:tcPr>
          <w:p>
            <w:pPr>
              <w:pStyle w:val="TableParagraph"/>
              <w:spacing w:before="16"/>
              <w:ind w:left="25"/>
              <w:rPr>
                <w:sz w:val="18"/>
              </w:rPr>
            </w:pPr>
            <w:r>
              <w:rPr>
                <w:spacing w:val="-2"/>
                <w:sz w:val="18"/>
              </w:rPr>
              <w:t>Kenya</w:t>
            </w:r>
          </w:p>
        </w:tc>
        <w:tc>
          <w:tcPr>
            <w:tcW w:w="1142" w:type="dxa"/>
            <w:tcBorders>
              <w:top w:val="single" w:sz="8" w:space="0" w:color="D9D9D9"/>
            </w:tcBorders>
          </w:tcPr>
          <w:p>
            <w:pPr>
              <w:pStyle w:val="TableParagraph"/>
              <w:spacing w:before="16"/>
              <w:ind w:left="160"/>
              <w:rPr>
                <w:sz w:val="18"/>
              </w:rPr>
            </w:pPr>
            <w:r>
              <w:rPr>
                <w:spacing w:val="-2"/>
                <w:sz w:val="18"/>
              </w:rPr>
              <w:t>China</w:t>
            </w:r>
          </w:p>
        </w:tc>
        <w:tc>
          <w:tcPr>
            <w:tcW w:w="1526" w:type="dxa"/>
            <w:tcBorders>
              <w:top w:val="single" w:sz="8" w:space="0" w:color="D9D9D9"/>
            </w:tcBorders>
          </w:tcPr>
          <w:p>
            <w:pPr>
              <w:pStyle w:val="TableParagraph"/>
              <w:spacing w:before="16"/>
              <w:ind w:left="203"/>
              <w:rPr>
                <w:sz w:val="18"/>
              </w:rPr>
            </w:pPr>
            <w:r>
              <w:rPr>
                <w:spacing w:val="-2"/>
                <w:w w:val="105"/>
                <w:sz w:val="18"/>
              </w:rPr>
              <w:t>National</w:t>
            </w:r>
          </w:p>
        </w:tc>
        <w:tc>
          <w:tcPr>
            <w:tcW w:w="1896" w:type="dxa"/>
            <w:tcBorders>
              <w:top w:val="single" w:sz="8" w:space="0" w:color="D9D9D9"/>
            </w:tcBorders>
          </w:tcPr>
          <w:p>
            <w:pPr>
              <w:pStyle w:val="TableParagraph"/>
              <w:spacing w:before="16"/>
              <w:ind w:left="42"/>
              <w:rPr>
                <w:sz w:val="18"/>
              </w:rPr>
            </w:pPr>
            <w:r>
              <w:rPr>
                <w:sz w:val="18"/>
              </w:rPr>
              <w:t>$250</w:t>
            </w:r>
            <w:r>
              <w:rPr>
                <w:spacing w:val="-6"/>
                <w:sz w:val="18"/>
              </w:rPr>
              <w:t> </w:t>
            </w:r>
            <w:r>
              <w:rPr>
                <w:spacing w:val="-2"/>
                <w:sz w:val="18"/>
              </w:rPr>
              <w:t>million</w:t>
            </w:r>
          </w:p>
        </w:tc>
        <w:tc>
          <w:tcPr>
            <w:tcW w:w="3279" w:type="dxa"/>
            <w:tcBorders>
              <w:top w:val="single" w:sz="8" w:space="0" w:color="D9D9D9"/>
            </w:tcBorders>
          </w:tcPr>
          <w:p>
            <w:pPr>
              <w:pStyle w:val="TableParagraph"/>
              <w:spacing w:before="16"/>
              <w:ind w:left="276"/>
              <w:rPr>
                <w:sz w:val="18"/>
              </w:rPr>
            </w:pPr>
            <w:r>
              <w:rPr>
                <w:sz w:val="18"/>
              </w:rPr>
              <w:t>$1.9</w:t>
            </w:r>
            <w:r>
              <w:rPr>
                <w:spacing w:val="3"/>
                <w:sz w:val="18"/>
              </w:rPr>
              <w:t> </w:t>
            </w:r>
            <w:r>
              <w:rPr>
                <w:sz w:val="18"/>
              </w:rPr>
              <w:t>billion</w:t>
            </w:r>
            <w:r>
              <w:rPr>
                <w:spacing w:val="3"/>
                <w:sz w:val="18"/>
              </w:rPr>
              <w:t> </w:t>
            </w:r>
            <w:r>
              <w:rPr>
                <w:sz w:val="18"/>
              </w:rPr>
              <w:t>(2014),</w:t>
            </w:r>
            <w:r>
              <w:rPr>
                <w:spacing w:val="4"/>
                <w:sz w:val="18"/>
              </w:rPr>
              <w:t> </w:t>
            </w:r>
            <w:r>
              <w:rPr>
                <w:sz w:val="18"/>
              </w:rPr>
              <w:t>$1.6</w:t>
            </w:r>
            <w:r>
              <w:rPr>
                <w:spacing w:val="3"/>
                <w:sz w:val="18"/>
              </w:rPr>
              <w:t> </w:t>
            </w:r>
            <w:r>
              <w:rPr>
                <w:sz w:val="18"/>
              </w:rPr>
              <w:t>billion</w:t>
            </w:r>
            <w:r>
              <w:rPr>
                <w:spacing w:val="4"/>
                <w:sz w:val="18"/>
              </w:rPr>
              <w:t> </w:t>
            </w:r>
            <w:r>
              <w:rPr>
                <w:spacing w:val="-2"/>
                <w:sz w:val="18"/>
              </w:rPr>
              <w:t>(2014)</w:t>
            </w:r>
          </w:p>
        </w:tc>
      </w:tr>
      <w:tr>
        <w:trPr>
          <w:trHeight w:val="273" w:hRule="atLeast"/>
        </w:trPr>
        <w:tc>
          <w:tcPr>
            <w:tcW w:w="1095" w:type="dxa"/>
            <w:tcBorders>
              <w:bottom w:val="single" w:sz="8" w:space="0" w:color="D9D9D9"/>
            </w:tcBorders>
          </w:tcPr>
          <w:p>
            <w:pPr>
              <w:pStyle w:val="TableParagraph"/>
              <w:rPr>
                <w:rFonts w:ascii="Times New Roman"/>
                <w:sz w:val="20"/>
              </w:rPr>
            </w:pPr>
          </w:p>
        </w:tc>
        <w:tc>
          <w:tcPr>
            <w:tcW w:w="1142" w:type="dxa"/>
            <w:tcBorders>
              <w:bottom w:val="single" w:sz="8" w:space="0" w:color="D9D9D9"/>
            </w:tcBorders>
          </w:tcPr>
          <w:p>
            <w:pPr>
              <w:pStyle w:val="TableParagraph"/>
              <w:spacing w:line="192" w:lineRule="exact"/>
              <w:ind w:left="160"/>
              <w:rPr>
                <w:sz w:val="18"/>
              </w:rPr>
            </w:pPr>
            <w:r>
              <w:rPr>
                <w:spacing w:val="-2"/>
                <w:sz w:val="18"/>
              </w:rPr>
              <w:t>Eximbank</w:t>
            </w:r>
          </w:p>
        </w:tc>
        <w:tc>
          <w:tcPr>
            <w:tcW w:w="1526" w:type="dxa"/>
            <w:tcBorders>
              <w:bottom w:val="single" w:sz="8" w:space="0" w:color="D9D9D9"/>
            </w:tcBorders>
          </w:tcPr>
          <w:p>
            <w:pPr>
              <w:pStyle w:val="TableParagraph"/>
              <w:spacing w:line="192" w:lineRule="exact"/>
              <w:ind w:left="203"/>
              <w:rPr>
                <w:sz w:val="18"/>
              </w:rPr>
            </w:pPr>
            <w:r>
              <w:rPr>
                <w:spacing w:val="-6"/>
                <w:sz w:val="18"/>
              </w:rPr>
              <w:t>Treasury,</w:t>
            </w:r>
            <w:r>
              <w:rPr>
                <w:spacing w:val="-4"/>
                <w:sz w:val="18"/>
              </w:rPr>
              <w:t> </w:t>
            </w:r>
            <w:r>
              <w:rPr>
                <w:spacing w:val="-5"/>
                <w:sz w:val="18"/>
              </w:rPr>
              <w:t>KRC</w:t>
            </w:r>
          </w:p>
        </w:tc>
        <w:tc>
          <w:tcPr>
            <w:tcW w:w="1896" w:type="dxa"/>
            <w:tcBorders>
              <w:bottom w:val="single" w:sz="8" w:space="0" w:color="D9D9D9"/>
            </w:tcBorders>
          </w:tcPr>
          <w:p>
            <w:pPr>
              <w:pStyle w:val="TableParagraph"/>
              <w:rPr>
                <w:rFonts w:ascii="Times New Roman"/>
                <w:sz w:val="20"/>
              </w:rPr>
            </w:pPr>
          </w:p>
        </w:tc>
        <w:tc>
          <w:tcPr>
            <w:tcW w:w="3279" w:type="dxa"/>
            <w:tcBorders>
              <w:bottom w:val="single" w:sz="8" w:space="0" w:color="D9D9D9"/>
            </w:tcBorders>
          </w:tcPr>
          <w:p>
            <w:pPr>
              <w:pStyle w:val="TableParagraph"/>
              <w:rPr>
                <w:rFonts w:ascii="Times New Roman"/>
                <w:sz w:val="20"/>
              </w:rPr>
            </w:pPr>
          </w:p>
        </w:tc>
      </w:tr>
    </w:tbl>
    <w:p>
      <w:pPr>
        <w:pStyle w:val="BodyText"/>
        <w:rPr>
          <w:b/>
          <w:sz w:val="20"/>
        </w:rPr>
      </w:pPr>
    </w:p>
    <w:p>
      <w:pPr>
        <w:pStyle w:val="BodyText"/>
        <w:spacing w:before="7"/>
        <w:rPr>
          <w:b/>
          <w:sz w:val="20"/>
        </w:rPr>
      </w:pPr>
      <w:r>
        <w:rPr/>
        <w:pict>
          <v:shape style="position:absolute;margin-left:90pt;margin-top:13.086914pt;width:144pt;height:.1pt;mso-position-horizontal-relative:page;mso-position-vertical-relative:paragraph;z-index:-15697920;mso-wrap-distance-left:0;mso-wrap-distance-right:0" id="docshape56" coordorigin="1800,262" coordsize="2880,0" path="m1800,262l4680,262e" filled="false" stroked="true" strokeweight=".75pt" strokecolor="#000000">
            <v:path arrowok="t"/>
            <v:stroke dashstyle="solid"/>
            <w10:wrap type="topAndBottom"/>
          </v:shape>
        </w:pict>
      </w:r>
    </w:p>
    <w:p>
      <w:pPr>
        <w:spacing w:line="249" w:lineRule="auto" w:before="107"/>
        <w:ind w:left="760" w:right="1093" w:firstLine="0"/>
        <w:jc w:val="both"/>
        <w:rPr>
          <w:sz w:val="18"/>
        </w:rPr>
      </w:pPr>
      <w:r>
        <w:rPr>
          <w:sz w:val="18"/>
          <w:vertAlign w:val="superscript"/>
        </w:rPr>
        <w:t>154</w:t>
      </w:r>
      <w:r>
        <w:rPr>
          <w:spacing w:val="-3"/>
          <w:sz w:val="18"/>
          <w:vertAlign w:val="baseline"/>
        </w:rPr>
        <w:t> </w:t>
      </w:r>
      <w:r>
        <w:rPr>
          <w:sz w:val="18"/>
          <w:vertAlign w:val="baseline"/>
        </w:rPr>
        <w:t>Escrow</w:t>
      </w:r>
      <w:r>
        <w:rPr>
          <w:spacing w:val="-2"/>
          <w:sz w:val="18"/>
          <w:vertAlign w:val="baseline"/>
        </w:rPr>
        <w:t> </w:t>
      </w:r>
      <w:r>
        <w:rPr>
          <w:sz w:val="18"/>
          <w:vertAlign w:val="baseline"/>
        </w:rPr>
        <w:t>account</w:t>
      </w:r>
      <w:r>
        <w:rPr>
          <w:spacing w:val="-2"/>
          <w:sz w:val="18"/>
          <w:vertAlign w:val="baseline"/>
        </w:rPr>
        <w:t> </w:t>
      </w:r>
      <w:r>
        <w:rPr>
          <w:sz w:val="18"/>
          <w:vertAlign w:val="baseline"/>
        </w:rPr>
        <w:t>cash</w:t>
      </w:r>
      <w:r>
        <w:rPr>
          <w:spacing w:val="-2"/>
          <w:sz w:val="18"/>
          <w:vertAlign w:val="baseline"/>
        </w:rPr>
        <w:t> </w:t>
      </w:r>
      <w:r>
        <w:rPr>
          <w:sz w:val="18"/>
          <w:vertAlign w:val="baseline"/>
        </w:rPr>
        <w:t>balances</w:t>
      </w:r>
      <w:r>
        <w:rPr>
          <w:spacing w:val="-2"/>
          <w:sz w:val="18"/>
          <w:vertAlign w:val="baseline"/>
        </w:rPr>
        <w:t> </w:t>
      </w:r>
      <w:r>
        <w:rPr>
          <w:sz w:val="18"/>
          <w:vertAlign w:val="baseline"/>
        </w:rPr>
        <w:t>are</w:t>
      </w:r>
      <w:r>
        <w:rPr>
          <w:spacing w:val="-2"/>
          <w:sz w:val="18"/>
          <w:vertAlign w:val="baseline"/>
        </w:rPr>
        <w:t> </w:t>
      </w:r>
      <w:r>
        <w:rPr>
          <w:sz w:val="18"/>
          <w:vertAlign w:val="baseline"/>
        </w:rPr>
        <w:t>recorded</w:t>
      </w:r>
      <w:r>
        <w:rPr>
          <w:spacing w:val="-2"/>
          <w:sz w:val="18"/>
          <w:vertAlign w:val="baseline"/>
        </w:rPr>
        <w:t> </w:t>
      </w:r>
      <w:r>
        <w:rPr>
          <w:sz w:val="18"/>
          <w:vertAlign w:val="baseline"/>
        </w:rPr>
        <w:t>in</w:t>
      </w:r>
      <w:r>
        <w:rPr>
          <w:spacing w:val="-2"/>
          <w:sz w:val="18"/>
          <w:vertAlign w:val="baseline"/>
        </w:rPr>
        <w:t> </w:t>
      </w:r>
      <w:r>
        <w:rPr>
          <w:sz w:val="18"/>
          <w:vertAlign w:val="baseline"/>
        </w:rPr>
        <w:t>the</w:t>
      </w:r>
      <w:r>
        <w:rPr>
          <w:spacing w:val="-2"/>
          <w:sz w:val="18"/>
          <w:vertAlign w:val="baseline"/>
        </w:rPr>
        <w:t> </w:t>
      </w:r>
      <w:r>
        <w:rPr>
          <w:sz w:val="18"/>
          <w:vertAlign w:val="baseline"/>
        </w:rPr>
        <w:t>3.0</w:t>
      </w:r>
      <w:r>
        <w:rPr>
          <w:spacing w:val="-2"/>
          <w:sz w:val="18"/>
          <w:vertAlign w:val="baseline"/>
        </w:rPr>
        <w:t> </w:t>
      </w:r>
      <w:r>
        <w:rPr>
          <w:sz w:val="18"/>
          <w:vertAlign w:val="baseline"/>
        </w:rPr>
        <w:t>version</w:t>
      </w:r>
      <w:r>
        <w:rPr>
          <w:spacing w:val="-2"/>
          <w:sz w:val="18"/>
          <w:vertAlign w:val="baseline"/>
        </w:rPr>
        <w:t> </w:t>
      </w:r>
      <w:r>
        <w:rPr>
          <w:sz w:val="18"/>
          <w:vertAlign w:val="baseline"/>
        </w:rPr>
        <w:t>of</w:t>
      </w:r>
      <w:r>
        <w:rPr>
          <w:spacing w:val="-2"/>
          <w:sz w:val="18"/>
          <w:vertAlign w:val="baseline"/>
        </w:rPr>
        <w:t> </w:t>
      </w:r>
      <w:r>
        <w:rPr>
          <w:sz w:val="18"/>
          <w:vertAlign w:val="baseline"/>
        </w:rPr>
        <w:t>the</w:t>
      </w:r>
      <w:r>
        <w:rPr>
          <w:spacing w:val="-2"/>
          <w:sz w:val="18"/>
          <w:vertAlign w:val="baseline"/>
        </w:rPr>
        <w:t> </w:t>
      </w:r>
      <w:r>
        <w:rPr>
          <w:sz w:val="18"/>
          <w:vertAlign w:val="baseline"/>
        </w:rPr>
        <w:t>GCDF</w:t>
      </w:r>
      <w:r>
        <w:rPr>
          <w:spacing w:val="-2"/>
          <w:sz w:val="18"/>
          <w:vertAlign w:val="baseline"/>
        </w:rPr>
        <w:t> </w:t>
      </w:r>
      <w:r>
        <w:rPr>
          <w:sz w:val="18"/>
          <w:vertAlign w:val="baseline"/>
        </w:rPr>
        <w:t>dataset’s</w:t>
      </w:r>
      <w:r>
        <w:rPr>
          <w:spacing w:val="-2"/>
          <w:sz w:val="18"/>
          <w:vertAlign w:val="baseline"/>
        </w:rPr>
        <w:t> </w:t>
      </w:r>
      <w:r>
        <w:rPr>
          <w:sz w:val="18"/>
          <w:vertAlign w:val="baseline"/>
        </w:rPr>
        <w:t>“collateral”</w:t>
      </w:r>
      <w:r>
        <w:rPr>
          <w:spacing w:val="-2"/>
          <w:sz w:val="18"/>
          <w:vertAlign w:val="baseline"/>
        </w:rPr>
        <w:t> </w:t>
      </w:r>
      <w:r>
        <w:rPr>
          <w:sz w:val="18"/>
          <w:vertAlign w:val="baseline"/>
        </w:rPr>
        <w:t>and “description” ﬁelds. Cash sweeps out of escrow accounts recorded in the GCDF dataset’s </w:t>
      </w:r>
      <w:r>
        <w:rPr>
          <w:sz w:val="18"/>
          <w:vertAlign w:val="baseline"/>
        </w:rPr>
        <w:t>“description” </w:t>
      </w:r>
      <w:r>
        <w:rPr>
          <w:spacing w:val="-2"/>
          <w:sz w:val="18"/>
          <w:vertAlign w:val="baseline"/>
        </w:rPr>
        <w:t>ﬁeld.</w:t>
      </w:r>
    </w:p>
    <w:p>
      <w:pPr>
        <w:spacing w:after="0" w:line="249" w:lineRule="auto"/>
        <w:jc w:val="both"/>
        <w:rPr>
          <w:sz w:val="18"/>
        </w:rPr>
        <w:sectPr>
          <w:pgSz w:w="12240" w:h="15840"/>
          <w:pgMar w:header="0" w:footer="720" w:top="1400" w:bottom="920" w:left="1040" w:right="1040"/>
        </w:sectPr>
      </w:pPr>
    </w:p>
    <w:p>
      <w:pPr>
        <w:pStyle w:val="BodyText"/>
        <w:spacing w:before="4"/>
        <w:rPr>
          <w:sz w:val="22"/>
        </w:rPr>
      </w:pPr>
    </w:p>
    <w:p>
      <w:pPr>
        <w:tabs>
          <w:tab w:pos="1854" w:val="left" w:leader="none"/>
          <w:tab w:pos="3039" w:val="left" w:leader="none"/>
        </w:tabs>
        <w:spacing w:before="0"/>
        <w:ind w:left="625" w:right="0" w:firstLine="0"/>
        <w:jc w:val="left"/>
        <w:rPr>
          <w:b/>
          <w:sz w:val="18"/>
        </w:rPr>
      </w:pPr>
      <w:r>
        <w:rPr>
          <w:b/>
          <w:spacing w:val="-2"/>
          <w:sz w:val="18"/>
        </w:rPr>
        <w:t>Country</w:t>
      </w:r>
      <w:r>
        <w:rPr>
          <w:b/>
          <w:sz w:val="18"/>
        </w:rPr>
        <w:tab/>
      </w:r>
      <w:r>
        <w:rPr>
          <w:b/>
          <w:spacing w:val="-2"/>
          <w:sz w:val="18"/>
        </w:rPr>
        <w:t>Lender</w:t>
      </w:r>
      <w:r>
        <w:rPr>
          <w:b/>
          <w:sz w:val="18"/>
        </w:rPr>
        <w:tab/>
      </w:r>
      <w:r>
        <w:rPr>
          <w:b/>
          <w:spacing w:val="-9"/>
          <w:sz w:val="18"/>
        </w:rPr>
        <w:t>Borrower</w:t>
      </w:r>
    </w:p>
    <w:p>
      <w:pPr>
        <w:spacing w:line="249" w:lineRule="auto" w:before="41"/>
        <w:ind w:left="577" w:right="-4" w:firstLine="0"/>
        <w:jc w:val="left"/>
        <w:rPr>
          <w:b/>
          <w:sz w:val="18"/>
        </w:rPr>
      </w:pPr>
      <w:r>
        <w:rPr/>
        <w:br w:type="column"/>
      </w:r>
      <w:r>
        <w:rPr>
          <w:b/>
          <w:spacing w:val="-6"/>
          <w:sz w:val="18"/>
        </w:rPr>
        <w:t>Aggregate</w:t>
      </w:r>
      <w:r>
        <w:rPr>
          <w:b/>
          <w:spacing w:val="-9"/>
          <w:sz w:val="18"/>
        </w:rPr>
        <w:t> </w:t>
      </w:r>
      <w:r>
        <w:rPr>
          <w:b/>
          <w:spacing w:val="-6"/>
          <w:sz w:val="18"/>
        </w:rPr>
        <w:t>Cash </w:t>
      </w:r>
      <w:r>
        <w:rPr>
          <w:b/>
          <w:spacing w:val="-6"/>
          <w:sz w:val="18"/>
        </w:rPr>
        <w:t>Balance </w:t>
      </w:r>
      <w:r>
        <w:rPr>
          <w:b/>
          <w:sz w:val="18"/>
        </w:rPr>
        <w:t>of Escrow Accounts </w:t>
      </w:r>
      <w:r>
        <w:rPr>
          <w:b/>
          <w:spacing w:val="-2"/>
          <w:sz w:val="18"/>
        </w:rPr>
        <w:t>(Maximum)</w:t>
      </w:r>
    </w:p>
    <w:p>
      <w:pPr>
        <w:spacing w:line="240" w:lineRule="auto" w:before="4"/>
        <w:rPr>
          <w:b/>
          <w:sz w:val="22"/>
        </w:rPr>
      </w:pPr>
      <w:r>
        <w:rPr/>
        <w:br w:type="column"/>
      </w:r>
      <w:r>
        <w:rPr>
          <w:b/>
          <w:sz w:val="22"/>
        </w:rPr>
      </w:r>
    </w:p>
    <w:p>
      <w:pPr>
        <w:spacing w:before="0"/>
        <w:ind w:left="88" w:right="0" w:firstLine="0"/>
        <w:jc w:val="left"/>
        <w:rPr>
          <w:b/>
          <w:sz w:val="18"/>
        </w:rPr>
      </w:pPr>
      <w:r>
        <w:rPr>
          <w:b/>
          <w:spacing w:val="-7"/>
          <w:sz w:val="18"/>
        </w:rPr>
        <w:t>Corresponding</w:t>
      </w:r>
      <w:r>
        <w:rPr>
          <w:b/>
          <w:spacing w:val="10"/>
          <w:sz w:val="18"/>
        </w:rPr>
        <w:t> </w:t>
      </w:r>
      <w:r>
        <w:rPr>
          <w:b/>
          <w:spacing w:val="-2"/>
          <w:sz w:val="18"/>
        </w:rPr>
        <w:t>Loan(s)</w:t>
      </w:r>
    </w:p>
    <w:p>
      <w:pPr>
        <w:spacing w:after="0"/>
        <w:jc w:val="left"/>
        <w:rPr>
          <w:sz w:val="18"/>
        </w:rPr>
        <w:sectPr>
          <w:pgSz w:w="12240" w:h="15840"/>
          <w:pgMar w:header="0" w:footer="720" w:top="1400" w:bottom="920" w:left="1040" w:right="1040"/>
          <w:cols w:num="3" w:equalWidth="0">
            <w:col w:w="3788" w:space="40"/>
            <w:col w:w="2579" w:space="39"/>
            <w:col w:w="3714"/>
          </w:cols>
        </w:sectPr>
      </w:pPr>
    </w:p>
    <w:tbl>
      <w:tblPr>
        <w:tblW w:w="0" w:type="auto"/>
        <w:jc w:val="left"/>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50"/>
        <w:gridCol w:w="1178"/>
        <w:gridCol w:w="1526"/>
        <w:gridCol w:w="1625"/>
        <w:gridCol w:w="3554"/>
      </w:tblGrid>
      <w:tr>
        <w:trPr>
          <w:trHeight w:val="500" w:hRule="atLeast"/>
        </w:trPr>
        <w:tc>
          <w:tcPr>
            <w:tcW w:w="1050" w:type="dxa"/>
            <w:tcBorders>
              <w:left w:val="single" w:sz="8" w:space="0" w:color="FFFFFF"/>
              <w:bottom w:val="single" w:sz="8" w:space="0" w:color="D9D9D9"/>
              <w:right w:val="nil"/>
            </w:tcBorders>
          </w:tcPr>
          <w:p>
            <w:pPr>
              <w:pStyle w:val="TableParagraph"/>
              <w:spacing w:line="205" w:lineRule="exact"/>
              <w:ind w:left="15"/>
              <w:rPr>
                <w:sz w:val="18"/>
              </w:rPr>
            </w:pPr>
            <w:r>
              <w:rPr>
                <w:spacing w:val="-2"/>
                <w:sz w:val="18"/>
              </w:rPr>
              <w:t>Ecuador</w:t>
            </w:r>
          </w:p>
        </w:tc>
        <w:tc>
          <w:tcPr>
            <w:tcW w:w="1178" w:type="dxa"/>
            <w:tcBorders>
              <w:left w:val="nil"/>
              <w:bottom w:val="single" w:sz="8" w:space="0" w:color="D9D9D9"/>
              <w:right w:val="nil"/>
            </w:tcBorders>
          </w:tcPr>
          <w:p>
            <w:pPr>
              <w:pStyle w:val="TableParagraph"/>
              <w:spacing w:line="205" w:lineRule="exact"/>
              <w:ind w:left="205"/>
              <w:rPr>
                <w:sz w:val="18"/>
              </w:rPr>
            </w:pPr>
            <w:r>
              <w:rPr>
                <w:spacing w:val="-5"/>
                <w:sz w:val="18"/>
              </w:rPr>
              <w:t>CDB</w:t>
            </w:r>
          </w:p>
        </w:tc>
        <w:tc>
          <w:tcPr>
            <w:tcW w:w="1526" w:type="dxa"/>
            <w:tcBorders>
              <w:left w:val="nil"/>
              <w:bottom w:val="single" w:sz="8" w:space="0" w:color="D9D9D9"/>
              <w:right w:val="nil"/>
            </w:tcBorders>
          </w:tcPr>
          <w:p>
            <w:pPr>
              <w:pStyle w:val="TableParagraph"/>
              <w:spacing w:line="249" w:lineRule="auto"/>
              <w:ind w:left="212"/>
              <w:rPr>
                <w:sz w:val="18"/>
              </w:rPr>
            </w:pPr>
            <w:r>
              <w:rPr>
                <w:sz w:val="18"/>
              </w:rPr>
              <w:t>Ministry</w:t>
            </w:r>
            <w:r>
              <w:rPr>
                <w:spacing w:val="-13"/>
                <w:sz w:val="18"/>
              </w:rPr>
              <w:t> </w:t>
            </w:r>
            <w:r>
              <w:rPr>
                <w:sz w:val="18"/>
              </w:rPr>
              <w:t>of </w:t>
            </w:r>
            <w:r>
              <w:rPr>
                <w:spacing w:val="-2"/>
                <w:sz w:val="18"/>
              </w:rPr>
              <w:t>Finance</w:t>
            </w:r>
          </w:p>
        </w:tc>
        <w:tc>
          <w:tcPr>
            <w:tcW w:w="1625" w:type="dxa"/>
            <w:tcBorders>
              <w:left w:val="nil"/>
              <w:bottom w:val="single" w:sz="8" w:space="0" w:color="D9D9D9"/>
              <w:right w:val="nil"/>
            </w:tcBorders>
          </w:tcPr>
          <w:p>
            <w:pPr>
              <w:pStyle w:val="TableParagraph"/>
              <w:spacing w:line="205" w:lineRule="exact"/>
              <w:ind w:left="51"/>
              <w:rPr>
                <w:sz w:val="18"/>
              </w:rPr>
            </w:pPr>
            <w:r>
              <w:rPr>
                <w:sz w:val="18"/>
              </w:rPr>
              <w:t>$113</w:t>
            </w:r>
            <w:r>
              <w:rPr>
                <w:spacing w:val="-6"/>
                <w:sz w:val="18"/>
              </w:rPr>
              <w:t> </w:t>
            </w:r>
            <w:r>
              <w:rPr>
                <w:spacing w:val="-2"/>
                <w:sz w:val="18"/>
              </w:rPr>
              <w:t>million</w:t>
            </w:r>
          </w:p>
        </w:tc>
        <w:tc>
          <w:tcPr>
            <w:tcW w:w="3554" w:type="dxa"/>
            <w:tcBorders>
              <w:left w:val="nil"/>
              <w:bottom w:val="single" w:sz="8" w:space="0" w:color="D9D9D9"/>
              <w:right w:val="nil"/>
            </w:tcBorders>
          </w:tcPr>
          <w:p>
            <w:pPr>
              <w:pStyle w:val="TableParagraph"/>
              <w:spacing w:line="205" w:lineRule="exact"/>
              <w:ind w:left="556"/>
              <w:rPr>
                <w:sz w:val="18"/>
              </w:rPr>
            </w:pPr>
            <w:r>
              <w:rPr>
                <w:sz w:val="18"/>
              </w:rPr>
              <w:t>$1</w:t>
            </w:r>
            <w:r>
              <w:rPr>
                <w:spacing w:val="12"/>
                <w:sz w:val="18"/>
              </w:rPr>
              <w:t> </w:t>
            </w:r>
            <w:r>
              <w:rPr>
                <w:sz w:val="18"/>
              </w:rPr>
              <w:t>billion</w:t>
            </w:r>
            <w:r>
              <w:rPr>
                <w:spacing w:val="12"/>
                <w:sz w:val="18"/>
              </w:rPr>
              <w:t> </w:t>
            </w:r>
            <w:r>
              <w:rPr>
                <w:spacing w:val="-2"/>
                <w:sz w:val="18"/>
              </w:rPr>
              <w:t>(2010)</w:t>
            </w:r>
          </w:p>
        </w:tc>
      </w:tr>
      <w:tr>
        <w:trPr>
          <w:trHeight w:val="499" w:hRule="atLeast"/>
        </w:trPr>
        <w:tc>
          <w:tcPr>
            <w:tcW w:w="1050" w:type="dxa"/>
            <w:tcBorders>
              <w:top w:val="single" w:sz="8" w:space="0" w:color="D9D9D9"/>
              <w:left w:val="single" w:sz="8" w:space="0" w:color="FFFFFF"/>
              <w:bottom w:val="single" w:sz="8" w:space="0" w:color="D9D9D9"/>
              <w:right w:val="nil"/>
            </w:tcBorders>
          </w:tcPr>
          <w:p>
            <w:pPr>
              <w:pStyle w:val="TableParagraph"/>
              <w:spacing w:before="2"/>
              <w:ind w:left="15"/>
              <w:rPr>
                <w:sz w:val="18"/>
              </w:rPr>
            </w:pPr>
            <w:r>
              <w:rPr>
                <w:spacing w:val="-2"/>
                <w:sz w:val="18"/>
              </w:rPr>
              <w:t>Ghana</w:t>
            </w:r>
          </w:p>
        </w:tc>
        <w:tc>
          <w:tcPr>
            <w:tcW w:w="1178" w:type="dxa"/>
            <w:tcBorders>
              <w:top w:val="single" w:sz="8" w:space="0" w:color="D9D9D9"/>
              <w:left w:val="nil"/>
              <w:bottom w:val="single" w:sz="8" w:space="0" w:color="D9D9D9"/>
              <w:right w:val="nil"/>
            </w:tcBorders>
          </w:tcPr>
          <w:p>
            <w:pPr>
              <w:pStyle w:val="TableParagraph"/>
              <w:spacing w:line="249" w:lineRule="auto" w:before="2"/>
              <w:ind w:left="205"/>
              <w:rPr>
                <w:sz w:val="18"/>
              </w:rPr>
            </w:pPr>
            <w:r>
              <w:rPr>
                <w:spacing w:val="-2"/>
                <w:sz w:val="18"/>
              </w:rPr>
              <w:t>China </w:t>
            </w:r>
            <w:r>
              <w:rPr>
                <w:spacing w:val="-4"/>
                <w:sz w:val="18"/>
              </w:rPr>
              <w:t>Eximbank</w:t>
            </w:r>
          </w:p>
        </w:tc>
        <w:tc>
          <w:tcPr>
            <w:tcW w:w="1526" w:type="dxa"/>
            <w:tcBorders>
              <w:top w:val="single" w:sz="8" w:space="0" w:color="D9D9D9"/>
              <w:left w:val="nil"/>
              <w:bottom w:val="single" w:sz="8" w:space="0" w:color="D9D9D9"/>
              <w:right w:val="nil"/>
            </w:tcBorders>
          </w:tcPr>
          <w:p>
            <w:pPr>
              <w:pStyle w:val="TableParagraph"/>
              <w:spacing w:line="249" w:lineRule="auto" w:before="2"/>
              <w:ind w:left="212"/>
              <w:rPr>
                <w:sz w:val="18"/>
              </w:rPr>
            </w:pPr>
            <w:r>
              <w:rPr>
                <w:spacing w:val="-2"/>
                <w:sz w:val="18"/>
              </w:rPr>
              <w:t>Central Government</w:t>
            </w:r>
          </w:p>
        </w:tc>
        <w:tc>
          <w:tcPr>
            <w:tcW w:w="1625" w:type="dxa"/>
            <w:tcBorders>
              <w:top w:val="single" w:sz="8" w:space="0" w:color="D9D9D9"/>
              <w:left w:val="nil"/>
              <w:bottom w:val="single" w:sz="8" w:space="0" w:color="D9D9D9"/>
              <w:right w:val="nil"/>
            </w:tcBorders>
          </w:tcPr>
          <w:p>
            <w:pPr>
              <w:pStyle w:val="TableParagraph"/>
              <w:spacing w:before="2"/>
              <w:ind w:left="51"/>
              <w:rPr>
                <w:sz w:val="18"/>
              </w:rPr>
            </w:pPr>
            <w:r>
              <w:rPr>
                <w:sz w:val="18"/>
              </w:rPr>
              <w:t>$27.2</w:t>
            </w:r>
            <w:r>
              <w:rPr>
                <w:spacing w:val="-6"/>
                <w:sz w:val="18"/>
              </w:rPr>
              <w:t> </w:t>
            </w:r>
            <w:r>
              <w:rPr>
                <w:spacing w:val="-2"/>
                <w:sz w:val="18"/>
              </w:rPr>
              <w:t>million</w:t>
            </w:r>
          </w:p>
        </w:tc>
        <w:tc>
          <w:tcPr>
            <w:tcW w:w="3554" w:type="dxa"/>
            <w:tcBorders>
              <w:top w:val="single" w:sz="8" w:space="0" w:color="D9D9D9"/>
              <w:left w:val="nil"/>
              <w:bottom w:val="single" w:sz="8" w:space="0" w:color="D9D9D9"/>
              <w:right w:val="nil"/>
            </w:tcBorders>
          </w:tcPr>
          <w:p>
            <w:pPr>
              <w:pStyle w:val="TableParagraph"/>
              <w:spacing w:before="2"/>
              <w:ind w:left="556"/>
              <w:rPr>
                <w:sz w:val="18"/>
              </w:rPr>
            </w:pPr>
            <w:r>
              <w:rPr>
                <w:sz w:val="18"/>
              </w:rPr>
              <w:t>$293.5</w:t>
            </w:r>
            <w:r>
              <w:rPr>
                <w:spacing w:val="7"/>
                <w:sz w:val="18"/>
              </w:rPr>
              <w:t> </w:t>
            </w:r>
            <w:r>
              <w:rPr>
                <w:sz w:val="18"/>
              </w:rPr>
              <w:t>million</w:t>
            </w:r>
            <w:r>
              <w:rPr>
                <w:spacing w:val="8"/>
                <w:sz w:val="18"/>
              </w:rPr>
              <w:t> </w:t>
            </w:r>
            <w:r>
              <w:rPr>
                <w:spacing w:val="-2"/>
                <w:sz w:val="18"/>
              </w:rPr>
              <w:t>(2007)</w:t>
            </w:r>
          </w:p>
        </w:tc>
      </w:tr>
      <w:tr>
        <w:trPr>
          <w:trHeight w:val="520" w:hRule="atLeast"/>
        </w:trPr>
        <w:tc>
          <w:tcPr>
            <w:tcW w:w="1050" w:type="dxa"/>
            <w:tcBorders>
              <w:top w:val="single" w:sz="8" w:space="0" w:color="D9D9D9"/>
              <w:left w:val="single" w:sz="8" w:space="0" w:color="FFFFFF"/>
              <w:bottom w:val="single" w:sz="8" w:space="0" w:color="D9D9D9"/>
              <w:right w:val="nil"/>
            </w:tcBorders>
          </w:tcPr>
          <w:p>
            <w:pPr>
              <w:pStyle w:val="TableParagraph"/>
              <w:spacing w:before="7"/>
              <w:ind w:left="15"/>
              <w:rPr>
                <w:sz w:val="18"/>
              </w:rPr>
            </w:pPr>
            <w:r>
              <w:rPr>
                <w:spacing w:val="-2"/>
                <w:sz w:val="18"/>
              </w:rPr>
              <w:t>Zimbabwe</w:t>
            </w:r>
          </w:p>
        </w:tc>
        <w:tc>
          <w:tcPr>
            <w:tcW w:w="1178" w:type="dxa"/>
            <w:tcBorders>
              <w:top w:val="single" w:sz="8" w:space="0" w:color="D9D9D9"/>
              <w:left w:val="nil"/>
              <w:bottom w:val="single" w:sz="8" w:space="0" w:color="D9D9D9"/>
              <w:right w:val="nil"/>
            </w:tcBorders>
          </w:tcPr>
          <w:p>
            <w:pPr>
              <w:pStyle w:val="TableParagraph"/>
              <w:spacing w:before="7"/>
              <w:ind w:left="205"/>
              <w:rPr>
                <w:sz w:val="18"/>
              </w:rPr>
            </w:pPr>
            <w:r>
              <w:rPr>
                <w:spacing w:val="-5"/>
                <w:sz w:val="18"/>
              </w:rPr>
              <w:t>CDB</w:t>
            </w:r>
          </w:p>
        </w:tc>
        <w:tc>
          <w:tcPr>
            <w:tcW w:w="1526" w:type="dxa"/>
            <w:tcBorders>
              <w:top w:val="single" w:sz="8" w:space="0" w:color="D9D9D9"/>
              <w:left w:val="nil"/>
              <w:bottom w:val="single" w:sz="8" w:space="0" w:color="D9D9D9"/>
              <w:right w:val="nil"/>
            </w:tcBorders>
          </w:tcPr>
          <w:p>
            <w:pPr>
              <w:pStyle w:val="TableParagraph"/>
              <w:spacing w:line="249" w:lineRule="auto" w:before="7"/>
              <w:ind w:left="212"/>
              <w:rPr>
                <w:sz w:val="18"/>
              </w:rPr>
            </w:pPr>
            <w:r>
              <w:rPr>
                <w:spacing w:val="-2"/>
                <w:sz w:val="18"/>
              </w:rPr>
              <w:t>Econet</w:t>
            </w:r>
            <w:r>
              <w:rPr>
                <w:spacing w:val="-11"/>
                <w:sz w:val="18"/>
              </w:rPr>
              <w:t> </w:t>
            </w:r>
            <w:r>
              <w:rPr>
                <w:spacing w:val="-2"/>
                <w:sz w:val="18"/>
              </w:rPr>
              <w:t>Wireless Zimbabwe</w:t>
            </w:r>
          </w:p>
        </w:tc>
        <w:tc>
          <w:tcPr>
            <w:tcW w:w="1625" w:type="dxa"/>
            <w:tcBorders>
              <w:top w:val="single" w:sz="8" w:space="0" w:color="D9D9D9"/>
              <w:left w:val="nil"/>
              <w:bottom w:val="single" w:sz="8" w:space="0" w:color="D9D9D9"/>
              <w:right w:val="nil"/>
            </w:tcBorders>
          </w:tcPr>
          <w:p>
            <w:pPr>
              <w:pStyle w:val="TableParagraph"/>
              <w:spacing w:before="7"/>
              <w:ind w:left="51"/>
              <w:rPr>
                <w:sz w:val="18"/>
              </w:rPr>
            </w:pPr>
            <w:r>
              <w:rPr>
                <w:sz w:val="18"/>
              </w:rPr>
              <w:t>$12.4</w:t>
            </w:r>
            <w:r>
              <w:rPr>
                <w:spacing w:val="-6"/>
                <w:sz w:val="18"/>
              </w:rPr>
              <w:t> </w:t>
            </w:r>
            <w:r>
              <w:rPr>
                <w:spacing w:val="-2"/>
                <w:sz w:val="18"/>
              </w:rPr>
              <w:t>million</w:t>
            </w:r>
          </w:p>
        </w:tc>
        <w:tc>
          <w:tcPr>
            <w:tcW w:w="3554" w:type="dxa"/>
            <w:tcBorders>
              <w:top w:val="single" w:sz="8" w:space="0" w:color="D9D9D9"/>
              <w:left w:val="nil"/>
              <w:bottom w:val="single" w:sz="8" w:space="0" w:color="D9D9D9"/>
              <w:right w:val="nil"/>
            </w:tcBorders>
          </w:tcPr>
          <w:p>
            <w:pPr>
              <w:pStyle w:val="TableParagraph"/>
              <w:spacing w:before="7"/>
              <w:ind w:left="556"/>
              <w:rPr>
                <w:sz w:val="18"/>
              </w:rPr>
            </w:pPr>
            <w:r>
              <w:rPr>
                <w:sz w:val="18"/>
              </w:rPr>
              <w:t>$93</w:t>
            </w:r>
            <w:r>
              <w:rPr>
                <w:spacing w:val="8"/>
                <w:sz w:val="18"/>
              </w:rPr>
              <w:t> </w:t>
            </w:r>
            <w:r>
              <w:rPr>
                <w:sz w:val="18"/>
              </w:rPr>
              <w:t>million</w:t>
            </w:r>
            <w:r>
              <w:rPr>
                <w:spacing w:val="9"/>
                <w:sz w:val="18"/>
              </w:rPr>
              <w:t> </w:t>
            </w:r>
            <w:r>
              <w:rPr>
                <w:spacing w:val="-2"/>
                <w:sz w:val="18"/>
              </w:rPr>
              <w:t>(2014)</w:t>
            </w:r>
          </w:p>
        </w:tc>
      </w:tr>
      <w:tr>
        <w:trPr>
          <w:trHeight w:val="500" w:hRule="atLeast"/>
        </w:trPr>
        <w:tc>
          <w:tcPr>
            <w:tcW w:w="1050" w:type="dxa"/>
            <w:tcBorders>
              <w:top w:val="single" w:sz="8" w:space="0" w:color="D9D9D9"/>
              <w:left w:val="single" w:sz="8" w:space="0" w:color="FFFFFF"/>
              <w:bottom w:val="single" w:sz="8" w:space="0" w:color="D9D9D9"/>
              <w:right w:val="nil"/>
            </w:tcBorders>
          </w:tcPr>
          <w:p>
            <w:pPr>
              <w:pStyle w:val="TableParagraph"/>
              <w:spacing w:line="200" w:lineRule="exact"/>
              <w:ind w:left="15"/>
              <w:rPr>
                <w:sz w:val="18"/>
              </w:rPr>
            </w:pPr>
            <w:r>
              <w:rPr>
                <w:spacing w:val="-2"/>
                <w:sz w:val="18"/>
              </w:rPr>
              <w:t>Botswana</w:t>
            </w:r>
          </w:p>
        </w:tc>
        <w:tc>
          <w:tcPr>
            <w:tcW w:w="1178" w:type="dxa"/>
            <w:tcBorders>
              <w:top w:val="single" w:sz="8" w:space="0" w:color="D9D9D9"/>
              <w:left w:val="nil"/>
              <w:bottom w:val="single" w:sz="8" w:space="0" w:color="D9D9D9"/>
              <w:right w:val="nil"/>
            </w:tcBorders>
          </w:tcPr>
          <w:p>
            <w:pPr>
              <w:pStyle w:val="TableParagraph"/>
              <w:spacing w:line="200" w:lineRule="exact"/>
              <w:ind w:left="205"/>
              <w:rPr>
                <w:sz w:val="18"/>
              </w:rPr>
            </w:pPr>
            <w:r>
              <w:rPr>
                <w:spacing w:val="-4"/>
                <w:sz w:val="18"/>
              </w:rPr>
              <w:t>ICBC</w:t>
            </w:r>
          </w:p>
        </w:tc>
        <w:tc>
          <w:tcPr>
            <w:tcW w:w="1526" w:type="dxa"/>
            <w:tcBorders>
              <w:top w:val="single" w:sz="8" w:space="0" w:color="D9D9D9"/>
              <w:left w:val="nil"/>
              <w:bottom w:val="single" w:sz="8" w:space="0" w:color="D9D9D9"/>
              <w:right w:val="nil"/>
            </w:tcBorders>
          </w:tcPr>
          <w:p>
            <w:pPr>
              <w:pStyle w:val="TableParagraph"/>
              <w:spacing w:line="200" w:lineRule="exact"/>
              <w:ind w:left="212"/>
              <w:rPr>
                <w:sz w:val="18"/>
              </w:rPr>
            </w:pPr>
            <w:r>
              <w:rPr>
                <w:spacing w:val="-5"/>
                <w:sz w:val="18"/>
              </w:rPr>
              <w:t>BPC</w:t>
            </w:r>
          </w:p>
        </w:tc>
        <w:tc>
          <w:tcPr>
            <w:tcW w:w="1625" w:type="dxa"/>
            <w:tcBorders>
              <w:top w:val="single" w:sz="8" w:space="0" w:color="D9D9D9"/>
              <w:left w:val="nil"/>
              <w:bottom w:val="single" w:sz="8" w:space="0" w:color="D9D9D9"/>
              <w:right w:val="nil"/>
            </w:tcBorders>
          </w:tcPr>
          <w:p>
            <w:pPr>
              <w:pStyle w:val="TableParagraph"/>
              <w:spacing w:line="200" w:lineRule="exact"/>
              <w:ind w:left="51"/>
              <w:rPr>
                <w:sz w:val="18"/>
              </w:rPr>
            </w:pPr>
            <w:r>
              <w:rPr>
                <w:sz w:val="18"/>
              </w:rPr>
              <w:t>$33</w:t>
            </w:r>
            <w:r>
              <w:rPr>
                <w:spacing w:val="-5"/>
                <w:sz w:val="18"/>
              </w:rPr>
              <w:t> </w:t>
            </w:r>
            <w:r>
              <w:rPr>
                <w:spacing w:val="-2"/>
                <w:sz w:val="18"/>
              </w:rPr>
              <w:t>million</w:t>
            </w:r>
          </w:p>
        </w:tc>
        <w:tc>
          <w:tcPr>
            <w:tcW w:w="3554" w:type="dxa"/>
            <w:tcBorders>
              <w:top w:val="single" w:sz="8" w:space="0" w:color="D9D9D9"/>
              <w:left w:val="nil"/>
              <w:bottom w:val="single" w:sz="8" w:space="0" w:color="D9D9D9"/>
              <w:right w:val="nil"/>
            </w:tcBorders>
          </w:tcPr>
          <w:p>
            <w:pPr>
              <w:pStyle w:val="TableParagraph"/>
              <w:spacing w:line="200" w:lineRule="exact"/>
              <w:ind w:left="556"/>
              <w:rPr>
                <w:sz w:val="18"/>
              </w:rPr>
            </w:pPr>
            <w:r>
              <w:rPr>
                <w:sz w:val="18"/>
              </w:rPr>
              <w:t>$825</w:t>
            </w:r>
            <w:r>
              <w:rPr>
                <w:spacing w:val="8"/>
                <w:sz w:val="18"/>
              </w:rPr>
              <w:t> </w:t>
            </w:r>
            <w:r>
              <w:rPr>
                <w:sz w:val="18"/>
              </w:rPr>
              <w:t>million</w:t>
            </w:r>
            <w:r>
              <w:rPr>
                <w:spacing w:val="8"/>
                <w:sz w:val="18"/>
              </w:rPr>
              <w:t> </w:t>
            </w:r>
            <w:r>
              <w:rPr>
                <w:spacing w:val="-2"/>
                <w:sz w:val="18"/>
              </w:rPr>
              <w:t>(2009)</w:t>
            </w:r>
          </w:p>
        </w:tc>
      </w:tr>
      <w:tr>
        <w:trPr>
          <w:trHeight w:val="499" w:hRule="atLeast"/>
        </w:trPr>
        <w:tc>
          <w:tcPr>
            <w:tcW w:w="1050" w:type="dxa"/>
            <w:tcBorders>
              <w:top w:val="single" w:sz="8" w:space="0" w:color="D9D9D9"/>
              <w:left w:val="single" w:sz="8" w:space="0" w:color="FFFFFF"/>
              <w:bottom w:val="single" w:sz="8" w:space="0" w:color="FFFFFF"/>
              <w:right w:val="nil"/>
            </w:tcBorders>
          </w:tcPr>
          <w:p>
            <w:pPr>
              <w:pStyle w:val="TableParagraph"/>
              <w:spacing w:line="205" w:lineRule="exact"/>
              <w:ind w:left="15"/>
              <w:rPr>
                <w:sz w:val="18"/>
              </w:rPr>
            </w:pPr>
            <w:r>
              <w:rPr>
                <w:spacing w:val="-2"/>
                <w:sz w:val="18"/>
              </w:rPr>
              <w:t>Zambia</w:t>
            </w:r>
          </w:p>
        </w:tc>
        <w:tc>
          <w:tcPr>
            <w:tcW w:w="1178" w:type="dxa"/>
            <w:tcBorders>
              <w:top w:val="single" w:sz="8" w:space="0" w:color="D9D9D9"/>
              <w:left w:val="nil"/>
              <w:bottom w:val="single" w:sz="8" w:space="0" w:color="FFFFFF"/>
              <w:right w:val="nil"/>
            </w:tcBorders>
          </w:tcPr>
          <w:p>
            <w:pPr>
              <w:pStyle w:val="TableParagraph"/>
              <w:spacing w:line="205" w:lineRule="exact"/>
              <w:ind w:left="205"/>
              <w:rPr>
                <w:sz w:val="18"/>
              </w:rPr>
            </w:pPr>
            <w:r>
              <w:rPr>
                <w:spacing w:val="-5"/>
                <w:sz w:val="18"/>
              </w:rPr>
              <w:t>CDB</w:t>
            </w:r>
          </w:p>
        </w:tc>
        <w:tc>
          <w:tcPr>
            <w:tcW w:w="1526" w:type="dxa"/>
            <w:tcBorders>
              <w:top w:val="single" w:sz="8" w:space="0" w:color="D9D9D9"/>
              <w:left w:val="nil"/>
              <w:bottom w:val="single" w:sz="8" w:space="0" w:color="FFFFFF"/>
              <w:right w:val="nil"/>
            </w:tcBorders>
          </w:tcPr>
          <w:p>
            <w:pPr>
              <w:pStyle w:val="TableParagraph"/>
              <w:spacing w:line="205" w:lineRule="exact"/>
              <w:ind w:left="212"/>
              <w:rPr>
                <w:sz w:val="18"/>
              </w:rPr>
            </w:pPr>
            <w:r>
              <w:rPr>
                <w:spacing w:val="-5"/>
                <w:sz w:val="18"/>
              </w:rPr>
              <w:t>DBZ</w:t>
            </w:r>
          </w:p>
        </w:tc>
        <w:tc>
          <w:tcPr>
            <w:tcW w:w="1625" w:type="dxa"/>
            <w:tcBorders>
              <w:top w:val="single" w:sz="8" w:space="0" w:color="D9D9D9"/>
              <w:left w:val="nil"/>
              <w:bottom w:val="single" w:sz="8" w:space="0" w:color="FFFFFF"/>
              <w:right w:val="nil"/>
            </w:tcBorders>
          </w:tcPr>
          <w:p>
            <w:pPr>
              <w:pStyle w:val="TableParagraph"/>
              <w:spacing w:line="205" w:lineRule="exact"/>
              <w:ind w:left="51"/>
              <w:rPr>
                <w:sz w:val="18"/>
              </w:rPr>
            </w:pPr>
            <w:r>
              <w:rPr>
                <w:sz w:val="18"/>
              </w:rPr>
              <w:t>$6</w:t>
            </w:r>
            <w:r>
              <w:rPr>
                <w:spacing w:val="-4"/>
                <w:sz w:val="18"/>
              </w:rPr>
              <w:t> </w:t>
            </w:r>
            <w:r>
              <w:rPr>
                <w:spacing w:val="-2"/>
                <w:sz w:val="18"/>
              </w:rPr>
              <w:t>million</w:t>
            </w:r>
          </w:p>
        </w:tc>
        <w:tc>
          <w:tcPr>
            <w:tcW w:w="3554" w:type="dxa"/>
            <w:tcBorders>
              <w:top w:val="single" w:sz="8" w:space="0" w:color="D9D9D9"/>
              <w:left w:val="nil"/>
              <w:bottom w:val="single" w:sz="8" w:space="0" w:color="FFFFFF"/>
              <w:right w:val="nil"/>
            </w:tcBorders>
          </w:tcPr>
          <w:p>
            <w:pPr>
              <w:pStyle w:val="TableParagraph"/>
              <w:spacing w:line="205" w:lineRule="exact"/>
              <w:ind w:left="556"/>
              <w:rPr>
                <w:sz w:val="18"/>
              </w:rPr>
            </w:pPr>
            <w:r>
              <w:rPr>
                <w:sz w:val="18"/>
              </w:rPr>
              <w:t>$30</w:t>
            </w:r>
            <w:r>
              <w:rPr>
                <w:spacing w:val="8"/>
                <w:sz w:val="18"/>
              </w:rPr>
              <w:t> </w:t>
            </w:r>
            <w:r>
              <w:rPr>
                <w:sz w:val="18"/>
              </w:rPr>
              <w:t>million</w:t>
            </w:r>
            <w:r>
              <w:rPr>
                <w:spacing w:val="9"/>
                <w:sz w:val="18"/>
              </w:rPr>
              <w:t> </w:t>
            </w:r>
            <w:r>
              <w:rPr>
                <w:spacing w:val="-2"/>
                <w:sz w:val="18"/>
              </w:rPr>
              <w:t>(2015)</w:t>
            </w:r>
          </w:p>
        </w:tc>
      </w:tr>
    </w:tbl>
    <w:p>
      <w:pPr>
        <w:spacing w:line="333" w:lineRule="auto" w:before="5"/>
        <w:ind w:left="760" w:right="767" w:firstLine="0"/>
        <w:jc w:val="left"/>
        <w:rPr>
          <w:i/>
          <w:sz w:val="18"/>
        </w:rPr>
      </w:pPr>
      <w:r>
        <w:rPr>
          <w:i/>
          <w:sz w:val="18"/>
        </w:rPr>
        <w:t>Notes:</w:t>
      </w:r>
      <w:r>
        <w:rPr>
          <w:i/>
          <w:spacing w:val="-4"/>
          <w:sz w:val="18"/>
        </w:rPr>
        <w:t> </w:t>
      </w:r>
      <w:r>
        <w:rPr>
          <w:i/>
          <w:sz w:val="18"/>
        </w:rPr>
        <w:t>This</w:t>
      </w:r>
      <w:r>
        <w:rPr>
          <w:i/>
          <w:spacing w:val="-4"/>
          <w:sz w:val="18"/>
        </w:rPr>
        <w:t> </w:t>
      </w:r>
      <w:r>
        <w:rPr>
          <w:i/>
          <w:sz w:val="18"/>
        </w:rPr>
        <w:t>table</w:t>
      </w:r>
      <w:r>
        <w:rPr>
          <w:i/>
          <w:spacing w:val="-4"/>
          <w:sz w:val="18"/>
        </w:rPr>
        <w:t> </w:t>
      </w:r>
      <w:r>
        <w:rPr>
          <w:i/>
          <w:sz w:val="18"/>
        </w:rPr>
        <w:t>provides</w:t>
      </w:r>
      <w:r>
        <w:rPr>
          <w:i/>
          <w:spacing w:val="-4"/>
          <w:sz w:val="18"/>
        </w:rPr>
        <w:t> </w:t>
      </w:r>
      <w:r>
        <w:rPr>
          <w:i/>
          <w:sz w:val="18"/>
        </w:rPr>
        <w:t>examples</w:t>
      </w:r>
      <w:r>
        <w:rPr>
          <w:i/>
          <w:spacing w:val="-4"/>
          <w:sz w:val="18"/>
        </w:rPr>
        <w:t> </w:t>
      </w:r>
      <w:r>
        <w:rPr>
          <w:i/>
          <w:sz w:val="18"/>
        </w:rPr>
        <w:t>of</w:t>
      </w:r>
      <w:r>
        <w:rPr>
          <w:i/>
          <w:spacing w:val="-4"/>
          <w:sz w:val="18"/>
        </w:rPr>
        <w:t> </w:t>
      </w:r>
      <w:r>
        <w:rPr>
          <w:i/>
          <w:sz w:val="18"/>
        </w:rPr>
        <w:t>escrow</w:t>
      </w:r>
      <w:r>
        <w:rPr>
          <w:i/>
          <w:spacing w:val="-4"/>
          <w:sz w:val="18"/>
        </w:rPr>
        <w:t> </w:t>
      </w:r>
      <w:r>
        <w:rPr>
          <w:i/>
          <w:sz w:val="18"/>
        </w:rPr>
        <w:t>account</w:t>
      </w:r>
      <w:r>
        <w:rPr>
          <w:i/>
          <w:spacing w:val="-4"/>
          <w:sz w:val="18"/>
        </w:rPr>
        <w:t> </w:t>
      </w:r>
      <w:r>
        <w:rPr>
          <w:i/>
          <w:sz w:val="18"/>
        </w:rPr>
        <w:t>cash</w:t>
      </w:r>
      <w:r>
        <w:rPr>
          <w:i/>
          <w:spacing w:val="-4"/>
          <w:sz w:val="18"/>
        </w:rPr>
        <w:t> </w:t>
      </w:r>
      <w:r>
        <w:rPr>
          <w:i/>
          <w:sz w:val="18"/>
        </w:rPr>
        <w:t>balances</w:t>
      </w:r>
      <w:r>
        <w:rPr>
          <w:i/>
          <w:spacing w:val="-4"/>
          <w:sz w:val="18"/>
        </w:rPr>
        <w:t> </w:t>
      </w:r>
      <w:r>
        <w:rPr>
          <w:i/>
          <w:sz w:val="18"/>
        </w:rPr>
        <w:t>linked</w:t>
      </w:r>
      <w:r>
        <w:rPr>
          <w:i/>
          <w:spacing w:val="-4"/>
          <w:sz w:val="18"/>
        </w:rPr>
        <w:t> </w:t>
      </w:r>
      <w:r>
        <w:rPr>
          <w:i/>
          <w:sz w:val="18"/>
        </w:rPr>
        <w:t>to</w:t>
      </w:r>
      <w:r>
        <w:rPr>
          <w:i/>
          <w:spacing w:val="-4"/>
          <w:sz w:val="18"/>
        </w:rPr>
        <w:t> </w:t>
      </w:r>
      <w:r>
        <w:rPr>
          <w:i/>
          <w:sz w:val="18"/>
        </w:rPr>
        <w:t>loans</w:t>
      </w:r>
      <w:r>
        <w:rPr>
          <w:i/>
          <w:spacing w:val="-4"/>
          <w:sz w:val="18"/>
        </w:rPr>
        <w:t> </w:t>
      </w:r>
      <w:r>
        <w:rPr>
          <w:i/>
          <w:sz w:val="18"/>
        </w:rPr>
        <w:t>from</w:t>
      </w:r>
      <w:r>
        <w:rPr>
          <w:i/>
          <w:spacing w:val="-4"/>
          <w:sz w:val="18"/>
        </w:rPr>
        <w:t> </w:t>
      </w:r>
      <w:r>
        <w:rPr>
          <w:i/>
          <w:sz w:val="18"/>
        </w:rPr>
        <w:t>Eximbank,</w:t>
      </w:r>
      <w:r>
        <w:rPr>
          <w:i/>
          <w:spacing w:val="-4"/>
          <w:sz w:val="18"/>
        </w:rPr>
        <w:t> </w:t>
      </w:r>
      <w:r>
        <w:rPr>
          <w:i/>
          <w:sz w:val="18"/>
        </w:rPr>
        <w:t>CDB,</w:t>
      </w:r>
      <w:r>
        <w:rPr>
          <w:i/>
          <w:sz w:val="18"/>
        </w:rPr>
        <w:t> and ICBC (project ID#59752, 59733, 65116, 65115, 60219, 59273, 55437, 73140, 30578, 58586, 60039,</w:t>
      </w:r>
    </w:p>
    <w:p>
      <w:pPr>
        <w:spacing w:line="206" w:lineRule="exact" w:before="0"/>
        <w:ind w:left="760" w:right="0" w:firstLine="0"/>
        <w:jc w:val="left"/>
        <w:rPr>
          <w:i/>
          <w:sz w:val="18"/>
        </w:rPr>
      </w:pPr>
      <w:r>
        <w:rPr>
          <w:i/>
          <w:sz w:val="18"/>
        </w:rPr>
        <w:t>98520,</w:t>
      </w:r>
      <w:r>
        <w:rPr>
          <w:i/>
          <w:spacing w:val="-3"/>
          <w:sz w:val="18"/>
        </w:rPr>
        <w:t> </w:t>
      </w:r>
      <w:r>
        <w:rPr>
          <w:i/>
          <w:sz w:val="18"/>
        </w:rPr>
        <w:t>34468,</w:t>
      </w:r>
      <w:r>
        <w:rPr>
          <w:i/>
          <w:spacing w:val="-3"/>
          <w:sz w:val="18"/>
        </w:rPr>
        <w:t> </w:t>
      </w:r>
      <w:r>
        <w:rPr>
          <w:i/>
          <w:sz w:val="18"/>
        </w:rPr>
        <w:t>62674,</w:t>
      </w:r>
      <w:r>
        <w:rPr>
          <w:i/>
          <w:spacing w:val="-3"/>
          <w:sz w:val="18"/>
        </w:rPr>
        <w:t> </w:t>
      </w:r>
      <w:r>
        <w:rPr>
          <w:i/>
          <w:sz w:val="18"/>
        </w:rPr>
        <w:t>66847,</w:t>
      </w:r>
      <w:r>
        <w:rPr>
          <w:i/>
          <w:spacing w:val="-2"/>
          <w:sz w:val="18"/>
        </w:rPr>
        <w:t> </w:t>
      </w:r>
      <w:r>
        <w:rPr>
          <w:i/>
          <w:sz w:val="18"/>
        </w:rPr>
        <w:t>31777,</w:t>
      </w:r>
      <w:r>
        <w:rPr>
          <w:i/>
          <w:spacing w:val="-3"/>
          <w:sz w:val="18"/>
        </w:rPr>
        <w:t> </w:t>
      </w:r>
      <w:r>
        <w:rPr>
          <w:i/>
          <w:sz w:val="18"/>
        </w:rPr>
        <w:t>37103,</w:t>
      </w:r>
      <w:r>
        <w:rPr>
          <w:i/>
          <w:spacing w:val="-3"/>
          <w:sz w:val="18"/>
        </w:rPr>
        <w:t> </w:t>
      </w:r>
      <w:r>
        <w:rPr>
          <w:i/>
          <w:sz w:val="18"/>
        </w:rPr>
        <w:t>35865,</w:t>
      </w:r>
      <w:r>
        <w:rPr>
          <w:i/>
          <w:spacing w:val="-3"/>
          <w:sz w:val="18"/>
        </w:rPr>
        <w:t> </w:t>
      </w:r>
      <w:r>
        <w:rPr>
          <w:i/>
          <w:sz w:val="18"/>
        </w:rPr>
        <w:t>183,</w:t>
      </w:r>
      <w:r>
        <w:rPr>
          <w:i/>
          <w:spacing w:val="-2"/>
          <w:sz w:val="18"/>
        </w:rPr>
        <w:t> </w:t>
      </w:r>
      <w:r>
        <w:rPr>
          <w:i/>
          <w:sz w:val="18"/>
        </w:rPr>
        <w:t>62601,</w:t>
      </w:r>
      <w:r>
        <w:rPr>
          <w:i/>
          <w:spacing w:val="-3"/>
          <w:sz w:val="18"/>
        </w:rPr>
        <w:t> </w:t>
      </w:r>
      <w:r>
        <w:rPr>
          <w:i/>
          <w:sz w:val="18"/>
        </w:rPr>
        <w:t>40,</w:t>
      </w:r>
      <w:r>
        <w:rPr>
          <w:i/>
          <w:spacing w:val="-3"/>
          <w:sz w:val="18"/>
        </w:rPr>
        <w:t> </w:t>
      </w:r>
      <w:r>
        <w:rPr>
          <w:i/>
          <w:sz w:val="18"/>
        </w:rPr>
        <w:t>52190</w:t>
      </w:r>
      <w:r>
        <w:rPr>
          <w:i/>
          <w:spacing w:val="-3"/>
          <w:sz w:val="18"/>
        </w:rPr>
        <w:t> </w:t>
      </w:r>
      <w:r>
        <w:rPr>
          <w:i/>
          <w:sz w:val="18"/>
        </w:rPr>
        <w:t>in</w:t>
      </w:r>
      <w:r>
        <w:rPr>
          <w:i/>
          <w:spacing w:val="-2"/>
          <w:sz w:val="18"/>
        </w:rPr>
        <w:t> </w:t>
      </w:r>
      <w:r>
        <w:rPr>
          <w:i/>
          <w:sz w:val="18"/>
        </w:rPr>
        <w:t>the</w:t>
      </w:r>
      <w:r>
        <w:rPr>
          <w:i/>
          <w:spacing w:val="-3"/>
          <w:sz w:val="18"/>
        </w:rPr>
        <w:t> </w:t>
      </w:r>
      <w:r>
        <w:rPr>
          <w:i/>
          <w:sz w:val="18"/>
        </w:rPr>
        <w:t>3.0</w:t>
      </w:r>
      <w:r>
        <w:rPr>
          <w:i/>
          <w:spacing w:val="-3"/>
          <w:sz w:val="18"/>
        </w:rPr>
        <w:t> </w:t>
      </w:r>
      <w:r>
        <w:rPr>
          <w:i/>
          <w:sz w:val="18"/>
        </w:rPr>
        <w:t>version</w:t>
      </w:r>
      <w:r>
        <w:rPr>
          <w:i/>
          <w:spacing w:val="-3"/>
          <w:sz w:val="18"/>
        </w:rPr>
        <w:t> </w:t>
      </w:r>
      <w:r>
        <w:rPr>
          <w:i/>
          <w:sz w:val="18"/>
        </w:rPr>
        <w:t>of</w:t>
      </w:r>
      <w:r>
        <w:rPr>
          <w:i/>
          <w:spacing w:val="-2"/>
          <w:sz w:val="18"/>
        </w:rPr>
        <w:t> AidData’s</w:t>
      </w:r>
    </w:p>
    <w:p>
      <w:pPr>
        <w:spacing w:line="333" w:lineRule="auto" w:before="80"/>
        <w:ind w:left="760" w:right="767" w:firstLine="0"/>
        <w:jc w:val="left"/>
        <w:rPr>
          <w:i/>
          <w:sz w:val="18"/>
        </w:rPr>
      </w:pPr>
      <w:r>
        <w:rPr>
          <w:i/>
          <w:sz w:val="18"/>
        </w:rPr>
        <w:t>GCDF dataset). The escrow account balance information is drawn from the collateral ﬁeld and description</w:t>
      </w:r>
      <w:r>
        <w:rPr>
          <w:i/>
          <w:sz w:val="18"/>
        </w:rPr>
        <w:t> ﬁeld.</w:t>
      </w:r>
      <w:r>
        <w:rPr>
          <w:i/>
          <w:spacing w:val="-4"/>
          <w:sz w:val="18"/>
        </w:rPr>
        <w:t> </w:t>
      </w:r>
      <w:r>
        <w:rPr>
          <w:i/>
          <w:sz w:val="18"/>
        </w:rPr>
        <w:t>Escrow</w:t>
      </w:r>
      <w:r>
        <w:rPr>
          <w:i/>
          <w:spacing w:val="-4"/>
          <w:sz w:val="18"/>
        </w:rPr>
        <w:t> </w:t>
      </w:r>
      <w:r>
        <w:rPr>
          <w:i/>
          <w:sz w:val="18"/>
        </w:rPr>
        <w:t>account</w:t>
      </w:r>
      <w:r>
        <w:rPr>
          <w:i/>
          <w:spacing w:val="-4"/>
          <w:sz w:val="18"/>
        </w:rPr>
        <w:t> </w:t>
      </w:r>
      <w:r>
        <w:rPr>
          <w:i/>
          <w:sz w:val="18"/>
        </w:rPr>
        <w:t>balances</w:t>
      </w:r>
      <w:r>
        <w:rPr>
          <w:i/>
          <w:spacing w:val="-4"/>
          <w:sz w:val="18"/>
        </w:rPr>
        <w:t> </w:t>
      </w:r>
      <w:r>
        <w:rPr>
          <w:i/>
          <w:sz w:val="18"/>
        </w:rPr>
        <w:t>vary</w:t>
      </w:r>
      <w:r>
        <w:rPr>
          <w:i/>
          <w:spacing w:val="-4"/>
          <w:sz w:val="18"/>
        </w:rPr>
        <w:t> </w:t>
      </w:r>
      <w:r>
        <w:rPr>
          <w:i/>
          <w:sz w:val="18"/>
        </w:rPr>
        <w:t>over</w:t>
      </w:r>
      <w:r>
        <w:rPr>
          <w:i/>
          <w:spacing w:val="-4"/>
          <w:sz w:val="18"/>
        </w:rPr>
        <w:t> </w:t>
      </w:r>
      <w:r>
        <w:rPr>
          <w:i/>
          <w:sz w:val="18"/>
        </w:rPr>
        <w:t>time.</w:t>
      </w:r>
      <w:r>
        <w:rPr>
          <w:i/>
          <w:spacing w:val="-4"/>
          <w:sz w:val="18"/>
        </w:rPr>
        <w:t> </w:t>
      </w:r>
      <w:r>
        <w:rPr>
          <w:i/>
          <w:sz w:val="18"/>
        </w:rPr>
        <w:t>This</w:t>
      </w:r>
      <w:r>
        <w:rPr>
          <w:i/>
          <w:spacing w:val="-4"/>
          <w:sz w:val="18"/>
        </w:rPr>
        <w:t> </w:t>
      </w:r>
      <w:r>
        <w:rPr>
          <w:i/>
          <w:sz w:val="18"/>
        </w:rPr>
        <w:t>table</w:t>
      </w:r>
      <w:r>
        <w:rPr>
          <w:i/>
          <w:spacing w:val="-4"/>
          <w:sz w:val="18"/>
        </w:rPr>
        <w:t> </w:t>
      </w:r>
      <w:r>
        <w:rPr>
          <w:i/>
          <w:sz w:val="18"/>
        </w:rPr>
        <w:t>records</w:t>
      </w:r>
      <w:r>
        <w:rPr>
          <w:i/>
          <w:spacing w:val="-4"/>
          <w:sz w:val="18"/>
        </w:rPr>
        <w:t> </w:t>
      </w:r>
      <w:r>
        <w:rPr>
          <w:i/>
          <w:sz w:val="18"/>
        </w:rPr>
        <w:t>the</w:t>
      </w:r>
      <w:r>
        <w:rPr>
          <w:i/>
          <w:spacing w:val="-4"/>
          <w:sz w:val="18"/>
        </w:rPr>
        <w:t> </w:t>
      </w:r>
      <w:r>
        <w:rPr>
          <w:i/>
          <w:sz w:val="18"/>
        </w:rPr>
        <w:t>maximum</w:t>
      </w:r>
      <w:r>
        <w:rPr>
          <w:i/>
          <w:spacing w:val="-4"/>
          <w:sz w:val="18"/>
        </w:rPr>
        <w:t> </w:t>
      </w:r>
      <w:r>
        <w:rPr>
          <w:i/>
          <w:sz w:val="18"/>
        </w:rPr>
        <w:t>observed</w:t>
      </w:r>
      <w:r>
        <w:rPr>
          <w:i/>
          <w:spacing w:val="-4"/>
          <w:sz w:val="18"/>
        </w:rPr>
        <w:t> </w:t>
      </w:r>
      <w:r>
        <w:rPr>
          <w:i/>
          <w:sz w:val="18"/>
        </w:rPr>
        <w:t>account</w:t>
      </w:r>
      <w:r>
        <w:rPr>
          <w:i/>
          <w:spacing w:val="-4"/>
          <w:sz w:val="18"/>
        </w:rPr>
        <w:t> </w:t>
      </w:r>
      <w:r>
        <w:rPr>
          <w:i/>
          <w:sz w:val="18"/>
        </w:rPr>
        <w:t>balances.</w:t>
      </w:r>
    </w:p>
    <w:p>
      <w:pPr>
        <w:pStyle w:val="BodyText"/>
        <w:rPr>
          <w:i/>
          <w:sz w:val="18"/>
        </w:rPr>
      </w:pPr>
    </w:p>
    <w:p>
      <w:pPr>
        <w:pStyle w:val="BodyText"/>
        <w:spacing w:line="333" w:lineRule="auto" w:before="113"/>
        <w:ind w:left="760" w:right="842"/>
      </w:pPr>
      <w:r>
        <w:rPr/>
        <w:t>Table 2.3 provides an illustrative set of escrow account cash balances linked to China Eximbank, CDB, and ICBC loans in 15 countries. There are several important points to keep in mind about these balances. First, although there is some evidence of borrower noncompliance with the escrow account conditions</w:t>
      </w:r>
      <w:r>
        <w:rPr>
          <w:spacing w:val="40"/>
        </w:rPr>
        <w:t> </w:t>
      </w:r>
      <w:r>
        <w:rPr/>
        <w:t>in their Chinese loan agreements, compliance seems to be the norm rather than the exception. Borrowers subject to such conditions typically maintain escrow account cash balances that are sufﬁcient to cover the cost of 1 to 3 semi-annual principal and interest payments. These amounts are usually equivalent to 5-10% of the face value of the loan supported by the escrow account. Second, it is not uncommon for minimum cash balances—and minimum cash balance requirements—to change based on a loan’s actual or expected amount outstanding at different points in time over the lifetime of the loan. The cash balance (requirement) is usually at its lowest point during the grace period </w:t>
      </w:r>
      <w:r>
        <w:rPr/>
        <w:t>when the loan has not fully disbursed and at its highest point when the loan has fully disbursed but no repayments have been made. Some, but not all, Chinese lenders allow borrowers to incrementally reduce the amount of cash in their escrow accounts as repayments are made and the total amounts outstanding </w:t>
      </w:r>
      <w:r>
        <w:rPr>
          <w:spacing w:val="-2"/>
        </w:rPr>
        <w:t>shrink.</w:t>
      </w:r>
      <w:r>
        <w:rPr>
          <w:spacing w:val="-2"/>
          <w:vertAlign w:val="superscript"/>
        </w:rPr>
        <w:t>155</w:t>
      </w:r>
    </w:p>
    <w:p>
      <w:pPr>
        <w:pStyle w:val="BodyText"/>
        <w:rPr>
          <w:sz w:val="20"/>
        </w:rPr>
      </w:pPr>
    </w:p>
    <w:p>
      <w:pPr>
        <w:pStyle w:val="BodyText"/>
        <w:rPr>
          <w:sz w:val="20"/>
        </w:rPr>
      </w:pPr>
    </w:p>
    <w:p>
      <w:pPr>
        <w:pStyle w:val="BodyText"/>
        <w:spacing w:before="1"/>
        <w:rPr>
          <w:sz w:val="29"/>
        </w:rPr>
      </w:pPr>
      <w:r>
        <w:rPr/>
        <w:pict>
          <v:shape style="position:absolute;margin-left:90pt;margin-top:17.944092pt;width:144pt;height:.1pt;mso-position-horizontal-relative:page;mso-position-vertical-relative:paragraph;z-index:-15697408;mso-wrap-distance-left:0;mso-wrap-distance-right:0" id="docshape57" coordorigin="1800,359" coordsize="2880,0" path="m1800,359l4680,359e" filled="false" stroked="true" strokeweight=".75pt" strokecolor="#000000">
            <v:path arrowok="t"/>
            <v:stroke dashstyle="solid"/>
            <w10:wrap type="topAndBottom"/>
          </v:shape>
        </w:pict>
      </w:r>
    </w:p>
    <w:p>
      <w:pPr>
        <w:spacing w:line="249" w:lineRule="auto" w:before="113"/>
        <w:ind w:left="760" w:right="767" w:firstLine="0"/>
        <w:jc w:val="left"/>
        <w:rPr>
          <w:sz w:val="18"/>
        </w:rPr>
      </w:pPr>
      <w:r>
        <w:rPr>
          <w:sz w:val="18"/>
          <w:vertAlign w:val="superscript"/>
        </w:rPr>
        <w:t>155</w:t>
      </w:r>
      <w:r>
        <w:rPr>
          <w:spacing w:val="-3"/>
          <w:sz w:val="18"/>
          <w:vertAlign w:val="baseline"/>
        </w:rPr>
        <w:t> </w:t>
      </w:r>
      <w:r>
        <w:rPr>
          <w:sz w:val="18"/>
          <w:vertAlign w:val="baseline"/>
        </w:rPr>
        <w:t>In</w:t>
      </w:r>
      <w:r>
        <w:rPr>
          <w:spacing w:val="-2"/>
          <w:sz w:val="18"/>
          <w:vertAlign w:val="baseline"/>
        </w:rPr>
        <w:t> </w:t>
      </w:r>
      <w:r>
        <w:rPr>
          <w:sz w:val="18"/>
          <w:vertAlign w:val="baseline"/>
        </w:rPr>
        <w:t>the</w:t>
      </w:r>
      <w:r>
        <w:rPr>
          <w:spacing w:val="-2"/>
          <w:sz w:val="18"/>
          <w:vertAlign w:val="baseline"/>
        </w:rPr>
        <w:t> </w:t>
      </w:r>
      <w:r>
        <w:rPr>
          <w:sz w:val="18"/>
          <w:vertAlign w:val="baseline"/>
        </w:rPr>
        <w:t>3.0</w:t>
      </w:r>
      <w:r>
        <w:rPr>
          <w:spacing w:val="-2"/>
          <w:sz w:val="18"/>
          <w:vertAlign w:val="baseline"/>
        </w:rPr>
        <w:t> </w:t>
      </w:r>
      <w:r>
        <w:rPr>
          <w:sz w:val="18"/>
          <w:vertAlign w:val="baseline"/>
        </w:rPr>
        <w:t>version</w:t>
      </w:r>
      <w:r>
        <w:rPr>
          <w:spacing w:val="-2"/>
          <w:sz w:val="18"/>
          <w:vertAlign w:val="baseline"/>
        </w:rPr>
        <w:t> </w:t>
      </w:r>
      <w:r>
        <w:rPr>
          <w:sz w:val="18"/>
          <w:vertAlign w:val="baseline"/>
        </w:rPr>
        <w:t>of</w:t>
      </w:r>
      <w:r>
        <w:rPr>
          <w:spacing w:val="-2"/>
          <w:sz w:val="18"/>
          <w:vertAlign w:val="baseline"/>
        </w:rPr>
        <w:t> </w:t>
      </w:r>
      <w:r>
        <w:rPr>
          <w:sz w:val="18"/>
          <w:vertAlign w:val="baseline"/>
        </w:rPr>
        <w:t>AidData’s</w:t>
      </w:r>
      <w:r>
        <w:rPr>
          <w:spacing w:val="-2"/>
          <w:sz w:val="18"/>
          <w:vertAlign w:val="baseline"/>
        </w:rPr>
        <w:t> </w:t>
      </w:r>
      <w:r>
        <w:rPr>
          <w:sz w:val="18"/>
          <w:vertAlign w:val="baseline"/>
        </w:rPr>
        <w:t>GCDF</w:t>
      </w:r>
      <w:r>
        <w:rPr>
          <w:spacing w:val="-2"/>
          <w:sz w:val="18"/>
          <w:vertAlign w:val="baseline"/>
        </w:rPr>
        <w:t> </w:t>
      </w:r>
      <w:r>
        <w:rPr>
          <w:sz w:val="18"/>
          <w:vertAlign w:val="baseline"/>
        </w:rPr>
        <w:t>dataset,</w:t>
      </w:r>
      <w:r>
        <w:rPr>
          <w:spacing w:val="-2"/>
          <w:sz w:val="18"/>
          <w:vertAlign w:val="baseline"/>
        </w:rPr>
        <w:t> </w:t>
      </w:r>
      <w:r>
        <w:rPr>
          <w:sz w:val="18"/>
          <w:vertAlign w:val="baseline"/>
        </w:rPr>
        <w:t>there</w:t>
      </w:r>
      <w:r>
        <w:rPr>
          <w:spacing w:val="-2"/>
          <w:sz w:val="18"/>
          <w:vertAlign w:val="baseline"/>
        </w:rPr>
        <w:t> </w:t>
      </w:r>
      <w:r>
        <w:rPr>
          <w:sz w:val="18"/>
          <w:vertAlign w:val="baseline"/>
        </w:rPr>
        <w:t>is</w:t>
      </w:r>
      <w:r>
        <w:rPr>
          <w:spacing w:val="-2"/>
          <w:sz w:val="18"/>
          <w:vertAlign w:val="baseline"/>
        </w:rPr>
        <w:t> </w:t>
      </w:r>
      <w:r>
        <w:rPr>
          <w:sz w:val="18"/>
          <w:vertAlign w:val="baseline"/>
        </w:rPr>
        <w:t>more</w:t>
      </w:r>
      <w:r>
        <w:rPr>
          <w:spacing w:val="-2"/>
          <w:sz w:val="18"/>
          <w:vertAlign w:val="baseline"/>
        </w:rPr>
        <w:t> </w:t>
      </w:r>
      <w:r>
        <w:rPr>
          <w:sz w:val="18"/>
          <w:vertAlign w:val="baseline"/>
        </w:rPr>
        <w:t>evidence</w:t>
      </w:r>
      <w:r>
        <w:rPr>
          <w:spacing w:val="-2"/>
          <w:sz w:val="18"/>
          <w:vertAlign w:val="baseline"/>
        </w:rPr>
        <w:t> </w:t>
      </w:r>
      <w:r>
        <w:rPr>
          <w:sz w:val="18"/>
          <w:vertAlign w:val="baseline"/>
        </w:rPr>
        <w:t>that</w:t>
      </w:r>
      <w:r>
        <w:rPr>
          <w:spacing w:val="-2"/>
          <w:sz w:val="18"/>
          <w:vertAlign w:val="baseline"/>
        </w:rPr>
        <w:t> </w:t>
      </w:r>
      <w:r>
        <w:rPr>
          <w:sz w:val="18"/>
          <w:vertAlign w:val="baseline"/>
        </w:rPr>
        <w:t>CDB</w:t>
      </w:r>
      <w:r>
        <w:rPr>
          <w:spacing w:val="-2"/>
          <w:sz w:val="18"/>
          <w:vertAlign w:val="baseline"/>
        </w:rPr>
        <w:t> </w:t>
      </w:r>
      <w:r>
        <w:rPr>
          <w:sz w:val="18"/>
          <w:vertAlign w:val="baseline"/>
        </w:rPr>
        <w:t>follows</w:t>
      </w:r>
      <w:r>
        <w:rPr>
          <w:spacing w:val="-2"/>
          <w:sz w:val="18"/>
          <w:vertAlign w:val="baseline"/>
        </w:rPr>
        <w:t> </w:t>
      </w:r>
      <w:r>
        <w:rPr>
          <w:sz w:val="18"/>
          <w:vertAlign w:val="baseline"/>
        </w:rPr>
        <w:t>this</w:t>
      </w:r>
      <w:r>
        <w:rPr>
          <w:spacing w:val="-2"/>
          <w:sz w:val="18"/>
          <w:vertAlign w:val="baseline"/>
        </w:rPr>
        <w:t> </w:t>
      </w:r>
      <w:r>
        <w:rPr>
          <w:sz w:val="18"/>
          <w:vertAlign w:val="baseline"/>
        </w:rPr>
        <w:t>practice</w:t>
      </w:r>
      <w:r>
        <w:rPr>
          <w:spacing w:val="-2"/>
          <w:sz w:val="18"/>
          <w:vertAlign w:val="baseline"/>
        </w:rPr>
        <w:t> </w:t>
      </w:r>
      <w:r>
        <w:rPr>
          <w:sz w:val="18"/>
          <w:vertAlign w:val="baseline"/>
        </w:rPr>
        <w:t>than China Eximbank. See, for example, project ID#37103, 55437, 58839, and 58842.</w:t>
      </w:r>
    </w:p>
    <w:p>
      <w:pPr>
        <w:spacing w:after="0" w:line="249" w:lineRule="auto"/>
        <w:jc w:val="left"/>
        <w:rPr>
          <w:sz w:val="18"/>
        </w:rPr>
        <w:sectPr>
          <w:type w:val="continuous"/>
          <w:pgSz w:w="12240" w:h="15840"/>
          <w:pgMar w:header="0" w:footer="720" w:top="1460" w:bottom="280" w:left="1040" w:right="1040"/>
        </w:sectPr>
      </w:pPr>
    </w:p>
    <w:p>
      <w:pPr>
        <w:pStyle w:val="BodyText"/>
        <w:spacing w:line="333" w:lineRule="auto" w:before="27"/>
        <w:ind w:left="760" w:right="767"/>
      </w:pPr>
      <w:r>
        <w:rPr>
          <w:spacing w:val="-2"/>
          <w:w w:val="105"/>
        </w:rPr>
        <w:t>Third,</w:t>
      </w:r>
      <w:r>
        <w:rPr>
          <w:spacing w:val="-11"/>
          <w:w w:val="105"/>
        </w:rPr>
        <w:t> </w:t>
      </w:r>
      <w:r>
        <w:rPr>
          <w:spacing w:val="-2"/>
          <w:w w:val="105"/>
        </w:rPr>
        <w:t>notwithstanding</w:t>
      </w:r>
      <w:r>
        <w:rPr>
          <w:spacing w:val="-11"/>
          <w:w w:val="105"/>
        </w:rPr>
        <w:t> </w:t>
      </w:r>
      <w:r>
        <w:rPr>
          <w:spacing w:val="-2"/>
          <w:w w:val="105"/>
        </w:rPr>
        <w:t>the</w:t>
      </w:r>
      <w:r>
        <w:rPr>
          <w:spacing w:val="-11"/>
          <w:w w:val="105"/>
        </w:rPr>
        <w:t> </w:t>
      </w:r>
      <w:r>
        <w:rPr>
          <w:spacing w:val="-2"/>
          <w:w w:val="105"/>
        </w:rPr>
        <w:t>“1</w:t>
      </w:r>
      <w:r>
        <w:rPr>
          <w:spacing w:val="-11"/>
          <w:w w:val="105"/>
        </w:rPr>
        <w:t> </w:t>
      </w:r>
      <w:r>
        <w:rPr>
          <w:spacing w:val="-2"/>
          <w:w w:val="105"/>
        </w:rPr>
        <w:t>to</w:t>
      </w:r>
      <w:r>
        <w:rPr>
          <w:spacing w:val="-11"/>
          <w:w w:val="105"/>
        </w:rPr>
        <w:t> </w:t>
      </w:r>
      <w:r>
        <w:rPr>
          <w:spacing w:val="-2"/>
          <w:w w:val="105"/>
        </w:rPr>
        <w:t>3</w:t>
      </w:r>
      <w:r>
        <w:rPr>
          <w:spacing w:val="-11"/>
          <w:w w:val="105"/>
        </w:rPr>
        <w:t> </w:t>
      </w:r>
      <w:r>
        <w:rPr>
          <w:spacing w:val="-2"/>
          <w:w w:val="105"/>
        </w:rPr>
        <w:t>semi-annual</w:t>
      </w:r>
      <w:r>
        <w:rPr>
          <w:spacing w:val="-11"/>
          <w:w w:val="105"/>
        </w:rPr>
        <w:t> </w:t>
      </w:r>
      <w:r>
        <w:rPr>
          <w:spacing w:val="-2"/>
          <w:w w:val="105"/>
        </w:rPr>
        <w:t>debt</w:t>
      </w:r>
      <w:r>
        <w:rPr>
          <w:spacing w:val="-11"/>
          <w:w w:val="105"/>
        </w:rPr>
        <w:t> </w:t>
      </w:r>
      <w:r>
        <w:rPr>
          <w:spacing w:val="-2"/>
          <w:w w:val="105"/>
        </w:rPr>
        <w:t>service</w:t>
      </w:r>
      <w:r>
        <w:rPr>
          <w:spacing w:val="-11"/>
          <w:w w:val="105"/>
        </w:rPr>
        <w:t> </w:t>
      </w:r>
      <w:r>
        <w:rPr>
          <w:spacing w:val="-2"/>
          <w:w w:val="105"/>
        </w:rPr>
        <w:t>payments”</w:t>
      </w:r>
      <w:r>
        <w:rPr>
          <w:spacing w:val="-11"/>
          <w:w w:val="105"/>
        </w:rPr>
        <w:t> </w:t>
      </w:r>
      <w:r>
        <w:rPr>
          <w:spacing w:val="-2"/>
          <w:w w:val="105"/>
        </w:rPr>
        <w:t>rule</w:t>
      </w:r>
      <w:r>
        <w:rPr>
          <w:spacing w:val="-11"/>
          <w:w w:val="105"/>
        </w:rPr>
        <w:t> </w:t>
      </w:r>
      <w:r>
        <w:rPr>
          <w:spacing w:val="-2"/>
          <w:w w:val="105"/>
        </w:rPr>
        <w:t>of </w:t>
      </w:r>
      <w:r>
        <w:rPr>
          <w:w w:val="105"/>
        </w:rPr>
        <w:t>thumb,</w:t>
      </w:r>
      <w:r>
        <w:rPr>
          <w:spacing w:val="-18"/>
          <w:w w:val="105"/>
        </w:rPr>
        <w:t> </w:t>
      </w:r>
      <w:r>
        <w:rPr>
          <w:w w:val="105"/>
        </w:rPr>
        <w:t>minimum</w:t>
      </w:r>
      <w:r>
        <w:rPr>
          <w:spacing w:val="-17"/>
          <w:w w:val="105"/>
        </w:rPr>
        <w:t> </w:t>
      </w:r>
      <w:r>
        <w:rPr>
          <w:w w:val="105"/>
        </w:rPr>
        <w:t>cash</w:t>
      </w:r>
      <w:r>
        <w:rPr>
          <w:spacing w:val="-18"/>
          <w:w w:val="105"/>
        </w:rPr>
        <w:t> </w:t>
      </w:r>
      <w:r>
        <w:rPr>
          <w:w w:val="105"/>
        </w:rPr>
        <w:t>balance</w:t>
      </w:r>
      <w:r>
        <w:rPr>
          <w:spacing w:val="-18"/>
          <w:w w:val="105"/>
        </w:rPr>
        <w:t> </w:t>
      </w:r>
      <w:r>
        <w:rPr>
          <w:w w:val="105"/>
        </w:rPr>
        <w:t>requirements</w:t>
      </w:r>
      <w:r>
        <w:rPr>
          <w:spacing w:val="-17"/>
          <w:w w:val="105"/>
        </w:rPr>
        <w:t> </w:t>
      </w:r>
      <w:r>
        <w:rPr>
          <w:w w:val="105"/>
        </w:rPr>
        <w:t>can</w:t>
      </w:r>
      <w:r>
        <w:rPr>
          <w:spacing w:val="-18"/>
          <w:w w:val="105"/>
        </w:rPr>
        <w:t> </w:t>
      </w:r>
      <w:r>
        <w:rPr>
          <w:w w:val="105"/>
        </w:rPr>
        <w:t>be</w:t>
      </w:r>
      <w:r>
        <w:rPr>
          <w:spacing w:val="-17"/>
          <w:w w:val="105"/>
        </w:rPr>
        <w:t> </w:t>
      </w:r>
      <w:r>
        <w:rPr>
          <w:w w:val="105"/>
        </w:rPr>
        <w:t>adjusted</w:t>
      </w:r>
      <w:r>
        <w:rPr>
          <w:spacing w:val="-18"/>
          <w:w w:val="105"/>
        </w:rPr>
        <w:t> </w:t>
      </w:r>
      <w:r>
        <w:rPr>
          <w:w w:val="105"/>
        </w:rPr>
        <w:t>based</w:t>
      </w:r>
      <w:r>
        <w:rPr>
          <w:spacing w:val="-17"/>
          <w:w w:val="105"/>
        </w:rPr>
        <w:t> </w:t>
      </w:r>
      <w:r>
        <w:rPr>
          <w:w w:val="105"/>
        </w:rPr>
        <w:t>on</w:t>
      </w:r>
      <w:r>
        <w:rPr>
          <w:spacing w:val="-18"/>
          <w:w w:val="105"/>
        </w:rPr>
        <w:t> </w:t>
      </w:r>
      <w:r>
        <w:rPr>
          <w:w w:val="105"/>
        </w:rPr>
        <w:t>the </w:t>
      </w:r>
      <w:r>
        <w:rPr>
          <w:spacing w:val="-2"/>
          <w:w w:val="105"/>
        </w:rPr>
        <w:t>borrower’s</w:t>
      </w:r>
      <w:r>
        <w:rPr>
          <w:spacing w:val="-10"/>
          <w:w w:val="105"/>
        </w:rPr>
        <w:t> </w:t>
      </w:r>
      <w:r>
        <w:rPr>
          <w:spacing w:val="-2"/>
          <w:w w:val="105"/>
        </w:rPr>
        <w:t>risk</w:t>
      </w:r>
      <w:r>
        <w:rPr>
          <w:spacing w:val="-10"/>
          <w:w w:val="105"/>
        </w:rPr>
        <w:t> </w:t>
      </w:r>
      <w:r>
        <w:rPr>
          <w:spacing w:val="-2"/>
          <w:w w:val="105"/>
        </w:rPr>
        <w:t>proﬁle</w:t>
      </w:r>
      <w:r>
        <w:rPr>
          <w:spacing w:val="-10"/>
          <w:w w:val="105"/>
        </w:rPr>
        <w:t> </w:t>
      </w:r>
      <w:r>
        <w:rPr>
          <w:spacing w:val="-2"/>
          <w:w w:val="105"/>
        </w:rPr>
        <w:t>and/or</w:t>
      </w:r>
      <w:r>
        <w:rPr>
          <w:spacing w:val="-10"/>
          <w:w w:val="105"/>
        </w:rPr>
        <w:t> </w:t>
      </w:r>
      <w:r>
        <w:rPr>
          <w:spacing w:val="-2"/>
          <w:w w:val="105"/>
        </w:rPr>
        <w:t>the</w:t>
      </w:r>
      <w:r>
        <w:rPr>
          <w:spacing w:val="-10"/>
          <w:w w:val="105"/>
        </w:rPr>
        <w:t> </w:t>
      </w:r>
      <w:r>
        <w:rPr>
          <w:spacing w:val="-2"/>
          <w:w w:val="105"/>
        </w:rPr>
        <w:t>lender’s</w:t>
      </w:r>
      <w:r>
        <w:rPr>
          <w:spacing w:val="-10"/>
          <w:w w:val="105"/>
        </w:rPr>
        <w:t> </w:t>
      </w:r>
      <w:r>
        <w:rPr>
          <w:spacing w:val="-2"/>
          <w:w w:val="105"/>
        </w:rPr>
        <w:t>level</w:t>
      </w:r>
      <w:r>
        <w:rPr>
          <w:spacing w:val="-10"/>
          <w:w w:val="105"/>
        </w:rPr>
        <w:t> </w:t>
      </w:r>
      <w:r>
        <w:rPr>
          <w:spacing w:val="-2"/>
          <w:w w:val="105"/>
        </w:rPr>
        <w:t>of</w:t>
      </w:r>
      <w:r>
        <w:rPr>
          <w:spacing w:val="-10"/>
          <w:w w:val="105"/>
        </w:rPr>
        <w:t> </w:t>
      </w:r>
      <w:r>
        <w:rPr>
          <w:spacing w:val="-2"/>
          <w:w w:val="105"/>
        </w:rPr>
        <w:t>exposure.</w:t>
      </w:r>
      <w:r>
        <w:rPr>
          <w:spacing w:val="-2"/>
          <w:w w:val="105"/>
          <w:vertAlign w:val="superscript"/>
        </w:rPr>
        <w:t>156</w:t>
      </w:r>
      <w:r>
        <w:rPr>
          <w:spacing w:val="-11"/>
          <w:w w:val="105"/>
          <w:vertAlign w:val="baseline"/>
        </w:rPr>
        <w:t> </w:t>
      </w:r>
      <w:r>
        <w:rPr>
          <w:spacing w:val="-2"/>
          <w:w w:val="105"/>
          <w:vertAlign w:val="baseline"/>
        </w:rPr>
        <w:t>Chinese</w:t>
      </w:r>
    </w:p>
    <w:p>
      <w:pPr>
        <w:pStyle w:val="BodyText"/>
        <w:spacing w:line="333" w:lineRule="auto"/>
        <w:ind w:left="760" w:right="837"/>
      </w:pPr>
      <w:r>
        <w:rPr/>
        <w:t>state-owned creditors may, for example, use a “portfolio-wide approach” to compensate for a high level of exposure to a risky borrower. China Eximbank’s collateralized lending arrangement with the Government of Congo-Brazzaville </w:t>
      </w:r>
      <w:r>
        <w:rPr/>
        <w:t>is a case in point. The borrower is required to keep a minimum cash balance equivalent to 20% of its total outstanding debt under multiple China Eximbank loan agreements in an offshore, lender-controlled escrow account (République du Congo 2018). The 3.0 version of AidData’s GCDF dataset demonstrates that the</w:t>
      </w:r>
      <w:r>
        <w:rPr>
          <w:spacing w:val="30"/>
        </w:rPr>
        <w:t> </w:t>
      </w:r>
      <w:r>
        <w:rPr/>
        <w:t>Congolese</w:t>
      </w:r>
      <w:r>
        <w:rPr>
          <w:spacing w:val="30"/>
        </w:rPr>
        <w:t> </w:t>
      </w:r>
      <w:r>
        <w:rPr/>
        <w:t>authorities</w:t>
      </w:r>
      <w:r>
        <w:rPr>
          <w:spacing w:val="30"/>
        </w:rPr>
        <w:t> </w:t>
      </w:r>
      <w:r>
        <w:rPr/>
        <w:t>have</w:t>
      </w:r>
      <w:r>
        <w:rPr>
          <w:spacing w:val="30"/>
        </w:rPr>
        <w:t> </w:t>
      </w:r>
      <w:r>
        <w:rPr/>
        <w:t>for</w:t>
      </w:r>
      <w:r>
        <w:rPr>
          <w:spacing w:val="30"/>
        </w:rPr>
        <w:t> </w:t>
      </w:r>
      <w:r>
        <w:rPr/>
        <w:t>the</w:t>
      </w:r>
      <w:r>
        <w:rPr>
          <w:spacing w:val="30"/>
        </w:rPr>
        <w:t> </w:t>
      </w:r>
      <w:r>
        <w:rPr/>
        <w:t>most</w:t>
      </w:r>
      <w:r>
        <w:rPr>
          <w:spacing w:val="30"/>
        </w:rPr>
        <w:t> </w:t>
      </w:r>
      <w:r>
        <w:rPr/>
        <w:t>part</w:t>
      </w:r>
      <w:r>
        <w:rPr>
          <w:spacing w:val="30"/>
        </w:rPr>
        <w:t> </w:t>
      </w:r>
      <w:r>
        <w:rPr/>
        <w:t>complied</w:t>
      </w:r>
      <w:r>
        <w:rPr>
          <w:spacing w:val="30"/>
        </w:rPr>
        <w:t> </w:t>
      </w:r>
      <w:r>
        <w:rPr/>
        <w:t>with</w:t>
      </w:r>
      <w:r>
        <w:rPr>
          <w:spacing w:val="30"/>
        </w:rPr>
        <w:t> </w:t>
      </w:r>
      <w:r>
        <w:rPr/>
        <w:t>this requirement: the cash balances in their China Eximbank-controlled escrow account were $338 million in 2017 and $266.6 million in 2020.</w:t>
      </w:r>
      <w:r>
        <w:rPr>
          <w:vertAlign w:val="superscript"/>
        </w:rPr>
        <w:t>157</w:t>
      </w:r>
      <w:r>
        <w:rPr>
          <w:vertAlign w:val="baseline"/>
        </w:rPr>
        <w:t> Fourth, while the amounts of foreign currency that Chinese state-owned creditors ask borrowers to ring-fence in escrow accounts are not necessarily large enough to be consequential during normal times, the signiﬁcance of these funds can increase during periods of ﬁnancial distress, when borrowers are strapped for hard currency and seeking a coordinated debt restructuring with multiple creditors. Non-Chinese creditors often lack access to foreign currency that is ring-fenced for their exclusive use and they fear—with some justiﬁcation—that Chinese creditors have positioned themselves at the front of the repayment line by demanding that borrowers grant them access to cash collateral that other creditors lack (and that can be unilaterally debited in a moment’s notice).</w:t>
      </w:r>
    </w:p>
    <w:p>
      <w:pPr>
        <w:pStyle w:val="BodyText"/>
        <w:spacing w:line="333" w:lineRule="auto" w:after="4"/>
        <w:ind w:left="760" w:right="767"/>
      </w:pPr>
      <w:r>
        <w:rPr/>
        <w:t>Consequently, they may not be willing to participate in a coordinated debt rescheduling unless all creditors agree to abide by the so-called “comparable treatment” principle—i.e., ensure that there is reasonable burden sharing in </w:t>
      </w:r>
      <w:r>
        <w:rPr/>
        <w:t>the</w:t>
      </w:r>
    </w:p>
    <w:p>
      <w:pPr>
        <w:pStyle w:val="BodyText"/>
        <w:spacing w:line="20" w:lineRule="exact"/>
        <w:ind w:left="760"/>
        <w:rPr>
          <w:sz w:val="2"/>
        </w:rPr>
      </w:pPr>
      <w:r>
        <w:rPr>
          <w:sz w:val="2"/>
        </w:rPr>
        <w:pict>
          <v:group style="width:144pt;height:.75pt;mso-position-horizontal-relative:char;mso-position-vertical-relative:line" id="docshapegroup58" coordorigin="0,0" coordsize="2880,15">
            <v:line style="position:absolute" from="0,8" to="2880,8" stroked="true" strokeweight=".75pt" strokecolor="#000000">
              <v:stroke dashstyle="solid"/>
            </v:line>
          </v:group>
        </w:pict>
      </w:r>
      <w:r>
        <w:rPr>
          <w:sz w:val="2"/>
        </w:rPr>
      </w:r>
    </w:p>
    <w:p>
      <w:pPr>
        <w:spacing w:line="249" w:lineRule="auto" w:before="97"/>
        <w:ind w:left="760" w:right="759" w:firstLine="0"/>
        <w:jc w:val="left"/>
        <w:rPr>
          <w:sz w:val="18"/>
        </w:rPr>
      </w:pPr>
      <w:r>
        <w:rPr>
          <w:sz w:val="18"/>
          <w:vertAlign w:val="superscript"/>
        </w:rPr>
        <w:t>156</w:t>
      </w:r>
      <w:r>
        <w:rPr>
          <w:sz w:val="18"/>
          <w:vertAlign w:val="baseline"/>
        </w:rPr>
        <w:t> Gelpern et al. (2021, 2022) analyze the terms and conditions in 100 loan contracts issued by Chinese state-owned creditors and 142 foreign loan contracts issued by 28 non-Chinese (commercial, bilateral, and </w:t>
      </w:r>
      <w:r>
        <w:rPr>
          <w:w w:val="105"/>
          <w:sz w:val="18"/>
          <w:vertAlign w:val="baseline"/>
        </w:rPr>
        <w:t>multilateral)</w:t>
      </w:r>
      <w:r>
        <w:rPr>
          <w:spacing w:val="-13"/>
          <w:w w:val="105"/>
          <w:sz w:val="18"/>
          <w:vertAlign w:val="baseline"/>
        </w:rPr>
        <w:t> </w:t>
      </w:r>
      <w:r>
        <w:rPr>
          <w:w w:val="105"/>
          <w:sz w:val="18"/>
          <w:vertAlign w:val="baseline"/>
        </w:rPr>
        <w:t>creditors</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government</w:t>
      </w:r>
      <w:r>
        <w:rPr>
          <w:spacing w:val="-13"/>
          <w:w w:val="105"/>
          <w:sz w:val="18"/>
          <w:vertAlign w:val="baseline"/>
        </w:rPr>
        <w:t> </w:t>
      </w:r>
      <w:r>
        <w:rPr>
          <w:w w:val="105"/>
          <w:sz w:val="18"/>
          <w:vertAlign w:val="baseline"/>
        </w:rPr>
        <w:t>borrowers</w:t>
      </w:r>
      <w:r>
        <w:rPr>
          <w:spacing w:val="-13"/>
          <w:w w:val="105"/>
          <w:sz w:val="18"/>
          <w:vertAlign w:val="baseline"/>
        </w:rPr>
        <w:t> </w:t>
      </w:r>
      <w:r>
        <w:rPr>
          <w:w w:val="105"/>
          <w:sz w:val="18"/>
          <w:vertAlign w:val="baseline"/>
        </w:rPr>
        <w:t>in</w:t>
      </w:r>
      <w:r>
        <w:rPr>
          <w:spacing w:val="-13"/>
          <w:w w:val="105"/>
          <w:sz w:val="18"/>
          <w:vertAlign w:val="baseline"/>
        </w:rPr>
        <w:t> </w:t>
      </w:r>
      <w:r>
        <w:rPr>
          <w:w w:val="105"/>
          <w:sz w:val="18"/>
          <w:vertAlign w:val="baseline"/>
        </w:rPr>
        <w:t>LICs</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MICs.</w:t>
      </w:r>
      <w:r>
        <w:rPr>
          <w:spacing w:val="-13"/>
          <w:w w:val="105"/>
          <w:sz w:val="18"/>
          <w:vertAlign w:val="baseline"/>
        </w:rPr>
        <w:t> </w:t>
      </w:r>
      <w:r>
        <w:rPr>
          <w:w w:val="105"/>
          <w:sz w:val="18"/>
          <w:vertAlign w:val="baseline"/>
        </w:rPr>
        <w:t>They</w:t>
      </w:r>
      <w:r>
        <w:rPr>
          <w:spacing w:val="-13"/>
          <w:w w:val="105"/>
          <w:sz w:val="18"/>
          <w:vertAlign w:val="baseline"/>
        </w:rPr>
        <w:t> </w:t>
      </w:r>
      <w:r>
        <w:rPr>
          <w:w w:val="105"/>
          <w:sz w:val="18"/>
          <w:vertAlign w:val="baseline"/>
        </w:rPr>
        <w:t>ﬁnd</w:t>
      </w:r>
      <w:r>
        <w:rPr>
          <w:spacing w:val="-13"/>
          <w:w w:val="105"/>
          <w:sz w:val="18"/>
          <w:vertAlign w:val="baseline"/>
        </w:rPr>
        <w:t> </w:t>
      </w:r>
      <w:r>
        <w:rPr>
          <w:w w:val="105"/>
          <w:sz w:val="18"/>
          <w:vertAlign w:val="baseline"/>
        </w:rPr>
        <w:t>that</w:t>
      </w:r>
      <w:r>
        <w:rPr>
          <w:spacing w:val="-13"/>
          <w:w w:val="105"/>
          <w:sz w:val="18"/>
          <w:vertAlign w:val="baseline"/>
        </w:rPr>
        <w:t> </w:t>
      </w:r>
      <w:r>
        <w:rPr>
          <w:w w:val="105"/>
          <w:sz w:val="18"/>
          <w:vertAlign w:val="baseline"/>
        </w:rPr>
        <w:t>30%</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Chinese</w:t>
      </w:r>
      <w:r>
        <w:rPr>
          <w:spacing w:val="-13"/>
          <w:w w:val="105"/>
          <w:sz w:val="18"/>
          <w:vertAlign w:val="baseline"/>
        </w:rPr>
        <w:t> </w:t>
      </w:r>
      <w:r>
        <w:rPr>
          <w:w w:val="105"/>
          <w:sz w:val="18"/>
          <w:vertAlign w:val="baseline"/>
        </w:rPr>
        <w:t>loan </w:t>
      </w:r>
      <w:r>
        <w:rPr>
          <w:sz w:val="18"/>
          <w:vertAlign w:val="baseline"/>
        </w:rPr>
        <w:t>contracts</w:t>
      </w:r>
      <w:r>
        <w:rPr>
          <w:spacing w:val="-1"/>
          <w:sz w:val="18"/>
          <w:vertAlign w:val="baseline"/>
        </w:rPr>
        <w:t> </w:t>
      </w:r>
      <w:r>
        <w:rPr>
          <w:sz w:val="18"/>
          <w:vertAlign w:val="baseline"/>
        </w:rPr>
        <w:t>include</w:t>
      </w:r>
      <w:r>
        <w:rPr>
          <w:spacing w:val="-1"/>
          <w:sz w:val="18"/>
          <w:vertAlign w:val="baseline"/>
        </w:rPr>
        <w:t> </w:t>
      </w:r>
      <w:r>
        <w:rPr>
          <w:sz w:val="18"/>
          <w:vertAlign w:val="baseline"/>
        </w:rPr>
        <w:t>escrow</w:t>
      </w:r>
      <w:r>
        <w:rPr>
          <w:spacing w:val="-1"/>
          <w:sz w:val="18"/>
          <w:vertAlign w:val="baseline"/>
        </w:rPr>
        <w:t> </w:t>
      </w:r>
      <w:r>
        <w:rPr>
          <w:sz w:val="18"/>
          <w:vertAlign w:val="baseline"/>
        </w:rPr>
        <w:t>or</w:t>
      </w:r>
      <w:r>
        <w:rPr>
          <w:spacing w:val="-1"/>
          <w:sz w:val="18"/>
          <w:vertAlign w:val="baseline"/>
        </w:rPr>
        <w:t> </w:t>
      </w:r>
      <w:r>
        <w:rPr>
          <w:sz w:val="18"/>
          <w:vertAlign w:val="baseline"/>
        </w:rPr>
        <w:t>revenue</w:t>
      </w:r>
      <w:r>
        <w:rPr>
          <w:spacing w:val="-1"/>
          <w:sz w:val="18"/>
          <w:vertAlign w:val="baseline"/>
        </w:rPr>
        <w:t> </w:t>
      </w:r>
      <w:r>
        <w:rPr>
          <w:sz w:val="18"/>
          <w:vertAlign w:val="baseline"/>
        </w:rPr>
        <w:t>account</w:t>
      </w:r>
      <w:r>
        <w:rPr>
          <w:spacing w:val="-1"/>
          <w:sz w:val="18"/>
          <w:vertAlign w:val="baseline"/>
        </w:rPr>
        <w:t> </w:t>
      </w:r>
      <w:r>
        <w:rPr>
          <w:sz w:val="18"/>
          <w:vertAlign w:val="baseline"/>
        </w:rPr>
        <w:t>provisions,</w:t>
      </w:r>
      <w:r>
        <w:rPr>
          <w:spacing w:val="-1"/>
          <w:sz w:val="18"/>
          <w:vertAlign w:val="baseline"/>
        </w:rPr>
        <w:t> </w:t>
      </w:r>
      <w:r>
        <w:rPr>
          <w:sz w:val="18"/>
          <w:vertAlign w:val="baseline"/>
        </w:rPr>
        <w:t>but</w:t>
      </w:r>
      <w:r>
        <w:rPr>
          <w:spacing w:val="-1"/>
          <w:sz w:val="18"/>
          <w:vertAlign w:val="baseline"/>
        </w:rPr>
        <w:t> </w:t>
      </w:r>
      <w:r>
        <w:rPr>
          <w:sz w:val="18"/>
          <w:vertAlign w:val="baseline"/>
        </w:rPr>
        <w:t>only</w:t>
      </w:r>
      <w:r>
        <w:rPr>
          <w:spacing w:val="-1"/>
          <w:sz w:val="18"/>
          <w:vertAlign w:val="baseline"/>
        </w:rPr>
        <w:t> </w:t>
      </w:r>
      <w:r>
        <w:rPr>
          <w:sz w:val="18"/>
          <w:vertAlign w:val="baseline"/>
        </w:rPr>
        <w:t>2%</w:t>
      </w:r>
      <w:r>
        <w:rPr>
          <w:spacing w:val="-1"/>
          <w:sz w:val="18"/>
          <w:vertAlign w:val="baseline"/>
        </w:rPr>
        <w:t> </w:t>
      </w:r>
      <w:r>
        <w:rPr>
          <w:sz w:val="18"/>
          <w:vertAlign w:val="baseline"/>
        </w:rPr>
        <w:t>of</w:t>
      </w:r>
      <w:r>
        <w:rPr>
          <w:spacing w:val="-1"/>
          <w:sz w:val="18"/>
          <w:vertAlign w:val="baseline"/>
        </w:rPr>
        <w:t> </w:t>
      </w:r>
      <w:r>
        <w:rPr>
          <w:sz w:val="18"/>
          <w:vertAlign w:val="baseline"/>
        </w:rPr>
        <w:t>the</w:t>
      </w:r>
      <w:r>
        <w:rPr>
          <w:spacing w:val="-1"/>
          <w:sz w:val="18"/>
          <w:vertAlign w:val="baseline"/>
        </w:rPr>
        <w:t> </w:t>
      </w:r>
      <w:r>
        <w:rPr>
          <w:sz w:val="18"/>
          <w:vertAlign w:val="baseline"/>
        </w:rPr>
        <w:t>non-Chinese</w:t>
      </w:r>
      <w:r>
        <w:rPr>
          <w:spacing w:val="-1"/>
          <w:sz w:val="18"/>
          <w:vertAlign w:val="baseline"/>
        </w:rPr>
        <w:t> </w:t>
      </w:r>
      <w:r>
        <w:rPr>
          <w:sz w:val="18"/>
          <w:vertAlign w:val="baseline"/>
        </w:rPr>
        <w:t>loan</w:t>
      </w:r>
      <w:r>
        <w:rPr>
          <w:spacing w:val="-1"/>
          <w:sz w:val="18"/>
          <w:vertAlign w:val="baseline"/>
        </w:rPr>
        <w:t> </w:t>
      </w:r>
      <w:r>
        <w:rPr>
          <w:sz w:val="18"/>
          <w:vertAlign w:val="baseline"/>
        </w:rPr>
        <w:t>contracts</w:t>
      </w:r>
      <w:r>
        <w:rPr>
          <w:spacing w:val="-1"/>
          <w:sz w:val="18"/>
          <w:vertAlign w:val="baseline"/>
        </w:rPr>
        <w:t> </w:t>
      </w:r>
      <w:r>
        <w:rPr>
          <w:sz w:val="18"/>
          <w:vertAlign w:val="baseline"/>
        </w:rPr>
        <w:t>(one </w:t>
      </w:r>
      <w:r>
        <w:rPr>
          <w:w w:val="105"/>
          <w:sz w:val="18"/>
          <w:vertAlign w:val="baseline"/>
        </w:rPr>
        <w:t>from</w:t>
      </w:r>
      <w:r>
        <w:rPr>
          <w:spacing w:val="-14"/>
          <w:w w:val="105"/>
          <w:sz w:val="18"/>
          <w:vertAlign w:val="baseline"/>
        </w:rPr>
        <w:t> </w:t>
      </w:r>
      <w:r>
        <w:rPr>
          <w:w w:val="105"/>
          <w:sz w:val="18"/>
          <w:vertAlign w:val="baseline"/>
        </w:rPr>
        <w:t>AfDB,</w:t>
      </w:r>
      <w:r>
        <w:rPr>
          <w:spacing w:val="-13"/>
          <w:w w:val="105"/>
          <w:sz w:val="18"/>
          <w:vertAlign w:val="baseline"/>
        </w:rPr>
        <w:t> </w:t>
      </w:r>
      <w:r>
        <w:rPr>
          <w:w w:val="105"/>
          <w:sz w:val="18"/>
          <w:vertAlign w:val="baseline"/>
        </w:rPr>
        <w:t>one</w:t>
      </w:r>
      <w:r>
        <w:rPr>
          <w:spacing w:val="-13"/>
          <w:w w:val="105"/>
          <w:sz w:val="18"/>
          <w:vertAlign w:val="baseline"/>
        </w:rPr>
        <w:t> </w:t>
      </w:r>
      <w:r>
        <w:rPr>
          <w:w w:val="105"/>
          <w:sz w:val="18"/>
          <w:vertAlign w:val="baseline"/>
        </w:rPr>
        <w:t>from</w:t>
      </w:r>
      <w:r>
        <w:rPr>
          <w:spacing w:val="-13"/>
          <w:w w:val="105"/>
          <w:sz w:val="18"/>
          <w:vertAlign w:val="baseline"/>
        </w:rPr>
        <w:t> </w:t>
      </w:r>
      <w:r>
        <w:rPr>
          <w:w w:val="105"/>
          <w:sz w:val="18"/>
          <w:vertAlign w:val="baseline"/>
        </w:rPr>
        <w:t>Commerzbank,</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one</w:t>
      </w:r>
      <w:r>
        <w:rPr>
          <w:spacing w:val="-13"/>
          <w:w w:val="105"/>
          <w:sz w:val="18"/>
          <w:vertAlign w:val="baseline"/>
        </w:rPr>
        <w:t> </w:t>
      </w:r>
      <w:r>
        <w:rPr>
          <w:w w:val="105"/>
          <w:sz w:val="18"/>
          <w:vertAlign w:val="baseline"/>
        </w:rPr>
        <w:t>from</w:t>
      </w:r>
      <w:r>
        <w:rPr>
          <w:spacing w:val="-14"/>
          <w:w w:val="105"/>
          <w:sz w:val="18"/>
          <w:vertAlign w:val="baseline"/>
        </w:rPr>
        <w:t> </w:t>
      </w:r>
      <w:r>
        <w:rPr>
          <w:w w:val="105"/>
          <w:sz w:val="18"/>
          <w:vertAlign w:val="baseline"/>
        </w:rPr>
        <w:t>Agence</w:t>
      </w:r>
      <w:r>
        <w:rPr>
          <w:spacing w:val="-13"/>
          <w:w w:val="105"/>
          <w:sz w:val="18"/>
          <w:vertAlign w:val="baseline"/>
        </w:rPr>
        <w:t> </w:t>
      </w:r>
      <w:r>
        <w:rPr>
          <w:w w:val="105"/>
          <w:sz w:val="18"/>
          <w:vertAlign w:val="baseline"/>
        </w:rPr>
        <w:t>Française</w:t>
      </w:r>
      <w:r>
        <w:rPr>
          <w:spacing w:val="-13"/>
          <w:w w:val="105"/>
          <w:sz w:val="18"/>
          <w:vertAlign w:val="baseline"/>
        </w:rPr>
        <w:t> </w:t>
      </w:r>
      <w:r>
        <w:rPr>
          <w:w w:val="105"/>
          <w:sz w:val="18"/>
          <w:vertAlign w:val="baseline"/>
        </w:rPr>
        <w:t>de</w:t>
      </w:r>
      <w:r>
        <w:rPr>
          <w:spacing w:val="-13"/>
          <w:w w:val="105"/>
          <w:sz w:val="18"/>
          <w:vertAlign w:val="baseline"/>
        </w:rPr>
        <w:t> </w:t>
      </w:r>
      <w:r>
        <w:rPr>
          <w:w w:val="105"/>
          <w:sz w:val="18"/>
          <w:vertAlign w:val="baseline"/>
        </w:rPr>
        <w:t>Développement)</w:t>
      </w:r>
      <w:r>
        <w:rPr>
          <w:spacing w:val="-13"/>
          <w:w w:val="105"/>
          <w:sz w:val="18"/>
          <w:vertAlign w:val="baseline"/>
        </w:rPr>
        <w:t> </w:t>
      </w:r>
      <w:r>
        <w:rPr>
          <w:w w:val="105"/>
          <w:sz w:val="18"/>
          <w:vertAlign w:val="baseline"/>
        </w:rPr>
        <w:t>include</w:t>
      </w:r>
      <w:r>
        <w:rPr>
          <w:spacing w:val="-13"/>
          <w:w w:val="105"/>
          <w:sz w:val="18"/>
          <w:vertAlign w:val="baseline"/>
        </w:rPr>
        <w:t> </w:t>
      </w:r>
      <w:r>
        <w:rPr>
          <w:w w:val="105"/>
          <w:sz w:val="18"/>
          <w:vertAlign w:val="baseline"/>
        </w:rPr>
        <w:t>such </w:t>
      </w:r>
      <w:r>
        <w:rPr>
          <w:sz w:val="18"/>
          <w:vertAlign w:val="baseline"/>
        </w:rPr>
        <w:t>provisions. In the rare cases when non-Chinese creditors require government borrowers to maintain </w:t>
      </w:r>
      <w:r>
        <w:rPr>
          <w:spacing w:val="-2"/>
          <w:w w:val="105"/>
          <w:sz w:val="18"/>
          <w:vertAlign w:val="baseline"/>
        </w:rPr>
        <w:t>minimum</w:t>
      </w:r>
      <w:r>
        <w:rPr>
          <w:spacing w:val="-6"/>
          <w:w w:val="105"/>
          <w:sz w:val="18"/>
          <w:vertAlign w:val="baseline"/>
        </w:rPr>
        <w:t> </w:t>
      </w:r>
      <w:r>
        <w:rPr>
          <w:spacing w:val="-2"/>
          <w:w w:val="105"/>
          <w:sz w:val="18"/>
          <w:vertAlign w:val="baseline"/>
        </w:rPr>
        <w:t>cash</w:t>
      </w:r>
      <w:r>
        <w:rPr>
          <w:spacing w:val="-6"/>
          <w:w w:val="105"/>
          <w:sz w:val="18"/>
          <w:vertAlign w:val="baseline"/>
        </w:rPr>
        <w:t> </w:t>
      </w:r>
      <w:r>
        <w:rPr>
          <w:spacing w:val="-2"/>
          <w:w w:val="105"/>
          <w:sz w:val="18"/>
          <w:vertAlign w:val="baseline"/>
        </w:rPr>
        <w:t>balances</w:t>
      </w:r>
      <w:r>
        <w:rPr>
          <w:spacing w:val="-6"/>
          <w:w w:val="105"/>
          <w:sz w:val="18"/>
          <w:vertAlign w:val="baseline"/>
        </w:rPr>
        <w:t> </w:t>
      </w:r>
      <w:r>
        <w:rPr>
          <w:spacing w:val="-2"/>
          <w:w w:val="105"/>
          <w:sz w:val="18"/>
          <w:vertAlign w:val="baseline"/>
        </w:rPr>
        <w:t>in</w:t>
      </w:r>
      <w:r>
        <w:rPr>
          <w:spacing w:val="-6"/>
          <w:w w:val="105"/>
          <w:sz w:val="18"/>
          <w:vertAlign w:val="baseline"/>
        </w:rPr>
        <w:t> </w:t>
      </w:r>
      <w:r>
        <w:rPr>
          <w:spacing w:val="-2"/>
          <w:w w:val="105"/>
          <w:sz w:val="18"/>
          <w:vertAlign w:val="baseline"/>
        </w:rPr>
        <w:t>escrow</w:t>
      </w:r>
      <w:r>
        <w:rPr>
          <w:spacing w:val="-6"/>
          <w:w w:val="105"/>
          <w:sz w:val="18"/>
          <w:vertAlign w:val="baseline"/>
        </w:rPr>
        <w:t> </w:t>
      </w:r>
      <w:r>
        <w:rPr>
          <w:spacing w:val="-2"/>
          <w:w w:val="105"/>
          <w:sz w:val="18"/>
          <w:vertAlign w:val="baseline"/>
        </w:rPr>
        <w:t>accounts,</w:t>
      </w:r>
      <w:r>
        <w:rPr>
          <w:spacing w:val="-6"/>
          <w:w w:val="105"/>
          <w:sz w:val="18"/>
          <w:vertAlign w:val="baseline"/>
        </w:rPr>
        <w:t> </w:t>
      </w:r>
      <w:r>
        <w:rPr>
          <w:spacing w:val="-2"/>
          <w:w w:val="105"/>
          <w:sz w:val="18"/>
          <w:vertAlign w:val="baseline"/>
        </w:rPr>
        <w:t>the</w:t>
      </w:r>
      <w:r>
        <w:rPr>
          <w:spacing w:val="-6"/>
          <w:w w:val="105"/>
          <w:sz w:val="18"/>
          <w:vertAlign w:val="baseline"/>
        </w:rPr>
        <w:t> </w:t>
      </w:r>
      <w:r>
        <w:rPr>
          <w:spacing w:val="-2"/>
          <w:w w:val="105"/>
          <w:sz w:val="18"/>
          <w:vertAlign w:val="baseline"/>
        </w:rPr>
        <w:t>amounts</w:t>
      </w:r>
      <w:r>
        <w:rPr>
          <w:spacing w:val="-6"/>
          <w:w w:val="105"/>
          <w:sz w:val="18"/>
          <w:vertAlign w:val="baseline"/>
        </w:rPr>
        <w:t> </w:t>
      </w:r>
      <w:r>
        <w:rPr>
          <w:spacing w:val="-2"/>
          <w:w w:val="105"/>
          <w:sz w:val="18"/>
          <w:vertAlign w:val="baseline"/>
        </w:rPr>
        <w:t>that</w:t>
      </w:r>
      <w:r>
        <w:rPr>
          <w:spacing w:val="-6"/>
          <w:w w:val="105"/>
          <w:sz w:val="18"/>
          <w:vertAlign w:val="baseline"/>
        </w:rPr>
        <w:t> </w:t>
      </w:r>
      <w:r>
        <w:rPr>
          <w:spacing w:val="-2"/>
          <w:w w:val="105"/>
          <w:sz w:val="18"/>
          <w:vertAlign w:val="baseline"/>
        </w:rPr>
        <w:t>they</w:t>
      </w:r>
      <w:r>
        <w:rPr>
          <w:spacing w:val="-6"/>
          <w:w w:val="105"/>
          <w:sz w:val="18"/>
          <w:vertAlign w:val="baseline"/>
        </w:rPr>
        <w:t> </w:t>
      </w:r>
      <w:r>
        <w:rPr>
          <w:spacing w:val="-2"/>
          <w:w w:val="105"/>
          <w:sz w:val="18"/>
          <w:vertAlign w:val="baseline"/>
        </w:rPr>
        <w:t>require</w:t>
      </w:r>
      <w:r>
        <w:rPr>
          <w:spacing w:val="-6"/>
          <w:w w:val="105"/>
          <w:sz w:val="18"/>
          <w:vertAlign w:val="baseline"/>
        </w:rPr>
        <w:t> </w:t>
      </w:r>
      <w:r>
        <w:rPr>
          <w:spacing w:val="-2"/>
          <w:w w:val="105"/>
          <w:sz w:val="18"/>
          <w:vertAlign w:val="baseline"/>
        </w:rPr>
        <w:t>are</w:t>
      </w:r>
      <w:r>
        <w:rPr>
          <w:spacing w:val="-6"/>
          <w:w w:val="105"/>
          <w:sz w:val="18"/>
          <w:vertAlign w:val="baseline"/>
        </w:rPr>
        <w:t> </w:t>
      </w:r>
      <w:r>
        <w:rPr>
          <w:spacing w:val="-2"/>
          <w:w w:val="105"/>
          <w:sz w:val="18"/>
          <w:vertAlign w:val="baseline"/>
        </w:rPr>
        <w:t>similar</w:t>
      </w:r>
      <w:r>
        <w:rPr>
          <w:spacing w:val="-6"/>
          <w:w w:val="105"/>
          <w:sz w:val="18"/>
          <w:vertAlign w:val="baseline"/>
        </w:rPr>
        <w:t> </w:t>
      </w:r>
      <w:r>
        <w:rPr>
          <w:spacing w:val="-2"/>
          <w:w w:val="105"/>
          <w:sz w:val="18"/>
          <w:vertAlign w:val="baseline"/>
        </w:rPr>
        <w:t>to</w:t>
      </w:r>
      <w:r>
        <w:rPr>
          <w:spacing w:val="-6"/>
          <w:w w:val="105"/>
          <w:sz w:val="18"/>
          <w:vertAlign w:val="baseline"/>
        </w:rPr>
        <w:t> </w:t>
      </w:r>
      <w:r>
        <w:rPr>
          <w:spacing w:val="-2"/>
          <w:w w:val="105"/>
          <w:sz w:val="18"/>
          <w:vertAlign w:val="baseline"/>
        </w:rPr>
        <w:t>the</w:t>
      </w:r>
      <w:r>
        <w:rPr>
          <w:spacing w:val="-6"/>
          <w:w w:val="105"/>
          <w:sz w:val="18"/>
          <w:vertAlign w:val="baseline"/>
        </w:rPr>
        <w:t> </w:t>
      </w:r>
      <w:r>
        <w:rPr>
          <w:spacing w:val="-2"/>
          <w:w w:val="105"/>
          <w:sz w:val="18"/>
          <w:vertAlign w:val="baseline"/>
        </w:rPr>
        <w:t>amounts required</w:t>
      </w:r>
      <w:r>
        <w:rPr>
          <w:spacing w:val="-5"/>
          <w:w w:val="105"/>
          <w:sz w:val="18"/>
          <w:vertAlign w:val="baseline"/>
        </w:rPr>
        <w:t> </w:t>
      </w:r>
      <w:r>
        <w:rPr>
          <w:spacing w:val="-2"/>
          <w:w w:val="105"/>
          <w:sz w:val="18"/>
          <w:vertAlign w:val="baseline"/>
        </w:rPr>
        <w:t>by</w:t>
      </w:r>
      <w:r>
        <w:rPr>
          <w:spacing w:val="-5"/>
          <w:w w:val="105"/>
          <w:sz w:val="18"/>
          <w:vertAlign w:val="baseline"/>
        </w:rPr>
        <w:t> </w:t>
      </w:r>
      <w:r>
        <w:rPr>
          <w:spacing w:val="-2"/>
          <w:w w:val="105"/>
          <w:sz w:val="18"/>
          <w:vertAlign w:val="baseline"/>
        </w:rPr>
        <w:t>Chinese</w:t>
      </w:r>
      <w:r>
        <w:rPr>
          <w:spacing w:val="-5"/>
          <w:w w:val="105"/>
          <w:sz w:val="18"/>
          <w:vertAlign w:val="baseline"/>
        </w:rPr>
        <w:t> </w:t>
      </w:r>
      <w:r>
        <w:rPr>
          <w:spacing w:val="-2"/>
          <w:w w:val="105"/>
          <w:sz w:val="18"/>
          <w:vertAlign w:val="baseline"/>
        </w:rPr>
        <w:t>creditors.</w:t>
      </w:r>
      <w:r>
        <w:rPr>
          <w:spacing w:val="-5"/>
          <w:w w:val="105"/>
          <w:sz w:val="18"/>
          <w:vertAlign w:val="baseline"/>
        </w:rPr>
        <w:t> </w:t>
      </w:r>
      <w:r>
        <w:rPr>
          <w:spacing w:val="-2"/>
          <w:w w:val="105"/>
          <w:sz w:val="18"/>
          <w:vertAlign w:val="baseline"/>
        </w:rPr>
        <w:t>There</w:t>
      </w:r>
      <w:r>
        <w:rPr>
          <w:spacing w:val="-5"/>
          <w:w w:val="105"/>
          <w:sz w:val="18"/>
          <w:vertAlign w:val="baseline"/>
        </w:rPr>
        <w:t> </w:t>
      </w:r>
      <w:r>
        <w:rPr>
          <w:spacing w:val="-2"/>
          <w:w w:val="105"/>
          <w:sz w:val="18"/>
          <w:vertAlign w:val="baseline"/>
        </w:rPr>
        <w:t>is</w:t>
      </w:r>
      <w:r>
        <w:rPr>
          <w:spacing w:val="-5"/>
          <w:w w:val="105"/>
          <w:sz w:val="18"/>
          <w:vertAlign w:val="baseline"/>
        </w:rPr>
        <w:t> </w:t>
      </w:r>
      <w:r>
        <w:rPr>
          <w:spacing w:val="-2"/>
          <w:w w:val="105"/>
          <w:sz w:val="18"/>
          <w:vertAlign w:val="baseline"/>
        </w:rPr>
        <w:t>only</w:t>
      </w:r>
      <w:r>
        <w:rPr>
          <w:spacing w:val="-5"/>
          <w:w w:val="105"/>
          <w:sz w:val="18"/>
          <w:vertAlign w:val="baseline"/>
        </w:rPr>
        <w:t> </w:t>
      </w:r>
      <w:r>
        <w:rPr>
          <w:spacing w:val="-2"/>
          <w:w w:val="105"/>
          <w:sz w:val="18"/>
          <w:vertAlign w:val="baseline"/>
        </w:rPr>
        <w:t>one</w:t>
      </w:r>
      <w:r>
        <w:rPr>
          <w:spacing w:val="-5"/>
          <w:w w:val="105"/>
          <w:sz w:val="18"/>
          <w:vertAlign w:val="baseline"/>
        </w:rPr>
        <w:t> </w:t>
      </w:r>
      <w:r>
        <w:rPr>
          <w:spacing w:val="-2"/>
          <w:w w:val="105"/>
          <w:sz w:val="18"/>
          <w:vertAlign w:val="baseline"/>
        </w:rPr>
        <w:t>contract</w:t>
      </w:r>
      <w:r>
        <w:rPr>
          <w:spacing w:val="-5"/>
          <w:w w:val="105"/>
          <w:sz w:val="18"/>
          <w:vertAlign w:val="baseline"/>
        </w:rPr>
        <w:t> </w:t>
      </w:r>
      <w:r>
        <w:rPr>
          <w:spacing w:val="-2"/>
          <w:w w:val="105"/>
          <w:sz w:val="18"/>
          <w:vertAlign w:val="baseline"/>
        </w:rPr>
        <w:t>in</w:t>
      </w:r>
      <w:r>
        <w:rPr>
          <w:spacing w:val="-5"/>
          <w:w w:val="105"/>
          <w:sz w:val="18"/>
          <w:vertAlign w:val="baseline"/>
        </w:rPr>
        <w:t> </w:t>
      </w:r>
      <w:r>
        <w:rPr>
          <w:spacing w:val="-2"/>
          <w:w w:val="105"/>
          <w:sz w:val="18"/>
          <w:vertAlign w:val="baseline"/>
        </w:rPr>
        <w:t>the</w:t>
      </w:r>
      <w:r>
        <w:rPr>
          <w:spacing w:val="-5"/>
          <w:w w:val="105"/>
          <w:sz w:val="18"/>
          <w:vertAlign w:val="baseline"/>
        </w:rPr>
        <w:t> </w:t>
      </w:r>
      <w:r>
        <w:rPr>
          <w:spacing w:val="-2"/>
          <w:w w:val="105"/>
          <w:sz w:val="18"/>
          <w:vertAlign w:val="baseline"/>
        </w:rPr>
        <w:t>sample</w:t>
      </w:r>
      <w:r>
        <w:rPr>
          <w:spacing w:val="-5"/>
          <w:w w:val="105"/>
          <w:sz w:val="18"/>
          <w:vertAlign w:val="baseline"/>
        </w:rPr>
        <w:t> </w:t>
      </w:r>
      <w:r>
        <w:rPr>
          <w:spacing w:val="-2"/>
          <w:w w:val="105"/>
          <w:sz w:val="18"/>
          <w:vertAlign w:val="baseline"/>
        </w:rPr>
        <w:t>of</w:t>
      </w:r>
      <w:r>
        <w:rPr>
          <w:spacing w:val="-5"/>
          <w:w w:val="105"/>
          <w:sz w:val="18"/>
          <w:vertAlign w:val="baseline"/>
        </w:rPr>
        <w:t> </w:t>
      </w:r>
      <w:r>
        <w:rPr>
          <w:spacing w:val="-2"/>
          <w:w w:val="105"/>
          <w:sz w:val="18"/>
          <w:vertAlign w:val="baseline"/>
        </w:rPr>
        <w:t>142</w:t>
      </w:r>
      <w:r>
        <w:rPr>
          <w:spacing w:val="-5"/>
          <w:w w:val="105"/>
          <w:sz w:val="18"/>
          <w:vertAlign w:val="baseline"/>
        </w:rPr>
        <w:t> </w:t>
      </w:r>
      <w:r>
        <w:rPr>
          <w:spacing w:val="-2"/>
          <w:w w:val="105"/>
          <w:sz w:val="18"/>
          <w:vertAlign w:val="baseline"/>
        </w:rPr>
        <w:t>non-Chinese</w:t>
      </w:r>
      <w:r>
        <w:rPr>
          <w:spacing w:val="-5"/>
          <w:w w:val="105"/>
          <w:sz w:val="18"/>
          <w:vertAlign w:val="baseline"/>
        </w:rPr>
        <w:t> </w:t>
      </w:r>
      <w:r>
        <w:rPr>
          <w:spacing w:val="-2"/>
          <w:w w:val="105"/>
          <w:sz w:val="18"/>
          <w:vertAlign w:val="baseline"/>
        </w:rPr>
        <w:t>loan</w:t>
      </w:r>
      <w:r>
        <w:rPr>
          <w:spacing w:val="-5"/>
          <w:w w:val="105"/>
          <w:sz w:val="18"/>
          <w:vertAlign w:val="baseline"/>
        </w:rPr>
        <w:t> </w:t>
      </w:r>
      <w:r>
        <w:rPr>
          <w:spacing w:val="-2"/>
          <w:w w:val="105"/>
          <w:sz w:val="18"/>
          <w:vertAlign w:val="baseline"/>
        </w:rPr>
        <w:t>contracts </w:t>
      </w:r>
      <w:r>
        <w:rPr>
          <w:sz w:val="18"/>
          <w:vertAlign w:val="baseline"/>
        </w:rPr>
        <w:t>analyzed by Gelpern et al. (2021, 2022) that clearly speciﬁes a minimum cash balance requirement: a $56.6 </w:t>
      </w:r>
      <w:r>
        <w:rPr>
          <w:w w:val="105"/>
          <w:sz w:val="18"/>
          <w:vertAlign w:val="baseline"/>
        </w:rPr>
        <w:t>million</w:t>
      </w:r>
      <w:r>
        <w:rPr>
          <w:spacing w:val="-14"/>
          <w:w w:val="105"/>
          <w:sz w:val="18"/>
          <w:vertAlign w:val="baseline"/>
        </w:rPr>
        <w:t> </w:t>
      </w:r>
      <w:r>
        <w:rPr>
          <w:w w:val="105"/>
          <w:sz w:val="18"/>
          <w:vertAlign w:val="baseline"/>
        </w:rPr>
        <w:t>loan</w:t>
      </w:r>
      <w:r>
        <w:rPr>
          <w:spacing w:val="-13"/>
          <w:w w:val="105"/>
          <w:sz w:val="18"/>
          <w:vertAlign w:val="baseline"/>
        </w:rPr>
        <w:t> </w:t>
      </w:r>
      <w:r>
        <w:rPr>
          <w:w w:val="105"/>
          <w:sz w:val="18"/>
          <w:vertAlign w:val="baseline"/>
        </w:rPr>
        <w:t>agreement</w:t>
      </w:r>
      <w:r>
        <w:rPr>
          <w:spacing w:val="-13"/>
          <w:w w:val="105"/>
          <w:sz w:val="18"/>
          <w:vertAlign w:val="baseline"/>
        </w:rPr>
        <w:t> </w:t>
      </w:r>
      <w:r>
        <w:rPr>
          <w:w w:val="105"/>
          <w:sz w:val="18"/>
          <w:vertAlign w:val="baseline"/>
        </w:rPr>
        <w:t>between</w:t>
      </w:r>
      <w:r>
        <w:rPr>
          <w:spacing w:val="-13"/>
          <w:w w:val="105"/>
          <w:sz w:val="18"/>
          <w:vertAlign w:val="baseline"/>
        </w:rPr>
        <w:t> </w:t>
      </w:r>
      <w:r>
        <w:rPr>
          <w:w w:val="105"/>
          <w:sz w:val="18"/>
          <w:vertAlign w:val="baseline"/>
        </w:rPr>
        <w:t>Commerzbank</w:t>
      </w:r>
      <w:r>
        <w:rPr>
          <w:spacing w:val="-13"/>
          <w:w w:val="105"/>
          <w:sz w:val="18"/>
          <w:vertAlign w:val="baseline"/>
        </w:rPr>
        <w:t> </w:t>
      </w:r>
      <w:r>
        <w:rPr>
          <w:w w:val="105"/>
          <w:sz w:val="18"/>
          <w:vertAlign w:val="baseline"/>
        </w:rPr>
        <w:t>AG</w:t>
      </w:r>
      <w:r>
        <w:rPr>
          <w:spacing w:val="-13"/>
          <w:w w:val="105"/>
          <w:sz w:val="18"/>
          <w:vertAlign w:val="baseline"/>
        </w:rPr>
        <w:t> </w:t>
      </w:r>
      <w:r>
        <w:rPr>
          <w:w w:val="105"/>
          <w:sz w:val="18"/>
          <w:vertAlign w:val="baseline"/>
        </w:rPr>
        <w:t>Paris</w:t>
      </w:r>
      <w:r>
        <w:rPr>
          <w:spacing w:val="-13"/>
          <w:w w:val="105"/>
          <w:sz w:val="18"/>
          <w:vertAlign w:val="baseline"/>
        </w:rPr>
        <w:t> </w:t>
      </w:r>
      <w:r>
        <w:rPr>
          <w:w w:val="105"/>
          <w:sz w:val="18"/>
          <w:vertAlign w:val="baseline"/>
        </w:rPr>
        <w:t>Branch</w:t>
      </w:r>
      <w:r>
        <w:rPr>
          <w:spacing w:val="-14"/>
          <w:w w:val="105"/>
          <w:sz w:val="18"/>
          <w:vertAlign w:val="baseline"/>
        </w:rPr>
        <w:t> </w:t>
      </w:r>
      <w:r>
        <w:rPr>
          <w:w w:val="105"/>
          <w:sz w:val="18"/>
          <w:vertAlign w:val="baseline"/>
        </w:rPr>
        <w:t>and</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Government</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Cameroon</w:t>
      </w:r>
      <w:r>
        <w:rPr>
          <w:spacing w:val="-13"/>
          <w:w w:val="105"/>
          <w:sz w:val="18"/>
          <w:vertAlign w:val="baseline"/>
        </w:rPr>
        <w:t> </w:t>
      </w:r>
      <w:r>
        <w:rPr>
          <w:w w:val="105"/>
          <w:sz w:val="18"/>
          <w:vertAlign w:val="baseline"/>
        </w:rPr>
        <w:t>that </w:t>
      </w:r>
      <w:r>
        <w:rPr>
          <w:sz w:val="18"/>
          <w:vertAlign w:val="baseline"/>
        </w:rPr>
        <w:t>requires the borrower to (initially) maintain a escrow account cash balance equivalent to one year’s worth of principal and interest payments (i.e., two semi-annual debt service payments). The unredacted loan </w:t>
      </w:r>
      <w:r>
        <w:rPr>
          <w:w w:val="105"/>
          <w:sz w:val="18"/>
          <w:vertAlign w:val="baseline"/>
        </w:rPr>
        <w:t>agreement</w:t>
      </w:r>
      <w:r>
        <w:rPr>
          <w:spacing w:val="-4"/>
          <w:w w:val="105"/>
          <w:sz w:val="18"/>
          <w:vertAlign w:val="baseline"/>
        </w:rPr>
        <w:t> </w:t>
      </w:r>
      <w:r>
        <w:rPr>
          <w:w w:val="105"/>
          <w:sz w:val="18"/>
          <w:vertAlign w:val="baseline"/>
        </w:rPr>
        <w:t>can</w:t>
      </w:r>
      <w:r>
        <w:rPr>
          <w:spacing w:val="-4"/>
          <w:w w:val="105"/>
          <w:sz w:val="18"/>
          <w:vertAlign w:val="baseline"/>
        </w:rPr>
        <w:t> </w:t>
      </w:r>
      <w:r>
        <w:rPr>
          <w:w w:val="105"/>
          <w:sz w:val="18"/>
          <w:vertAlign w:val="baseline"/>
        </w:rPr>
        <w:t>be</w:t>
      </w:r>
      <w:r>
        <w:rPr>
          <w:spacing w:val="-4"/>
          <w:w w:val="105"/>
          <w:sz w:val="18"/>
          <w:vertAlign w:val="baseline"/>
        </w:rPr>
        <w:t> </w:t>
      </w:r>
      <w:r>
        <w:rPr>
          <w:w w:val="105"/>
          <w:sz w:val="18"/>
          <w:vertAlign w:val="baseline"/>
        </w:rPr>
        <w:t>accessed</w:t>
      </w:r>
      <w:r>
        <w:rPr>
          <w:spacing w:val="-4"/>
          <w:w w:val="105"/>
          <w:sz w:val="18"/>
          <w:vertAlign w:val="baseline"/>
        </w:rPr>
        <w:t> </w:t>
      </w:r>
      <w:r>
        <w:rPr>
          <w:w w:val="105"/>
          <w:sz w:val="18"/>
          <w:vertAlign w:val="baseline"/>
        </w:rPr>
        <w:t>in</w:t>
      </w:r>
      <w:r>
        <w:rPr>
          <w:spacing w:val="-4"/>
          <w:w w:val="105"/>
          <w:sz w:val="18"/>
          <w:vertAlign w:val="baseline"/>
        </w:rPr>
        <w:t> </w:t>
      </w:r>
      <w:r>
        <w:rPr>
          <w:w w:val="105"/>
          <w:sz w:val="18"/>
          <w:vertAlign w:val="baseline"/>
        </w:rPr>
        <w:t>its</w:t>
      </w:r>
      <w:r>
        <w:rPr>
          <w:spacing w:val="-4"/>
          <w:w w:val="105"/>
          <w:sz w:val="18"/>
          <w:vertAlign w:val="baseline"/>
        </w:rPr>
        <w:t> </w:t>
      </w:r>
      <w:r>
        <w:rPr>
          <w:w w:val="105"/>
          <w:sz w:val="18"/>
          <w:vertAlign w:val="baseline"/>
        </w:rPr>
        <w:t>entirety</w:t>
      </w:r>
      <w:r>
        <w:rPr>
          <w:spacing w:val="-4"/>
          <w:w w:val="105"/>
          <w:sz w:val="18"/>
          <w:vertAlign w:val="baseline"/>
        </w:rPr>
        <w:t> </w:t>
      </w:r>
      <w:r>
        <w:rPr>
          <w:w w:val="105"/>
          <w:sz w:val="18"/>
          <w:vertAlign w:val="baseline"/>
        </w:rPr>
        <w:t>via </w:t>
      </w:r>
      <w:hyperlink r:id="rId21">
        <w:r>
          <w:rPr>
            <w:color w:val="1154CC"/>
            <w:spacing w:val="-2"/>
            <w:w w:val="105"/>
            <w:sz w:val="18"/>
            <w:u w:val="thick" w:color="1154CC"/>
            <w:vertAlign w:val="baseline"/>
          </w:rPr>
          <w:t>https://docs.aiddata.org/ad4/pdfs/how_china_lends/CMR_2015_121.pdf</w:t>
        </w:r>
      </w:hyperlink>
      <w:r>
        <w:rPr>
          <w:spacing w:val="-2"/>
          <w:w w:val="105"/>
          <w:sz w:val="18"/>
          <w:vertAlign w:val="baseline"/>
        </w:rPr>
        <w:t>.</w:t>
      </w:r>
    </w:p>
    <w:p>
      <w:pPr>
        <w:spacing w:before="11"/>
        <w:ind w:left="760" w:right="0" w:firstLine="0"/>
        <w:jc w:val="left"/>
        <w:rPr>
          <w:sz w:val="18"/>
        </w:rPr>
      </w:pPr>
      <w:r>
        <w:rPr>
          <w:sz w:val="18"/>
          <w:vertAlign w:val="superscript"/>
        </w:rPr>
        <w:t>157</w:t>
      </w:r>
      <w:r>
        <w:rPr>
          <w:spacing w:val="-5"/>
          <w:sz w:val="18"/>
          <w:vertAlign w:val="baseline"/>
        </w:rPr>
        <w:t> </w:t>
      </w:r>
      <w:r>
        <w:rPr>
          <w:sz w:val="18"/>
          <w:vertAlign w:val="baseline"/>
        </w:rPr>
        <w:t>See</w:t>
      </w:r>
      <w:r>
        <w:rPr>
          <w:spacing w:val="-3"/>
          <w:sz w:val="18"/>
          <w:vertAlign w:val="baseline"/>
        </w:rPr>
        <w:t> </w:t>
      </w:r>
      <w:r>
        <w:rPr>
          <w:sz w:val="18"/>
          <w:vertAlign w:val="baseline"/>
        </w:rPr>
        <w:t>ID#60219</w:t>
      </w:r>
      <w:r>
        <w:rPr>
          <w:spacing w:val="-3"/>
          <w:sz w:val="18"/>
          <w:vertAlign w:val="baseline"/>
        </w:rPr>
        <w:t> </w:t>
      </w:r>
      <w:r>
        <w:rPr>
          <w:sz w:val="18"/>
          <w:vertAlign w:val="baseline"/>
        </w:rPr>
        <w:t>and</w:t>
      </w:r>
      <w:r>
        <w:rPr>
          <w:spacing w:val="-3"/>
          <w:sz w:val="18"/>
          <w:vertAlign w:val="baseline"/>
        </w:rPr>
        <w:t> </w:t>
      </w:r>
      <w:r>
        <w:rPr>
          <w:sz w:val="18"/>
          <w:vertAlign w:val="baseline"/>
        </w:rPr>
        <w:t>#59273</w:t>
      </w:r>
      <w:r>
        <w:rPr>
          <w:spacing w:val="-4"/>
          <w:sz w:val="18"/>
          <w:vertAlign w:val="baseline"/>
        </w:rPr>
        <w:t> </w:t>
      </w:r>
      <w:r>
        <w:rPr>
          <w:sz w:val="18"/>
          <w:vertAlign w:val="baseline"/>
        </w:rPr>
        <w:t>in</w:t>
      </w:r>
      <w:r>
        <w:rPr>
          <w:spacing w:val="-3"/>
          <w:sz w:val="18"/>
          <w:vertAlign w:val="baseline"/>
        </w:rPr>
        <w:t> </w:t>
      </w:r>
      <w:r>
        <w:rPr>
          <w:sz w:val="18"/>
          <w:vertAlign w:val="baseline"/>
        </w:rPr>
        <w:t>the</w:t>
      </w:r>
      <w:r>
        <w:rPr>
          <w:spacing w:val="-3"/>
          <w:sz w:val="18"/>
          <w:vertAlign w:val="baseline"/>
        </w:rPr>
        <w:t> </w:t>
      </w:r>
      <w:r>
        <w:rPr>
          <w:sz w:val="18"/>
          <w:vertAlign w:val="baseline"/>
        </w:rPr>
        <w:t>3.0</w:t>
      </w:r>
      <w:r>
        <w:rPr>
          <w:spacing w:val="-3"/>
          <w:sz w:val="18"/>
          <w:vertAlign w:val="baseline"/>
        </w:rPr>
        <w:t> </w:t>
      </w:r>
      <w:r>
        <w:rPr>
          <w:sz w:val="18"/>
          <w:vertAlign w:val="baseline"/>
        </w:rPr>
        <w:t>version</w:t>
      </w:r>
      <w:r>
        <w:rPr>
          <w:spacing w:val="-4"/>
          <w:sz w:val="18"/>
          <w:vertAlign w:val="baseline"/>
        </w:rPr>
        <w:t> </w:t>
      </w:r>
      <w:r>
        <w:rPr>
          <w:sz w:val="18"/>
          <w:vertAlign w:val="baseline"/>
        </w:rPr>
        <w:t>of</w:t>
      </w:r>
      <w:r>
        <w:rPr>
          <w:spacing w:val="-3"/>
          <w:sz w:val="18"/>
          <w:vertAlign w:val="baseline"/>
        </w:rPr>
        <w:t> </w:t>
      </w:r>
      <w:r>
        <w:rPr>
          <w:sz w:val="18"/>
          <w:vertAlign w:val="baseline"/>
        </w:rPr>
        <w:t>the</w:t>
      </w:r>
      <w:r>
        <w:rPr>
          <w:spacing w:val="-3"/>
          <w:sz w:val="18"/>
          <w:vertAlign w:val="baseline"/>
        </w:rPr>
        <w:t> </w:t>
      </w:r>
      <w:r>
        <w:rPr>
          <w:sz w:val="18"/>
          <w:vertAlign w:val="baseline"/>
        </w:rPr>
        <w:t>GCDF</w:t>
      </w:r>
      <w:r>
        <w:rPr>
          <w:spacing w:val="-3"/>
          <w:sz w:val="18"/>
          <w:vertAlign w:val="baseline"/>
        </w:rPr>
        <w:t> </w:t>
      </w:r>
      <w:r>
        <w:rPr>
          <w:spacing w:val="-2"/>
          <w:sz w:val="18"/>
          <w:vertAlign w:val="baseline"/>
        </w:rPr>
        <w:t>dataset.</w:t>
      </w:r>
    </w:p>
    <w:p>
      <w:pPr>
        <w:spacing w:after="0"/>
        <w:jc w:val="left"/>
        <w:rPr>
          <w:sz w:val="18"/>
        </w:rPr>
        <w:sectPr>
          <w:pgSz w:w="12240" w:h="15840"/>
          <w:pgMar w:header="0" w:footer="720" w:top="1400" w:bottom="920" w:left="1040" w:right="1040"/>
        </w:sectPr>
      </w:pPr>
    </w:p>
    <w:p>
      <w:pPr>
        <w:pStyle w:val="BodyText"/>
        <w:spacing w:line="333" w:lineRule="auto" w:before="27"/>
        <w:ind w:left="760" w:right="767"/>
      </w:pPr>
      <w:r>
        <w:rPr/>
        <w:t>way</w:t>
      </w:r>
      <w:r>
        <w:rPr>
          <w:spacing w:val="-7"/>
        </w:rPr>
        <w:t> </w:t>
      </w:r>
      <w:r>
        <w:rPr/>
        <w:t>that</w:t>
      </w:r>
      <w:r>
        <w:rPr>
          <w:spacing w:val="-7"/>
        </w:rPr>
        <w:t> </w:t>
      </w:r>
      <w:r>
        <w:rPr/>
        <w:t>ﬁnancial</w:t>
      </w:r>
      <w:r>
        <w:rPr>
          <w:spacing w:val="-7"/>
        </w:rPr>
        <w:t> </w:t>
      </w:r>
      <w:r>
        <w:rPr/>
        <w:t>losses</w:t>
      </w:r>
      <w:r>
        <w:rPr>
          <w:spacing w:val="-7"/>
        </w:rPr>
        <w:t> </w:t>
      </w:r>
      <w:r>
        <w:rPr/>
        <w:t>are</w:t>
      </w:r>
      <w:r>
        <w:rPr>
          <w:spacing w:val="-7"/>
        </w:rPr>
        <w:t> </w:t>
      </w:r>
      <w:r>
        <w:rPr/>
        <w:t>distributed</w:t>
      </w:r>
      <w:r>
        <w:rPr>
          <w:spacing w:val="-7"/>
        </w:rPr>
        <w:t> </w:t>
      </w:r>
      <w:r>
        <w:rPr/>
        <w:t>across</w:t>
      </w:r>
      <w:r>
        <w:rPr>
          <w:spacing w:val="-7"/>
        </w:rPr>
        <w:t> </w:t>
      </w:r>
      <w:r>
        <w:rPr/>
        <w:t>creditors</w:t>
      </w:r>
      <w:r>
        <w:rPr>
          <w:spacing w:val="-7"/>
        </w:rPr>
        <w:t> </w:t>
      </w:r>
      <w:r>
        <w:rPr/>
        <w:t>(Buchheit</w:t>
      </w:r>
      <w:r>
        <w:rPr>
          <w:spacing w:val="-7"/>
        </w:rPr>
        <w:t> </w:t>
      </w:r>
      <w:r>
        <w:rPr/>
        <w:t>and</w:t>
      </w:r>
      <w:r>
        <w:rPr>
          <w:spacing w:val="-7"/>
        </w:rPr>
        <w:t> </w:t>
      </w:r>
      <w:r>
        <w:rPr/>
        <w:t>Gulati </w:t>
      </w:r>
      <w:r>
        <w:rPr>
          <w:spacing w:val="-2"/>
        </w:rPr>
        <w:t>2023).</w:t>
      </w:r>
      <w:r>
        <w:rPr>
          <w:spacing w:val="-2"/>
          <w:vertAlign w:val="superscript"/>
        </w:rPr>
        <w:t>158</w:t>
      </w:r>
    </w:p>
    <w:p>
      <w:pPr>
        <w:pStyle w:val="BodyText"/>
        <w:spacing w:before="8"/>
        <w:rPr>
          <w:sz w:val="27"/>
        </w:rPr>
      </w:pPr>
    </w:p>
    <w:p>
      <w:pPr>
        <w:pStyle w:val="BodyText"/>
        <w:spacing w:line="333" w:lineRule="auto"/>
        <w:ind w:left="760" w:right="792"/>
      </w:pPr>
      <w:r>
        <w:rPr/>
        <w:t>During our review of the primary sources that underpin the dataset (including escrow account agreements, repayment mechanism agreements, and the audited ﬁnancial statements of borrowing institutions), we also discovered that Chinese lenders have put in place several different safeguards (or “lines of defense”) to minimize the risk that these escrow accounts will not fulﬁll their intended risk mitigation purposes. The ﬁrst safeguard is a requirement that the borrowers initially meet their minimum cash balance requirements by depositing funds into the repayment reserve (or DSRA) accounts with revenues that are already at their disposal (rather than project revenues, which are typically minimal or nonexistent when project loans are ﬁrst issued). The second safeguard is automaticity in the way that the repayment reserve (or DSRA) accounts are replenished after withdrawals have taken place. In a typical escrow account agreement between a Chinese lender, borrower, and escrow account bank, if the borrower misses a principal and/or interest payment and the lender sweeps cash out of the repayment reserve account (in order to satisfy its desire to be repaid in a timely manner), the escrow account bank is responsible for immediately replenishing the repayment reserve account with cash from another escrow account that is often referred to as the “revenue account” or “sales collection account.” Chinese lenders typically require that their borrowers</w:t>
      </w:r>
      <w:r>
        <w:rPr>
          <w:spacing w:val="80"/>
          <w:w w:val="150"/>
        </w:rPr>
        <w:t> </w:t>
      </w:r>
      <w:r>
        <w:rPr/>
        <w:t>deposit all project revenues—or all of the revenues generated by the underlying infrastructure asset (e.g., a toll road, an airport, a telecommunications network) supported by the project—into this additional escrow account.</w:t>
      </w:r>
      <w:r>
        <w:rPr>
          <w:vertAlign w:val="superscript"/>
        </w:rPr>
        <w:t>159</w:t>
      </w:r>
      <w:r>
        <w:rPr>
          <w:vertAlign w:val="baseline"/>
        </w:rPr>
        <w:t> In some cases, Chinese lenders will go one step further and require that a ﬁxed percentage of</w:t>
      </w:r>
      <w:r>
        <w:rPr>
          <w:spacing w:val="80"/>
          <w:vertAlign w:val="baseline"/>
        </w:rPr>
        <w:t> </w:t>
      </w:r>
      <w:r>
        <w:rPr>
          <w:vertAlign w:val="baseline"/>
        </w:rPr>
        <w:t>all revenues of the borrowing institution be deposited in the revenue account.</w:t>
      </w:r>
      <w:r>
        <w:rPr>
          <w:vertAlign w:val="superscript"/>
        </w:rPr>
        <w:t>160</w:t>
      </w:r>
      <w:r>
        <w:rPr>
          <w:vertAlign w:val="baseline"/>
        </w:rPr>
        <w:t> The</w:t>
      </w:r>
      <w:r>
        <w:rPr>
          <w:spacing w:val="-9"/>
          <w:vertAlign w:val="baseline"/>
        </w:rPr>
        <w:t> </w:t>
      </w:r>
      <w:r>
        <w:rPr>
          <w:vertAlign w:val="baseline"/>
        </w:rPr>
        <w:t>third</w:t>
      </w:r>
      <w:r>
        <w:rPr>
          <w:spacing w:val="-9"/>
          <w:vertAlign w:val="baseline"/>
        </w:rPr>
        <w:t> </w:t>
      </w:r>
      <w:r>
        <w:rPr>
          <w:vertAlign w:val="baseline"/>
        </w:rPr>
        <w:t>safeguard</w:t>
      </w:r>
      <w:r>
        <w:rPr>
          <w:spacing w:val="-9"/>
          <w:vertAlign w:val="baseline"/>
        </w:rPr>
        <w:t> </w:t>
      </w:r>
      <w:r>
        <w:rPr>
          <w:vertAlign w:val="baseline"/>
        </w:rPr>
        <w:t>is</w:t>
      </w:r>
      <w:r>
        <w:rPr>
          <w:spacing w:val="-9"/>
          <w:vertAlign w:val="baseline"/>
        </w:rPr>
        <w:t> </w:t>
      </w:r>
      <w:r>
        <w:rPr>
          <w:vertAlign w:val="baseline"/>
        </w:rPr>
        <w:t>that</w:t>
      </w:r>
      <w:r>
        <w:rPr>
          <w:spacing w:val="-9"/>
          <w:vertAlign w:val="baseline"/>
        </w:rPr>
        <w:t> </w:t>
      </w:r>
      <w:r>
        <w:rPr>
          <w:vertAlign w:val="baseline"/>
        </w:rPr>
        <w:t>Chinese</w:t>
      </w:r>
      <w:r>
        <w:rPr>
          <w:spacing w:val="-9"/>
          <w:vertAlign w:val="baseline"/>
        </w:rPr>
        <w:t> </w:t>
      </w:r>
      <w:r>
        <w:rPr>
          <w:vertAlign w:val="baseline"/>
        </w:rPr>
        <w:t>lenders</w:t>
      </w:r>
      <w:r>
        <w:rPr>
          <w:spacing w:val="-9"/>
          <w:vertAlign w:val="baseline"/>
        </w:rPr>
        <w:t> </w:t>
      </w:r>
      <w:r>
        <w:rPr>
          <w:vertAlign w:val="baseline"/>
        </w:rPr>
        <w:t>usually</w:t>
      </w:r>
      <w:r>
        <w:rPr>
          <w:spacing w:val="-9"/>
          <w:vertAlign w:val="baseline"/>
        </w:rPr>
        <w:t> </w:t>
      </w:r>
      <w:r>
        <w:rPr>
          <w:vertAlign w:val="baseline"/>
        </w:rPr>
        <w:t>possess</w:t>
      </w:r>
      <w:r>
        <w:rPr>
          <w:spacing w:val="-9"/>
          <w:vertAlign w:val="baseline"/>
        </w:rPr>
        <w:t> </w:t>
      </w:r>
      <w:r>
        <w:rPr>
          <w:vertAlign w:val="baseline"/>
        </w:rPr>
        <w:t>exclusive</w:t>
      </w:r>
      <w:r>
        <w:rPr>
          <w:spacing w:val="-9"/>
          <w:vertAlign w:val="baseline"/>
        </w:rPr>
        <w:t> </w:t>
      </w:r>
      <w:r>
        <w:rPr>
          <w:vertAlign w:val="baseline"/>
        </w:rPr>
        <w:t>authority</w:t>
      </w:r>
      <w:r>
        <w:rPr>
          <w:spacing w:val="-9"/>
          <w:vertAlign w:val="baseline"/>
        </w:rPr>
        <w:t> </w:t>
      </w:r>
      <w:r>
        <w:rPr>
          <w:vertAlign w:val="baseline"/>
        </w:rPr>
        <w:t>to freeze the revenue account (without the consent of the borrower) and prevent</w:t>
      </w:r>
    </w:p>
    <w:p>
      <w:pPr>
        <w:pStyle w:val="BodyText"/>
        <w:rPr>
          <w:sz w:val="20"/>
        </w:rPr>
      </w:pPr>
    </w:p>
    <w:p>
      <w:pPr>
        <w:pStyle w:val="BodyText"/>
        <w:spacing w:before="7"/>
        <w:rPr>
          <w:sz w:val="15"/>
        </w:rPr>
      </w:pPr>
      <w:r>
        <w:rPr/>
        <w:pict>
          <v:shape style="position:absolute;margin-left:90pt;margin-top:10.200342pt;width:144pt;height:.1pt;mso-position-horizontal-relative:page;mso-position-vertical-relative:paragraph;z-index:-15696384;mso-wrap-distance-left:0;mso-wrap-distance-right:0" id="docshape59" coordorigin="1800,204" coordsize="2880,0" path="m1800,204l4680,204e" filled="false" stroked="true" strokeweight=".75pt" strokecolor="#000000">
            <v:path arrowok="t"/>
            <v:stroke dashstyle="solid"/>
            <w10:wrap type="topAndBottom"/>
          </v:shape>
        </w:pict>
      </w:r>
    </w:p>
    <w:p>
      <w:pPr>
        <w:spacing w:line="249" w:lineRule="auto" w:before="107"/>
        <w:ind w:left="760" w:right="854" w:firstLine="0"/>
        <w:jc w:val="left"/>
        <w:rPr>
          <w:sz w:val="18"/>
        </w:rPr>
      </w:pPr>
      <w:r>
        <w:rPr>
          <w:sz w:val="18"/>
          <w:vertAlign w:val="superscript"/>
        </w:rPr>
        <w:t>158</w:t>
      </w:r>
      <w:r>
        <w:rPr>
          <w:sz w:val="18"/>
          <w:vertAlign w:val="baseline"/>
        </w:rPr>
        <w:t> If there is a perception that China wants to be treated as a senior creditor whose debts need to be </w:t>
      </w:r>
      <w:r>
        <w:rPr>
          <w:sz w:val="18"/>
          <w:vertAlign w:val="baseline"/>
        </w:rPr>
        <w:t>given ﬁrst priority and other creditors are being pushed to the back of the repayment line, a collective action</w:t>
      </w:r>
      <w:r>
        <w:rPr>
          <w:spacing w:val="80"/>
          <w:sz w:val="18"/>
          <w:vertAlign w:val="baseline"/>
        </w:rPr>
        <w:t> </w:t>
      </w:r>
      <w:r>
        <w:rPr>
          <w:sz w:val="18"/>
          <w:vertAlign w:val="baseline"/>
        </w:rPr>
        <w:t>failure among creditors (i.e., no coordinated debt rescheduling) becomes more likely (Wigglesworth and Yu 2023; Ferry and Zeitz 2023).</w:t>
      </w:r>
    </w:p>
    <w:p>
      <w:pPr>
        <w:spacing w:line="249" w:lineRule="auto" w:before="3"/>
        <w:ind w:left="760" w:right="767" w:firstLine="0"/>
        <w:jc w:val="left"/>
        <w:rPr>
          <w:sz w:val="18"/>
        </w:rPr>
      </w:pPr>
      <w:r>
        <w:rPr>
          <w:sz w:val="18"/>
          <w:vertAlign w:val="superscript"/>
        </w:rPr>
        <w:t>159</w:t>
      </w:r>
      <w:r>
        <w:rPr>
          <w:spacing w:val="-2"/>
          <w:sz w:val="18"/>
          <w:vertAlign w:val="baseline"/>
        </w:rPr>
        <w:t> </w:t>
      </w:r>
      <w:r>
        <w:rPr>
          <w:sz w:val="18"/>
          <w:vertAlign w:val="baseline"/>
        </w:rPr>
        <w:t>See,</w:t>
      </w:r>
      <w:r>
        <w:rPr>
          <w:spacing w:val="-1"/>
          <w:sz w:val="18"/>
          <w:vertAlign w:val="baseline"/>
        </w:rPr>
        <w:t> </w:t>
      </w:r>
      <w:r>
        <w:rPr>
          <w:sz w:val="18"/>
          <w:vertAlign w:val="baseline"/>
        </w:rPr>
        <w:t>for</w:t>
      </w:r>
      <w:r>
        <w:rPr>
          <w:spacing w:val="-1"/>
          <w:sz w:val="18"/>
          <w:vertAlign w:val="baseline"/>
        </w:rPr>
        <w:t> </w:t>
      </w:r>
      <w:r>
        <w:rPr>
          <w:sz w:val="18"/>
          <w:vertAlign w:val="baseline"/>
        </w:rPr>
        <w:t>example,</w:t>
      </w:r>
      <w:r>
        <w:rPr>
          <w:spacing w:val="-1"/>
          <w:sz w:val="18"/>
          <w:vertAlign w:val="baseline"/>
        </w:rPr>
        <w:t> </w:t>
      </w:r>
      <w:r>
        <w:rPr>
          <w:sz w:val="18"/>
          <w:vertAlign w:val="baseline"/>
        </w:rPr>
        <w:t>ID#59753</w:t>
      </w:r>
      <w:r>
        <w:rPr>
          <w:spacing w:val="-1"/>
          <w:sz w:val="18"/>
          <w:vertAlign w:val="baseline"/>
        </w:rPr>
        <w:t> </w:t>
      </w:r>
      <w:r>
        <w:rPr>
          <w:sz w:val="18"/>
          <w:vertAlign w:val="baseline"/>
        </w:rPr>
        <w:t>in</w:t>
      </w:r>
      <w:r>
        <w:rPr>
          <w:spacing w:val="-1"/>
          <w:sz w:val="18"/>
          <w:vertAlign w:val="baseline"/>
        </w:rPr>
        <w:t> </w:t>
      </w:r>
      <w:r>
        <w:rPr>
          <w:sz w:val="18"/>
          <w:vertAlign w:val="baseline"/>
        </w:rPr>
        <w:t>the</w:t>
      </w:r>
      <w:r>
        <w:rPr>
          <w:spacing w:val="-1"/>
          <w:sz w:val="18"/>
          <w:vertAlign w:val="baseline"/>
        </w:rPr>
        <w:t> </w:t>
      </w:r>
      <w:r>
        <w:rPr>
          <w:sz w:val="18"/>
          <w:vertAlign w:val="baseline"/>
        </w:rPr>
        <w:t>3.0</w:t>
      </w:r>
      <w:r>
        <w:rPr>
          <w:spacing w:val="-1"/>
          <w:sz w:val="18"/>
          <w:vertAlign w:val="baseline"/>
        </w:rPr>
        <w:t> </w:t>
      </w:r>
      <w:r>
        <w:rPr>
          <w:sz w:val="18"/>
          <w:vertAlign w:val="baseline"/>
        </w:rPr>
        <w:t>version</w:t>
      </w:r>
      <w:r>
        <w:rPr>
          <w:spacing w:val="-1"/>
          <w:sz w:val="18"/>
          <w:vertAlign w:val="baseline"/>
        </w:rPr>
        <w:t> </w:t>
      </w:r>
      <w:r>
        <w:rPr>
          <w:sz w:val="18"/>
          <w:vertAlign w:val="baseline"/>
        </w:rPr>
        <w:t>of</w:t>
      </w:r>
      <w:r>
        <w:rPr>
          <w:spacing w:val="-1"/>
          <w:sz w:val="18"/>
          <w:vertAlign w:val="baseline"/>
        </w:rPr>
        <w:t> </w:t>
      </w:r>
      <w:r>
        <w:rPr>
          <w:sz w:val="18"/>
          <w:vertAlign w:val="baseline"/>
        </w:rPr>
        <w:t>AidData’s</w:t>
      </w:r>
      <w:r>
        <w:rPr>
          <w:spacing w:val="-1"/>
          <w:sz w:val="18"/>
          <w:vertAlign w:val="baseline"/>
        </w:rPr>
        <w:t> </w:t>
      </w:r>
      <w:r>
        <w:rPr>
          <w:sz w:val="18"/>
          <w:vertAlign w:val="baseline"/>
        </w:rPr>
        <w:t>GCDF</w:t>
      </w:r>
      <w:r>
        <w:rPr>
          <w:spacing w:val="-1"/>
          <w:sz w:val="18"/>
          <w:vertAlign w:val="baseline"/>
        </w:rPr>
        <w:t> </w:t>
      </w:r>
      <w:r>
        <w:rPr>
          <w:sz w:val="18"/>
          <w:vertAlign w:val="baseline"/>
        </w:rPr>
        <w:t>dataset.</w:t>
      </w:r>
      <w:r>
        <w:rPr>
          <w:spacing w:val="-1"/>
          <w:sz w:val="18"/>
          <w:vertAlign w:val="baseline"/>
        </w:rPr>
        <w:t> </w:t>
      </w:r>
      <w:r>
        <w:rPr>
          <w:sz w:val="18"/>
          <w:vertAlign w:val="baseline"/>
        </w:rPr>
        <w:t>Alternatively,</w:t>
      </w:r>
      <w:r>
        <w:rPr>
          <w:spacing w:val="-1"/>
          <w:sz w:val="18"/>
          <w:vertAlign w:val="baseline"/>
        </w:rPr>
        <w:t> </w:t>
      </w:r>
      <w:r>
        <w:rPr>
          <w:sz w:val="18"/>
          <w:vertAlign w:val="baseline"/>
        </w:rPr>
        <w:t>the</w:t>
      </w:r>
      <w:r>
        <w:rPr>
          <w:spacing w:val="-1"/>
          <w:sz w:val="18"/>
          <w:vertAlign w:val="baseline"/>
        </w:rPr>
        <w:t> </w:t>
      </w:r>
      <w:r>
        <w:rPr>
          <w:sz w:val="18"/>
          <w:vertAlign w:val="baseline"/>
        </w:rPr>
        <w:t>borrower </w:t>
      </w:r>
      <w:r>
        <w:rPr>
          <w:w w:val="105"/>
          <w:sz w:val="18"/>
          <w:vertAlign w:val="baseline"/>
        </w:rPr>
        <w:t>may</w:t>
      </w:r>
      <w:r>
        <w:rPr>
          <w:spacing w:val="-8"/>
          <w:w w:val="105"/>
          <w:sz w:val="18"/>
          <w:vertAlign w:val="baseline"/>
        </w:rPr>
        <w:t> </w:t>
      </w:r>
      <w:r>
        <w:rPr>
          <w:w w:val="105"/>
          <w:sz w:val="18"/>
          <w:vertAlign w:val="baseline"/>
        </w:rPr>
        <w:t>be</w:t>
      </w:r>
      <w:r>
        <w:rPr>
          <w:spacing w:val="-8"/>
          <w:w w:val="105"/>
          <w:sz w:val="18"/>
          <w:vertAlign w:val="baseline"/>
        </w:rPr>
        <w:t> </w:t>
      </w:r>
      <w:r>
        <w:rPr>
          <w:w w:val="105"/>
          <w:sz w:val="18"/>
          <w:vertAlign w:val="baseline"/>
        </w:rPr>
        <w:t>required</w:t>
      </w:r>
      <w:r>
        <w:rPr>
          <w:spacing w:val="-8"/>
          <w:w w:val="105"/>
          <w:sz w:val="18"/>
          <w:vertAlign w:val="baseline"/>
        </w:rPr>
        <w:t> </w:t>
      </w:r>
      <w:r>
        <w:rPr>
          <w:w w:val="105"/>
          <w:sz w:val="18"/>
          <w:vertAlign w:val="baseline"/>
        </w:rPr>
        <w:t>to</w:t>
      </w:r>
      <w:r>
        <w:rPr>
          <w:spacing w:val="-8"/>
          <w:w w:val="105"/>
          <w:sz w:val="18"/>
          <w:vertAlign w:val="baseline"/>
        </w:rPr>
        <w:t> </w:t>
      </w:r>
      <w:r>
        <w:rPr>
          <w:w w:val="105"/>
          <w:sz w:val="18"/>
          <w:vertAlign w:val="baseline"/>
        </w:rPr>
        <w:t>deposit</w:t>
      </w:r>
      <w:r>
        <w:rPr>
          <w:spacing w:val="-8"/>
          <w:w w:val="105"/>
          <w:sz w:val="18"/>
          <w:vertAlign w:val="baseline"/>
        </w:rPr>
        <w:t> </w:t>
      </w:r>
      <w:r>
        <w:rPr>
          <w:w w:val="105"/>
          <w:sz w:val="18"/>
          <w:vertAlign w:val="baseline"/>
        </w:rPr>
        <w:t>into</w:t>
      </w:r>
      <w:r>
        <w:rPr>
          <w:spacing w:val="-8"/>
          <w:w w:val="105"/>
          <w:sz w:val="18"/>
          <w:vertAlign w:val="baseline"/>
        </w:rPr>
        <w:t> </w:t>
      </w:r>
      <w:r>
        <w:rPr>
          <w:w w:val="105"/>
          <w:sz w:val="18"/>
          <w:vertAlign w:val="baseline"/>
        </w:rPr>
        <w:t>this</w:t>
      </w:r>
      <w:r>
        <w:rPr>
          <w:spacing w:val="-8"/>
          <w:w w:val="105"/>
          <w:sz w:val="18"/>
          <w:vertAlign w:val="baseline"/>
        </w:rPr>
        <w:t> </w:t>
      </w:r>
      <w:r>
        <w:rPr>
          <w:w w:val="105"/>
          <w:sz w:val="18"/>
          <w:vertAlign w:val="baseline"/>
        </w:rPr>
        <w:t>account</w:t>
      </w:r>
      <w:r>
        <w:rPr>
          <w:spacing w:val="-8"/>
          <w:w w:val="105"/>
          <w:sz w:val="18"/>
          <w:vertAlign w:val="baseline"/>
        </w:rPr>
        <w:t> </w:t>
      </w:r>
      <w:r>
        <w:rPr>
          <w:w w:val="105"/>
          <w:sz w:val="18"/>
          <w:vertAlign w:val="baseline"/>
        </w:rPr>
        <w:t>cash</w:t>
      </w:r>
      <w:r>
        <w:rPr>
          <w:spacing w:val="-8"/>
          <w:w w:val="105"/>
          <w:sz w:val="18"/>
          <w:vertAlign w:val="baseline"/>
        </w:rPr>
        <w:t> </w:t>
      </w:r>
      <w:r>
        <w:rPr>
          <w:w w:val="105"/>
          <w:sz w:val="18"/>
          <w:vertAlign w:val="baseline"/>
        </w:rPr>
        <w:t>proceeds</w:t>
      </w:r>
      <w:r>
        <w:rPr>
          <w:spacing w:val="-8"/>
          <w:w w:val="105"/>
          <w:sz w:val="18"/>
          <w:vertAlign w:val="baseline"/>
        </w:rPr>
        <w:t> </w:t>
      </w:r>
      <w:r>
        <w:rPr>
          <w:w w:val="105"/>
          <w:sz w:val="18"/>
          <w:vertAlign w:val="baseline"/>
        </w:rPr>
        <w:t>from</w:t>
      </w:r>
      <w:r>
        <w:rPr>
          <w:spacing w:val="-8"/>
          <w:w w:val="105"/>
          <w:sz w:val="18"/>
          <w:vertAlign w:val="baseline"/>
        </w:rPr>
        <w:t> </w:t>
      </w:r>
      <w:r>
        <w:rPr>
          <w:w w:val="105"/>
          <w:sz w:val="18"/>
          <w:vertAlign w:val="baseline"/>
        </w:rPr>
        <w:t>sales</w:t>
      </w:r>
      <w:r>
        <w:rPr>
          <w:spacing w:val="-9"/>
          <w:w w:val="105"/>
          <w:sz w:val="18"/>
          <w:vertAlign w:val="baseline"/>
        </w:rPr>
        <w:t> </w:t>
      </w:r>
      <w:r>
        <w:rPr>
          <w:w w:val="105"/>
          <w:sz w:val="18"/>
          <w:vertAlign w:val="baseline"/>
        </w:rPr>
        <w:t>under</w:t>
      </w:r>
      <w:r>
        <w:rPr>
          <w:spacing w:val="-8"/>
          <w:w w:val="105"/>
          <w:sz w:val="18"/>
          <w:vertAlign w:val="baseline"/>
        </w:rPr>
        <w:t> </w:t>
      </w:r>
      <w:r>
        <w:rPr>
          <w:w w:val="105"/>
          <w:sz w:val="18"/>
          <w:vertAlign w:val="baseline"/>
        </w:rPr>
        <w:t>a</w:t>
      </w:r>
      <w:r>
        <w:rPr>
          <w:spacing w:val="-8"/>
          <w:w w:val="105"/>
          <w:sz w:val="18"/>
          <w:vertAlign w:val="baseline"/>
        </w:rPr>
        <w:t> </w:t>
      </w:r>
      <w:r>
        <w:rPr>
          <w:w w:val="105"/>
          <w:sz w:val="18"/>
          <w:vertAlign w:val="baseline"/>
        </w:rPr>
        <w:t>long-term</w:t>
      </w:r>
      <w:r>
        <w:rPr>
          <w:spacing w:val="-8"/>
          <w:w w:val="105"/>
          <w:sz w:val="18"/>
          <w:vertAlign w:val="baseline"/>
        </w:rPr>
        <w:t> </w:t>
      </w:r>
      <w:r>
        <w:rPr>
          <w:w w:val="105"/>
          <w:sz w:val="18"/>
          <w:vertAlign w:val="baseline"/>
        </w:rPr>
        <w:t>commodity </w:t>
      </w:r>
      <w:r>
        <w:rPr>
          <w:spacing w:val="-2"/>
          <w:w w:val="105"/>
          <w:sz w:val="18"/>
          <w:vertAlign w:val="baseline"/>
        </w:rPr>
        <w:t>purchase</w:t>
      </w:r>
      <w:r>
        <w:rPr>
          <w:spacing w:val="-6"/>
          <w:w w:val="105"/>
          <w:sz w:val="18"/>
          <w:vertAlign w:val="baseline"/>
        </w:rPr>
        <w:t> </w:t>
      </w:r>
      <w:r>
        <w:rPr>
          <w:spacing w:val="-2"/>
          <w:w w:val="105"/>
          <w:sz w:val="18"/>
          <w:vertAlign w:val="baseline"/>
        </w:rPr>
        <w:t>agreement.</w:t>
      </w:r>
      <w:r>
        <w:rPr>
          <w:spacing w:val="-6"/>
          <w:w w:val="105"/>
          <w:sz w:val="18"/>
          <w:vertAlign w:val="baseline"/>
        </w:rPr>
        <w:t> </w:t>
      </w:r>
      <w:r>
        <w:rPr>
          <w:spacing w:val="-2"/>
          <w:w w:val="105"/>
          <w:sz w:val="18"/>
          <w:vertAlign w:val="baseline"/>
        </w:rPr>
        <w:t>See,</w:t>
      </w:r>
      <w:r>
        <w:rPr>
          <w:spacing w:val="-6"/>
          <w:w w:val="105"/>
          <w:sz w:val="18"/>
          <w:vertAlign w:val="baseline"/>
        </w:rPr>
        <w:t> </w:t>
      </w:r>
      <w:r>
        <w:rPr>
          <w:spacing w:val="-2"/>
          <w:w w:val="105"/>
          <w:sz w:val="18"/>
          <w:vertAlign w:val="baseline"/>
        </w:rPr>
        <w:t>for</w:t>
      </w:r>
      <w:r>
        <w:rPr>
          <w:spacing w:val="-6"/>
          <w:w w:val="105"/>
          <w:sz w:val="18"/>
          <w:vertAlign w:val="baseline"/>
        </w:rPr>
        <w:t> </w:t>
      </w:r>
      <w:r>
        <w:rPr>
          <w:spacing w:val="-2"/>
          <w:w w:val="105"/>
          <w:sz w:val="18"/>
          <w:vertAlign w:val="baseline"/>
        </w:rPr>
        <w:t>example,</w:t>
      </w:r>
      <w:r>
        <w:rPr>
          <w:spacing w:val="-6"/>
          <w:w w:val="105"/>
          <w:sz w:val="18"/>
          <w:vertAlign w:val="baseline"/>
        </w:rPr>
        <w:t> </w:t>
      </w:r>
      <w:r>
        <w:rPr>
          <w:spacing w:val="-2"/>
          <w:w w:val="105"/>
          <w:sz w:val="18"/>
          <w:vertAlign w:val="baseline"/>
        </w:rPr>
        <w:t>ID#35865</w:t>
      </w:r>
      <w:r>
        <w:rPr>
          <w:spacing w:val="-6"/>
          <w:w w:val="105"/>
          <w:sz w:val="18"/>
          <w:vertAlign w:val="baseline"/>
        </w:rPr>
        <w:t> </w:t>
      </w:r>
      <w:r>
        <w:rPr>
          <w:spacing w:val="-2"/>
          <w:w w:val="105"/>
          <w:sz w:val="18"/>
          <w:vertAlign w:val="baseline"/>
        </w:rPr>
        <w:t>in</w:t>
      </w:r>
      <w:r>
        <w:rPr>
          <w:spacing w:val="-6"/>
          <w:w w:val="105"/>
          <w:sz w:val="18"/>
          <w:vertAlign w:val="baseline"/>
        </w:rPr>
        <w:t> </w:t>
      </w:r>
      <w:r>
        <w:rPr>
          <w:spacing w:val="-2"/>
          <w:w w:val="105"/>
          <w:sz w:val="18"/>
          <w:vertAlign w:val="baseline"/>
        </w:rPr>
        <w:t>the</w:t>
      </w:r>
      <w:r>
        <w:rPr>
          <w:spacing w:val="-6"/>
          <w:w w:val="105"/>
          <w:sz w:val="18"/>
          <w:vertAlign w:val="baseline"/>
        </w:rPr>
        <w:t> </w:t>
      </w:r>
      <w:r>
        <w:rPr>
          <w:spacing w:val="-2"/>
          <w:w w:val="105"/>
          <w:sz w:val="18"/>
          <w:vertAlign w:val="baseline"/>
        </w:rPr>
        <w:t>3.0</w:t>
      </w:r>
      <w:r>
        <w:rPr>
          <w:spacing w:val="-6"/>
          <w:w w:val="105"/>
          <w:sz w:val="18"/>
          <w:vertAlign w:val="baseline"/>
        </w:rPr>
        <w:t> </w:t>
      </w:r>
      <w:r>
        <w:rPr>
          <w:spacing w:val="-2"/>
          <w:w w:val="105"/>
          <w:sz w:val="18"/>
          <w:vertAlign w:val="baseline"/>
        </w:rPr>
        <w:t>version</w:t>
      </w:r>
      <w:r>
        <w:rPr>
          <w:spacing w:val="-6"/>
          <w:w w:val="105"/>
          <w:sz w:val="18"/>
          <w:vertAlign w:val="baseline"/>
        </w:rPr>
        <w:t> </w:t>
      </w:r>
      <w:r>
        <w:rPr>
          <w:spacing w:val="-2"/>
          <w:w w:val="105"/>
          <w:sz w:val="18"/>
          <w:vertAlign w:val="baseline"/>
        </w:rPr>
        <w:t>of</w:t>
      </w:r>
      <w:r>
        <w:rPr>
          <w:spacing w:val="-6"/>
          <w:w w:val="105"/>
          <w:sz w:val="18"/>
          <w:vertAlign w:val="baseline"/>
        </w:rPr>
        <w:t> </w:t>
      </w:r>
      <w:r>
        <w:rPr>
          <w:spacing w:val="-2"/>
          <w:w w:val="105"/>
          <w:sz w:val="18"/>
          <w:vertAlign w:val="baseline"/>
        </w:rPr>
        <w:t>AidData’s</w:t>
      </w:r>
      <w:r>
        <w:rPr>
          <w:spacing w:val="-6"/>
          <w:w w:val="105"/>
          <w:sz w:val="18"/>
          <w:vertAlign w:val="baseline"/>
        </w:rPr>
        <w:t> </w:t>
      </w:r>
      <w:r>
        <w:rPr>
          <w:spacing w:val="-2"/>
          <w:w w:val="105"/>
          <w:sz w:val="18"/>
          <w:vertAlign w:val="baseline"/>
        </w:rPr>
        <w:t>GCDF</w:t>
      </w:r>
      <w:r>
        <w:rPr>
          <w:spacing w:val="-6"/>
          <w:w w:val="105"/>
          <w:sz w:val="18"/>
          <w:vertAlign w:val="baseline"/>
        </w:rPr>
        <w:t> </w:t>
      </w:r>
      <w:r>
        <w:rPr>
          <w:spacing w:val="-2"/>
          <w:w w:val="105"/>
          <w:sz w:val="18"/>
          <w:vertAlign w:val="baseline"/>
        </w:rPr>
        <w:t>dataset.</w:t>
      </w:r>
    </w:p>
    <w:p>
      <w:pPr>
        <w:spacing w:before="2"/>
        <w:ind w:left="760" w:right="0" w:firstLine="0"/>
        <w:jc w:val="left"/>
        <w:rPr>
          <w:sz w:val="18"/>
        </w:rPr>
      </w:pPr>
      <w:r>
        <w:rPr>
          <w:sz w:val="18"/>
          <w:vertAlign w:val="superscript"/>
        </w:rPr>
        <w:t>160</w:t>
      </w:r>
      <w:r>
        <w:rPr>
          <w:spacing w:val="-5"/>
          <w:sz w:val="18"/>
          <w:vertAlign w:val="baseline"/>
        </w:rPr>
        <w:t> </w:t>
      </w:r>
      <w:r>
        <w:rPr>
          <w:sz w:val="18"/>
          <w:vertAlign w:val="baseline"/>
        </w:rPr>
        <w:t>See,</w:t>
      </w:r>
      <w:r>
        <w:rPr>
          <w:spacing w:val="-4"/>
          <w:sz w:val="18"/>
          <w:vertAlign w:val="baseline"/>
        </w:rPr>
        <w:t> </w:t>
      </w:r>
      <w:r>
        <w:rPr>
          <w:sz w:val="18"/>
          <w:vertAlign w:val="baseline"/>
        </w:rPr>
        <w:t>for</w:t>
      </w:r>
      <w:r>
        <w:rPr>
          <w:spacing w:val="-4"/>
          <w:sz w:val="18"/>
          <w:vertAlign w:val="baseline"/>
        </w:rPr>
        <w:t> </w:t>
      </w:r>
      <w:r>
        <w:rPr>
          <w:sz w:val="18"/>
          <w:vertAlign w:val="baseline"/>
        </w:rPr>
        <w:t>example,</w:t>
      </w:r>
      <w:r>
        <w:rPr>
          <w:spacing w:val="-3"/>
          <w:sz w:val="18"/>
          <w:vertAlign w:val="baseline"/>
        </w:rPr>
        <w:t> </w:t>
      </w:r>
      <w:r>
        <w:rPr>
          <w:sz w:val="18"/>
          <w:vertAlign w:val="baseline"/>
        </w:rPr>
        <w:t>ID#55437</w:t>
      </w:r>
      <w:r>
        <w:rPr>
          <w:spacing w:val="-4"/>
          <w:sz w:val="18"/>
          <w:vertAlign w:val="baseline"/>
        </w:rPr>
        <w:t> </w:t>
      </w:r>
      <w:r>
        <w:rPr>
          <w:sz w:val="18"/>
          <w:vertAlign w:val="baseline"/>
        </w:rPr>
        <w:t>in</w:t>
      </w:r>
      <w:r>
        <w:rPr>
          <w:spacing w:val="-4"/>
          <w:sz w:val="18"/>
          <w:vertAlign w:val="baseline"/>
        </w:rPr>
        <w:t> </w:t>
      </w:r>
      <w:r>
        <w:rPr>
          <w:sz w:val="18"/>
          <w:vertAlign w:val="baseline"/>
        </w:rPr>
        <w:t>the</w:t>
      </w:r>
      <w:r>
        <w:rPr>
          <w:spacing w:val="-3"/>
          <w:sz w:val="18"/>
          <w:vertAlign w:val="baseline"/>
        </w:rPr>
        <w:t> </w:t>
      </w:r>
      <w:r>
        <w:rPr>
          <w:sz w:val="18"/>
          <w:vertAlign w:val="baseline"/>
        </w:rPr>
        <w:t>3.0</w:t>
      </w:r>
      <w:r>
        <w:rPr>
          <w:spacing w:val="-4"/>
          <w:sz w:val="18"/>
          <w:vertAlign w:val="baseline"/>
        </w:rPr>
        <w:t> </w:t>
      </w:r>
      <w:r>
        <w:rPr>
          <w:sz w:val="18"/>
          <w:vertAlign w:val="baseline"/>
        </w:rPr>
        <w:t>version</w:t>
      </w:r>
      <w:r>
        <w:rPr>
          <w:spacing w:val="-4"/>
          <w:sz w:val="18"/>
          <w:vertAlign w:val="baseline"/>
        </w:rPr>
        <w:t> </w:t>
      </w:r>
      <w:r>
        <w:rPr>
          <w:sz w:val="18"/>
          <w:vertAlign w:val="baseline"/>
        </w:rPr>
        <w:t>of</w:t>
      </w:r>
      <w:r>
        <w:rPr>
          <w:spacing w:val="-3"/>
          <w:sz w:val="18"/>
          <w:vertAlign w:val="baseline"/>
        </w:rPr>
        <w:t> </w:t>
      </w:r>
      <w:r>
        <w:rPr>
          <w:sz w:val="18"/>
          <w:vertAlign w:val="baseline"/>
        </w:rPr>
        <w:t>AidData’s</w:t>
      </w:r>
      <w:r>
        <w:rPr>
          <w:spacing w:val="-4"/>
          <w:sz w:val="18"/>
          <w:vertAlign w:val="baseline"/>
        </w:rPr>
        <w:t> </w:t>
      </w:r>
      <w:r>
        <w:rPr>
          <w:sz w:val="18"/>
          <w:vertAlign w:val="baseline"/>
        </w:rPr>
        <w:t>GCDF</w:t>
      </w:r>
      <w:r>
        <w:rPr>
          <w:spacing w:val="-4"/>
          <w:sz w:val="18"/>
          <w:vertAlign w:val="baseline"/>
        </w:rPr>
        <w:t> </w:t>
      </w:r>
      <w:r>
        <w:rPr>
          <w:spacing w:val="-2"/>
          <w:sz w:val="18"/>
          <w:vertAlign w:val="baseline"/>
        </w:rPr>
        <w:t>dataset.</w:t>
      </w:r>
    </w:p>
    <w:p>
      <w:pPr>
        <w:spacing w:after="0"/>
        <w:jc w:val="left"/>
        <w:rPr>
          <w:sz w:val="18"/>
        </w:rPr>
        <w:sectPr>
          <w:pgSz w:w="12240" w:h="15840"/>
          <w:pgMar w:header="0" w:footer="720" w:top="1400" w:bottom="920" w:left="1040" w:right="1040"/>
        </w:sectPr>
      </w:pPr>
    </w:p>
    <w:p>
      <w:pPr>
        <w:pStyle w:val="BodyText"/>
        <w:spacing w:line="333" w:lineRule="auto" w:before="67"/>
        <w:ind w:left="760" w:right="767"/>
      </w:pPr>
      <w:r>
        <w:rPr/>
        <w:t>the borrower from making withdrawals from the account.</w:t>
      </w:r>
      <w:r>
        <w:rPr>
          <w:vertAlign w:val="superscript"/>
        </w:rPr>
        <w:t>161</w:t>
      </w:r>
      <w:r>
        <w:rPr>
          <w:vertAlign w:val="baseline"/>
        </w:rPr>
        <w:t> The fourth </w:t>
      </w:r>
      <w:r>
        <w:rPr>
          <w:vertAlign w:val="baseline"/>
        </w:rPr>
        <w:t>safeguard </w:t>
      </w:r>
      <w:r>
        <w:rPr>
          <w:w w:val="105"/>
          <w:vertAlign w:val="baseline"/>
        </w:rPr>
        <w:t>is</w:t>
      </w:r>
      <w:r>
        <w:rPr>
          <w:spacing w:val="-15"/>
          <w:w w:val="105"/>
          <w:vertAlign w:val="baseline"/>
        </w:rPr>
        <w:t> </w:t>
      </w:r>
      <w:r>
        <w:rPr>
          <w:w w:val="105"/>
          <w:vertAlign w:val="baseline"/>
        </w:rPr>
        <w:t>that,</w:t>
      </w:r>
      <w:r>
        <w:rPr>
          <w:spacing w:val="-15"/>
          <w:w w:val="105"/>
          <w:vertAlign w:val="baseline"/>
        </w:rPr>
        <w:t> </w:t>
      </w:r>
      <w:r>
        <w:rPr>
          <w:w w:val="105"/>
          <w:vertAlign w:val="baseline"/>
        </w:rPr>
        <w:t>in</w:t>
      </w:r>
      <w:r>
        <w:rPr>
          <w:spacing w:val="-15"/>
          <w:w w:val="105"/>
          <w:vertAlign w:val="baseline"/>
        </w:rPr>
        <w:t> </w:t>
      </w:r>
      <w:r>
        <w:rPr>
          <w:w w:val="105"/>
          <w:vertAlign w:val="baseline"/>
        </w:rPr>
        <w:t>the</w:t>
      </w:r>
      <w:r>
        <w:rPr>
          <w:spacing w:val="-15"/>
          <w:w w:val="105"/>
          <w:vertAlign w:val="baseline"/>
        </w:rPr>
        <w:t> </w:t>
      </w:r>
      <w:r>
        <w:rPr>
          <w:w w:val="105"/>
          <w:vertAlign w:val="baseline"/>
        </w:rPr>
        <w:t>event</w:t>
      </w:r>
      <w:r>
        <w:rPr>
          <w:spacing w:val="-15"/>
          <w:w w:val="105"/>
          <w:vertAlign w:val="baseline"/>
        </w:rPr>
        <w:t> </w:t>
      </w:r>
      <w:r>
        <w:rPr>
          <w:w w:val="105"/>
          <w:vertAlign w:val="baseline"/>
        </w:rPr>
        <w:t>of</w:t>
      </w:r>
      <w:r>
        <w:rPr>
          <w:spacing w:val="-15"/>
          <w:w w:val="105"/>
          <w:vertAlign w:val="baseline"/>
        </w:rPr>
        <w:t> </w:t>
      </w:r>
      <w:r>
        <w:rPr>
          <w:w w:val="105"/>
          <w:vertAlign w:val="baseline"/>
        </w:rPr>
        <w:t>a</w:t>
      </w:r>
      <w:r>
        <w:rPr>
          <w:spacing w:val="-15"/>
          <w:w w:val="105"/>
          <w:vertAlign w:val="baseline"/>
        </w:rPr>
        <w:t> </w:t>
      </w:r>
      <w:r>
        <w:rPr>
          <w:w w:val="105"/>
          <w:vertAlign w:val="baseline"/>
        </w:rPr>
        <w:t>missed</w:t>
      </w:r>
      <w:r>
        <w:rPr>
          <w:spacing w:val="-15"/>
          <w:w w:val="105"/>
          <w:vertAlign w:val="baseline"/>
        </w:rPr>
        <w:t> </w:t>
      </w:r>
      <w:r>
        <w:rPr>
          <w:w w:val="105"/>
          <w:vertAlign w:val="baseline"/>
        </w:rPr>
        <w:t>interest</w:t>
      </w:r>
      <w:r>
        <w:rPr>
          <w:spacing w:val="-15"/>
          <w:w w:val="105"/>
          <w:vertAlign w:val="baseline"/>
        </w:rPr>
        <w:t> </w:t>
      </w:r>
      <w:r>
        <w:rPr>
          <w:w w:val="105"/>
          <w:vertAlign w:val="baseline"/>
        </w:rPr>
        <w:t>or</w:t>
      </w:r>
      <w:r>
        <w:rPr>
          <w:spacing w:val="-15"/>
          <w:w w:val="105"/>
          <w:vertAlign w:val="baseline"/>
        </w:rPr>
        <w:t> </w:t>
      </w:r>
      <w:r>
        <w:rPr>
          <w:w w:val="105"/>
          <w:vertAlign w:val="baseline"/>
        </w:rPr>
        <w:t>principal</w:t>
      </w:r>
      <w:r>
        <w:rPr>
          <w:spacing w:val="-15"/>
          <w:w w:val="105"/>
          <w:vertAlign w:val="baseline"/>
        </w:rPr>
        <w:t> </w:t>
      </w:r>
      <w:r>
        <w:rPr>
          <w:w w:val="105"/>
          <w:vertAlign w:val="baseline"/>
        </w:rPr>
        <w:t>payment,</w:t>
      </w:r>
      <w:r>
        <w:rPr>
          <w:spacing w:val="-15"/>
          <w:w w:val="105"/>
          <w:vertAlign w:val="baseline"/>
        </w:rPr>
        <w:t> </w:t>
      </w:r>
      <w:r>
        <w:rPr>
          <w:w w:val="105"/>
          <w:vertAlign w:val="baseline"/>
        </w:rPr>
        <w:t>Chinese</w:t>
      </w:r>
      <w:r>
        <w:rPr>
          <w:spacing w:val="-15"/>
          <w:w w:val="105"/>
          <w:vertAlign w:val="baseline"/>
        </w:rPr>
        <w:t> </w:t>
      </w:r>
      <w:r>
        <w:rPr>
          <w:w w:val="105"/>
          <w:vertAlign w:val="baseline"/>
        </w:rPr>
        <w:t>lenders are</w:t>
      </w:r>
      <w:r>
        <w:rPr>
          <w:spacing w:val="-8"/>
          <w:w w:val="105"/>
          <w:vertAlign w:val="baseline"/>
        </w:rPr>
        <w:t> </w:t>
      </w:r>
      <w:r>
        <w:rPr>
          <w:w w:val="105"/>
          <w:vertAlign w:val="baseline"/>
        </w:rPr>
        <w:t>entitled</w:t>
      </w:r>
      <w:r>
        <w:rPr>
          <w:spacing w:val="-8"/>
          <w:w w:val="105"/>
          <w:vertAlign w:val="baseline"/>
        </w:rPr>
        <w:t> </w:t>
      </w:r>
      <w:r>
        <w:rPr>
          <w:w w:val="105"/>
          <w:vertAlign w:val="baseline"/>
        </w:rPr>
        <w:t>under</w:t>
      </w:r>
      <w:r>
        <w:rPr>
          <w:spacing w:val="-8"/>
          <w:w w:val="105"/>
          <w:vertAlign w:val="baseline"/>
        </w:rPr>
        <w:t> </w:t>
      </w:r>
      <w:r>
        <w:rPr>
          <w:w w:val="105"/>
          <w:vertAlign w:val="baseline"/>
        </w:rPr>
        <w:t>the</w:t>
      </w:r>
      <w:r>
        <w:rPr>
          <w:spacing w:val="-8"/>
          <w:w w:val="105"/>
          <w:vertAlign w:val="baseline"/>
        </w:rPr>
        <w:t> </w:t>
      </w:r>
      <w:r>
        <w:rPr>
          <w:w w:val="105"/>
          <w:vertAlign w:val="baseline"/>
        </w:rPr>
        <w:t>terms</w:t>
      </w:r>
      <w:r>
        <w:rPr>
          <w:spacing w:val="-8"/>
          <w:w w:val="105"/>
          <w:vertAlign w:val="baseline"/>
        </w:rPr>
        <w:t> </w:t>
      </w:r>
      <w:r>
        <w:rPr>
          <w:w w:val="105"/>
          <w:vertAlign w:val="baseline"/>
        </w:rPr>
        <w:t>of</w:t>
      </w:r>
      <w:r>
        <w:rPr>
          <w:spacing w:val="-8"/>
          <w:w w:val="105"/>
          <w:vertAlign w:val="baseline"/>
        </w:rPr>
        <w:t> </w:t>
      </w:r>
      <w:r>
        <w:rPr>
          <w:w w:val="105"/>
          <w:vertAlign w:val="baseline"/>
        </w:rPr>
        <w:t>most</w:t>
      </w:r>
      <w:r>
        <w:rPr>
          <w:spacing w:val="-8"/>
          <w:w w:val="105"/>
          <w:vertAlign w:val="baseline"/>
        </w:rPr>
        <w:t> </w:t>
      </w:r>
      <w:r>
        <w:rPr>
          <w:w w:val="105"/>
          <w:vertAlign w:val="baseline"/>
        </w:rPr>
        <w:t>escrow</w:t>
      </w:r>
      <w:r>
        <w:rPr>
          <w:spacing w:val="-8"/>
          <w:w w:val="105"/>
          <w:vertAlign w:val="baseline"/>
        </w:rPr>
        <w:t> </w:t>
      </w:r>
      <w:r>
        <w:rPr>
          <w:w w:val="105"/>
          <w:vertAlign w:val="baseline"/>
        </w:rPr>
        <w:t>account</w:t>
      </w:r>
      <w:r>
        <w:rPr>
          <w:spacing w:val="-8"/>
          <w:w w:val="105"/>
          <w:vertAlign w:val="baseline"/>
        </w:rPr>
        <w:t> </w:t>
      </w:r>
      <w:r>
        <w:rPr>
          <w:w w:val="105"/>
          <w:vertAlign w:val="baseline"/>
        </w:rPr>
        <w:t>agreements</w:t>
      </w:r>
      <w:r>
        <w:rPr>
          <w:spacing w:val="-8"/>
          <w:w w:val="105"/>
          <w:vertAlign w:val="baseline"/>
        </w:rPr>
        <w:t> </w:t>
      </w:r>
      <w:r>
        <w:rPr>
          <w:w w:val="105"/>
          <w:vertAlign w:val="baseline"/>
        </w:rPr>
        <w:t>to</w:t>
      </w:r>
      <w:r>
        <w:rPr>
          <w:spacing w:val="-8"/>
          <w:w w:val="105"/>
          <w:vertAlign w:val="baseline"/>
        </w:rPr>
        <w:t> </w:t>
      </w:r>
      <w:r>
        <w:rPr>
          <w:w w:val="105"/>
          <w:vertAlign w:val="baseline"/>
        </w:rPr>
        <w:t>“pay </w:t>
      </w:r>
      <w:r>
        <w:rPr>
          <w:vertAlign w:val="baseline"/>
        </w:rPr>
        <w:t>themselves” by withdrawing an equivalent amount of cash out of the repayment reserve account and/or the revenue account (without borrower consent).</w:t>
      </w:r>
      <w:r>
        <w:rPr>
          <w:vertAlign w:val="superscript"/>
        </w:rPr>
        <w:t>162</w:t>
      </w:r>
    </w:p>
    <w:p>
      <w:pPr>
        <w:pStyle w:val="BodyText"/>
        <w:spacing w:before="7"/>
        <w:rPr>
          <w:sz w:val="27"/>
        </w:rPr>
      </w:pPr>
    </w:p>
    <w:p>
      <w:pPr>
        <w:pStyle w:val="BodyText"/>
        <w:spacing w:line="333" w:lineRule="auto"/>
        <w:ind w:left="760" w:right="898"/>
      </w:pPr>
      <w:r>
        <w:rPr/>
        <w:t>The latest version of the GCDF dataset also provides evidence that, when borrowers default on their repayment obligations, Chinese lenders do in fact “pay themselves” by unilaterally making cash withdrawals from the escrow accounts that they established for risk mitigation purposes. Consider, for example, the $98.4 million loan that China Eximbank issued to the </w:t>
      </w:r>
      <w:r>
        <w:rPr/>
        <w:t>Government of Suriname and Telesur—the state-owned telecommunications company of Suriname—in</w:t>
      </w:r>
      <w:r>
        <w:rPr>
          <w:spacing w:val="-2"/>
        </w:rPr>
        <w:t> </w:t>
      </w:r>
      <w:r>
        <w:rPr/>
        <w:t>2016</w:t>
      </w:r>
      <w:r>
        <w:rPr>
          <w:spacing w:val="-2"/>
        </w:rPr>
        <w:t> </w:t>
      </w:r>
      <w:r>
        <w:rPr/>
        <w:t>for</w:t>
      </w:r>
      <w:r>
        <w:rPr>
          <w:spacing w:val="-2"/>
        </w:rPr>
        <w:t> </w:t>
      </w:r>
      <w:r>
        <w:rPr/>
        <w:t>a</w:t>
      </w:r>
      <w:r>
        <w:rPr>
          <w:spacing w:val="-2"/>
        </w:rPr>
        <w:t> </w:t>
      </w:r>
      <w:r>
        <w:rPr/>
        <w:t>National</w:t>
      </w:r>
      <w:r>
        <w:rPr>
          <w:spacing w:val="-2"/>
        </w:rPr>
        <w:t> </w:t>
      </w:r>
      <w:r>
        <w:rPr/>
        <w:t>Broadband</w:t>
      </w:r>
      <w:r>
        <w:rPr>
          <w:spacing w:val="-2"/>
        </w:rPr>
        <w:t> </w:t>
      </w:r>
      <w:r>
        <w:rPr/>
        <w:t>Network</w:t>
      </w:r>
      <w:r>
        <w:rPr>
          <w:spacing w:val="-2"/>
        </w:rPr>
        <w:t> </w:t>
      </w:r>
      <w:r>
        <w:rPr/>
        <w:t>Project.</w:t>
      </w:r>
      <w:r>
        <w:rPr>
          <w:vertAlign w:val="superscript"/>
        </w:rPr>
        <w:t>163</w:t>
      </w:r>
      <w:r>
        <w:rPr>
          <w:spacing w:val="-3"/>
          <w:vertAlign w:val="baseline"/>
        </w:rPr>
        <w:t> </w:t>
      </w:r>
      <w:r>
        <w:rPr>
          <w:vertAlign w:val="baseline"/>
        </w:rPr>
        <w:t>As</w:t>
      </w:r>
      <w:r>
        <w:rPr>
          <w:spacing w:val="-2"/>
          <w:vertAlign w:val="baseline"/>
        </w:rPr>
        <w:t> </w:t>
      </w:r>
      <w:r>
        <w:rPr>
          <w:vertAlign w:val="baseline"/>
        </w:rPr>
        <w:t>a</w:t>
      </w:r>
      <w:r>
        <w:rPr>
          <w:spacing w:val="-2"/>
          <w:vertAlign w:val="baseline"/>
        </w:rPr>
        <w:t> </w:t>
      </w:r>
      <w:r>
        <w:rPr>
          <w:vertAlign w:val="baseline"/>
        </w:rPr>
        <w:t>source</w:t>
      </w:r>
      <w:r>
        <w:rPr>
          <w:spacing w:val="-2"/>
          <w:vertAlign w:val="baseline"/>
        </w:rPr>
        <w:t> </w:t>
      </w:r>
      <w:r>
        <w:rPr>
          <w:vertAlign w:val="baseline"/>
        </w:rPr>
        <w:t>of cash collateral, the lender asked its borrower to maintain a minimum balance in a USD repayment reserve account of $2.9 million (equivalent to total payable interest for one year or two semi-annual interest payments) during the loan’s grace period and $9.3 million (equivalent to total payable principal for one year or two semi-annual principal payments) during the loan’s repayment period. It also required that Telesur deposit at least 50% of its organizational funding (including broadband user revenues from the National Broadband Network Project) in a local currency revenue account. Then, during the COVID-19 pandemic, the Government of Suriname defaulted on its sovereign debt obligations multiple times in 2020 and 2021. By the end of 2021, the Government of Suriname had accumulated principal and interest arrears to China Eximbank worth approximately $61 million (IMF 2021). Then, in February 2022, the Government of Suriname and Telesur missed a scheduled interest payment on the China Eximbank loan for the National Broadband Network</w:t>
      </w:r>
    </w:p>
    <w:p>
      <w:pPr>
        <w:pStyle w:val="BodyText"/>
        <w:spacing w:before="6"/>
        <w:rPr>
          <w:sz w:val="8"/>
        </w:rPr>
      </w:pPr>
      <w:r>
        <w:rPr/>
        <w:pict>
          <v:shape style="position:absolute;margin-left:90pt;margin-top:6.110108pt;width:144pt;height:.1pt;mso-position-horizontal-relative:page;mso-position-vertical-relative:paragraph;z-index:-15695872;mso-wrap-distance-left:0;mso-wrap-distance-right:0" id="docshape60" coordorigin="1800,122" coordsize="2880,0" path="m1800,122l4680,122e" filled="false" stroked="true" strokeweight=".75pt" strokecolor="#000000">
            <v:path arrowok="t"/>
            <v:stroke dashstyle="solid"/>
            <w10:wrap type="topAndBottom"/>
          </v:shape>
        </w:pict>
      </w:r>
    </w:p>
    <w:p>
      <w:pPr>
        <w:spacing w:line="249" w:lineRule="auto" w:before="107"/>
        <w:ind w:left="760" w:right="767" w:firstLine="0"/>
        <w:jc w:val="left"/>
        <w:rPr>
          <w:sz w:val="18"/>
        </w:rPr>
      </w:pPr>
      <w:r>
        <w:rPr>
          <w:sz w:val="18"/>
          <w:vertAlign w:val="superscript"/>
        </w:rPr>
        <w:t>161</w:t>
      </w:r>
      <w:r>
        <w:rPr>
          <w:spacing w:val="-5"/>
          <w:sz w:val="18"/>
          <w:vertAlign w:val="baseline"/>
        </w:rPr>
        <w:t> </w:t>
      </w:r>
      <w:r>
        <w:rPr>
          <w:sz w:val="18"/>
          <w:vertAlign w:val="baseline"/>
        </w:rPr>
        <w:t>More</w:t>
      </w:r>
      <w:r>
        <w:rPr>
          <w:spacing w:val="-4"/>
          <w:sz w:val="18"/>
          <w:vertAlign w:val="baseline"/>
        </w:rPr>
        <w:t> </w:t>
      </w:r>
      <w:r>
        <w:rPr>
          <w:sz w:val="18"/>
          <w:vertAlign w:val="baseline"/>
        </w:rPr>
        <w:t>precisely,</w:t>
      </w:r>
      <w:r>
        <w:rPr>
          <w:spacing w:val="-4"/>
          <w:sz w:val="18"/>
          <w:vertAlign w:val="baseline"/>
        </w:rPr>
        <w:t> </w:t>
      </w:r>
      <w:r>
        <w:rPr>
          <w:sz w:val="18"/>
          <w:vertAlign w:val="baseline"/>
        </w:rPr>
        <w:t>Chinese</w:t>
      </w:r>
      <w:r>
        <w:rPr>
          <w:spacing w:val="-4"/>
          <w:sz w:val="18"/>
          <w:vertAlign w:val="baseline"/>
        </w:rPr>
        <w:t> </w:t>
      </w:r>
      <w:r>
        <w:rPr>
          <w:sz w:val="18"/>
          <w:vertAlign w:val="baseline"/>
        </w:rPr>
        <w:t>lenders</w:t>
      </w:r>
      <w:r>
        <w:rPr>
          <w:spacing w:val="-4"/>
          <w:sz w:val="18"/>
          <w:vertAlign w:val="baseline"/>
        </w:rPr>
        <w:t> </w:t>
      </w:r>
      <w:r>
        <w:rPr>
          <w:sz w:val="18"/>
          <w:vertAlign w:val="baseline"/>
        </w:rPr>
        <w:t>typically</w:t>
      </w:r>
      <w:r>
        <w:rPr>
          <w:spacing w:val="-4"/>
          <w:sz w:val="18"/>
          <w:vertAlign w:val="baseline"/>
        </w:rPr>
        <w:t> </w:t>
      </w:r>
      <w:r>
        <w:rPr>
          <w:sz w:val="18"/>
          <w:vertAlign w:val="baseline"/>
        </w:rPr>
        <w:t>possess</w:t>
      </w:r>
      <w:r>
        <w:rPr>
          <w:spacing w:val="-4"/>
          <w:sz w:val="18"/>
          <w:vertAlign w:val="baseline"/>
        </w:rPr>
        <w:t> </w:t>
      </w:r>
      <w:r>
        <w:rPr>
          <w:sz w:val="18"/>
          <w:vertAlign w:val="baseline"/>
        </w:rPr>
        <w:t>the</w:t>
      </w:r>
      <w:r>
        <w:rPr>
          <w:spacing w:val="-4"/>
          <w:sz w:val="18"/>
          <w:vertAlign w:val="baseline"/>
        </w:rPr>
        <w:t> </w:t>
      </w:r>
      <w:r>
        <w:rPr>
          <w:sz w:val="18"/>
          <w:vertAlign w:val="baseline"/>
        </w:rPr>
        <w:t>exclusive</w:t>
      </w:r>
      <w:r>
        <w:rPr>
          <w:spacing w:val="-4"/>
          <w:sz w:val="18"/>
          <w:vertAlign w:val="baseline"/>
        </w:rPr>
        <w:t> </w:t>
      </w:r>
      <w:r>
        <w:rPr>
          <w:sz w:val="18"/>
          <w:vertAlign w:val="baseline"/>
        </w:rPr>
        <w:t>authority</w:t>
      </w:r>
      <w:r>
        <w:rPr>
          <w:spacing w:val="-4"/>
          <w:sz w:val="18"/>
          <w:vertAlign w:val="baseline"/>
        </w:rPr>
        <w:t> </w:t>
      </w:r>
      <w:r>
        <w:rPr>
          <w:sz w:val="18"/>
          <w:vertAlign w:val="baseline"/>
        </w:rPr>
        <w:t>to</w:t>
      </w:r>
      <w:r>
        <w:rPr>
          <w:spacing w:val="-4"/>
          <w:sz w:val="18"/>
          <w:vertAlign w:val="baseline"/>
        </w:rPr>
        <w:t> </w:t>
      </w:r>
      <w:r>
        <w:rPr>
          <w:sz w:val="18"/>
          <w:vertAlign w:val="baseline"/>
        </w:rPr>
        <w:t>instruct</w:t>
      </w:r>
      <w:r>
        <w:rPr>
          <w:spacing w:val="-4"/>
          <w:sz w:val="18"/>
          <w:vertAlign w:val="baseline"/>
        </w:rPr>
        <w:t> </w:t>
      </w:r>
      <w:r>
        <w:rPr>
          <w:sz w:val="18"/>
          <w:vertAlign w:val="baseline"/>
        </w:rPr>
        <w:t>the</w:t>
      </w:r>
      <w:r>
        <w:rPr>
          <w:spacing w:val="-4"/>
          <w:sz w:val="18"/>
          <w:vertAlign w:val="baseline"/>
        </w:rPr>
        <w:t> </w:t>
      </w:r>
      <w:r>
        <w:rPr>
          <w:sz w:val="18"/>
          <w:vertAlign w:val="baseline"/>
        </w:rPr>
        <w:t>escrow</w:t>
      </w:r>
      <w:r>
        <w:rPr>
          <w:spacing w:val="-4"/>
          <w:sz w:val="18"/>
          <w:vertAlign w:val="baseline"/>
        </w:rPr>
        <w:t> </w:t>
      </w:r>
      <w:r>
        <w:rPr>
          <w:sz w:val="18"/>
          <w:vertAlign w:val="baseline"/>
        </w:rPr>
        <w:t>account bank</w:t>
      </w:r>
      <w:r>
        <w:rPr>
          <w:spacing w:val="-1"/>
          <w:sz w:val="18"/>
          <w:vertAlign w:val="baseline"/>
        </w:rPr>
        <w:t> </w:t>
      </w:r>
      <w:r>
        <w:rPr>
          <w:sz w:val="18"/>
          <w:vertAlign w:val="baseline"/>
        </w:rPr>
        <w:t>to</w:t>
      </w:r>
      <w:r>
        <w:rPr>
          <w:spacing w:val="-1"/>
          <w:sz w:val="18"/>
          <w:vertAlign w:val="baseline"/>
        </w:rPr>
        <w:t> </w:t>
      </w:r>
      <w:r>
        <w:rPr>
          <w:sz w:val="18"/>
          <w:vertAlign w:val="baseline"/>
        </w:rPr>
        <w:t>freeze</w:t>
      </w:r>
      <w:r>
        <w:rPr>
          <w:spacing w:val="-1"/>
          <w:sz w:val="18"/>
          <w:vertAlign w:val="baseline"/>
        </w:rPr>
        <w:t> </w:t>
      </w:r>
      <w:r>
        <w:rPr>
          <w:sz w:val="18"/>
          <w:vertAlign w:val="baseline"/>
        </w:rPr>
        <w:t>the</w:t>
      </w:r>
      <w:r>
        <w:rPr>
          <w:spacing w:val="-1"/>
          <w:sz w:val="18"/>
          <w:vertAlign w:val="baseline"/>
        </w:rPr>
        <w:t> </w:t>
      </w:r>
      <w:r>
        <w:rPr>
          <w:sz w:val="18"/>
          <w:vertAlign w:val="baseline"/>
        </w:rPr>
        <w:t>revenue</w:t>
      </w:r>
      <w:r>
        <w:rPr>
          <w:spacing w:val="-1"/>
          <w:sz w:val="18"/>
          <w:vertAlign w:val="baseline"/>
        </w:rPr>
        <w:t> </w:t>
      </w:r>
      <w:r>
        <w:rPr>
          <w:sz w:val="18"/>
          <w:vertAlign w:val="baseline"/>
        </w:rPr>
        <w:t>account and</w:t>
      </w:r>
      <w:r>
        <w:rPr>
          <w:spacing w:val="-1"/>
          <w:sz w:val="18"/>
          <w:vertAlign w:val="baseline"/>
        </w:rPr>
        <w:t> </w:t>
      </w:r>
      <w:r>
        <w:rPr>
          <w:sz w:val="18"/>
          <w:vertAlign w:val="baseline"/>
        </w:rPr>
        <w:t>prevent</w:t>
      </w:r>
      <w:r>
        <w:rPr>
          <w:spacing w:val="-1"/>
          <w:sz w:val="18"/>
          <w:vertAlign w:val="baseline"/>
        </w:rPr>
        <w:t> </w:t>
      </w:r>
      <w:r>
        <w:rPr>
          <w:sz w:val="18"/>
          <w:vertAlign w:val="baseline"/>
        </w:rPr>
        <w:t>borrower</w:t>
      </w:r>
      <w:r>
        <w:rPr>
          <w:spacing w:val="-1"/>
          <w:sz w:val="18"/>
          <w:vertAlign w:val="baseline"/>
        </w:rPr>
        <w:t> </w:t>
      </w:r>
      <w:r>
        <w:rPr>
          <w:sz w:val="18"/>
          <w:vertAlign w:val="baseline"/>
        </w:rPr>
        <w:t>withdrawals.</w:t>
      </w:r>
      <w:r>
        <w:rPr>
          <w:spacing w:val="-1"/>
          <w:sz w:val="18"/>
          <w:vertAlign w:val="baseline"/>
        </w:rPr>
        <w:t> </w:t>
      </w:r>
      <w:r>
        <w:rPr>
          <w:sz w:val="18"/>
          <w:vertAlign w:val="baseline"/>
        </w:rPr>
        <w:t>See,</w:t>
      </w:r>
      <w:r>
        <w:rPr>
          <w:spacing w:val="-1"/>
          <w:sz w:val="18"/>
          <w:vertAlign w:val="baseline"/>
        </w:rPr>
        <w:t> </w:t>
      </w:r>
      <w:r>
        <w:rPr>
          <w:sz w:val="18"/>
          <w:vertAlign w:val="baseline"/>
        </w:rPr>
        <w:t>for example,</w:t>
      </w:r>
      <w:r>
        <w:rPr>
          <w:spacing w:val="-1"/>
          <w:sz w:val="18"/>
          <w:vertAlign w:val="baseline"/>
        </w:rPr>
        <w:t> </w:t>
      </w:r>
      <w:r>
        <w:rPr>
          <w:sz w:val="18"/>
          <w:vertAlign w:val="baseline"/>
        </w:rPr>
        <w:t>ID#59753</w:t>
      </w:r>
      <w:r>
        <w:rPr>
          <w:spacing w:val="-1"/>
          <w:sz w:val="18"/>
          <w:vertAlign w:val="baseline"/>
        </w:rPr>
        <w:t> </w:t>
      </w:r>
      <w:r>
        <w:rPr>
          <w:sz w:val="18"/>
          <w:vertAlign w:val="baseline"/>
        </w:rPr>
        <w:t>in</w:t>
      </w:r>
      <w:r>
        <w:rPr>
          <w:spacing w:val="-1"/>
          <w:sz w:val="18"/>
          <w:vertAlign w:val="baseline"/>
        </w:rPr>
        <w:t> </w:t>
      </w:r>
      <w:r>
        <w:rPr>
          <w:spacing w:val="-5"/>
          <w:sz w:val="18"/>
          <w:vertAlign w:val="baseline"/>
        </w:rPr>
        <w:t>the</w:t>
      </w:r>
    </w:p>
    <w:p>
      <w:pPr>
        <w:spacing w:before="2"/>
        <w:ind w:left="760" w:right="0" w:firstLine="0"/>
        <w:jc w:val="left"/>
        <w:rPr>
          <w:sz w:val="18"/>
        </w:rPr>
      </w:pPr>
      <w:r>
        <w:rPr>
          <w:sz w:val="18"/>
        </w:rPr>
        <w:t>3.0</w:t>
      </w:r>
      <w:r>
        <w:rPr>
          <w:spacing w:val="-6"/>
          <w:sz w:val="18"/>
        </w:rPr>
        <w:t> </w:t>
      </w:r>
      <w:r>
        <w:rPr>
          <w:sz w:val="18"/>
        </w:rPr>
        <w:t>version</w:t>
      </w:r>
      <w:r>
        <w:rPr>
          <w:spacing w:val="-6"/>
          <w:sz w:val="18"/>
        </w:rPr>
        <w:t> </w:t>
      </w:r>
      <w:r>
        <w:rPr>
          <w:sz w:val="18"/>
        </w:rPr>
        <w:t>of</w:t>
      </w:r>
      <w:r>
        <w:rPr>
          <w:spacing w:val="-6"/>
          <w:sz w:val="18"/>
        </w:rPr>
        <w:t> </w:t>
      </w:r>
      <w:r>
        <w:rPr>
          <w:sz w:val="18"/>
        </w:rPr>
        <w:t>AidData’s</w:t>
      </w:r>
      <w:r>
        <w:rPr>
          <w:spacing w:val="-5"/>
          <w:sz w:val="18"/>
        </w:rPr>
        <w:t> </w:t>
      </w:r>
      <w:r>
        <w:rPr>
          <w:sz w:val="18"/>
        </w:rPr>
        <w:t>GCDF</w:t>
      </w:r>
      <w:r>
        <w:rPr>
          <w:spacing w:val="-6"/>
          <w:sz w:val="18"/>
        </w:rPr>
        <w:t> </w:t>
      </w:r>
      <w:r>
        <w:rPr>
          <w:spacing w:val="-2"/>
          <w:sz w:val="18"/>
        </w:rPr>
        <w:t>dataset</w:t>
      </w:r>
    </w:p>
    <w:p>
      <w:pPr>
        <w:spacing w:line="249" w:lineRule="auto" w:before="8"/>
        <w:ind w:left="760" w:right="767" w:firstLine="0"/>
        <w:jc w:val="left"/>
        <w:rPr>
          <w:sz w:val="18"/>
        </w:rPr>
      </w:pPr>
      <w:r>
        <w:rPr>
          <w:sz w:val="18"/>
          <w:vertAlign w:val="superscript"/>
        </w:rPr>
        <w:t>162</w:t>
      </w:r>
      <w:r>
        <w:rPr>
          <w:spacing w:val="-6"/>
          <w:sz w:val="18"/>
          <w:vertAlign w:val="baseline"/>
        </w:rPr>
        <w:t> </w:t>
      </w:r>
      <w:r>
        <w:rPr>
          <w:sz w:val="18"/>
          <w:vertAlign w:val="baseline"/>
        </w:rPr>
        <w:t>By</w:t>
      </w:r>
      <w:r>
        <w:rPr>
          <w:spacing w:val="-5"/>
          <w:sz w:val="18"/>
          <w:vertAlign w:val="baseline"/>
        </w:rPr>
        <w:t> </w:t>
      </w:r>
      <w:r>
        <w:rPr>
          <w:sz w:val="18"/>
          <w:vertAlign w:val="baseline"/>
        </w:rPr>
        <w:t>way</w:t>
      </w:r>
      <w:r>
        <w:rPr>
          <w:spacing w:val="-5"/>
          <w:sz w:val="18"/>
          <w:vertAlign w:val="baseline"/>
        </w:rPr>
        <w:t> </w:t>
      </w:r>
      <w:r>
        <w:rPr>
          <w:sz w:val="18"/>
          <w:vertAlign w:val="baseline"/>
        </w:rPr>
        <w:t>of</w:t>
      </w:r>
      <w:r>
        <w:rPr>
          <w:spacing w:val="-5"/>
          <w:sz w:val="18"/>
          <w:vertAlign w:val="baseline"/>
        </w:rPr>
        <w:t> </w:t>
      </w:r>
      <w:r>
        <w:rPr>
          <w:sz w:val="18"/>
          <w:vertAlign w:val="baseline"/>
        </w:rPr>
        <w:t>example,</w:t>
      </w:r>
      <w:r>
        <w:rPr>
          <w:spacing w:val="-5"/>
          <w:sz w:val="18"/>
          <w:vertAlign w:val="baseline"/>
        </w:rPr>
        <w:t> </w:t>
      </w:r>
      <w:r>
        <w:rPr>
          <w:sz w:val="18"/>
          <w:vertAlign w:val="baseline"/>
        </w:rPr>
        <w:t>see</w:t>
      </w:r>
      <w:r>
        <w:rPr>
          <w:spacing w:val="-5"/>
          <w:sz w:val="18"/>
          <w:vertAlign w:val="baseline"/>
        </w:rPr>
        <w:t> </w:t>
      </w:r>
      <w:r>
        <w:rPr>
          <w:sz w:val="18"/>
          <w:vertAlign w:val="baseline"/>
        </w:rPr>
        <w:t>ID#37103,</w:t>
      </w:r>
      <w:r>
        <w:rPr>
          <w:spacing w:val="-5"/>
          <w:sz w:val="18"/>
          <w:vertAlign w:val="baseline"/>
        </w:rPr>
        <w:t> </w:t>
      </w:r>
      <w:r>
        <w:rPr>
          <w:sz w:val="18"/>
          <w:vertAlign w:val="baseline"/>
        </w:rPr>
        <w:t>#31777,</w:t>
      </w:r>
      <w:r>
        <w:rPr>
          <w:spacing w:val="-5"/>
          <w:sz w:val="18"/>
          <w:vertAlign w:val="baseline"/>
        </w:rPr>
        <w:t> </w:t>
      </w:r>
      <w:r>
        <w:rPr>
          <w:sz w:val="18"/>
          <w:vertAlign w:val="baseline"/>
        </w:rPr>
        <w:t>#59753,</w:t>
      </w:r>
      <w:r>
        <w:rPr>
          <w:spacing w:val="-5"/>
          <w:sz w:val="18"/>
          <w:vertAlign w:val="baseline"/>
        </w:rPr>
        <w:t> </w:t>
      </w:r>
      <w:r>
        <w:rPr>
          <w:sz w:val="18"/>
          <w:vertAlign w:val="baseline"/>
        </w:rPr>
        <w:t>and</w:t>
      </w:r>
      <w:r>
        <w:rPr>
          <w:spacing w:val="-5"/>
          <w:sz w:val="18"/>
          <w:vertAlign w:val="baseline"/>
        </w:rPr>
        <w:t> </w:t>
      </w:r>
      <w:r>
        <w:rPr>
          <w:sz w:val="18"/>
          <w:vertAlign w:val="baseline"/>
        </w:rPr>
        <w:t>#35865</w:t>
      </w:r>
      <w:r>
        <w:rPr>
          <w:spacing w:val="-5"/>
          <w:sz w:val="18"/>
          <w:vertAlign w:val="baseline"/>
        </w:rPr>
        <w:t> </w:t>
      </w:r>
      <w:r>
        <w:rPr>
          <w:sz w:val="18"/>
          <w:vertAlign w:val="baseline"/>
        </w:rPr>
        <w:t>in</w:t>
      </w:r>
      <w:r>
        <w:rPr>
          <w:spacing w:val="-5"/>
          <w:sz w:val="18"/>
          <w:vertAlign w:val="baseline"/>
        </w:rPr>
        <w:t> </w:t>
      </w:r>
      <w:r>
        <w:rPr>
          <w:sz w:val="18"/>
          <w:vertAlign w:val="baseline"/>
        </w:rPr>
        <w:t>the</w:t>
      </w:r>
      <w:r>
        <w:rPr>
          <w:spacing w:val="-5"/>
          <w:sz w:val="18"/>
          <w:vertAlign w:val="baseline"/>
        </w:rPr>
        <w:t> </w:t>
      </w:r>
      <w:r>
        <w:rPr>
          <w:sz w:val="18"/>
          <w:vertAlign w:val="baseline"/>
        </w:rPr>
        <w:t>3.0</w:t>
      </w:r>
      <w:r>
        <w:rPr>
          <w:spacing w:val="-5"/>
          <w:sz w:val="18"/>
          <w:vertAlign w:val="baseline"/>
        </w:rPr>
        <w:t> </w:t>
      </w:r>
      <w:r>
        <w:rPr>
          <w:sz w:val="18"/>
          <w:vertAlign w:val="baseline"/>
        </w:rPr>
        <w:t>version</w:t>
      </w:r>
      <w:r>
        <w:rPr>
          <w:spacing w:val="-5"/>
          <w:sz w:val="18"/>
          <w:vertAlign w:val="baseline"/>
        </w:rPr>
        <w:t> </w:t>
      </w:r>
      <w:r>
        <w:rPr>
          <w:sz w:val="18"/>
          <w:vertAlign w:val="baseline"/>
        </w:rPr>
        <w:t>of</w:t>
      </w:r>
      <w:r>
        <w:rPr>
          <w:spacing w:val="-5"/>
          <w:sz w:val="18"/>
          <w:vertAlign w:val="baseline"/>
        </w:rPr>
        <w:t> </w:t>
      </w:r>
      <w:r>
        <w:rPr>
          <w:sz w:val="18"/>
          <w:vertAlign w:val="baseline"/>
        </w:rPr>
        <w:t>AidData’s</w:t>
      </w:r>
      <w:r>
        <w:rPr>
          <w:spacing w:val="-5"/>
          <w:sz w:val="18"/>
          <w:vertAlign w:val="baseline"/>
        </w:rPr>
        <w:t> </w:t>
      </w:r>
      <w:r>
        <w:rPr>
          <w:sz w:val="18"/>
          <w:vertAlign w:val="baseline"/>
        </w:rPr>
        <w:t>GCDF </w:t>
      </w:r>
      <w:r>
        <w:rPr>
          <w:spacing w:val="-2"/>
          <w:sz w:val="18"/>
          <w:vertAlign w:val="baseline"/>
        </w:rPr>
        <w:t>dataset.</w:t>
      </w:r>
    </w:p>
    <w:p>
      <w:pPr>
        <w:spacing w:before="2"/>
        <w:ind w:left="760" w:right="0" w:firstLine="0"/>
        <w:jc w:val="left"/>
        <w:rPr>
          <w:sz w:val="18"/>
        </w:rPr>
      </w:pPr>
      <w:r>
        <w:rPr>
          <w:sz w:val="18"/>
          <w:vertAlign w:val="superscript"/>
        </w:rPr>
        <w:t>163</w:t>
      </w:r>
      <w:r>
        <w:rPr>
          <w:spacing w:val="-1"/>
          <w:sz w:val="18"/>
          <w:vertAlign w:val="baseline"/>
        </w:rPr>
        <w:t> </w:t>
      </w:r>
      <w:r>
        <w:rPr>
          <w:sz w:val="18"/>
          <w:vertAlign w:val="baseline"/>
        </w:rPr>
        <w:t>On December 30, 2016, China Eximbank and the Government</w:t>
      </w:r>
      <w:r>
        <w:rPr>
          <w:spacing w:val="1"/>
          <w:sz w:val="18"/>
          <w:vertAlign w:val="baseline"/>
        </w:rPr>
        <w:t> </w:t>
      </w:r>
      <w:r>
        <w:rPr>
          <w:sz w:val="18"/>
          <w:vertAlign w:val="baseline"/>
        </w:rPr>
        <w:t>of the Republic of Suriname signed </w:t>
      </w:r>
      <w:r>
        <w:rPr>
          <w:spacing w:val="-10"/>
          <w:sz w:val="18"/>
          <w:vertAlign w:val="baseline"/>
        </w:rPr>
        <w:t>a</w:t>
      </w:r>
    </w:p>
    <w:p>
      <w:pPr>
        <w:spacing w:line="249" w:lineRule="auto" w:before="9"/>
        <w:ind w:left="760" w:right="837" w:firstLine="0"/>
        <w:jc w:val="left"/>
        <w:rPr>
          <w:sz w:val="18"/>
        </w:rPr>
      </w:pPr>
      <w:r>
        <w:rPr>
          <w:spacing w:val="-2"/>
          <w:w w:val="105"/>
          <w:sz w:val="18"/>
        </w:rPr>
        <w:t>$98.4</w:t>
      </w:r>
      <w:r>
        <w:rPr>
          <w:spacing w:val="-3"/>
          <w:w w:val="105"/>
          <w:sz w:val="18"/>
        </w:rPr>
        <w:t> </w:t>
      </w:r>
      <w:r>
        <w:rPr>
          <w:spacing w:val="-2"/>
          <w:w w:val="105"/>
          <w:sz w:val="18"/>
        </w:rPr>
        <w:t>million</w:t>
      </w:r>
      <w:r>
        <w:rPr>
          <w:spacing w:val="-3"/>
          <w:w w:val="105"/>
          <w:sz w:val="18"/>
        </w:rPr>
        <w:t> </w:t>
      </w:r>
      <w:r>
        <w:rPr>
          <w:spacing w:val="-2"/>
          <w:w w:val="105"/>
          <w:sz w:val="18"/>
        </w:rPr>
        <w:t>preferential</w:t>
      </w:r>
      <w:r>
        <w:rPr>
          <w:spacing w:val="-3"/>
          <w:w w:val="105"/>
          <w:sz w:val="18"/>
        </w:rPr>
        <w:t> </w:t>
      </w:r>
      <w:r>
        <w:rPr>
          <w:spacing w:val="-2"/>
          <w:w w:val="105"/>
          <w:sz w:val="18"/>
        </w:rPr>
        <w:t>buyer’s</w:t>
      </w:r>
      <w:r>
        <w:rPr>
          <w:spacing w:val="-3"/>
          <w:w w:val="105"/>
          <w:sz w:val="18"/>
        </w:rPr>
        <w:t> </w:t>
      </w:r>
      <w:r>
        <w:rPr>
          <w:spacing w:val="-2"/>
          <w:w w:val="105"/>
          <w:sz w:val="18"/>
        </w:rPr>
        <w:t>credit</w:t>
      </w:r>
      <w:r>
        <w:rPr>
          <w:spacing w:val="-3"/>
          <w:w w:val="105"/>
          <w:sz w:val="18"/>
        </w:rPr>
        <w:t> </w:t>
      </w:r>
      <w:r>
        <w:rPr>
          <w:spacing w:val="-2"/>
          <w:w w:val="105"/>
          <w:sz w:val="18"/>
        </w:rPr>
        <w:t>(PBC)</w:t>
      </w:r>
      <w:r>
        <w:rPr>
          <w:spacing w:val="-3"/>
          <w:w w:val="105"/>
          <w:sz w:val="18"/>
        </w:rPr>
        <w:t> </w:t>
      </w:r>
      <w:r>
        <w:rPr>
          <w:spacing w:val="-2"/>
          <w:w w:val="105"/>
          <w:sz w:val="18"/>
        </w:rPr>
        <w:t>agreement</w:t>
      </w:r>
      <w:r>
        <w:rPr>
          <w:spacing w:val="-3"/>
          <w:w w:val="105"/>
          <w:sz w:val="18"/>
        </w:rPr>
        <w:t> </w:t>
      </w:r>
      <w:r>
        <w:rPr>
          <w:spacing w:val="-2"/>
          <w:w w:val="105"/>
          <w:sz w:val="18"/>
        </w:rPr>
        <w:t>for</w:t>
      </w:r>
      <w:r>
        <w:rPr>
          <w:spacing w:val="-3"/>
          <w:w w:val="105"/>
          <w:sz w:val="18"/>
        </w:rPr>
        <w:t> </w:t>
      </w:r>
      <w:r>
        <w:rPr>
          <w:spacing w:val="-2"/>
          <w:w w:val="105"/>
          <w:sz w:val="18"/>
        </w:rPr>
        <w:t>the</w:t>
      </w:r>
      <w:r>
        <w:rPr>
          <w:spacing w:val="-3"/>
          <w:w w:val="105"/>
          <w:sz w:val="18"/>
        </w:rPr>
        <w:t> </w:t>
      </w:r>
      <w:r>
        <w:rPr>
          <w:spacing w:val="-2"/>
          <w:w w:val="105"/>
          <w:sz w:val="18"/>
        </w:rPr>
        <w:t>Suriname</w:t>
      </w:r>
      <w:r>
        <w:rPr>
          <w:spacing w:val="-3"/>
          <w:w w:val="105"/>
          <w:sz w:val="18"/>
        </w:rPr>
        <w:t> </w:t>
      </w:r>
      <w:r>
        <w:rPr>
          <w:spacing w:val="-2"/>
          <w:w w:val="105"/>
          <w:sz w:val="18"/>
        </w:rPr>
        <w:t>National</w:t>
      </w:r>
      <w:r>
        <w:rPr>
          <w:spacing w:val="-3"/>
          <w:w w:val="105"/>
          <w:sz w:val="18"/>
        </w:rPr>
        <w:t> </w:t>
      </w:r>
      <w:r>
        <w:rPr>
          <w:spacing w:val="-2"/>
          <w:w w:val="105"/>
          <w:sz w:val="18"/>
        </w:rPr>
        <w:t>Broadband</w:t>
      </w:r>
      <w:r>
        <w:rPr>
          <w:spacing w:val="-3"/>
          <w:w w:val="105"/>
          <w:sz w:val="18"/>
        </w:rPr>
        <w:t> </w:t>
      </w:r>
      <w:r>
        <w:rPr>
          <w:spacing w:val="-2"/>
          <w:w w:val="105"/>
          <w:sz w:val="18"/>
        </w:rPr>
        <w:t>Network </w:t>
      </w:r>
      <w:r>
        <w:rPr>
          <w:w w:val="105"/>
          <w:sz w:val="18"/>
        </w:rPr>
        <w:t>Project.</w:t>
      </w:r>
      <w:r>
        <w:rPr>
          <w:spacing w:val="-13"/>
          <w:w w:val="105"/>
          <w:sz w:val="18"/>
        </w:rPr>
        <w:t> </w:t>
      </w:r>
      <w:r>
        <w:rPr>
          <w:w w:val="105"/>
          <w:sz w:val="18"/>
        </w:rPr>
        <w:t>The</w:t>
      </w:r>
      <w:r>
        <w:rPr>
          <w:spacing w:val="-13"/>
          <w:w w:val="105"/>
          <w:sz w:val="18"/>
        </w:rPr>
        <w:t> </w:t>
      </w:r>
      <w:r>
        <w:rPr>
          <w:w w:val="105"/>
          <w:sz w:val="18"/>
        </w:rPr>
        <w:t>loan</w:t>
      </w:r>
      <w:r>
        <w:rPr>
          <w:spacing w:val="-13"/>
          <w:w w:val="105"/>
          <w:sz w:val="18"/>
        </w:rPr>
        <w:t> </w:t>
      </w:r>
      <w:r>
        <w:rPr>
          <w:w w:val="105"/>
          <w:sz w:val="18"/>
        </w:rPr>
        <w:t>ofﬁcially</w:t>
      </w:r>
      <w:r>
        <w:rPr>
          <w:spacing w:val="-13"/>
          <w:w w:val="105"/>
          <w:sz w:val="18"/>
        </w:rPr>
        <w:t> </w:t>
      </w:r>
      <w:r>
        <w:rPr>
          <w:w w:val="105"/>
          <w:sz w:val="18"/>
        </w:rPr>
        <w:t>went</w:t>
      </w:r>
      <w:r>
        <w:rPr>
          <w:spacing w:val="-13"/>
          <w:w w:val="105"/>
          <w:sz w:val="18"/>
        </w:rPr>
        <w:t> </w:t>
      </w:r>
      <w:r>
        <w:rPr>
          <w:w w:val="105"/>
          <w:sz w:val="18"/>
        </w:rPr>
        <w:t>into</w:t>
      </w:r>
      <w:r>
        <w:rPr>
          <w:spacing w:val="-13"/>
          <w:w w:val="105"/>
          <w:sz w:val="18"/>
        </w:rPr>
        <w:t> </w:t>
      </w:r>
      <w:r>
        <w:rPr>
          <w:w w:val="105"/>
          <w:sz w:val="18"/>
        </w:rPr>
        <w:t>effect</w:t>
      </w:r>
      <w:r>
        <w:rPr>
          <w:spacing w:val="-13"/>
          <w:w w:val="105"/>
          <w:sz w:val="18"/>
        </w:rPr>
        <w:t> </w:t>
      </w:r>
      <w:r>
        <w:rPr>
          <w:w w:val="105"/>
          <w:sz w:val="18"/>
        </w:rPr>
        <w:t>in</w:t>
      </w:r>
      <w:r>
        <w:rPr>
          <w:spacing w:val="-13"/>
          <w:w w:val="105"/>
          <w:sz w:val="18"/>
        </w:rPr>
        <w:t> </w:t>
      </w:r>
      <w:r>
        <w:rPr>
          <w:w w:val="105"/>
          <w:sz w:val="18"/>
        </w:rPr>
        <w:t>November</w:t>
      </w:r>
      <w:r>
        <w:rPr>
          <w:spacing w:val="-13"/>
          <w:w w:val="105"/>
          <w:sz w:val="18"/>
        </w:rPr>
        <w:t> </w:t>
      </w:r>
      <w:r>
        <w:rPr>
          <w:w w:val="105"/>
          <w:sz w:val="18"/>
        </w:rPr>
        <w:t>2017</w:t>
      </w:r>
      <w:r>
        <w:rPr>
          <w:spacing w:val="-13"/>
          <w:w w:val="105"/>
          <w:sz w:val="18"/>
        </w:rPr>
        <w:t> </w:t>
      </w:r>
      <w:r>
        <w:rPr>
          <w:w w:val="105"/>
          <w:sz w:val="18"/>
        </w:rPr>
        <w:t>after</w:t>
      </w:r>
      <w:r>
        <w:rPr>
          <w:spacing w:val="-13"/>
          <w:w w:val="105"/>
          <w:sz w:val="18"/>
        </w:rPr>
        <w:t> </w:t>
      </w:r>
      <w:r>
        <w:rPr>
          <w:w w:val="105"/>
          <w:sz w:val="18"/>
        </w:rPr>
        <w:t>several</w:t>
      </w:r>
      <w:r>
        <w:rPr>
          <w:spacing w:val="-13"/>
          <w:w w:val="105"/>
          <w:sz w:val="18"/>
        </w:rPr>
        <w:t> </w:t>
      </w:r>
      <w:r>
        <w:rPr>
          <w:w w:val="105"/>
          <w:sz w:val="18"/>
        </w:rPr>
        <w:t>preconditions</w:t>
      </w:r>
      <w:r>
        <w:rPr>
          <w:spacing w:val="-13"/>
          <w:w w:val="105"/>
          <w:sz w:val="18"/>
        </w:rPr>
        <w:t> </w:t>
      </w:r>
      <w:r>
        <w:rPr>
          <w:w w:val="105"/>
          <w:sz w:val="18"/>
        </w:rPr>
        <w:t>(so-called “conditions</w:t>
      </w:r>
      <w:r>
        <w:rPr>
          <w:spacing w:val="-11"/>
          <w:w w:val="105"/>
          <w:sz w:val="18"/>
        </w:rPr>
        <w:t> </w:t>
      </w:r>
      <w:r>
        <w:rPr>
          <w:w w:val="105"/>
          <w:sz w:val="18"/>
        </w:rPr>
        <w:t>precedent”)</w:t>
      </w:r>
      <w:r>
        <w:rPr>
          <w:spacing w:val="-11"/>
          <w:w w:val="105"/>
          <w:sz w:val="18"/>
        </w:rPr>
        <w:t> </w:t>
      </w:r>
      <w:r>
        <w:rPr>
          <w:w w:val="105"/>
          <w:sz w:val="18"/>
        </w:rPr>
        <w:t>were</w:t>
      </w:r>
      <w:r>
        <w:rPr>
          <w:spacing w:val="-11"/>
          <w:w w:val="105"/>
          <w:sz w:val="18"/>
        </w:rPr>
        <w:t> </w:t>
      </w:r>
      <w:r>
        <w:rPr>
          <w:w w:val="105"/>
          <w:sz w:val="18"/>
        </w:rPr>
        <w:t>met</w:t>
      </w:r>
      <w:r>
        <w:rPr>
          <w:spacing w:val="-11"/>
          <w:w w:val="105"/>
          <w:sz w:val="18"/>
        </w:rPr>
        <w:t> </w:t>
      </w:r>
      <w:r>
        <w:rPr>
          <w:w w:val="105"/>
          <w:sz w:val="18"/>
        </w:rPr>
        <w:t>by</w:t>
      </w:r>
      <w:r>
        <w:rPr>
          <w:spacing w:val="-11"/>
          <w:w w:val="105"/>
          <w:sz w:val="18"/>
        </w:rPr>
        <w:t> </w:t>
      </w:r>
      <w:r>
        <w:rPr>
          <w:w w:val="105"/>
          <w:sz w:val="18"/>
        </w:rPr>
        <w:t>the</w:t>
      </w:r>
      <w:r>
        <w:rPr>
          <w:spacing w:val="-11"/>
          <w:w w:val="105"/>
          <w:sz w:val="18"/>
        </w:rPr>
        <w:t> </w:t>
      </w:r>
      <w:r>
        <w:rPr>
          <w:w w:val="105"/>
          <w:sz w:val="18"/>
        </w:rPr>
        <w:t>borrower,</w:t>
      </w:r>
      <w:r>
        <w:rPr>
          <w:spacing w:val="-11"/>
          <w:w w:val="105"/>
          <w:sz w:val="18"/>
        </w:rPr>
        <w:t> </w:t>
      </w:r>
      <w:r>
        <w:rPr>
          <w:w w:val="105"/>
          <w:sz w:val="18"/>
        </w:rPr>
        <w:t>including</w:t>
      </w:r>
      <w:r>
        <w:rPr>
          <w:spacing w:val="-11"/>
          <w:w w:val="105"/>
          <w:sz w:val="18"/>
        </w:rPr>
        <w:t> </w:t>
      </w:r>
      <w:r>
        <w:rPr>
          <w:w w:val="105"/>
          <w:sz w:val="18"/>
        </w:rPr>
        <w:t>but</w:t>
      </w:r>
      <w:r>
        <w:rPr>
          <w:spacing w:val="-11"/>
          <w:w w:val="105"/>
          <w:sz w:val="18"/>
        </w:rPr>
        <w:t> </w:t>
      </w:r>
      <w:r>
        <w:rPr>
          <w:w w:val="105"/>
          <w:sz w:val="18"/>
        </w:rPr>
        <w:t>not</w:t>
      </w:r>
      <w:r>
        <w:rPr>
          <w:spacing w:val="-11"/>
          <w:w w:val="105"/>
          <w:sz w:val="18"/>
        </w:rPr>
        <w:t> </w:t>
      </w:r>
      <w:r>
        <w:rPr>
          <w:w w:val="105"/>
          <w:sz w:val="18"/>
        </w:rPr>
        <w:t>limited</w:t>
      </w:r>
      <w:r>
        <w:rPr>
          <w:spacing w:val="-11"/>
          <w:w w:val="105"/>
          <w:sz w:val="18"/>
        </w:rPr>
        <w:t> </w:t>
      </w:r>
      <w:r>
        <w:rPr>
          <w:w w:val="105"/>
          <w:sz w:val="18"/>
        </w:rPr>
        <w:t>to</w:t>
      </w:r>
      <w:r>
        <w:rPr>
          <w:spacing w:val="-11"/>
          <w:w w:val="105"/>
          <w:sz w:val="18"/>
        </w:rPr>
        <w:t> </w:t>
      </w:r>
      <w:r>
        <w:rPr>
          <w:w w:val="105"/>
          <w:sz w:val="18"/>
        </w:rPr>
        <w:t>the</w:t>
      </w:r>
      <w:r>
        <w:rPr>
          <w:spacing w:val="-11"/>
          <w:w w:val="105"/>
          <w:sz w:val="18"/>
        </w:rPr>
        <w:t> </w:t>
      </w:r>
      <w:r>
        <w:rPr>
          <w:w w:val="105"/>
          <w:sz w:val="18"/>
        </w:rPr>
        <w:t>signing</w:t>
      </w:r>
      <w:r>
        <w:rPr>
          <w:spacing w:val="-11"/>
          <w:w w:val="105"/>
          <w:sz w:val="18"/>
        </w:rPr>
        <w:t> </w:t>
      </w:r>
      <w:r>
        <w:rPr>
          <w:w w:val="105"/>
          <w:sz w:val="18"/>
        </w:rPr>
        <w:t>of</w:t>
      </w:r>
      <w:r>
        <w:rPr>
          <w:spacing w:val="-11"/>
          <w:w w:val="105"/>
          <w:sz w:val="18"/>
        </w:rPr>
        <w:t> </w:t>
      </w:r>
      <w:r>
        <w:rPr>
          <w:w w:val="105"/>
          <w:sz w:val="18"/>
        </w:rPr>
        <w:t>a</w:t>
      </w:r>
      <w:r>
        <w:rPr>
          <w:spacing w:val="-11"/>
          <w:w w:val="105"/>
          <w:sz w:val="18"/>
        </w:rPr>
        <w:t> </w:t>
      </w:r>
      <w:r>
        <w:rPr>
          <w:w w:val="105"/>
          <w:sz w:val="18"/>
        </w:rPr>
        <w:t>repayment </w:t>
      </w:r>
      <w:r>
        <w:rPr>
          <w:sz w:val="18"/>
        </w:rPr>
        <w:t>mechanism (escrow account) agreement. The loan carries the following borrowing terms: a 15-year maturity, a 5-year grace period, a 3% interest rate, a 0.4% management fee, and a 0.4% commitment fee. </w:t>
      </w:r>
      <w:r>
        <w:rPr>
          <w:w w:val="105"/>
          <w:sz w:val="18"/>
        </w:rPr>
        <w:t>The</w:t>
      </w:r>
      <w:r>
        <w:rPr>
          <w:spacing w:val="-12"/>
          <w:w w:val="105"/>
          <w:sz w:val="18"/>
        </w:rPr>
        <w:t> </w:t>
      </w:r>
      <w:r>
        <w:rPr>
          <w:w w:val="105"/>
          <w:sz w:val="18"/>
        </w:rPr>
        <w:t>Government</w:t>
      </w:r>
      <w:r>
        <w:rPr>
          <w:spacing w:val="-12"/>
          <w:w w:val="105"/>
          <w:sz w:val="18"/>
        </w:rPr>
        <w:t> </w:t>
      </w:r>
      <w:r>
        <w:rPr>
          <w:w w:val="105"/>
          <w:sz w:val="18"/>
        </w:rPr>
        <w:t>of</w:t>
      </w:r>
      <w:r>
        <w:rPr>
          <w:spacing w:val="-12"/>
          <w:w w:val="105"/>
          <w:sz w:val="18"/>
        </w:rPr>
        <w:t> </w:t>
      </w:r>
      <w:r>
        <w:rPr>
          <w:w w:val="105"/>
          <w:sz w:val="18"/>
        </w:rPr>
        <w:t>Suriname</w:t>
      </w:r>
      <w:r>
        <w:rPr>
          <w:spacing w:val="-12"/>
          <w:w w:val="105"/>
          <w:sz w:val="18"/>
        </w:rPr>
        <w:t> </w:t>
      </w:r>
      <w:r>
        <w:rPr>
          <w:w w:val="105"/>
          <w:sz w:val="18"/>
        </w:rPr>
        <w:t>on-lent</w:t>
      </w:r>
      <w:r>
        <w:rPr>
          <w:spacing w:val="-12"/>
          <w:w w:val="105"/>
          <w:sz w:val="18"/>
        </w:rPr>
        <w:t> </w:t>
      </w:r>
      <w:r>
        <w:rPr>
          <w:w w:val="105"/>
          <w:sz w:val="18"/>
        </w:rPr>
        <w:t>the</w:t>
      </w:r>
      <w:r>
        <w:rPr>
          <w:spacing w:val="-12"/>
          <w:w w:val="105"/>
          <w:sz w:val="18"/>
        </w:rPr>
        <w:t> </w:t>
      </w:r>
      <w:r>
        <w:rPr>
          <w:w w:val="105"/>
          <w:sz w:val="18"/>
        </w:rPr>
        <w:t>proceeds</w:t>
      </w:r>
      <w:r>
        <w:rPr>
          <w:spacing w:val="-12"/>
          <w:w w:val="105"/>
          <w:sz w:val="18"/>
        </w:rPr>
        <w:t> </w:t>
      </w:r>
      <w:r>
        <w:rPr>
          <w:w w:val="105"/>
          <w:sz w:val="18"/>
        </w:rPr>
        <w:t>of</w:t>
      </w:r>
      <w:r>
        <w:rPr>
          <w:spacing w:val="-12"/>
          <w:w w:val="105"/>
          <w:sz w:val="18"/>
        </w:rPr>
        <w:t> </w:t>
      </w:r>
      <w:r>
        <w:rPr>
          <w:w w:val="105"/>
          <w:sz w:val="18"/>
        </w:rPr>
        <w:t>the</w:t>
      </w:r>
      <w:r>
        <w:rPr>
          <w:spacing w:val="-12"/>
          <w:w w:val="105"/>
          <w:sz w:val="18"/>
        </w:rPr>
        <w:t> </w:t>
      </w:r>
      <w:r>
        <w:rPr>
          <w:w w:val="105"/>
          <w:sz w:val="18"/>
        </w:rPr>
        <w:t>loan</w:t>
      </w:r>
      <w:r>
        <w:rPr>
          <w:spacing w:val="-12"/>
          <w:w w:val="105"/>
          <w:sz w:val="18"/>
        </w:rPr>
        <w:t> </w:t>
      </w:r>
      <w:r>
        <w:rPr>
          <w:w w:val="105"/>
          <w:sz w:val="18"/>
        </w:rPr>
        <w:t>to</w:t>
      </w:r>
      <w:r>
        <w:rPr>
          <w:spacing w:val="-12"/>
          <w:w w:val="105"/>
          <w:sz w:val="18"/>
        </w:rPr>
        <w:t> </w:t>
      </w:r>
      <w:r>
        <w:rPr>
          <w:w w:val="105"/>
          <w:sz w:val="18"/>
        </w:rPr>
        <w:t>Telesur</w:t>
      </w:r>
      <w:r>
        <w:rPr>
          <w:spacing w:val="-12"/>
          <w:w w:val="105"/>
          <w:sz w:val="18"/>
        </w:rPr>
        <w:t> </w:t>
      </w:r>
      <w:r>
        <w:rPr>
          <w:w w:val="105"/>
          <w:sz w:val="18"/>
        </w:rPr>
        <w:t>on</w:t>
      </w:r>
      <w:r>
        <w:rPr>
          <w:spacing w:val="-12"/>
          <w:w w:val="105"/>
          <w:sz w:val="18"/>
        </w:rPr>
        <w:t> </w:t>
      </w:r>
      <w:r>
        <w:rPr>
          <w:w w:val="105"/>
          <w:sz w:val="18"/>
        </w:rPr>
        <w:t>May</w:t>
      </w:r>
      <w:r>
        <w:rPr>
          <w:spacing w:val="-12"/>
          <w:w w:val="105"/>
          <w:sz w:val="18"/>
        </w:rPr>
        <w:t> </w:t>
      </w:r>
      <w:r>
        <w:rPr>
          <w:w w:val="105"/>
          <w:sz w:val="18"/>
        </w:rPr>
        <w:t>12,</w:t>
      </w:r>
      <w:r>
        <w:rPr>
          <w:spacing w:val="-12"/>
          <w:w w:val="105"/>
          <w:sz w:val="18"/>
        </w:rPr>
        <w:t> </w:t>
      </w:r>
      <w:r>
        <w:rPr>
          <w:w w:val="105"/>
          <w:sz w:val="18"/>
        </w:rPr>
        <w:t>2017.</w:t>
      </w:r>
      <w:r>
        <w:rPr>
          <w:spacing w:val="-12"/>
          <w:w w:val="105"/>
          <w:sz w:val="18"/>
        </w:rPr>
        <w:t> </w:t>
      </w:r>
      <w:r>
        <w:rPr>
          <w:w w:val="105"/>
          <w:sz w:val="18"/>
        </w:rPr>
        <w:t>For</w:t>
      </w:r>
      <w:r>
        <w:rPr>
          <w:spacing w:val="-12"/>
          <w:w w:val="105"/>
          <w:sz w:val="18"/>
        </w:rPr>
        <w:t> </w:t>
      </w:r>
      <w:r>
        <w:rPr>
          <w:w w:val="105"/>
          <w:sz w:val="18"/>
        </w:rPr>
        <w:t>more details,</w:t>
      </w:r>
      <w:r>
        <w:rPr>
          <w:spacing w:val="-12"/>
          <w:w w:val="105"/>
          <w:sz w:val="18"/>
        </w:rPr>
        <w:t> </w:t>
      </w:r>
      <w:r>
        <w:rPr>
          <w:w w:val="105"/>
          <w:sz w:val="18"/>
        </w:rPr>
        <w:t>see</w:t>
      </w:r>
      <w:r>
        <w:rPr>
          <w:spacing w:val="-12"/>
          <w:w w:val="105"/>
          <w:sz w:val="18"/>
        </w:rPr>
        <w:t> </w:t>
      </w:r>
      <w:r>
        <w:rPr>
          <w:w w:val="105"/>
          <w:sz w:val="18"/>
        </w:rPr>
        <w:t>ID#55437</w:t>
      </w:r>
      <w:r>
        <w:rPr>
          <w:spacing w:val="-12"/>
          <w:w w:val="105"/>
          <w:sz w:val="18"/>
        </w:rPr>
        <w:t> </w:t>
      </w:r>
      <w:r>
        <w:rPr>
          <w:w w:val="105"/>
          <w:sz w:val="18"/>
        </w:rPr>
        <w:t>in</w:t>
      </w:r>
      <w:r>
        <w:rPr>
          <w:spacing w:val="-12"/>
          <w:w w:val="105"/>
          <w:sz w:val="18"/>
        </w:rPr>
        <w:t> </w:t>
      </w:r>
      <w:r>
        <w:rPr>
          <w:w w:val="105"/>
          <w:sz w:val="18"/>
        </w:rPr>
        <w:t>the</w:t>
      </w:r>
      <w:r>
        <w:rPr>
          <w:spacing w:val="-12"/>
          <w:w w:val="105"/>
          <w:sz w:val="18"/>
        </w:rPr>
        <w:t> </w:t>
      </w:r>
      <w:r>
        <w:rPr>
          <w:w w:val="105"/>
          <w:sz w:val="18"/>
        </w:rPr>
        <w:t>3.0</w:t>
      </w:r>
      <w:r>
        <w:rPr>
          <w:spacing w:val="-12"/>
          <w:w w:val="105"/>
          <w:sz w:val="18"/>
        </w:rPr>
        <w:t> </w:t>
      </w:r>
      <w:r>
        <w:rPr>
          <w:w w:val="105"/>
          <w:sz w:val="18"/>
        </w:rPr>
        <w:t>version</w:t>
      </w:r>
      <w:r>
        <w:rPr>
          <w:spacing w:val="-12"/>
          <w:w w:val="105"/>
          <w:sz w:val="18"/>
        </w:rPr>
        <w:t> </w:t>
      </w:r>
      <w:r>
        <w:rPr>
          <w:w w:val="105"/>
          <w:sz w:val="18"/>
        </w:rPr>
        <w:t>of</w:t>
      </w:r>
      <w:r>
        <w:rPr>
          <w:spacing w:val="-12"/>
          <w:w w:val="105"/>
          <w:sz w:val="18"/>
        </w:rPr>
        <w:t> </w:t>
      </w:r>
      <w:r>
        <w:rPr>
          <w:w w:val="105"/>
          <w:sz w:val="18"/>
        </w:rPr>
        <w:t>AidData’s</w:t>
      </w:r>
      <w:r>
        <w:rPr>
          <w:spacing w:val="-12"/>
          <w:w w:val="105"/>
          <w:sz w:val="18"/>
        </w:rPr>
        <w:t> </w:t>
      </w:r>
      <w:r>
        <w:rPr>
          <w:w w:val="105"/>
          <w:sz w:val="18"/>
        </w:rPr>
        <w:t>GCDF</w:t>
      </w:r>
      <w:r>
        <w:rPr>
          <w:spacing w:val="-12"/>
          <w:w w:val="105"/>
          <w:sz w:val="18"/>
        </w:rPr>
        <w:t> </w:t>
      </w:r>
      <w:r>
        <w:rPr>
          <w:w w:val="105"/>
          <w:sz w:val="18"/>
        </w:rPr>
        <w:t>dataset.</w:t>
      </w:r>
    </w:p>
    <w:p>
      <w:pPr>
        <w:spacing w:after="0" w:line="249" w:lineRule="auto"/>
        <w:jc w:val="left"/>
        <w:rPr>
          <w:sz w:val="18"/>
        </w:rPr>
        <w:sectPr>
          <w:pgSz w:w="12240" w:h="15840"/>
          <w:pgMar w:header="0" w:footer="720" w:top="1360" w:bottom="920" w:left="1040" w:right="1040"/>
        </w:sectPr>
      </w:pPr>
    </w:p>
    <w:p>
      <w:pPr>
        <w:pStyle w:val="BodyText"/>
        <w:spacing w:line="333" w:lineRule="auto" w:before="27"/>
        <w:ind w:left="760" w:right="795"/>
      </w:pPr>
      <w:r>
        <w:rPr/>
        <w:t>Project. The lender responded by immediately withdrawing $1.47 million (the monetary value of one semi-annual interest payment) from the repayment reserve account in order to cover the cost of the missed interest payment. It also instructed a local Surinamese escrow account bank (FinaBank N.V) to immediately</w:t>
      </w:r>
      <w:r>
        <w:rPr>
          <w:spacing w:val="-14"/>
        </w:rPr>
        <w:t> </w:t>
      </w:r>
      <w:r>
        <w:rPr/>
        <w:t>(a)</w:t>
      </w:r>
      <w:r>
        <w:rPr>
          <w:spacing w:val="-14"/>
        </w:rPr>
        <w:t> </w:t>
      </w:r>
      <w:r>
        <w:rPr/>
        <w:t>block</w:t>
      </w:r>
      <w:r>
        <w:rPr>
          <w:spacing w:val="-14"/>
        </w:rPr>
        <w:t> </w:t>
      </w:r>
      <w:r>
        <w:rPr/>
        <w:t>Telesur’s</w:t>
      </w:r>
      <w:r>
        <w:rPr>
          <w:spacing w:val="-14"/>
        </w:rPr>
        <w:t> </w:t>
      </w:r>
      <w:r>
        <w:rPr/>
        <w:t>access</w:t>
      </w:r>
      <w:r>
        <w:rPr>
          <w:spacing w:val="-14"/>
        </w:rPr>
        <w:t> </w:t>
      </w:r>
      <w:r>
        <w:rPr/>
        <w:t>to</w:t>
      </w:r>
      <w:r>
        <w:rPr>
          <w:spacing w:val="-14"/>
        </w:rPr>
        <w:t> </w:t>
      </w:r>
      <w:r>
        <w:rPr/>
        <w:t>the</w:t>
      </w:r>
      <w:r>
        <w:rPr>
          <w:spacing w:val="-14"/>
        </w:rPr>
        <w:t> </w:t>
      </w:r>
      <w:r>
        <w:rPr/>
        <w:t>local</w:t>
      </w:r>
      <w:r>
        <w:rPr>
          <w:spacing w:val="-14"/>
        </w:rPr>
        <w:t> </w:t>
      </w:r>
      <w:r>
        <w:rPr/>
        <w:t>currency</w:t>
      </w:r>
      <w:r>
        <w:rPr>
          <w:spacing w:val="-14"/>
        </w:rPr>
        <w:t> </w:t>
      </w:r>
      <w:r>
        <w:rPr/>
        <w:t>revenue</w:t>
      </w:r>
      <w:r>
        <w:rPr>
          <w:spacing w:val="-14"/>
        </w:rPr>
        <w:t> </w:t>
      </w:r>
      <w:r>
        <w:rPr/>
        <w:t>account,</w:t>
      </w:r>
      <w:r>
        <w:rPr>
          <w:spacing w:val="-14"/>
        </w:rPr>
        <w:t> </w:t>
      </w:r>
      <w:r>
        <w:rPr/>
        <w:t>and</w:t>
      </w:r>
    </w:p>
    <w:p>
      <w:pPr>
        <w:pStyle w:val="BodyText"/>
        <w:spacing w:line="333" w:lineRule="auto"/>
        <w:ind w:left="760" w:right="838"/>
      </w:pPr>
      <w:r>
        <w:rPr/>
        <w:t>(b) replenish the repayment reserve account with funds in the revenue account.</w:t>
      </w:r>
      <w:r>
        <w:rPr>
          <w:vertAlign w:val="superscript"/>
        </w:rPr>
        <w:t>1</w:t>
      </w:r>
      <w:r>
        <w:rPr>
          <w:vertAlign w:val="superscript"/>
        </w:rPr>
        <w:t>6</w:t>
      </w:r>
      <w:r>
        <w:rPr>
          <w:vertAlign w:val="superscript"/>
        </w:rPr>
        <w:t>4</w:t>
      </w:r>
      <w:r>
        <w:rPr>
          <w:vertAlign w:val="baseline"/>
        </w:rPr>
        <w:t> These actions proved consequential for domestic and international reasons. The decision to deny the state-owned telecommunications company access to at least 50% of its organizational funding instigated questions among local stakeholders about why a foreign lender possessed such extraordinary authority. The revelation that China Eximbank paid itself by executing a cash sweep out of an offshore, lender-controlled escrow account also proved controversial</w:t>
      </w:r>
      <w:r>
        <w:rPr>
          <w:spacing w:val="-2"/>
          <w:vertAlign w:val="baseline"/>
        </w:rPr>
        <w:t> </w:t>
      </w:r>
      <w:r>
        <w:rPr>
          <w:vertAlign w:val="baseline"/>
        </w:rPr>
        <w:t>because</w:t>
      </w:r>
      <w:r>
        <w:rPr>
          <w:spacing w:val="-2"/>
          <w:vertAlign w:val="baseline"/>
        </w:rPr>
        <w:t> </w:t>
      </w:r>
      <w:r>
        <w:rPr>
          <w:vertAlign w:val="baseline"/>
        </w:rPr>
        <w:t>the</w:t>
      </w:r>
      <w:r>
        <w:rPr>
          <w:spacing w:val="-2"/>
          <w:vertAlign w:val="baseline"/>
        </w:rPr>
        <w:t> </w:t>
      </w:r>
      <w:r>
        <w:rPr>
          <w:vertAlign w:val="baseline"/>
        </w:rPr>
        <w:t>Government</w:t>
      </w:r>
      <w:r>
        <w:rPr>
          <w:spacing w:val="-2"/>
          <w:vertAlign w:val="baseline"/>
        </w:rPr>
        <w:t> </w:t>
      </w:r>
      <w:r>
        <w:rPr>
          <w:vertAlign w:val="baseline"/>
        </w:rPr>
        <w:t>of</w:t>
      </w:r>
      <w:r>
        <w:rPr>
          <w:spacing w:val="-2"/>
          <w:vertAlign w:val="baseline"/>
        </w:rPr>
        <w:t> </w:t>
      </w:r>
      <w:r>
        <w:rPr>
          <w:vertAlign w:val="baseline"/>
        </w:rPr>
        <w:t>Suriname</w:t>
      </w:r>
      <w:r>
        <w:rPr>
          <w:spacing w:val="-2"/>
          <w:vertAlign w:val="baseline"/>
        </w:rPr>
        <w:t> </w:t>
      </w:r>
      <w:r>
        <w:rPr>
          <w:vertAlign w:val="baseline"/>
        </w:rPr>
        <w:t>was</w:t>
      </w:r>
      <w:r>
        <w:rPr>
          <w:spacing w:val="-2"/>
          <w:vertAlign w:val="baseline"/>
        </w:rPr>
        <w:t> </w:t>
      </w:r>
      <w:r>
        <w:rPr>
          <w:vertAlign w:val="baseline"/>
        </w:rPr>
        <w:t>pursuing</w:t>
      </w:r>
      <w:r>
        <w:rPr>
          <w:spacing w:val="-2"/>
          <w:vertAlign w:val="baseline"/>
        </w:rPr>
        <w:t> </w:t>
      </w:r>
      <w:r>
        <w:rPr>
          <w:vertAlign w:val="baseline"/>
        </w:rPr>
        <w:t>a</w:t>
      </w:r>
      <w:r>
        <w:rPr>
          <w:spacing w:val="-2"/>
          <w:vertAlign w:val="baseline"/>
        </w:rPr>
        <w:t> </w:t>
      </w:r>
      <w:r>
        <w:rPr>
          <w:vertAlign w:val="baseline"/>
        </w:rPr>
        <w:t>coordinated</w:t>
      </w:r>
      <w:r>
        <w:rPr>
          <w:vertAlign w:val="baseline"/>
        </w:rPr>
        <w:t> debt rescheduling with all of its major external creditors at the time, many of whom were unaware that China Eximbank had recourse to ring-fenced foreign currency reserves (and under the impression that the Government of Suriname was cash-strapped and unable to make loan repayments to any external </w:t>
      </w:r>
      <w:r>
        <w:rPr>
          <w:spacing w:val="-2"/>
          <w:vertAlign w:val="baseline"/>
        </w:rPr>
        <w:t>creditors).</w:t>
      </w:r>
      <w:r>
        <w:rPr>
          <w:spacing w:val="-2"/>
          <w:vertAlign w:val="superscript"/>
        </w:rPr>
        <w:t>1</w:t>
      </w:r>
      <w:r>
        <w:rPr>
          <w:spacing w:val="-2"/>
          <w:vertAlign w:val="superscript"/>
        </w:rPr>
        <w:t>6</w:t>
      </w:r>
      <w:r>
        <w:rPr>
          <w:spacing w:val="-2"/>
          <w:vertAlign w:val="superscript"/>
        </w:rPr>
        <w:t>5</w:t>
      </w:r>
    </w:p>
    <w:p>
      <w:pPr>
        <w:pStyle w:val="BodyText"/>
        <w:spacing w:before="11"/>
        <w:rPr>
          <w:sz w:val="26"/>
        </w:rPr>
      </w:pPr>
    </w:p>
    <w:p>
      <w:pPr>
        <w:pStyle w:val="BodyText"/>
        <w:spacing w:line="333" w:lineRule="auto"/>
        <w:ind w:left="760" w:right="796"/>
      </w:pPr>
      <w:r>
        <w:rPr/>
        <w:t>Most of these cash sweeps are done in secret. These are exceptionally difﬁcult</w:t>
      </w:r>
      <w:r>
        <w:rPr>
          <w:spacing w:val="40"/>
        </w:rPr>
        <w:t> </w:t>
      </w:r>
      <w:r>
        <w:rPr/>
        <w:t>to monitor because the lender is debiting cash from an escrow account that is typically domiciled outside of the borrower country or inside the borrower</w:t>
      </w:r>
      <w:r>
        <w:rPr>
          <w:spacing w:val="80"/>
          <w:w w:val="150"/>
        </w:rPr>
        <w:t> </w:t>
      </w:r>
      <w:r>
        <w:rPr/>
        <w:t>country</w:t>
      </w:r>
      <w:r>
        <w:rPr>
          <w:spacing w:val="36"/>
        </w:rPr>
        <w:t> </w:t>
      </w:r>
      <w:r>
        <w:rPr/>
        <w:t>but</w:t>
      </w:r>
      <w:r>
        <w:rPr>
          <w:spacing w:val="36"/>
        </w:rPr>
        <w:t> </w:t>
      </w:r>
      <w:r>
        <w:rPr/>
        <w:t>beyond</w:t>
      </w:r>
      <w:r>
        <w:rPr>
          <w:spacing w:val="36"/>
        </w:rPr>
        <w:t> </w:t>
      </w:r>
      <w:r>
        <w:rPr/>
        <w:t>the</w:t>
      </w:r>
      <w:r>
        <w:rPr>
          <w:spacing w:val="36"/>
        </w:rPr>
        <w:t> </w:t>
      </w:r>
      <w:r>
        <w:rPr/>
        <w:t>immediate</w:t>
      </w:r>
      <w:r>
        <w:rPr>
          <w:spacing w:val="36"/>
        </w:rPr>
        <w:t> </w:t>
      </w:r>
      <w:r>
        <w:rPr/>
        <w:t>reach</w:t>
      </w:r>
      <w:r>
        <w:rPr>
          <w:spacing w:val="36"/>
        </w:rPr>
        <w:t> </w:t>
      </w:r>
      <w:r>
        <w:rPr/>
        <w:t>of</w:t>
      </w:r>
      <w:r>
        <w:rPr>
          <w:spacing w:val="36"/>
        </w:rPr>
        <w:t> </w:t>
      </w:r>
      <w:r>
        <w:rPr/>
        <w:t>domestic</w:t>
      </w:r>
      <w:r>
        <w:rPr>
          <w:spacing w:val="36"/>
        </w:rPr>
        <w:t> </w:t>
      </w:r>
      <w:r>
        <w:rPr/>
        <w:t>oversight</w:t>
      </w:r>
      <w:r>
        <w:rPr>
          <w:spacing w:val="40"/>
        </w:rPr>
        <w:t> </w:t>
      </w:r>
      <w:r>
        <w:rPr/>
        <w:t>institutions—such as the auditor general and the public accounts committee within parliament.</w:t>
      </w:r>
      <w:r>
        <w:rPr>
          <w:vertAlign w:val="superscript"/>
        </w:rPr>
        <w:t>166</w:t>
      </w:r>
      <w:r>
        <w:rPr>
          <w:vertAlign w:val="baseline"/>
        </w:rPr>
        <w:t> Also, the legal agreements that grant Chinese lenders the</w:t>
      </w:r>
      <w:r>
        <w:rPr>
          <w:spacing w:val="40"/>
          <w:vertAlign w:val="baseline"/>
        </w:rPr>
        <w:t> </w:t>
      </w:r>
      <w:r>
        <w:rPr>
          <w:vertAlign w:val="baseline"/>
        </w:rPr>
        <w:t>authority to conduct these cash sweeps effectively represent “side </w:t>
      </w:r>
      <w:r>
        <w:rPr>
          <w:vertAlign w:val="baseline"/>
        </w:rPr>
        <w:t>agreements.”</w:t>
      </w:r>
    </w:p>
    <w:p>
      <w:pPr>
        <w:pStyle w:val="BodyText"/>
        <w:spacing w:before="8"/>
        <w:rPr>
          <w:sz w:val="4"/>
        </w:rPr>
      </w:pPr>
      <w:r>
        <w:rPr/>
        <w:pict>
          <v:shape style="position:absolute;margin-left:90pt;margin-top:3.91543pt;width:144pt;height:.1pt;mso-position-horizontal-relative:page;mso-position-vertical-relative:paragraph;z-index:-15695360;mso-wrap-distance-left:0;mso-wrap-distance-right:0" id="docshape61" coordorigin="1800,78" coordsize="2880,0" path="m1800,78l4680,78e" filled="false" stroked="true" strokeweight=".75pt" strokecolor="#000000">
            <v:path arrowok="t"/>
            <v:stroke dashstyle="solid"/>
            <w10:wrap type="topAndBottom"/>
          </v:shape>
        </w:pict>
      </w:r>
    </w:p>
    <w:p>
      <w:pPr>
        <w:spacing w:line="249" w:lineRule="auto" w:before="110"/>
        <w:ind w:left="760" w:right="838" w:firstLine="0"/>
        <w:jc w:val="left"/>
        <w:rPr>
          <w:sz w:val="18"/>
        </w:rPr>
      </w:pPr>
      <w:r>
        <w:rPr>
          <w:sz w:val="18"/>
          <w:vertAlign w:val="superscript"/>
        </w:rPr>
        <w:t>164</w:t>
      </w:r>
      <w:r>
        <w:rPr>
          <w:sz w:val="18"/>
          <w:vertAlign w:val="baseline"/>
        </w:rPr>
        <w:t> Under the original escrow account arrangement that was ﬁnalized in 2017, Telesur was required to deposit at least 50% of its funding (including broadband user revenues from the National Broadband Network Project) in the local currency-denominated revenue account. See ID#55437 in the 3.0 version </w:t>
      </w:r>
      <w:r>
        <w:rPr>
          <w:sz w:val="18"/>
          <w:vertAlign w:val="baseline"/>
        </w:rPr>
        <w:t>of AidData’s GCDF dataset.</w:t>
      </w:r>
    </w:p>
    <w:p>
      <w:pPr>
        <w:spacing w:line="249" w:lineRule="auto" w:before="3"/>
        <w:ind w:left="760" w:right="825" w:firstLine="0"/>
        <w:jc w:val="left"/>
        <w:rPr>
          <w:sz w:val="18"/>
        </w:rPr>
      </w:pPr>
      <w:r>
        <w:rPr>
          <w:sz w:val="18"/>
          <w:vertAlign w:val="superscript"/>
        </w:rPr>
        <w:t>165</w:t>
      </w:r>
      <w:r>
        <w:rPr>
          <w:sz w:val="18"/>
          <w:vertAlign w:val="baseline"/>
        </w:rPr>
        <w:t> In March 2022, the IMF reported that the February 2022 “[p]ayment from the repayment reserve </w:t>
      </w:r>
      <w:r>
        <w:rPr>
          <w:sz w:val="18"/>
          <w:vertAlign w:val="baseline"/>
        </w:rPr>
        <w:t>account for the Telesur loan will be reﬂected in the eventual debt restructuring with [China Eximbank] to ensure</w:t>
      </w:r>
      <w:r>
        <w:rPr>
          <w:spacing w:val="80"/>
          <w:sz w:val="18"/>
          <w:vertAlign w:val="baseline"/>
        </w:rPr>
        <w:t> </w:t>
      </w:r>
      <w:r>
        <w:rPr>
          <w:sz w:val="18"/>
          <w:vertAlign w:val="baseline"/>
        </w:rPr>
        <w:t>there is comparability of treatment with other ofﬁcial creditors” (IMF 2022).</w:t>
      </w:r>
    </w:p>
    <w:p>
      <w:pPr>
        <w:spacing w:line="249" w:lineRule="auto" w:before="2"/>
        <w:ind w:left="760" w:right="794" w:firstLine="0"/>
        <w:jc w:val="left"/>
        <w:rPr>
          <w:sz w:val="18"/>
        </w:rPr>
      </w:pPr>
      <w:r>
        <w:rPr>
          <w:sz w:val="18"/>
          <w:vertAlign w:val="superscript"/>
        </w:rPr>
        <w:t>166</w:t>
      </w:r>
      <w:r>
        <w:rPr>
          <w:sz w:val="18"/>
          <w:vertAlign w:val="baseline"/>
        </w:rPr>
        <w:t> In most sovereign debt transactions, ﬁnance ministries are the borrower country counterparts to escrow account agreements with Chinese creditors. These agreements typically impose expansive conﬁdentiality obligations on borrowers (ﬁnance ministries). By way of illustration, the escrow account agreement for the China</w:t>
      </w:r>
      <w:r>
        <w:rPr>
          <w:spacing w:val="-6"/>
          <w:sz w:val="18"/>
          <w:vertAlign w:val="baseline"/>
        </w:rPr>
        <w:t> </w:t>
      </w:r>
      <w:r>
        <w:rPr>
          <w:sz w:val="18"/>
          <w:vertAlign w:val="baseline"/>
        </w:rPr>
        <w:t>Eximbank</w:t>
      </w:r>
      <w:r>
        <w:rPr>
          <w:spacing w:val="-6"/>
          <w:sz w:val="18"/>
          <w:vertAlign w:val="baseline"/>
        </w:rPr>
        <w:t> </w:t>
      </w:r>
      <w:r>
        <w:rPr>
          <w:sz w:val="18"/>
          <w:vertAlign w:val="baseline"/>
        </w:rPr>
        <w:t>loan</w:t>
      </w:r>
      <w:r>
        <w:rPr>
          <w:spacing w:val="-6"/>
          <w:sz w:val="18"/>
          <w:vertAlign w:val="baseline"/>
        </w:rPr>
        <w:t> </w:t>
      </w:r>
      <w:r>
        <w:rPr>
          <w:sz w:val="18"/>
          <w:vertAlign w:val="baseline"/>
        </w:rPr>
        <w:t>captured</w:t>
      </w:r>
      <w:r>
        <w:rPr>
          <w:spacing w:val="-6"/>
          <w:sz w:val="18"/>
          <w:vertAlign w:val="baseline"/>
        </w:rPr>
        <w:t> </w:t>
      </w:r>
      <w:r>
        <w:rPr>
          <w:sz w:val="18"/>
          <w:vertAlign w:val="baseline"/>
        </w:rPr>
        <w:t>in</w:t>
      </w:r>
      <w:r>
        <w:rPr>
          <w:spacing w:val="-6"/>
          <w:sz w:val="18"/>
          <w:vertAlign w:val="baseline"/>
        </w:rPr>
        <w:t> </w:t>
      </w:r>
      <w:r>
        <w:rPr>
          <w:sz w:val="18"/>
          <w:vertAlign w:val="baseline"/>
        </w:rPr>
        <w:t>Project</w:t>
      </w:r>
      <w:r>
        <w:rPr>
          <w:spacing w:val="-6"/>
          <w:sz w:val="18"/>
          <w:vertAlign w:val="baseline"/>
        </w:rPr>
        <w:t> </w:t>
      </w:r>
      <w:r>
        <w:rPr>
          <w:sz w:val="18"/>
          <w:vertAlign w:val="baseline"/>
        </w:rPr>
        <w:t>ID#59753</w:t>
      </w:r>
      <w:r>
        <w:rPr>
          <w:spacing w:val="-6"/>
          <w:sz w:val="18"/>
          <w:vertAlign w:val="baseline"/>
        </w:rPr>
        <w:t> </w:t>
      </w:r>
      <w:r>
        <w:rPr>
          <w:sz w:val="18"/>
          <w:vertAlign w:val="baseline"/>
        </w:rPr>
        <w:t>of</w:t>
      </w:r>
      <w:r>
        <w:rPr>
          <w:spacing w:val="-6"/>
          <w:sz w:val="18"/>
          <w:vertAlign w:val="baseline"/>
        </w:rPr>
        <w:t> </w:t>
      </w:r>
      <w:r>
        <w:rPr>
          <w:sz w:val="18"/>
          <w:vertAlign w:val="baseline"/>
        </w:rPr>
        <w:t>AidData’s</w:t>
      </w:r>
      <w:r>
        <w:rPr>
          <w:spacing w:val="-6"/>
          <w:sz w:val="18"/>
          <w:vertAlign w:val="baseline"/>
        </w:rPr>
        <w:t> </w:t>
      </w:r>
      <w:r>
        <w:rPr>
          <w:sz w:val="18"/>
          <w:vertAlign w:val="baseline"/>
        </w:rPr>
        <w:t>GCDF</w:t>
      </w:r>
      <w:r>
        <w:rPr>
          <w:spacing w:val="-6"/>
          <w:sz w:val="18"/>
          <w:vertAlign w:val="baseline"/>
        </w:rPr>
        <w:t> </w:t>
      </w:r>
      <w:r>
        <w:rPr>
          <w:sz w:val="18"/>
          <w:vertAlign w:val="baseline"/>
        </w:rPr>
        <w:t>dataset</w:t>
      </w:r>
      <w:r>
        <w:rPr>
          <w:spacing w:val="-6"/>
          <w:sz w:val="18"/>
          <w:vertAlign w:val="baseline"/>
        </w:rPr>
        <w:t> </w:t>
      </w:r>
      <w:r>
        <w:rPr>
          <w:sz w:val="18"/>
          <w:vertAlign w:val="baseline"/>
        </w:rPr>
        <w:t>(Version</w:t>
      </w:r>
      <w:r>
        <w:rPr>
          <w:spacing w:val="-6"/>
          <w:sz w:val="18"/>
          <w:vertAlign w:val="baseline"/>
        </w:rPr>
        <w:t> </w:t>
      </w:r>
      <w:r>
        <w:rPr>
          <w:sz w:val="18"/>
          <w:vertAlign w:val="baseline"/>
        </w:rPr>
        <w:t>3.0)</w:t>
      </w:r>
      <w:r>
        <w:rPr>
          <w:spacing w:val="-6"/>
          <w:sz w:val="18"/>
          <w:vertAlign w:val="baseline"/>
        </w:rPr>
        <w:t> </w:t>
      </w:r>
      <w:r>
        <w:rPr>
          <w:sz w:val="18"/>
          <w:vertAlign w:val="baseline"/>
        </w:rPr>
        <w:t>says</w:t>
      </w:r>
      <w:r>
        <w:rPr>
          <w:spacing w:val="-6"/>
          <w:sz w:val="18"/>
          <w:vertAlign w:val="baseline"/>
        </w:rPr>
        <w:t> </w:t>
      </w:r>
      <w:r>
        <w:rPr>
          <w:sz w:val="18"/>
          <w:vertAlign w:val="baseline"/>
        </w:rPr>
        <w:t>that</w:t>
      </w:r>
      <w:r>
        <w:rPr>
          <w:spacing w:val="-6"/>
          <w:sz w:val="18"/>
          <w:vertAlign w:val="baseline"/>
        </w:rPr>
        <w:t> </w:t>
      </w:r>
      <w:r>
        <w:rPr>
          <w:sz w:val="18"/>
          <w:vertAlign w:val="baseline"/>
        </w:rPr>
        <w:t>“[t]he </w:t>
      </w:r>
      <w:r>
        <w:rPr>
          <w:spacing w:val="-2"/>
          <w:w w:val="105"/>
          <w:sz w:val="18"/>
          <w:vertAlign w:val="baseline"/>
        </w:rPr>
        <w:t>obligation</w:t>
      </w:r>
      <w:r>
        <w:rPr>
          <w:spacing w:val="-3"/>
          <w:w w:val="105"/>
          <w:sz w:val="18"/>
          <w:vertAlign w:val="baseline"/>
        </w:rPr>
        <w:t> </w:t>
      </w:r>
      <w:r>
        <w:rPr>
          <w:spacing w:val="-2"/>
          <w:w w:val="105"/>
          <w:sz w:val="18"/>
          <w:vertAlign w:val="baseline"/>
        </w:rPr>
        <w:t>of</w:t>
      </w:r>
      <w:r>
        <w:rPr>
          <w:spacing w:val="-3"/>
          <w:w w:val="105"/>
          <w:sz w:val="18"/>
          <w:vertAlign w:val="baseline"/>
        </w:rPr>
        <w:t> </w:t>
      </w:r>
      <w:r>
        <w:rPr>
          <w:spacing w:val="-2"/>
          <w:w w:val="105"/>
          <w:sz w:val="18"/>
          <w:vertAlign w:val="baseline"/>
        </w:rPr>
        <w:t>conﬁdentiality</w:t>
      </w:r>
      <w:r>
        <w:rPr>
          <w:spacing w:val="-3"/>
          <w:w w:val="105"/>
          <w:sz w:val="18"/>
          <w:vertAlign w:val="baseline"/>
        </w:rPr>
        <w:t> </w:t>
      </w:r>
      <w:r>
        <w:rPr>
          <w:spacing w:val="-2"/>
          <w:w w:val="105"/>
          <w:sz w:val="18"/>
          <w:vertAlign w:val="baseline"/>
        </w:rPr>
        <w:t>shall</w:t>
      </w:r>
      <w:r>
        <w:rPr>
          <w:spacing w:val="-3"/>
          <w:w w:val="105"/>
          <w:sz w:val="18"/>
          <w:vertAlign w:val="baseline"/>
        </w:rPr>
        <w:t> </w:t>
      </w:r>
      <w:r>
        <w:rPr>
          <w:spacing w:val="-2"/>
          <w:w w:val="105"/>
          <w:sz w:val="18"/>
          <w:vertAlign w:val="baseline"/>
        </w:rPr>
        <w:t>endure</w:t>
      </w:r>
      <w:r>
        <w:rPr>
          <w:spacing w:val="-3"/>
          <w:w w:val="105"/>
          <w:sz w:val="18"/>
          <w:vertAlign w:val="baseline"/>
        </w:rPr>
        <w:t> </w:t>
      </w:r>
      <w:r>
        <w:rPr>
          <w:spacing w:val="-2"/>
          <w:w w:val="105"/>
          <w:sz w:val="18"/>
          <w:vertAlign w:val="baseline"/>
        </w:rPr>
        <w:t>in</w:t>
      </w:r>
      <w:r>
        <w:rPr>
          <w:spacing w:val="-3"/>
          <w:w w:val="105"/>
          <w:sz w:val="18"/>
          <w:vertAlign w:val="baseline"/>
        </w:rPr>
        <w:t> </w:t>
      </w:r>
      <w:r>
        <w:rPr>
          <w:spacing w:val="-2"/>
          <w:w w:val="105"/>
          <w:sz w:val="18"/>
          <w:vertAlign w:val="baseline"/>
        </w:rPr>
        <w:t>perpetuity.</w:t>
      </w:r>
      <w:r>
        <w:rPr>
          <w:spacing w:val="-3"/>
          <w:w w:val="105"/>
          <w:sz w:val="18"/>
          <w:vertAlign w:val="baseline"/>
        </w:rPr>
        <w:t> </w:t>
      </w:r>
      <w:r>
        <w:rPr>
          <w:spacing w:val="-2"/>
          <w:w w:val="105"/>
          <w:sz w:val="18"/>
          <w:vertAlign w:val="baseline"/>
        </w:rPr>
        <w:t>[…]</w:t>
      </w:r>
      <w:r>
        <w:rPr>
          <w:spacing w:val="-3"/>
          <w:w w:val="105"/>
          <w:sz w:val="18"/>
          <w:vertAlign w:val="baseline"/>
        </w:rPr>
        <w:t> </w:t>
      </w:r>
      <w:r>
        <w:rPr>
          <w:spacing w:val="-2"/>
          <w:w w:val="105"/>
          <w:sz w:val="18"/>
          <w:vertAlign w:val="baseline"/>
        </w:rPr>
        <w:t>The</w:t>
      </w:r>
      <w:r>
        <w:rPr>
          <w:spacing w:val="-3"/>
          <w:w w:val="105"/>
          <w:sz w:val="18"/>
          <w:vertAlign w:val="baseline"/>
        </w:rPr>
        <w:t> </w:t>
      </w:r>
      <w:r>
        <w:rPr>
          <w:spacing w:val="-2"/>
          <w:w w:val="105"/>
          <w:sz w:val="18"/>
          <w:vertAlign w:val="baseline"/>
        </w:rPr>
        <w:t>Parties</w:t>
      </w:r>
      <w:r>
        <w:rPr>
          <w:spacing w:val="-3"/>
          <w:w w:val="105"/>
          <w:sz w:val="18"/>
          <w:vertAlign w:val="baseline"/>
        </w:rPr>
        <w:t> </w:t>
      </w:r>
      <w:r>
        <w:rPr>
          <w:spacing w:val="-2"/>
          <w:w w:val="105"/>
          <w:sz w:val="18"/>
          <w:vertAlign w:val="baseline"/>
        </w:rPr>
        <w:t>[to</w:t>
      </w:r>
      <w:r>
        <w:rPr>
          <w:spacing w:val="-3"/>
          <w:w w:val="105"/>
          <w:sz w:val="18"/>
          <w:vertAlign w:val="baseline"/>
        </w:rPr>
        <w:t> </w:t>
      </w:r>
      <w:r>
        <w:rPr>
          <w:spacing w:val="-2"/>
          <w:w w:val="105"/>
          <w:sz w:val="18"/>
          <w:vertAlign w:val="baseline"/>
        </w:rPr>
        <w:t>the</w:t>
      </w:r>
      <w:r>
        <w:rPr>
          <w:spacing w:val="-3"/>
          <w:w w:val="105"/>
          <w:sz w:val="18"/>
          <w:vertAlign w:val="baseline"/>
        </w:rPr>
        <w:t> </w:t>
      </w:r>
      <w:r>
        <w:rPr>
          <w:spacing w:val="-2"/>
          <w:w w:val="105"/>
          <w:sz w:val="18"/>
          <w:vertAlign w:val="baseline"/>
        </w:rPr>
        <w:t>escrow</w:t>
      </w:r>
      <w:r>
        <w:rPr>
          <w:spacing w:val="-3"/>
          <w:w w:val="105"/>
          <w:sz w:val="18"/>
          <w:vertAlign w:val="baseline"/>
        </w:rPr>
        <w:t> </w:t>
      </w:r>
      <w:r>
        <w:rPr>
          <w:spacing w:val="-2"/>
          <w:w w:val="105"/>
          <w:sz w:val="18"/>
          <w:vertAlign w:val="baseline"/>
        </w:rPr>
        <w:t>account</w:t>
      </w:r>
      <w:r>
        <w:rPr>
          <w:spacing w:val="-3"/>
          <w:w w:val="105"/>
          <w:sz w:val="18"/>
          <w:vertAlign w:val="baseline"/>
        </w:rPr>
        <w:t> </w:t>
      </w:r>
      <w:r>
        <w:rPr>
          <w:spacing w:val="-2"/>
          <w:w w:val="105"/>
          <w:sz w:val="18"/>
          <w:vertAlign w:val="baseline"/>
        </w:rPr>
        <w:t>agreement] </w:t>
      </w:r>
      <w:r>
        <w:rPr>
          <w:w w:val="105"/>
          <w:sz w:val="18"/>
          <w:vertAlign w:val="baseline"/>
        </w:rPr>
        <w:t>shall</w:t>
      </w:r>
      <w:r>
        <w:rPr>
          <w:spacing w:val="-10"/>
          <w:w w:val="105"/>
          <w:sz w:val="18"/>
          <w:vertAlign w:val="baseline"/>
        </w:rPr>
        <w:t> </w:t>
      </w:r>
      <w:r>
        <w:rPr>
          <w:w w:val="105"/>
          <w:sz w:val="18"/>
          <w:vertAlign w:val="baseline"/>
        </w:rPr>
        <w:t>not</w:t>
      </w:r>
      <w:r>
        <w:rPr>
          <w:spacing w:val="-10"/>
          <w:w w:val="105"/>
          <w:sz w:val="18"/>
          <w:vertAlign w:val="baseline"/>
        </w:rPr>
        <w:t> </w:t>
      </w:r>
      <w:r>
        <w:rPr>
          <w:w w:val="105"/>
          <w:sz w:val="18"/>
          <w:vertAlign w:val="baseline"/>
        </w:rPr>
        <w:t>at</w:t>
      </w:r>
      <w:r>
        <w:rPr>
          <w:spacing w:val="-10"/>
          <w:w w:val="105"/>
          <w:sz w:val="18"/>
          <w:vertAlign w:val="baseline"/>
        </w:rPr>
        <w:t> </w:t>
      </w:r>
      <w:r>
        <w:rPr>
          <w:w w:val="105"/>
          <w:sz w:val="18"/>
          <w:vertAlign w:val="baseline"/>
        </w:rPr>
        <w:t>any</w:t>
      </w:r>
      <w:r>
        <w:rPr>
          <w:spacing w:val="-10"/>
          <w:w w:val="105"/>
          <w:sz w:val="18"/>
          <w:vertAlign w:val="baseline"/>
        </w:rPr>
        <w:t> </w:t>
      </w:r>
      <w:r>
        <w:rPr>
          <w:w w:val="105"/>
          <w:sz w:val="18"/>
          <w:vertAlign w:val="baseline"/>
        </w:rPr>
        <w:t>time</w:t>
      </w:r>
      <w:r>
        <w:rPr>
          <w:spacing w:val="-10"/>
          <w:w w:val="105"/>
          <w:sz w:val="18"/>
          <w:vertAlign w:val="baseline"/>
        </w:rPr>
        <w:t> </w:t>
      </w:r>
      <w:r>
        <w:rPr>
          <w:w w:val="105"/>
          <w:sz w:val="18"/>
          <w:vertAlign w:val="baseline"/>
        </w:rPr>
        <w:t>during</w:t>
      </w:r>
      <w:r>
        <w:rPr>
          <w:spacing w:val="-10"/>
          <w:w w:val="105"/>
          <w:sz w:val="18"/>
          <w:vertAlign w:val="baseline"/>
        </w:rPr>
        <w:t> </w:t>
      </w:r>
      <w:r>
        <w:rPr>
          <w:w w:val="105"/>
          <w:sz w:val="18"/>
          <w:vertAlign w:val="baseline"/>
        </w:rPr>
        <w:t>the</w:t>
      </w:r>
      <w:r>
        <w:rPr>
          <w:spacing w:val="-10"/>
          <w:w w:val="105"/>
          <w:sz w:val="18"/>
          <w:vertAlign w:val="baseline"/>
        </w:rPr>
        <w:t> </w:t>
      </w:r>
      <w:r>
        <w:rPr>
          <w:w w:val="105"/>
          <w:sz w:val="18"/>
          <w:vertAlign w:val="baseline"/>
        </w:rPr>
        <w:t>terms</w:t>
      </w:r>
      <w:r>
        <w:rPr>
          <w:spacing w:val="-10"/>
          <w:w w:val="105"/>
          <w:sz w:val="18"/>
          <w:vertAlign w:val="baseline"/>
        </w:rPr>
        <w:t> </w:t>
      </w:r>
      <w:r>
        <w:rPr>
          <w:w w:val="105"/>
          <w:sz w:val="18"/>
          <w:vertAlign w:val="baseline"/>
        </w:rPr>
        <w:t>of</w:t>
      </w:r>
      <w:r>
        <w:rPr>
          <w:spacing w:val="-10"/>
          <w:w w:val="105"/>
          <w:sz w:val="18"/>
          <w:vertAlign w:val="baseline"/>
        </w:rPr>
        <w:t> </w:t>
      </w:r>
      <w:r>
        <w:rPr>
          <w:w w:val="105"/>
          <w:sz w:val="18"/>
          <w:vertAlign w:val="baseline"/>
        </w:rPr>
        <w:t>this</w:t>
      </w:r>
      <w:r>
        <w:rPr>
          <w:spacing w:val="-10"/>
          <w:w w:val="105"/>
          <w:sz w:val="18"/>
          <w:vertAlign w:val="baseline"/>
        </w:rPr>
        <w:t> </w:t>
      </w:r>
      <w:r>
        <w:rPr>
          <w:w w:val="105"/>
          <w:sz w:val="18"/>
          <w:vertAlign w:val="baseline"/>
        </w:rPr>
        <w:t>Deed</w:t>
      </w:r>
      <w:r>
        <w:rPr>
          <w:spacing w:val="-10"/>
          <w:w w:val="105"/>
          <w:sz w:val="18"/>
          <w:vertAlign w:val="baseline"/>
        </w:rPr>
        <w:t> </w:t>
      </w:r>
      <w:r>
        <w:rPr>
          <w:w w:val="105"/>
          <w:sz w:val="18"/>
          <w:vertAlign w:val="baseline"/>
        </w:rPr>
        <w:t>release</w:t>
      </w:r>
      <w:r>
        <w:rPr>
          <w:spacing w:val="-10"/>
          <w:w w:val="105"/>
          <w:sz w:val="18"/>
          <w:vertAlign w:val="baseline"/>
        </w:rPr>
        <w:t> </w:t>
      </w:r>
      <w:r>
        <w:rPr>
          <w:w w:val="105"/>
          <w:sz w:val="18"/>
          <w:vertAlign w:val="baseline"/>
        </w:rPr>
        <w:t>any</w:t>
      </w:r>
      <w:r>
        <w:rPr>
          <w:spacing w:val="-10"/>
          <w:w w:val="105"/>
          <w:sz w:val="18"/>
          <w:vertAlign w:val="baseline"/>
        </w:rPr>
        <w:t> </w:t>
      </w:r>
      <w:r>
        <w:rPr>
          <w:w w:val="105"/>
          <w:sz w:val="18"/>
          <w:vertAlign w:val="baseline"/>
        </w:rPr>
        <w:t>statement</w:t>
      </w:r>
      <w:r>
        <w:rPr>
          <w:spacing w:val="-10"/>
          <w:w w:val="105"/>
          <w:sz w:val="18"/>
          <w:vertAlign w:val="baseline"/>
        </w:rPr>
        <w:t> </w:t>
      </w:r>
      <w:r>
        <w:rPr>
          <w:w w:val="105"/>
          <w:sz w:val="18"/>
          <w:vertAlign w:val="baseline"/>
        </w:rPr>
        <w:t>to</w:t>
      </w:r>
      <w:r>
        <w:rPr>
          <w:spacing w:val="-10"/>
          <w:w w:val="105"/>
          <w:sz w:val="18"/>
          <w:vertAlign w:val="baseline"/>
        </w:rPr>
        <w:t> </w:t>
      </w:r>
      <w:r>
        <w:rPr>
          <w:w w:val="105"/>
          <w:sz w:val="18"/>
          <w:vertAlign w:val="baseline"/>
        </w:rPr>
        <w:t>the</w:t>
      </w:r>
      <w:r>
        <w:rPr>
          <w:spacing w:val="-10"/>
          <w:w w:val="105"/>
          <w:sz w:val="18"/>
          <w:vertAlign w:val="baseline"/>
        </w:rPr>
        <w:t> </w:t>
      </w:r>
      <w:r>
        <w:rPr>
          <w:w w:val="105"/>
          <w:sz w:val="18"/>
          <w:vertAlign w:val="baseline"/>
        </w:rPr>
        <w:t>press</w:t>
      </w:r>
      <w:r>
        <w:rPr>
          <w:spacing w:val="-10"/>
          <w:w w:val="105"/>
          <w:sz w:val="18"/>
          <w:vertAlign w:val="baseline"/>
        </w:rPr>
        <w:t> </w:t>
      </w:r>
      <w:r>
        <w:rPr>
          <w:w w:val="105"/>
          <w:sz w:val="18"/>
          <w:vertAlign w:val="baseline"/>
        </w:rPr>
        <w:t>or</w:t>
      </w:r>
      <w:r>
        <w:rPr>
          <w:spacing w:val="-10"/>
          <w:w w:val="105"/>
          <w:sz w:val="18"/>
          <w:vertAlign w:val="baseline"/>
        </w:rPr>
        <w:t> </w:t>
      </w:r>
      <w:r>
        <w:rPr>
          <w:w w:val="105"/>
          <w:sz w:val="18"/>
          <w:vertAlign w:val="baseline"/>
        </w:rPr>
        <w:t>make</w:t>
      </w:r>
      <w:r>
        <w:rPr>
          <w:spacing w:val="-10"/>
          <w:w w:val="105"/>
          <w:sz w:val="18"/>
          <w:vertAlign w:val="baseline"/>
        </w:rPr>
        <w:t> </w:t>
      </w:r>
      <w:r>
        <w:rPr>
          <w:w w:val="105"/>
          <w:sz w:val="18"/>
          <w:vertAlign w:val="baseline"/>
        </w:rPr>
        <w:t>any</w:t>
      </w:r>
      <w:r>
        <w:rPr>
          <w:spacing w:val="-10"/>
          <w:w w:val="105"/>
          <w:sz w:val="18"/>
          <w:vertAlign w:val="baseline"/>
        </w:rPr>
        <w:t> </w:t>
      </w:r>
      <w:r>
        <w:rPr>
          <w:w w:val="105"/>
          <w:sz w:val="18"/>
          <w:vertAlign w:val="baseline"/>
        </w:rPr>
        <w:t>other public</w:t>
      </w:r>
      <w:r>
        <w:rPr>
          <w:spacing w:val="-7"/>
          <w:w w:val="105"/>
          <w:sz w:val="18"/>
          <w:vertAlign w:val="baseline"/>
        </w:rPr>
        <w:t> </w:t>
      </w:r>
      <w:r>
        <w:rPr>
          <w:w w:val="105"/>
          <w:sz w:val="18"/>
          <w:vertAlign w:val="baseline"/>
        </w:rPr>
        <w:t>statement</w:t>
      </w:r>
      <w:r>
        <w:rPr>
          <w:spacing w:val="-7"/>
          <w:w w:val="105"/>
          <w:sz w:val="18"/>
          <w:vertAlign w:val="baseline"/>
        </w:rPr>
        <w:t> </w:t>
      </w:r>
      <w:r>
        <w:rPr>
          <w:w w:val="105"/>
          <w:sz w:val="18"/>
          <w:vertAlign w:val="baseline"/>
        </w:rPr>
        <w:t>of</w:t>
      </w:r>
      <w:r>
        <w:rPr>
          <w:spacing w:val="-7"/>
          <w:w w:val="105"/>
          <w:sz w:val="18"/>
          <w:vertAlign w:val="baseline"/>
        </w:rPr>
        <w:t> </w:t>
      </w:r>
      <w:r>
        <w:rPr>
          <w:w w:val="105"/>
          <w:sz w:val="18"/>
          <w:vertAlign w:val="baseline"/>
        </w:rPr>
        <w:t>any</w:t>
      </w:r>
      <w:r>
        <w:rPr>
          <w:spacing w:val="-7"/>
          <w:w w:val="105"/>
          <w:sz w:val="18"/>
          <w:vertAlign w:val="baseline"/>
        </w:rPr>
        <w:t> </w:t>
      </w:r>
      <w:r>
        <w:rPr>
          <w:w w:val="105"/>
          <w:sz w:val="18"/>
          <w:vertAlign w:val="baseline"/>
        </w:rPr>
        <w:t>nature</w:t>
      </w:r>
      <w:r>
        <w:rPr>
          <w:spacing w:val="-7"/>
          <w:w w:val="105"/>
          <w:sz w:val="18"/>
          <w:vertAlign w:val="baseline"/>
        </w:rPr>
        <w:t> </w:t>
      </w:r>
      <w:r>
        <w:rPr>
          <w:w w:val="105"/>
          <w:sz w:val="18"/>
          <w:vertAlign w:val="baseline"/>
        </w:rPr>
        <w:t>which</w:t>
      </w:r>
      <w:r>
        <w:rPr>
          <w:spacing w:val="-7"/>
          <w:w w:val="105"/>
          <w:sz w:val="18"/>
          <w:vertAlign w:val="baseline"/>
        </w:rPr>
        <w:t> </w:t>
      </w:r>
      <w:r>
        <w:rPr>
          <w:w w:val="105"/>
          <w:sz w:val="18"/>
          <w:vertAlign w:val="baseline"/>
        </w:rPr>
        <w:t>could</w:t>
      </w:r>
      <w:r>
        <w:rPr>
          <w:spacing w:val="-7"/>
          <w:w w:val="105"/>
          <w:sz w:val="18"/>
          <w:vertAlign w:val="baseline"/>
        </w:rPr>
        <w:t> </w:t>
      </w:r>
      <w:r>
        <w:rPr>
          <w:w w:val="105"/>
          <w:sz w:val="18"/>
          <w:vertAlign w:val="baseline"/>
        </w:rPr>
        <w:t>reasonably</w:t>
      </w:r>
      <w:r>
        <w:rPr>
          <w:spacing w:val="-7"/>
          <w:w w:val="105"/>
          <w:sz w:val="18"/>
          <w:vertAlign w:val="baseline"/>
        </w:rPr>
        <w:t> </w:t>
      </w:r>
      <w:r>
        <w:rPr>
          <w:w w:val="105"/>
          <w:sz w:val="18"/>
          <w:vertAlign w:val="baseline"/>
        </w:rPr>
        <w:t>be</w:t>
      </w:r>
      <w:r>
        <w:rPr>
          <w:spacing w:val="-7"/>
          <w:w w:val="105"/>
          <w:sz w:val="18"/>
          <w:vertAlign w:val="baseline"/>
        </w:rPr>
        <w:t> </w:t>
      </w:r>
      <w:r>
        <w:rPr>
          <w:w w:val="105"/>
          <w:sz w:val="18"/>
          <w:vertAlign w:val="baseline"/>
        </w:rPr>
        <w:t>expected</w:t>
      </w:r>
      <w:r>
        <w:rPr>
          <w:spacing w:val="-7"/>
          <w:w w:val="105"/>
          <w:sz w:val="18"/>
          <w:vertAlign w:val="baseline"/>
        </w:rPr>
        <w:t> </w:t>
      </w:r>
      <w:r>
        <w:rPr>
          <w:w w:val="105"/>
          <w:sz w:val="18"/>
          <w:vertAlign w:val="baseline"/>
        </w:rPr>
        <w:t>to</w:t>
      </w:r>
      <w:r>
        <w:rPr>
          <w:spacing w:val="-7"/>
          <w:w w:val="105"/>
          <w:sz w:val="18"/>
          <w:vertAlign w:val="baseline"/>
        </w:rPr>
        <w:t> </w:t>
      </w:r>
      <w:r>
        <w:rPr>
          <w:w w:val="105"/>
          <w:sz w:val="18"/>
          <w:vertAlign w:val="baseline"/>
        </w:rPr>
        <w:t>be</w:t>
      </w:r>
      <w:r>
        <w:rPr>
          <w:spacing w:val="-7"/>
          <w:w w:val="105"/>
          <w:sz w:val="18"/>
          <w:vertAlign w:val="baseline"/>
        </w:rPr>
        <w:t> </w:t>
      </w:r>
      <w:r>
        <w:rPr>
          <w:w w:val="105"/>
          <w:sz w:val="18"/>
          <w:vertAlign w:val="baseline"/>
        </w:rPr>
        <w:t>published</w:t>
      </w:r>
      <w:r>
        <w:rPr>
          <w:spacing w:val="-7"/>
          <w:w w:val="105"/>
          <w:sz w:val="18"/>
          <w:vertAlign w:val="baseline"/>
        </w:rPr>
        <w:t> </w:t>
      </w:r>
      <w:r>
        <w:rPr>
          <w:w w:val="105"/>
          <w:sz w:val="18"/>
          <w:vertAlign w:val="baseline"/>
        </w:rPr>
        <w:t>in</w:t>
      </w:r>
      <w:r>
        <w:rPr>
          <w:spacing w:val="-7"/>
          <w:w w:val="105"/>
          <w:sz w:val="18"/>
          <w:vertAlign w:val="baseline"/>
        </w:rPr>
        <w:t> </w:t>
      </w:r>
      <w:r>
        <w:rPr>
          <w:w w:val="105"/>
          <w:sz w:val="18"/>
          <w:vertAlign w:val="baseline"/>
        </w:rPr>
        <w:t>any</w:t>
      </w:r>
      <w:r>
        <w:rPr>
          <w:spacing w:val="-7"/>
          <w:w w:val="105"/>
          <w:sz w:val="18"/>
          <w:vertAlign w:val="baseline"/>
        </w:rPr>
        <w:t> </w:t>
      </w:r>
      <w:r>
        <w:rPr>
          <w:w w:val="105"/>
          <w:sz w:val="18"/>
          <w:vertAlign w:val="baseline"/>
        </w:rPr>
        <w:t>media regarding the relationship or the subject matter of this Deed […].”</w:t>
      </w:r>
    </w:p>
    <w:p>
      <w:pPr>
        <w:spacing w:after="0" w:line="249" w:lineRule="auto"/>
        <w:jc w:val="left"/>
        <w:rPr>
          <w:sz w:val="18"/>
        </w:rPr>
        <w:sectPr>
          <w:pgSz w:w="12240" w:h="15840"/>
          <w:pgMar w:header="0" w:footer="720" w:top="1400" w:bottom="920" w:left="1040" w:right="1040"/>
        </w:sectPr>
      </w:pPr>
    </w:p>
    <w:p>
      <w:pPr>
        <w:pStyle w:val="BodyText"/>
        <w:spacing w:line="333" w:lineRule="auto" w:before="27"/>
        <w:ind w:left="760" w:right="760"/>
      </w:pPr>
      <w:r>
        <w:rPr/>
        <w:t>The authority to conduct a cash sweep is almost never identiﬁed in loan agreements between Chinese lenders and their overseas borrowers, which are more readily accessible to domestic oversight institutions. Instead, loan agreements</w:t>
      </w:r>
      <w:r>
        <w:rPr>
          <w:spacing w:val="-1"/>
        </w:rPr>
        <w:t> </w:t>
      </w:r>
      <w:r>
        <w:rPr/>
        <w:t>with</w:t>
      </w:r>
      <w:r>
        <w:rPr>
          <w:spacing w:val="-1"/>
        </w:rPr>
        <w:t> </w:t>
      </w:r>
      <w:r>
        <w:rPr/>
        <w:t>Chinese</w:t>
      </w:r>
      <w:r>
        <w:rPr>
          <w:spacing w:val="-1"/>
        </w:rPr>
        <w:t> </w:t>
      </w:r>
      <w:r>
        <w:rPr/>
        <w:t>state-owned</w:t>
      </w:r>
      <w:r>
        <w:rPr>
          <w:spacing w:val="-1"/>
        </w:rPr>
        <w:t> </w:t>
      </w:r>
      <w:r>
        <w:rPr/>
        <w:t>creditors</w:t>
      </w:r>
      <w:r>
        <w:rPr>
          <w:spacing w:val="-1"/>
        </w:rPr>
        <w:t> </w:t>
      </w:r>
      <w:r>
        <w:rPr/>
        <w:t>typically</w:t>
      </w:r>
      <w:r>
        <w:rPr>
          <w:spacing w:val="-1"/>
        </w:rPr>
        <w:t> </w:t>
      </w:r>
      <w:r>
        <w:rPr/>
        <w:t>cross-reference</w:t>
      </w:r>
      <w:r>
        <w:rPr>
          <w:spacing w:val="-1"/>
        </w:rPr>
        <w:t> </w:t>
      </w:r>
      <w:r>
        <w:rPr/>
        <w:t>another agreement—often known as an “account management agreement,” an “escrow account agreement,” or a “repayment mechanism agreement”—that grants the lender such authority. Finance ministries rarely disclose these side agreements</w:t>
      </w:r>
      <w:r>
        <w:rPr>
          <w:spacing w:val="40"/>
        </w:rPr>
        <w:t> </w:t>
      </w:r>
      <w:r>
        <w:rPr/>
        <w:t>to auditors in the executive branch, overseers in the legislative branch, or international organizations (like the IMF) with surveillance responsibilities unless they are pressed to do so. These agreements are shrouded in secrecy for a purpose: collateralizing on cash deposits in lender-controlled escrow accounts is rare among ofﬁcial creditors, so (sovereign) borrowers are reluctant to disclose that they have granted these sources of leverage (debt seniority) to Chinese state-owned creditors but not other ofﬁcial creditors. In the vanishingly rare instances</w:t>
      </w:r>
      <w:r>
        <w:rPr>
          <w:spacing w:val="-4"/>
        </w:rPr>
        <w:t> </w:t>
      </w:r>
      <w:r>
        <w:rPr/>
        <w:t>in</w:t>
      </w:r>
      <w:r>
        <w:rPr>
          <w:spacing w:val="-4"/>
        </w:rPr>
        <w:t> </w:t>
      </w:r>
      <w:r>
        <w:rPr/>
        <w:t>which</w:t>
      </w:r>
      <w:r>
        <w:rPr>
          <w:spacing w:val="-4"/>
        </w:rPr>
        <w:t> </w:t>
      </w:r>
      <w:r>
        <w:rPr/>
        <w:t>cash</w:t>
      </w:r>
      <w:r>
        <w:rPr>
          <w:spacing w:val="-4"/>
        </w:rPr>
        <w:t> </w:t>
      </w:r>
      <w:r>
        <w:rPr/>
        <w:t>sweeps</w:t>
      </w:r>
      <w:r>
        <w:rPr>
          <w:spacing w:val="-4"/>
        </w:rPr>
        <w:t> </w:t>
      </w:r>
      <w:r>
        <w:rPr/>
        <w:t>are</w:t>
      </w:r>
      <w:r>
        <w:rPr>
          <w:spacing w:val="-4"/>
        </w:rPr>
        <w:t> </w:t>
      </w:r>
      <w:r>
        <w:rPr/>
        <w:t>discovered,</w:t>
      </w:r>
      <w:r>
        <w:rPr>
          <w:spacing w:val="-4"/>
        </w:rPr>
        <w:t> </w:t>
      </w:r>
      <w:r>
        <w:rPr/>
        <w:t>it</w:t>
      </w:r>
      <w:r>
        <w:rPr>
          <w:spacing w:val="-4"/>
        </w:rPr>
        <w:t> </w:t>
      </w:r>
      <w:r>
        <w:rPr/>
        <w:t>can</w:t>
      </w:r>
      <w:r>
        <w:rPr>
          <w:spacing w:val="-4"/>
        </w:rPr>
        <w:t> </w:t>
      </w:r>
      <w:r>
        <w:rPr/>
        <w:t>become</w:t>
      </w:r>
      <w:r>
        <w:rPr>
          <w:spacing w:val="-4"/>
        </w:rPr>
        <w:t> </w:t>
      </w:r>
      <w:r>
        <w:rPr/>
        <w:t>more</w:t>
      </w:r>
      <w:r>
        <w:rPr>
          <w:spacing w:val="-4"/>
        </w:rPr>
        <w:t> </w:t>
      </w:r>
      <w:r>
        <w:rPr/>
        <w:t>difﬁcult</w:t>
      </w:r>
      <w:r>
        <w:rPr>
          <w:spacing w:val="-4"/>
        </w:rPr>
        <w:t> </w:t>
      </w:r>
      <w:r>
        <w:rPr/>
        <w:t>for</w:t>
      </w:r>
      <w:r>
        <w:rPr>
          <w:spacing w:val="-4"/>
        </w:rPr>
        <w:t> </w:t>
      </w:r>
      <w:r>
        <w:rPr/>
        <w:t>a distressed</w:t>
      </w:r>
      <w:r>
        <w:rPr>
          <w:spacing w:val="28"/>
        </w:rPr>
        <w:t> </w:t>
      </w:r>
      <w:r>
        <w:rPr/>
        <w:t>sovereign</w:t>
      </w:r>
      <w:r>
        <w:rPr>
          <w:spacing w:val="28"/>
        </w:rPr>
        <w:t> </w:t>
      </w:r>
      <w:r>
        <w:rPr/>
        <w:t>to</w:t>
      </w:r>
      <w:r>
        <w:rPr>
          <w:spacing w:val="28"/>
        </w:rPr>
        <w:t> </w:t>
      </w:r>
      <w:r>
        <w:rPr/>
        <w:t>get</w:t>
      </w:r>
      <w:r>
        <w:rPr>
          <w:spacing w:val="28"/>
        </w:rPr>
        <w:t> </w:t>
      </w:r>
      <w:r>
        <w:rPr/>
        <w:t>all</w:t>
      </w:r>
      <w:r>
        <w:rPr>
          <w:spacing w:val="28"/>
        </w:rPr>
        <w:t> </w:t>
      </w:r>
      <w:r>
        <w:rPr/>
        <w:t>major</w:t>
      </w:r>
      <w:r>
        <w:rPr>
          <w:spacing w:val="28"/>
        </w:rPr>
        <w:t> </w:t>
      </w:r>
      <w:r>
        <w:rPr/>
        <w:t>creditors</w:t>
      </w:r>
      <w:r>
        <w:rPr>
          <w:spacing w:val="28"/>
        </w:rPr>
        <w:t> </w:t>
      </w:r>
      <w:r>
        <w:rPr/>
        <w:t>to</w:t>
      </w:r>
      <w:r>
        <w:rPr>
          <w:spacing w:val="28"/>
        </w:rPr>
        <w:t> </w:t>
      </w:r>
      <w:r>
        <w:rPr/>
        <w:t>participate</w:t>
      </w:r>
      <w:r>
        <w:rPr>
          <w:spacing w:val="28"/>
        </w:rPr>
        <w:t> </w:t>
      </w:r>
      <w:r>
        <w:rPr/>
        <w:t>in</w:t>
      </w:r>
      <w:r>
        <w:rPr>
          <w:spacing w:val="28"/>
        </w:rPr>
        <w:t> </w:t>
      </w:r>
      <w:r>
        <w:rPr/>
        <w:t>a</w:t>
      </w:r>
      <w:r>
        <w:rPr>
          <w:spacing w:val="28"/>
        </w:rPr>
        <w:t> </w:t>
      </w:r>
      <w:r>
        <w:rPr/>
        <w:t>coordinated debt rescheduling governed by the “comparable treatment” principle. If some</w:t>
      </w:r>
      <w:r>
        <w:rPr>
          <w:spacing w:val="80"/>
        </w:rPr>
        <w:t> </w:t>
      </w:r>
      <w:r>
        <w:rPr/>
        <w:t>creditors have recourse to ring-fenced sources of foreign currency and others do not, any promise by the sovereign borrower to abide by the “comparable treatment” principle is rendered less credible.</w:t>
      </w:r>
      <w:r>
        <w:rPr>
          <w:vertAlign w:val="superscript"/>
        </w:rPr>
        <w:t>167</w:t>
      </w:r>
    </w:p>
    <w:p>
      <w:pPr>
        <w:pStyle w:val="BodyText"/>
        <w:spacing w:before="10"/>
        <w:rPr>
          <w:sz w:val="26"/>
        </w:rPr>
      </w:pPr>
    </w:p>
    <w:p>
      <w:pPr>
        <w:pStyle w:val="Heading4"/>
        <w:spacing w:line="357" w:lineRule="auto"/>
      </w:pPr>
      <w:r>
        <w:rPr>
          <w:spacing w:val="-10"/>
        </w:rPr>
        <w:t>Risk</w:t>
      </w:r>
      <w:r>
        <w:rPr>
          <w:spacing w:val="-6"/>
        </w:rPr>
        <w:t> </w:t>
      </w:r>
      <w:r>
        <w:rPr>
          <w:spacing w:val="-10"/>
        </w:rPr>
        <w:t>mitigation</w:t>
      </w:r>
      <w:r>
        <w:rPr>
          <w:spacing w:val="-6"/>
        </w:rPr>
        <w:t> </w:t>
      </w:r>
      <w:r>
        <w:rPr>
          <w:spacing w:val="-10"/>
        </w:rPr>
        <w:t>strategy</w:t>
      </w:r>
      <w:r>
        <w:rPr>
          <w:spacing w:val="-6"/>
        </w:rPr>
        <w:t> </w:t>
      </w:r>
      <w:r>
        <w:rPr>
          <w:spacing w:val="-10"/>
        </w:rPr>
        <w:t>#2:</w:t>
      </w:r>
      <w:r>
        <w:rPr>
          <w:spacing w:val="-6"/>
        </w:rPr>
        <w:t> </w:t>
      </w:r>
      <w:r>
        <w:rPr>
          <w:spacing w:val="-10"/>
        </w:rPr>
        <w:t>Providing</w:t>
      </w:r>
      <w:r>
        <w:rPr>
          <w:spacing w:val="-6"/>
        </w:rPr>
        <w:t> </w:t>
      </w:r>
      <w:r>
        <w:rPr>
          <w:spacing w:val="-10"/>
        </w:rPr>
        <w:t>short-term</w:t>
      </w:r>
      <w:r>
        <w:rPr>
          <w:spacing w:val="-6"/>
        </w:rPr>
        <w:t> </w:t>
      </w:r>
      <w:r>
        <w:rPr>
          <w:spacing w:val="-10"/>
        </w:rPr>
        <w:t>cash</w:t>
      </w:r>
      <w:r>
        <w:rPr>
          <w:spacing w:val="-6"/>
        </w:rPr>
        <w:t> </w:t>
      </w:r>
      <w:r>
        <w:rPr>
          <w:spacing w:val="-10"/>
        </w:rPr>
        <w:t>ﬂow</w:t>
      </w:r>
      <w:r>
        <w:rPr>
          <w:spacing w:val="-6"/>
        </w:rPr>
        <w:t> </w:t>
      </w:r>
      <w:r>
        <w:rPr>
          <w:spacing w:val="-10"/>
        </w:rPr>
        <w:t>relief</w:t>
      </w:r>
      <w:r>
        <w:rPr>
          <w:spacing w:val="-6"/>
        </w:rPr>
        <w:t> </w:t>
      </w:r>
      <w:r>
        <w:rPr>
          <w:spacing w:val="-10"/>
        </w:rPr>
        <w:t>in </w:t>
      </w:r>
      <w:r>
        <w:rPr>
          <w:spacing w:val="-6"/>
        </w:rPr>
        <w:t>exchange</w:t>
      </w:r>
      <w:r>
        <w:rPr>
          <w:spacing w:val="-12"/>
        </w:rPr>
        <w:t> </w:t>
      </w:r>
      <w:r>
        <w:rPr>
          <w:spacing w:val="-6"/>
        </w:rPr>
        <w:t>for</w:t>
      </w:r>
      <w:r>
        <w:rPr>
          <w:spacing w:val="-12"/>
        </w:rPr>
        <w:t> </w:t>
      </w:r>
      <w:r>
        <w:rPr>
          <w:spacing w:val="-6"/>
        </w:rPr>
        <w:t>escrow</w:t>
      </w:r>
      <w:r>
        <w:rPr>
          <w:spacing w:val="-12"/>
        </w:rPr>
        <w:t> </w:t>
      </w:r>
      <w:r>
        <w:rPr>
          <w:spacing w:val="-6"/>
        </w:rPr>
        <w:t>account</w:t>
      </w:r>
      <w:r>
        <w:rPr>
          <w:spacing w:val="-12"/>
        </w:rPr>
        <w:t> </w:t>
      </w:r>
      <w:r>
        <w:rPr>
          <w:spacing w:val="-6"/>
        </w:rPr>
        <w:t>replenishment</w:t>
      </w:r>
    </w:p>
    <w:p>
      <w:pPr>
        <w:pStyle w:val="BodyText"/>
        <w:spacing w:line="333" w:lineRule="auto" w:before="81"/>
        <w:ind w:left="760" w:right="838"/>
      </w:pPr>
      <w:r>
        <w:rPr/>
        <w:t>Figure 2.11 demonstrates that we have entered a new era of “reschedulings galore.” The 3.0 version of the GCDF dataset records 98 Chinese debt reschedulings in 2020 and 2021, which is more than double the number of Chinese debt restructurings recorded in the Rhodium Group database over the same time period (Mingey and Wright 2023). Chinese debt reschedulings for LICs</w:t>
      </w:r>
      <w:r>
        <w:rPr>
          <w:spacing w:val="-6"/>
        </w:rPr>
        <w:t> </w:t>
      </w:r>
      <w:r>
        <w:rPr/>
        <w:t>and</w:t>
      </w:r>
      <w:r>
        <w:rPr>
          <w:spacing w:val="-6"/>
        </w:rPr>
        <w:t> </w:t>
      </w:r>
      <w:r>
        <w:rPr/>
        <w:t>MICs</w:t>
      </w:r>
      <w:r>
        <w:rPr>
          <w:spacing w:val="-6"/>
        </w:rPr>
        <w:t> </w:t>
      </w:r>
      <w:r>
        <w:rPr/>
        <w:t>have</w:t>
      </w:r>
      <w:r>
        <w:rPr>
          <w:spacing w:val="-6"/>
        </w:rPr>
        <w:t> </w:t>
      </w:r>
      <w:r>
        <w:rPr/>
        <w:t>increased</w:t>
      </w:r>
      <w:r>
        <w:rPr>
          <w:spacing w:val="-6"/>
        </w:rPr>
        <w:t> </w:t>
      </w:r>
      <w:r>
        <w:rPr/>
        <w:t>in</w:t>
      </w:r>
      <w:r>
        <w:rPr>
          <w:spacing w:val="-6"/>
        </w:rPr>
        <w:t> </w:t>
      </w:r>
      <w:r>
        <w:rPr/>
        <w:t>tandem</w:t>
      </w:r>
      <w:r>
        <w:rPr>
          <w:spacing w:val="-6"/>
        </w:rPr>
        <w:t> </w:t>
      </w:r>
      <w:r>
        <w:rPr/>
        <w:t>with</w:t>
      </w:r>
      <w:r>
        <w:rPr>
          <w:spacing w:val="-6"/>
        </w:rPr>
        <w:t> </w:t>
      </w:r>
      <w:r>
        <w:rPr/>
        <w:t>the</w:t>
      </w:r>
      <w:r>
        <w:rPr>
          <w:spacing w:val="-6"/>
        </w:rPr>
        <w:t> </w:t>
      </w:r>
      <w:r>
        <w:rPr/>
        <w:t>percentage</w:t>
      </w:r>
      <w:r>
        <w:rPr>
          <w:spacing w:val="-6"/>
        </w:rPr>
        <w:t> </w:t>
      </w:r>
      <w:r>
        <w:rPr/>
        <w:t>of</w:t>
      </w:r>
      <w:r>
        <w:rPr>
          <w:spacing w:val="-6"/>
        </w:rPr>
        <w:t> </w:t>
      </w:r>
      <w:r>
        <w:rPr/>
        <w:t>loans</w:t>
      </w:r>
      <w:r>
        <w:rPr>
          <w:spacing w:val="-6"/>
        </w:rPr>
        <w:t> </w:t>
      </w:r>
      <w:r>
        <w:rPr/>
        <w:t>in</w:t>
      </w:r>
      <w:r>
        <w:rPr>
          <w:spacing w:val="-6"/>
        </w:rPr>
        <w:t> </w:t>
      </w:r>
      <w:r>
        <w:rPr/>
        <w:t>China’s LIC and MIC portfolio that have already reached their (originally scheduled) ﬁnal repayment</w:t>
      </w:r>
      <w:r>
        <w:rPr>
          <w:spacing w:val="-3"/>
        </w:rPr>
        <w:t> </w:t>
      </w:r>
      <w:r>
        <w:rPr/>
        <w:t>dates</w:t>
      </w:r>
      <w:r>
        <w:rPr>
          <w:spacing w:val="-3"/>
        </w:rPr>
        <w:t> </w:t>
      </w:r>
      <w:r>
        <w:rPr/>
        <w:t>(see</w:t>
      </w:r>
      <w:r>
        <w:rPr>
          <w:spacing w:val="-3"/>
        </w:rPr>
        <w:t> </w:t>
      </w:r>
      <w:r>
        <w:rPr/>
        <w:t>Figure</w:t>
      </w:r>
      <w:r>
        <w:rPr>
          <w:spacing w:val="-3"/>
        </w:rPr>
        <w:t> </w:t>
      </w:r>
      <w:r>
        <w:rPr/>
        <w:t>2.11).</w:t>
      </w:r>
      <w:r>
        <w:rPr>
          <w:spacing w:val="-3"/>
        </w:rPr>
        <w:t> </w:t>
      </w:r>
      <w:r>
        <w:rPr/>
        <w:t>They</w:t>
      </w:r>
      <w:r>
        <w:rPr>
          <w:spacing w:val="-3"/>
        </w:rPr>
        <w:t> </w:t>
      </w:r>
      <w:r>
        <w:rPr/>
        <w:t>have</w:t>
      </w:r>
      <w:r>
        <w:rPr>
          <w:spacing w:val="-3"/>
        </w:rPr>
        <w:t> </w:t>
      </w:r>
      <w:r>
        <w:rPr/>
        <w:t>also</w:t>
      </w:r>
      <w:r>
        <w:rPr>
          <w:spacing w:val="-3"/>
        </w:rPr>
        <w:t> </w:t>
      </w:r>
      <w:r>
        <w:rPr/>
        <w:t>for</w:t>
      </w:r>
      <w:r>
        <w:rPr>
          <w:spacing w:val="-3"/>
        </w:rPr>
        <w:t> </w:t>
      </w:r>
      <w:r>
        <w:rPr/>
        <w:t>the</w:t>
      </w:r>
      <w:r>
        <w:rPr>
          <w:spacing w:val="-3"/>
        </w:rPr>
        <w:t> </w:t>
      </w:r>
      <w:r>
        <w:rPr/>
        <w:t>most</w:t>
      </w:r>
      <w:r>
        <w:rPr>
          <w:spacing w:val="-3"/>
        </w:rPr>
        <w:t> </w:t>
      </w:r>
      <w:r>
        <w:rPr/>
        <w:t>part</w:t>
      </w:r>
      <w:r>
        <w:rPr>
          <w:spacing w:val="-3"/>
        </w:rPr>
        <w:t> </w:t>
      </w:r>
      <w:r>
        <w:rPr/>
        <w:t>taken</w:t>
      </w:r>
      <w:r>
        <w:rPr>
          <w:spacing w:val="-3"/>
        </w:rPr>
        <w:t> </w:t>
      </w:r>
      <w:r>
        <w:rPr/>
        <w:t>place in ﬁnancially distressed countries (see Figures 2.9 and 2.12).</w:t>
      </w:r>
    </w:p>
    <w:p>
      <w:pPr>
        <w:pStyle w:val="BodyText"/>
        <w:rPr>
          <w:sz w:val="20"/>
        </w:rPr>
      </w:pPr>
    </w:p>
    <w:p>
      <w:pPr>
        <w:pStyle w:val="BodyText"/>
        <w:spacing w:before="4"/>
      </w:pPr>
      <w:r>
        <w:rPr/>
        <w:pict>
          <v:shape style="position:absolute;margin-left:90pt;margin-top:15.220997pt;width:144pt;height:.1pt;mso-position-horizontal-relative:page;mso-position-vertical-relative:paragraph;z-index:-15694848;mso-wrap-distance-left:0;mso-wrap-distance-right:0" id="docshape62" coordorigin="1800,304" coordsize="2880,0" path="m1800,304l4680,304e" filled="false" stroked="true" strokeweight=".75pt" strokecolor="#000000">
            <v:path arrowok="t"/>
            <v:stroke dashstyle="solid"/>
            <w10:wrap type="topAndBottom"/>
          </v:shape>
        </w:pict>
      </w:r>
    </w:p>
    <w:p>
      <w:pPr>
        <w:spacing w:before="104"/>
        <w:ind w:left="760" w:right="0" w:firstLine="0"/>
        <w:jc w:val="left"/>
        <w:rPr>
          <w:sz w:val="18"/>
        </w:rPr>
      </w:pPr>
      <w:r>
        <w:rPr>
          <w:sz w:val="18"/>
          <w:vertAlign w:val="superscript"/>
        </w:rPr>
        <w:t>167</w:t>
      </w:r>
      <w:r>
        <w:rPr>
          <w:spacing w:val="-13"/>
          <w:sz w:val="18"/>
          <w:vertAlign w:val="baseline"/>
        </w:rPr>
        <w:t> </w:t>
      </w:r>
      <w:r>
        <w:rPr>
          <w:sz w:val="18"/>
          <w:vertAlign w:val="baseline"/>
        </w:rPr>
        <w:t>Suriname</w:t>
      </w:r>
      <w:r>
        <w:rPr>
          <w:spacing w:val="-12"/>
          <w:sz w:val="18"/>
          <w:vertAlign w:val="baseline"/>
        </w:rPr>
        <w:t> </w:t>
      </w:r>
      <w:r>
        <w:rPr>
          <w:sz w:val="18"/>
          <w:vertAlign w:val="baseline"/>
        </w:rPr>
        <w:t>is</w:t>
      </w:r>
      <w:r>
        <w:rPr>
          <w:spacing w:val="-13"/>
          <w:sz w:val="18"/>
          <w:vertAlign w:val="baseline"/>
        </w:rPr>
        <w:t> </w:t>
      </w:r>
      <w:r>
        <w:rPr>
          <w:sz w:val="18"/>
          <w:vertAlign w:val="baseline"/>
        </w:rPr>
        <w:t>a</w:t>
      </w:r>
      <w:r>
        <w:rPr>
          <w:spacing w:val="-12"/>
          <w:sz w:val="18"/>
          <w:vertAlign w:val="baseline"/>
        </w:rPr>
        <w:t> </w:t>
      </w:r>
      <w:r>
        <w:rPr>
          <w:sz w:val="18"/>
          <w:vertAlign w:val="baseline"/>
        </w:rPr>
        <w:t>case</w:t>
      </w:r>
      <w:r>
        <w:rPr>
          <w:spacing w:val="-12"/>
          <w:sz w:val="18"/>
          <w:vertAlign w:val="baseline"/>
        </w:rPr>
        <w:t> </w:t>
      </w:r>
      <w:r>
        <w:rPr>
          <w:sz w:val="18"/>
          <w:vertAlign w:val="baseline"/>
        </w:rPr>
        <w:t>in</w:t>
      </w:r>
      <w:r>
        <w:rPr>
          <w:spacing w:val="-13"/>
          <w:sz w:val="18"/>
          <w:vertAlign w:val="baseline"/>
        </w:rPr>
        <w:t> </w:t>
      </w:r>
      <w:r>
        <w:rPr>
          <w:spacing w:val="-2"/>
          <w:sz w:val="18"/>
          <w:vertAlign w:val="baseline"/>
        </w:rPr>
        <w:t>point.</w:t>
      </w:r>
    </w:p>
    <w:p>
      <w:pPr>
        <w:spacing w:after="0"/>
        <w:jc w:val="left"/>
        <w:rPr>
          <w:sz w:val="18"/>
        </w:rPr>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63"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2.11</w:t>
                  </w:r>
                </w:p>
              </w:txbxContent>
            </v:textbox>
            <v:fill type="solid"/>
          </v:shape>
        </w:pict>
      </w:r>
      <w:r>
        <w:rPr>
          <w:sz w:val="20"/>
        </w:rPr>
      </w:r>
    </w:p>
    <w:p>
      <w:pPr>
        <w:pStyle w:val="BodyText"/>
        <w:spacing w:before="9"/>
        <w:rPr>
          <w:sz w:val="26"/>
        </w:rPr>
      </w:pPr>
      <w:r>
        <w:rPr/>
        <w:drawing>
          <wp:anchor distT="0" distB="0" distL="0" distR="0" allowOverlap="1" layoutInCell="1" locked="0" behindDoc="0" simplePos="0" relativeHeight="68">
            <wp:simplePos x="0" y="0"/>
            <wp:positionH relativeFrom="page">
              <wp:posOffset>1331213</wp:posOffset>
            </wp:positionH>
            <wp:positionV relativeFrom="paragraph">
              <wp:posOffset>211289</wp:posOffset>
            </wp:positionV>
            <wp:extent cx="5122941" cy="3040379"/>
            <wp:effectExtent l="0" t="0" r="0" b="0"/>
            <wp:wrapTopAndBottom/>
            <wp:docPr id="21" name="image12.png"/>
            <wp:cNvGraphicFramePr>
              <a:graphicFrameLocks noChangeAspect="1"/>
            </wp:cNvGraphicFramePr>
            <a:graphic>
              <a:graphicData uri="http://schemas.openxmlformats.org/drawingml/2006/picture">
                <pic:pic>
                  <pic:nvPicPr>
                    <pic:cNvPr id="22" name="image12.png"/>
                    <pic:cNvPicPr/>
                  </pic:nvPicPr>
                  <pic:blipFill>
                    <a:blip r:embed="rId22" cstate="print"/>
                    <a:stretch>
                      <a:fillRect/>
                    </a:stretch>
                  </pic:blipFill>
                  <pic:spPr>
                    <a:xfrm>
                      <a:off x="0" y="0"/>
                      <a:ext cx="5122941" cy="3040379"/>
                    </a:xfrm>
                    <a:prstGeom prst="rect">
                      <a:avLst/>
                    </a:prstGeom>
                  </pic:spPr>
                </pic:pic>
              </a:graphicData>
            </a:graphic>
          </wp:anchor>
        </w:drawing>
      </w:r>
    </w:p>
    <w:p>
      <w:pPr>
        <w:pStyle w:val="BodyText"/>
        <w:spacing w:before="8"/>
        <w:rPr>
          <w:sz w:val="26"/>
        </w:rPr>
      </w:pPr>
    </w:p>
    <w:p>
      <w:pPr>
        <w:spacing w:line="333" w:lineRule="auto" w:before="71"/>
        <w:ind w:left="760" w:right="767" w:firstLine="0"/>
        <w:jc w:val="left"/>
        <w:rPr>
          <w:i/>
          <w:sz w:val="18"/>
        </w:rPr>
      </w:pPr>
      <w:r>
        <w:rPr>
          <w:i/>
          <w:w w:val="105"/>
          <w:sz w:val="18"/>
        </w:rPr>
        <w:t>Notes:</w:t>
      </w:r>
      <w:r>
        <w:rPr>
          <w:i/>
          <w:spacing w:val="-11"/>
          <w:w w:val="105"/>
          <w:sz w:val="18"/>
        </w:rPr>
        <w:t> </w:t>
      </w:r>
      <w:r>
        <w:rPr>
          <w:i/>
          <w:w w:val="105"/>
          <w:sz w:val="18"/>
        </w:rPr>
        <w:t>To</w:t>
      </w:r>
      <w:r>
        <w:rPr>
          <w:i/>
          <w:spacing w:val="-11"/>
          <w:w w:val="105"/>
          <w:sz w:val="18"/>
        </w:rPr>
        <w:t> </w:t>
      </w:r>
      <w:r>
        <w:rPr>
          <w:i/>
          <w:w w:val="105"/>
          <w:sz w:val="18"/>
        </w:rPr>
        <w:t>determine</w:t>
      </w:r>
      <w:r>
        <w:rPr>
          <w:i/>
          <w:spacing w:val="-11"/>
          <w:w w:val="105"/>
          <w:sz w:val="18"/>
        </w:rPr>
        <w:t> </w:t>
      </w:r>
      <w:r>
        <w:rPr>
          <w:i/>
          <w:w w:val="105"/>
          <w:sz w:val="18"/>
        </w:rPr>
        <w:t>when</w:t>
      </w:r>
      <w:r>
        <w:rPr>
          <w:i/>
          <w:spacing w:val="-11"/>
          <w:w w:val="105"/>
          <w:sz w:val="18"/>
        </w:rPr>
        <w:t> </w:t>
      </w:r>
      <w:r>
        <w:rPr>
          <w:i/>
          <w:w w:val="105"/>
          <w:sz w:val="18"/>
        </w:rPr>
        <w:t>each</w:t>
      </w:r>
      <w:r>
        <w:rPr>
          <w:i/>
          <w:spacing w:val="-11"/>
          <w:w w:val="105"/>
          <w:sz w:val="18"/>
        </w:rPr>
        <w:t> </w:t>
      </w:r>
      <w:r>
        <w:rPr>
          <w:i/>
          <w:w w:val="105"/>
          <w:sz w:val="18"/>
        </w:rPr>
        <w:t>loan</w:t>
      </w:r>
      <w:r>
        <w:rPr>
          <w:i/>
          <w:spacing w:val="-11"/>
          <w:w w:val="105"/>
          <w:sz w:val="18"/>
        </w:rPr>
        <w:t> </w:t>
      </w:r>
      <w:r>
        <w:rPr>
          <w:i/>
          <w:w w:val="105"/>
          <w:sz w:val="18"/>
        </w:rPr>
        <w:t>will</w:t>
      </w:r>
      <w:r>
        <w:rPr>
          <w:i/>
          <w:spacing w:val="-11"/>
          <w:w w:val="105"/>
          <w:sz w:val="18"/>
        </w:rPr>
        <w:t> </w:t>
      </w:r>
      <w:r>
        <w:rPr>
          <w:i/>
          <w:w w:val="105"/>
          <w:sz w:val="18"/>
        </w:rPr>
        <w:t>reach</w:t>
      </w:r>
      <w:r>
        <w:rPr>
          <w:i/>
          <w:spacing w:val="-11"/>
          <w:w w:val="105"/>
          <w:sz w:val="18"/>
        </w:rPr>
        <w:t> </w:t>
      </w:r>
      <w:r>
        <w:rPr>
          <w:i/>
          <w:w w:val="105"/>
          <w:sz w:val="18"/>
        </w:rPr>
        <w:t>maturity,</w:t>
      </w:r>
      <w:r>
        <w:rPr>
          <w:i/>
          <w:spacing w:val="-11"/>
          <w:w w:val="105"/>
          <w:sz w:val="18"/>
        </w:rPr>
        <w:t> </w:t>
      </w:r>
      <w:r>
        <w:rPr>
          <w:i/>
          <w:w w:val="105"/>
          <w:sz w:val="18"/>
        </w:rPr>
        <w:t>each</w:t>
      </w:r>
      <w:r>
        <w:rPr>
          <w:i/>
          <w:spacing w:val="-11"/>
          <w:w w:val="105"/>
          <w:sz w:val="18"/>
        </w:rPr>
        <w:t> </w:t>
      </w:r>
      <w:r>
        <w:rPr>
          <w:i/>
          <w:w w:val="105"/>
          <w:sz w:val="18"/>
        </w:rPr>
        <w:t>loan’s</w:t>
      </w:r>
      <w:r>
        <w:rPr>
          <w:i/>
          <w:spacing w:val="-11"/>
          <w:w w:val="105"/>
          <w:sz w:val="18"/>
        </w:rPr>
        <w:t> </w:t>
      </w:r>
      <w:r>
        <w:rPr>
          <w:i/>
          <w:w w:val="105"/>
          <w:sz w:val="18"/>
        </w:rPr>
        <w:t>maturity</w:t>
      </w:r>
      <w:r>
        <w:rPr>
          <w:i/>
          <w:spacing w:val="-11"/>
          <w:w w:val="105"/>
          <w:sz w:val="18"/>
        </w:rPr>
        <w:t> </w:t>
      </w:r>
      <w:r>
        <w:rPr>
          <w:i/>
          <w:w w:val="105"/>
          <w:sz w:val="18"/>
        </w:rPr>
        <w:t>period</w:t>
      </w:r>
      <w:r>
        <w:rPr>
          <w:i/>
          <w:spacing w:val="-11"/>
          <w:w w:val="105"/>
          <w:sz w:val="18"/>
        </w:rPr>
        <w:t> </w:t>
      </w:r>
      <w:r>
        <w:rPr>
          <w:i/>
          <w:w w:val="105"/>
          <w:sz w:val="18"/>
        </w:rPr>
        <w:t>is</w:t>
      </w:r>
      <w:r>
        <w:rPr>
          <w:i/>
          <w:spacing w:val="-11"/>
          <w:w w:val="105"/>
          <w:sz w:val="18"/>
        </w:rPr>
        <w:t> </w:t>
      </w:r>
      <w:r>
        <w:rPr>
          <w:i/>
          <w:w w:val="105"/>
          <w:sz w:val="18"/>
        </w:rPr>
        <w:t>added</w:t>
      </w:r>
      <w:r>
        <w:rPr>
          <w:i/>
          <w:spacing w:val="-11"/>
          <w:w w:val="105"/>
          <w:sz w:val="18"/>
        </w:rPr>
        <w:t> </w:t>
      </w:r>
      <w:r>
        <w:rPr>
          <w:i/>
          <w:w w:val="105"/>
          <w:sz w:val="18"/>
        </w:rPr>
        <w:t>to</w:t>
      </w:r>
      <w:r>
        <w:rPr>
          <w:i/>
          <w:spacing w:val="-11"/>
          <w:w w:val="105"/>
          <w:sz w:val="18"/>
        </w:rPr>
        <w:t> </w:t>
      </w:r>
      <w:r>
        <w:rPr>
          <w:i/>
          <w:w w:val="105"/>
          <w:sz w:val="18"/>
        </w:rPr>
        <w:t>its</w:t>
      </w:r>
      <w:r>
        <w:rPr>
          <w:i/>
          <w:w w:val="105"/>
          <w:sz w:val="18"/>
        </w:rPr>
        <w:t> commitment</w:t>
      </w:r>
      <w:r>
        <w:rPr>
          <w:i/>
          <w:spacing w:val="-12"/>
          <w:w w:val="105"/>
          <w:sz w:val="18"/>
        </w:rPr>
        <w:t> </w:t>
      </w:r>
      <w:r>
        <w:rPr>
          <w:i/>
          <w:w w:val="105"/>
          <w:sz w:val="18"/>
        </w:rPr>
        <w:t>date.</w:t>
      </w:r>
      <w:r>
        <w:rPr>
          <w:i/>
          <w:spacing w:val="-12"/>
          <w:w w:val="105"/>
          <w:sz w:val="18"/>
        </w:rPr>
        <w:t> </w:t>
      </w:r>
      <w:r>
        <w:rPr>
          <w:i/>
          <w:w w:val="105"/>
          <w:sz w:val="18"/>
        </w:rPr>
        <w:t>This</w:t>
      </w:r>
      <w:r>
        <w:rPr>
          <w:i/>
          <w:spacing w:val="-12"/>
          <w:w w:val="105"/>
          <w:sz w:val="18"/>
        </w:rPr>
        <w:t> </w:t>
      </w:r>
      <w:r>
        <w:rPr>
          <w:i/>
          <w:w w:val="105"/>
          <w:sz w:val="18"/>
        </w:rPr>
        <w:t>ﬁgure</w:t>
      </w:r>
      <w:r>
        <w:rPr>
          <w:i/>
          <w:spacing w:val="-12"/>
          <w:w w:val="105"/>
          <w:sz w:val="18"/>
        </w:rPr>
        <w:t> </w:t>
      </w:r>
      <w:r>
        <w:rPr>
          <w:i/>
          <w:w w:val="105"/>
          <w:sz w:val="18"/>
        </w:rPr>
        <w:t>represents</w:t>
      </w:r>
      <w:r>
        <w:rPr>
          <w:i/>
          <w:spacing w:val="-12"/>
          <w:w w:val="105"/>
          <w:sz w:val="18"/>
        </w:rPr>
        <w:t> </w:t>
      </w:r>
      <w:r>
        <w:rPr>
          <w:i/>
          <w:w w:val="105"/>
          <w:sz w:val="18"/>
        </w:rPr>
        <w:t>when</w:t>
      </w:r>
      <w:r>
        <w:rPr>
          <w:i/>
          <w:spacing w:val="-12"/>
          <w:w w:val="105"/>
          <w:sz w:val="18"/>
        </w:rPr>
        <w:t> </w:t>
      </w:r>
      <w:r>
        <w:rPr>
          <w:i/>
          <w:w w:val="105"/>
          <w:sz w:val="18"/>
        </w:rPr>
        <w:t>loans</w:t>
      </w:r>
      <w:r>
        <w:rPr>
          <w:i/>
          <w:spacing w:val="-12"/>
          <w:w w:val="105"/>
          <w:sz w:val="18"/>
        </w:rPr>
        <w:t> </w:t>
      </w:r>
      <w:r>
        <w:rPr>
          <w:i/>
          <w:w w:val="105"/>
          <w:sz w:val="18"/>
        </w:rPr>
        <w:t>reached</w:t>
      </w:r>
      <w:r>
        <w:rPr>
          <w:i/>
          <w:spacing w:val="-12"/>
          <w:w w:val="105"/>
          <w:sz w:val="18"/>
        </w:rPr>
        <w:t> </w:t>
      </w:r>
      <w:r>
        <w:rPr>
          <w:i/>
          <w:w w:val="105"/>
          <w:sz w:val="18"/>
        </w:rPr>
        <w:t>their</w:t>
      </w:r>
      <w:r>
        <w:rPr>
          <w:i/>
          <w:spacing w:val="-12"/>
          <w:w w:val="105"/>
          <w:sz w:val="18"/>
        </w:rPr>
        <w:t> </w:t>
      </w:r>
      <w:r>
        <w:rPr>
          <w:i/>
          <w:w w:val="105"/>
          <w:sz w:val="18"/>
        </w:rPr>
        <w:t>ﬁnal</w:t>
      </w:r>
      <w:r>
        <w:rPr>
          <w:i/>
          <w:spacing w:val="-12"/>
          <w:w w:val="105"/>
          <w:sz w:val="18"/>
        </w:rPr>
        <w:t> </w:t>
      </w:r>
      <w:r>
        <w:rPr>
          <w:i/>
          <w:w w:val="105"/>
          <w:sz w:val="18"/>
        </w:rPr>
        <w:t>maturity</w:t>
      </w:r>
      <w:r>
        <w:rPr>
          <w:i/>
          <w:spacing w:val="-12"/>
          <w:w w:val="105"/>
          <w:sz w:val="18"/>
        </w:rPr>
        <w:t> </w:t>
      </w:r>
      <w:r>
        <w:rPr>
          <w:i/>
          <w:w w:val="105"/>
          <w:sz w:val="18"/>
        </w:rPr>
        <w:t>dates</w:t>
      </w:r>
      <w:r>
        <w:rPr>
          <w:i/>
          <w:spacing w:val="-12"/>
          <w:w w:val="105"/>
          <w:sz w:val="18"/>
        </w:rPr>
        <w:t> </w:t>
      </w:r>
      <w:r>
        <w:rPr>
          <w:i/>
          <w:w w:val="105"/>
          <w:sz w:val="18"/>
        </w:rPr>
        <w:t>according</w:t>
      </w:r>
      <w:r>
        <w:rPr>
          <w:i/>
          <w:spacing w:val="-12"/>
          <w:w w:val="105"/>
          <w:sz w:val="18"/>
        </w:rPr>
        <w:t> </w:t>
      </w:r>
      <w:r>
        <w:rPr>
          <w:i/>
          <w:w w:val="105"/>
          <w:sz w:val="18"/>
        </w:rPr>
        <w:t>to</w:t>
      </w:r>
      <w:r>
        <w:rPr>
          <w:i/>
          <w:spacing w:val="-12"/>
          <w:w w:val="105"/>
          <w:sz w:val="18"/>
        </w:rPr>
        <w:t> </w:t>
      </w:r>
      <w:r>
        <w:rPr>
          <w:i/>
          <w:w w:val="105"/>
          <w:sz w:val="18"/>
        </w:rPr>
        <w:t>the </w:t>
      </w:r>
      <w:r>
        <w:rPr>
          <w:i/>
          <w:sz w:val="18"/>
        </w:rPr>
        <w:t>original borrowing terms, although many loans have been rescheduled (often involving an extension of </w:t>
      </w:r>
      <w:r>
        <w:rPr>
          <w:i/>
          <w:sz w:val="18"/>
        </w:rPr>
        <w:t>the loan’s grace period and/or maturity). MOFCOM interest-free loan commitments (which are typically issued </w:t>
      </w:r>
      <w:r>
        <w:rPr>
          <w:i/>
          <w:w w:val="105"/>
          <w:sz w:val="18"/>
        </w:rPr>
        <w:t>without</w:t>
      </w:r>
      <w:r>
        <w:rPr>
          <w:i/>
          <w:spacing w:val="-6"/>
          <w:w w:val="105"/>
          <w:sz w:val="18"/>
        </w:rPr>
        <w:t> </w:t>
      </w:r>
      <w:r>
        <w:rPr>
          <w:i/>
          <w:w w:val="105"/>
          <w:sz w:val="18"/>
        </w:rPr>
        <w:t>a</w:t>
      </w:r>
      <w:r>
        <w:rPr>
          <w:i/>
          <w:spacing w:val="-6"/>
          <w:w w:val="105"/>
          <w:sz w:val="18"/>
        </w:rPr>
        <w:t> </w:t>
      </w:r>
      <w:r>
        <w:rPr>
          <w:i/>
          <w:w w:val="105"/>
          <w:sz w:val="18"/>
        </w:rPr>
        <w:t>credible</w:t>
      </w:r>
      <w:r>
        <w:rPr>
          <w:i/>
          <w:spacing w:val="-6"/>
          <w:w w:val="105"/>
          <w:sz w:val="18"/>
        </w:rPr>
        <w:t> </w:t>
      </w:r>
      <w:r>
        <w:rPr>
          <w:i/>
          <w:w w:val="105"/>
          <w:sz w:val="18"/>
        </w:rPr>
        <w:t>expectation</w:t>
      </w:r>
      <w:r>
        <w:rPr>
          <w:i/>
          <w:spacing w:val="-6"/>
          <w:w w:val="105"/>
          <w:sz w:val="18"/>
        </w:rPr>
        <w:t> </w:t>
      </w:r>
      <w:r>
        <w:rPr>
          <w:i/>
          <w:w w:val="105"/>
          <w:sz w:val="18"/>
        </w:rPr>
        <w:t>of</w:t>
      </w:r>
      <w:r>
        <w:rPr>
          <w:i/>
          <w:spacing w:val="-6"/>
          <w:w w:val="105"/>
          <w:sz w:val="18"/>
        </w:rPr>
        <w:t> </w:t>
      </w:r>
      <w:r>
        <w:rPr>
          <w:i/>
          <w:w w:val="105"/>
          <w:sz w:val="18"/>
        </w:rPr>
        <w:t>repayment)</w:t>
      </w:r>
      <w:r>
        <w:rPr>
          <w:i/>
          <w:spacing w:val="-6"/>
          <w:w w:val="105"/>
          <w:sz w:val="18"/>
        </w:rPr>
        <w:t> </w:t>
      </w:r>
      <w:r>
        <w:rPr>
          <w:i/>
          <w:w w:val="105"/>
          <w:sz w:val="18"/>
        </w:rPr>
        <w:t>are</w:t>
      </w:r>
      <w:r>
        <w:rPr>
          <w:i/>
          <w:spacing w:val="-6"/>
          <w:w w:val="105"/>
          <w:sz w:val="18"/>
        </w:rPr>
        <w:t> </w:t>
      </w:r>
      <w:r>
        <w:rPr>
          <w:i/>
          <w:w w:val="105"/>
          <w:sz w:val="18"/>
        </w:rPr>
        <w:t>excluded</w:t>
      </w:r>
      <w:r>
        <w:rPr>
          <w:i/>
          <w:spacing w:val="-6"/>
          <w:w w:val="105"/>
          <w:sz w:val="18"/>
        </w:rPr>
        <w:t> </w:t>
      </w:r>
      <w:r>
        <w:rPr>
          <w:i/>
          <w:w w:val="105"/>
          <w:sz w:val="18"/>
        </w:rPr>
        <w:t>from</w:t>
      </w:r>
      <w:r>
        <w:rPr>
          <w:i/>
          <w:spacing w:val="-6"/>
          <w:w w:val="105"/>
          <w:sz w:val="18"/>
        </w:rPr>
        <w:t> </w:t>
      </w:r>
      <w:r>
        <w:rPr>
          <w:i/>
          <w:w w:val="105"/>
          <w:sz w:val="18"/>
        </w:rPr>
        <w:t>the</w:t>
      </w:r>
      <w:r>
        <w:rPr>
          <w:i/>
          <w:spacing w:val="-6"/>
          <w:w w:val="105"/>
          <w:sz w:val="18"/>
        </w:rPr>
        <w:t> </w:t>
      </w:r>
      <w:r>
        <w:rPr>
          <w:i/>
          <w:w w:val="105"/>
          <w:sz w:val="18"/>
        </w:rPr>
        <w:t>calculation.</w:t>
      </w:r>
    </w:p>
    <w:p>
      <w:pPr>
        <w:spacing w:after="0" w:line="333" w:lineRule="auto"/>
        <w:jc w:val="left"/>
        <w:rPr>
          <w:sz w:val="18"/>
        </w:rPr>
        <w:sectPr>
          <w:pgSz w:w="12240" w:h="15840"/>
          <w:pgMar w:header="0" w:footer="720" w:top="1560" w:bottom="920" w:left="1040" w:right="1040"/>
        </w:sectPr>
      </w:pPr>
    </w:p>
    <w:p>
      <w:pPr>
        <w:pStyle w:val="BodyText"/>
        <w:ind w:left="640"/>
        <w:rPr>
          <w:sz w:val="20"/>
        </w:rPr>
      </w:pPr>
      <w:r>
        <w:rPr>
          <w:sz w:val="20"/>
        </w:rPr>
        <w:pict>
          <v:shape style="width:444pt;height:38pt;mso-position-horizontal-relative:char;mso-position-vertical-relative:line" type="#_x0000_t202" id="docshape64"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2.12</w:t>
                  </w:r>
                </w:p>
              </w:txbxContent>
            </v:textbox>
            <v:fill type="solid"/>
          </v:shape>
        </w:pict>
      </w:r>
      <w:r>
        <w:rPr>
          <w:sz w:val="20"/>
        </w:rPr>
      </w:r>
    </w:p>
    <w:p>
      <w:pPr>
        <w:pStyle w:val="BodyText"/>
        <w:rPr>
          <w:i/>
          <w:sz w:val="14"/>
        </w:rPr>
      </w:pPr>
      <w:r>
        <w:rPr/>
        <w:drawing>
          <wp:anchor distT="0" distB="0" distL="0" distR="0" allowOverlap="1" layoutInCell="1" locked="0" behindDoc="0" simplePos="0" relativeHeight="70">
            <wp:simplePos x="0" y="0"/>
            <wp:positionH relativeFrom="page">
              <wp:posOffset>1250453</wp:posOffset>
            </wp:positionH>
            <wp:positionV relativeFrom="paragraph">
              <wp:posOffset>117816</wp:posOffset>
            </wp:positionV>
            <wp:extent cx="5010792" cy="3184398"/>
            <wp:effectExtent l="0" t="0" r="0" b="0"/>
            <wp:wrapTopAndBottom/>
            <wp:docPr id="23" name="image13.jpeg"/>
            <wp:cNvGraphicFramePr>
              <a:graphicFrameLocks noChangeAspect="1"/>
            </wp:cNvGraphicFramePr>
            <a:graphic>
              <a:graphicData uri="http://schemas.openxmlformats.org/drawingml/2006/picture">
                <pic:pic>
                  <pic:nvPicPr>
                    <pic:cNvPr id="24" name="image13.jpeg"/>
                    <pic:cNvPicPr/>
                  </pic:nvPicPr>
                  <pic:blipFill>
                    <a:blip r:embed="rId23" cstate="print"/>
                    <a:stretch>
                      <a:fillRect/>
                    </a:stretch>
                  </pic:blipFill>
                  <pic:spPr>
                    <a:xfrm>
                      <a:off x="0" y="0"/>
                      <a:ext cx="5010792" cy="3184398"/>
                    </a:xfrm>
                    <a:prstGeom prst="rect">
                      <a:avLst/>
                    </a:prstGeom>
                  </pic:spPr>
                </pic:pic>
              </a:graphicData>
            </a:graphic>
          </wp:anchor>
        </w:drawing>
      </w:r>
    </w:p>
    <w:p>
      <w:pPr>
        <w:pStyle w:val="BodyText"/>
        <w:rPr>
          <w:i/>
          <w:sz w:val="20"/>
        </w:rPr>
      </w:pPr>
    </w:p>
    <w:p>
      <w:pPr>
        <w:pStyle w:val="BodyText"/>
        <w:spacing w:before="10"/>
        <w:rPr>
          <w:i/>
          <w:sz w:val="16"/>
        </w:rPr>
      </w:pPr>
    </w:p>
    <w:p>
      <w:pPr>
        <w:spacing w:line="333" w:lineRule="auto" w:before="71"/>
        <w:ind w:left="760" w:right="898" w:firstLine="0"/>
        <w:jc w:val="left"/>
        <w:rPr>
          <w:i/>
          <w:sz w:val="18"/>
        </w:rPr>
      </w:pPr>
      <w:r>
        <w:rPr>
          <w:i/>
          <w:sz w:val="18"/>
        </w:rPr>
        <w:t>Notes:To</w:t>
      </w:r>
      <w:r>
        <w:rPr>
          <w:i/>
          <w:spacing w:val="-4"/>
          <w:sz w:val="18"/>
        </w:rPr>
        <w:t> </w:t>
      </w:r>
      <w:r>
        <w:rPr>
          <w:i/>
          <w:sz w:val="18"/>
        </w:rPr>
        <w:t>determine</w:t>
      </w:r>
      <w:r>
        <w:rPr>
          <w:i/>
          <w:spacing w:val="-4"/>
          <w:sz w:val="18"/>
        </w:rPr>
        <w:t> </w:t>
      </w:r>
      <w:r>
        <w:rPr>
          <w:i/>
          <w:sz w:val="18"/>
        </w:rPr>
        <w:t>if</w:t>
      </w:r>
      <w:r>
        <w:rPr>
          <w:i/>
          <w:spacing w:val="-4"/>
          <w:sz w:val="18"/>
        </w:rPr>
        <w:t> </w:t>
      </w:r>
      <w:r>
        <w:rPr>
          <w:i/>
          <w:sz w:val="18"/>
        </w:rPr>
        <w:t>a</w:t>
      </w:r>
      <w:r>
        <w:rPr>
          <w:i/>
          <w:spacing w:val="-4"/>
          <w:sz w:val="18"/>
        </w:rPr>
        <w:t> </w:t>
      </w:r>
      <w:r>
        <w:rPr>
          <w:i/>
          <w:sz w:val="18"/>
        </w:rPr>
        <w:t>country</w:t>
      </w:r>
      <w:r>
        <w:rPr>
          <w:i/>
          <w:spacing w:val="-4"/>
          <w:sz w:val="18"/>
        </w:rPr>
        <w:t> </w:t>
      </w:r>
      <w:r>
        <w:rPr>
          <w:i/>
          <w:sz w:val="18"/>
        </w:rPr>
        <w:t>experienced</w:t>
      </w:r>
      <w:r>
        <w:rPr>
          <w:i/>
          <w:spacing w:val="-4"/>
          <w:sz w:val="18"/>
        </w:rPr>
        <w:t> </w:t>
      </w:r>
      <w:r>
        <w:rPr>
          <w:i/>
          <w:sz w:val="18"/>
        </w:rPr>
        <w:t>ﬁnancial</w:t>
      </w:r>
      <w:r>
        <w:rPr>
          <w:i/>
          <w:spacing w:val="-4"/>
          <w:sz w:val="18"/>
        </w:rPr>
        <w:t> </w:t>
      </w:r>
      <w:r>
        <w:rPr>
          <w:i/>
          <w:sz w:val="18"/>
        </w:rPr>
        <w:t>distress</w:t>
      </w:r>
      <w:r>
        <w:rPr>
          <w:i/>
          <w:spacing w:val="-4"/>
          <w:sz w:val="18"/>
        </w:rPr>
        <w:t> </w:t>
      </w:r>
      <w:r>
        <w:rPr>
          <w:i/>
          <w:sz w:val="18"/>
        </w:rPr>
        <w:t>in</w:t>
      </w:r>
      <w:r>
        <w:rPr>
          <w:i/>
          <w:spacing w:val="-4"/>
          <w:sz w:val="18"/>
        </w:rPr>
        <w:t> </w:t>
      </w:r>
      <w:r>
        <w:rPr>
          <w:i/>
          <w:sz w:val="18"/>
        </w:rPr>
        <w:t>a</w:t>
      </w:r>
      <w:r>
        <w:rPr>
          <w:i/>
          <w:spacing w:val="-4"/>
          <w:sz w:val="18"/>
        </w:rPr>
        <w:t> </w:t>
      </w:r>
      <w:r>
        <w:rPr>
          <w:i/>
          <w:sz w:val="18"/>
        </w:rPr>
        <w:t>given</w:t>
      </w:r>
      <w:r>
        <w:rPr>
          <w:i/>
          <w:spacing w:val="-4"/>
          <w:sz w:val="18"/>
        </w:rPr>
        <w:t> </w:t>
      </w:r>
      <w:r>
        <w:rPr>
          <w:i/>
          <w:sz w:val="18"/>
        </w:rPr>
        <w:t>year,</w:t>
      </w:r>
      <w:r>
        <w:rPr>
          <w:i/>
          <w:spacing w:val="-4"/>
          <w:sz w:val="18"/>
        </w:rPr>
        <w:t> </w:t>
      </w:r>
      <w:r>
        <w:rPr>
          <w:i/>
          <w:sz w:val="18"/>
        </w:rPr>
        <w:t>we</w:t>
      </w:r>
      <w:r>
        <w:rPr>
          <w:i/>
          <w:spacing w:val="-4"/>
          <w:sz w:val="18"/>
        </w:rPr>
        <w:t> </w:t>
      </w:r>
      <w:r>
        <w:rPr>
          <w:i/>
          <w:sz w:val="18"/>
        </w:rPr>
        <w:t>use</w:t>
      </w:r>
      <w:r>
        <w:rPr>
          <w:i/>
          <w:spacing w:val="-4"/>
          <w:sz w:val="18"/>
        </w:rPr>
        <w:t> </w:t>
      </w:r>
      <w:r>
        <w:rPr>
          <w:i/>
          <w:sz w:val="18"/>
        </w:rPr>
        <w:t>the</w:t>
      </w:r>
      <w:r>
        <w:rPr>
          <w:i/>
          <w:spacing w:val="-4"/>
          <w:sz w:val="18"/>
        </w:rPr>
        <w:t> </w:t>
      </w:r>
      <w:r>
        <w:rPr>
          <w:i/>
          <w:sz w:val="18"/>
        </w:rPr>
        <w:t>binary</w:t>
      </w:r>
      <w:r>
        <w:rPr>
          <w:i/>
          <w:spacing w:val="-4"/>
          <w:sz w:val="18"/>
        </w:rPr>
        <w:t> </w:t>
      </w:r>
      <w:r>
        <w:rPr>
          <w:i/>
          <w:sz w:val="18"/>
        </w:rPr>
        <w:t>measure</w:t>
      </w:r>
      <w:r>
        <w:rPr>
          <w:i/>
          <w:sz w:val="18"/>
        </w:rPr>
        <w:t> that is described in Box 1a in Chapter 1. See footnote 141 for details on how the ﬁnancial distress index was modiﬁed to differentiate between repayment risks and repayment risk mitigation efforts.</w:t>
      </w:r>
    </w:p>
    <w:p>
      <w:pPr>
        <w:pStyle w:val="BodyText"/>
        <w:rPr>
          <w:i/>
          <w:sz w:val="18"/>
        </w:rPr>
      </w:pPr>
    </w:p>
    <w:p>
      <w:pPr>
        <w:pStyle w:val="BodyText"/>
        <w:spacing w:line="333" w:lineRule="auto" w:before="112"/>
        <w:ind w:left="760" w:right="859"/>
      </w:pPr>
      <w:r>
        <w:rPr/>
        <w:t>These empirical patterns underline the fact that many of China’s overseas borrowers are insufﬁciently liquid to meet their repayment obligations and in</w:t>
      </w:r>
      <w:r>
        <w:rPr>
          <w:spacing w:val="40"/>
        </w:rPr>
        <w:t> </w:t>
      </w:r>
      <w:r>
        <w:rPr/>
        <w:t>need of debt relief. How is Beijing responding to this challenge? The 3.0 </w:t>
      </w:r>
      <w:r>
        <w:rPr/>
        <w:t>version of AidData’s GCDF dataset demonstrates that Chinese lenders are generally willing to defer principal and/or interest payments for several years, thereby providing</w:t>
      </w:r>
      <w:r>
        <w:rPr>
          <w:spacing w:val="40"/>
        </w:rPr>
        <w:t> </w:t>
      </w:r>
      <w:r>
        <w:rPr/>
        <w:t>short-term</w:t>
      </w:r>
      <w:r>
        <w:rPr>
          <w:spacing w:val="40"/>
        </w:rPr>
        <w:t> </w:t>
      </w:r>
      <w:r>
        <w:rPr/>
        <w:t>cash</w:t>
      </w:r>
      <w:r>
        <w:rPr>
          <w:spacing w:val="40"/>
        </w:rPr>
        <w:t> </w:t>
      </w:r>
      <w:r>
        <w:rPr/>
        <w:t>ﬂow</w:t>
      </w:r>
      <w:r>
        <w:rPr>
          <w:spacing w:val="40"/>
        </w:rPr>
        <w:t> </w:t>
      </w:r>
      <w:r>
        <w:rPr/>
        <w:t>relief</w:t>
      </w:r>
      <w:r>
        <w:rPr>
          <w:spacing w:val="40"/>
        </w:rPr>
        <w:t> </w:t>
      </w:r>
      <w:r>
        <w:rPr/>
        <w:t>(i.e.,</w:t>
      </w:r>
      <w:r>
        <w:rPr>
          <w:spacing w:val="40"/>
        </w:rPr>
        <w:t> </w:t>
      </w:r>
      <w:r>
        <w:rPr/>
        <w:t>“breathing</w:t>
      </w:r>
      <w:r>
        <w:rPr>
          <w:spacing w:val="40"/>
        </w:rPr>
        <w:t> </w:t>
      </w:r>
      <w:r>
        <w:rPr/>
        <w:t>room”)</w:t>
      </w:r>
      <w:r>
        <w:rPr>
          <w:spacing w:val="40"/>
        </w:rPr>
        <w:t> </w:t>
      </w:r>
      <w:r>
        <w:rPr/>
        <w:t>to</w:t>
      </w:r>
      <w:r>
        <w:rPr>
          <w:spacing w:val="40"/>
        </w:rPr>
        <w:t> </w:t>
      </w:r>
      <w:r>
        <w:rPr/>
        <w:t>their borrowers.</w:t>
      </w:r>
      <w:r>
        <w:rPr>
          <w:vertAlign w:val="superscript"/>
        </w:rPr>
        <w:t>168</w:t>
      </w:r>
      <w:r>
        <w:rPr>
          <w:vertAlign w:val="baseline"/>
        </w:rPr>
        <w:t> However, as yield-maximizing surrogates of the state, Chinese lenders are ultimately focused on protecting the bottom line (Chen 2020a,</w:t>
      </w:r>
    </w:p>
    <w:p>
      <w:pPr>
        <w:pStyle w:val="BodyText"/>
        <w:rPr>
          <w:sz w:val="20"/>
        </w:rPr>
      </w:pPr>
    </w:p>
    <w:p>
      <w:pPr>
        <w:pStyle w:val="BodyText"/>
        <w:rPr>
          <w:sz w:val="20"/>
        </w:rPr>
      </w:pPr>
    </w:p>
    <w:p>
      <w:pPr>
        <w:pStyle w:val="BodyText"/>
        <w:spacing w:before="3"/>
        <w:rPr>
          <w:sz w:val="11"/>
        </w:rPr>
      </w:pPr>
      <w:r>
        <w:rPr/>
        <w:pict>
          <v:shape style="position:absolute;margin-left:90pt;margin-top:7.712337pt;width:144pt;height:.1pt;mso-position-horizontal-relative:page;mso-position-vertical-relative:paragraph;z-index:-15692288;mso-wrap-distance-left:0;mso-wrap-distance-right:0" id="docshape65" coordorigin="1800,154" coordsize="2880,0" path="m1800,154l4680,154e" filled="false" stroked="true" strokeweight=".75pt" strokecolor="#000000">
            <v:path arrowok="t"/>
            <v:stroke dashstyle="solid"/>
            <w10:wrap type="topAndBottom"/>
          </v:shape>
        </w:pict>
      </w:r>
    </w:p>
    <w:p>
      <w:pPr>
        <w:spacing w:line="249" w:lineRule="auto" w:before="107"/>
        <w:ind w:left="760" w:right="786" w:firstLine="0"/>
        <w:jc w:val="left"/>
        <w:rPr>
          <w:sz w:val="18"/>
        </w:rPr>
      </w:pPr>
      <w:r>
        <w:rPr>
          <w:sz w:val="18"/>
          <w:vertAlign w:val="superscript"/>
        </w:rPr>
        <w:t>168</w:t>
      </w:r>
      <w:r>
        <w:rPr>
          <w:sz w:val="18"/>
          <w:vertAlign w:val="baseline"/>
        </w:rPr>
        <w:t> There is an important distinction between cash ﬂow relief and debt relief. Chinese state-owned creditors are substantially more willing to provide cash ﬂow relief than debt relief, which is traditionally deﬁned in </w:t>
      </w:r>
      <w:r>
        <w:rPr>
          <w:sz w:val="18"/>
          <w:vertAlign w:val="baseline"/>
        </w:rPr>
        <w:t>the academic</w:t>
      </w:r>
      <w:r>
        <w:rPr>
          <w:spacing w:val="20"/>
          <w:sz w:val="18"/>
          <w:vertAlign w:val="baseline"/>
        </w:rPr>
        <w:t> </w:t>
      </w:r>
      <w:r>
        <w:rPr>
          <w:sz w:val="18"/>
          <w:vertAlign w:val="baseline"/>
        </w:rPr>
        <w:t>literature</w:t>
      </w:r>
      <w:r>
        <w:rPr>
          <w:spacing w:val="20"/>
          <w:sz w:val="18"/>
          <w:vertAlign w:val="baseline"/>
        </w:rPr>
        <w:t> </w:t>
      </w:r>
      <w:r>
        <w:rPr>
          <w:sz w:val="18"/>
          <w:vertAlign w:val="baseline"/>
        </w:rPr>
        <w:t>as</w:t>
      </w:r>
      <w:r>
        <w:rPr>
          <w:spacing w:val="20"/>
          <w:sz w:val="18"/>
          <w:vertAlign w:val="baseline"/>
        </w:rPr>
        <w:t> </w:t>
      </w:r>
      <w:r>
        <w:rPr>
          <w:sz w:val="18"/>
          <w:vertAlign w:val="baseline"/>
        </w:rPr>
        <w:t>“the</w:t>
      </w:r>
      <w:r>
        <w:rPr>
          <w:spacing w:val="20"/>
          <w:sz w:val="18"/>
          <w:vertAlign w:val="baseline"/>
        </w:rPr>
        <w:t> </w:t>
      </w:r>
      <w:r>
        <w:rPr>
          <w:sz w:val="18"/>
          <w:vertAlign w:val="baseline"/>
        </w:rPr>
        <w:t>reduction</w:t>
      </w:r>
      <w:r>
        <w:rPr>
          <w:spacing w:val="20"/>
          <w:sz w:val="18"/>
          <w:vertAlign w:val="baseline"/>
        </w:rPr>
        <w:t> </w:t>
      </w:r>
      <w:r>
        <w:rPr>
          <w:sz w:val="18"/>
          <w:vertAlign w:val="baseline"/>
        </w:rPr>
        <w:t>in</w:t>
      </w:r>
      <w:r>
        <w:rPr>
          <w:spacing w:val="20"/>
          <w:sz w:val="18"/>
          <w:vertAlign w:val="baseline"/>
        </w:rPr>
        <w:t> </w:t>
      </w:r>
      <w:r>
        <w:rPr>
          <w:sz w:val="18"/>
          <w:vertAlign w:val="baseline"/>
        </w:rPr>
        <w:t>the</w:t>
      </w:r>
      <w:r>
        <w:rPr>
          <w:spacing w:val="20"/>
          <w:sz w:val="18"/>
          <w:vertAlign w:val="baseline"/>
        </w:rPr>
        <w:t> </w:t>
      </w:r>
      <w:r>
        <w:rPr>
          <w:sz w:val="18"/>
          <w:vertAlign w:val="baseline"/>
        </w:rPr>
        <w:t>net</w:t>
      </w:r>
      <w:r>
        <w:rPr>
          <w:spacing w:val="20"/>
          <w:sz w:val="18"/>
          <w:vertAlign w:val="baseline"/>
        </w:rPr>
        <w:t> </w:t>
      </w:r>
      <w:r>
        <w:rPr>
          <w:sz w:val="18"/>
          <w:vertAlign w:val="baseline"/>
        </w:rPr>
        <w:t>present</w:t>
      </w:r>
      <w:r>
        <w:rPr>
          <w:spacing w:val="20"/>
          <w:sz w:val="18"/>
          <w:vertAlign w:val="baseline"/>
        </w:rPr>
        <w:t> </w:t>
      </w:r>
      <w:r>
        <w:rPr>
          <w:sz w:val="18"/>
          <w:vertAlign w:val="baseline"/>
        </w:rPr>
        <w:t>value</w:t>
      </w:r>
      <w:r>
        <w:rPr>
          <w:spacing w:val="20"/>
          <w:sz w:val="18"/>
          <w:vertAlign w:val="baseline"/>
        </w:rPr>
        <w:t> </w:t>
      </w:r>
      <w:r>
        <w:rPr>
          <w:sz w:val="18"/>
          <w:vertAlign w:val="baseline"/>
        </w:rPr>
        <w:t>of</w:t>
      </w:r>
      <w:r>
        <w:rPr>
          <w:spacing w:val="20"/>
          <w:sz w:val="18"/>
          <w:vertAlign w:val="baseline"/>
        </w:rPr>
        <w:t> </w:t>
      </w:r>
      <w:r>
        <w:rPr>
          <w:sz w:val="18"/>
          <w:vertAlign w:val="baseline"/>
        </w:rPr>
        <w:t>the</w:t>
      </w:r>
      <w:r>
        <w:rPr>
          <w:spacing w:val="20"/>
          <w:sz w:val="18"/>
          <w:vertAlign w:val="baseline"/>
        </w:rPr>
        <w:t> </w:t>
      </w:r>
      <w:r>
        <w:rPr>
          <w:sz w:val="18"/>
          <w:vertAlign w:val="baseline"/>
        </w:rPr>
        <w:t>debtor’s</w:t>
      </w:r>
      <w:r>
        <w:rPr>
          <w:spacing w:val="20"/>
          <w:sz w:val="18"/>
          <w:vertAlign w:val="baseline"/>
        </w:rPr>
        <w:t> </w:t>
      </w:r>
      <w:r>
        <w:rPr>
          <w:sz w:val="18"/>
          <w:vertAlign w:val="baseline"/>
        </w:rPr>
        <w:t>outstanding</w:t>
      </w:r>
      <w:r>
        <w:rPr>
          <w:spacing w:val="20"/>
          <w:sz w:val="18"/>
          <w:vertAlign w:val="baseline"/>
        </w:rPr>
        <w:t> </w:t>
      </w:r>
      <w:r>
        <w:rPr>
          <w:sz w:val="18"/>
          <w:vertAlign w:val="baseline"/>
        </w:rPr>
        <w:t>obligations</w:t>
      </w:r>
      <w:r>
        <w:rPr>
          <w:spacing w:val="20"/>
          <w:sz w:val="18"/>
          <w:vertAlign w:val="baseline"/>
        </w:rPr>
        <w:t> </w:t>
      </w:r>
      <w:r>
        <w:rPr>
          <w:sz w:val="18"/>
          <w:vertAlign w:val="baseline"/>
        </w:rPr>
        <w:t>due to</w:t>
      </w:r>
      <w:r>
        <w:rPr>
          <w:spacing w:val="19"/>
          <w:sz w:val="18"/>
          <w:vertAlign w:val="baseline"/>
        </w:rPr>
        <w:t> </w:t>
      </w:r>
      <w:r>
        <w:rPr>
          <w:sz w:val="18"/>
          <w:vertAlign w:val="baseline"/>
        </w:rPr>
        <w:t>the</w:t>
      </w:r>
      <w:r>
        <w:rPr>
          <w:spacing w:val="19"/>
          <w:sz w:val="18"/>
          <w:vertAlign w:val="baseline"/>
        </w:rPr>
        <w:t> </w:t>
      </w:r>
      <w:r>
        <w:rPr>
          <w:sz w:val="18"/>
          <w:vertAlign w:val="baseline"/>
        </w:rPr>
        <w:t>restructuring</w:t>
      </w:r>
      <w:r>
        <w:rPr>
          <w:spacing w:val="19"/>
          <w:sz w:val="18"/>
          <w:vertAlign w:val="baseline"/>
        </w:rPr>
        <w:t> </w:t>
      </w:r>
      <w:r>
        <w:rPr>
          <w:sz w:val="18"/>
          <w:vertAlign w:val="baseline"/>
        </w:rPr>
        <w:t>agreement”</w:t>
      </w:r>
      <w:r>
        <w:rPr>
          <w:spacing w:val="19"/>
          <w:sz w:val="18"/>
          <w:vertAlign w:val="baseline"/>
        </w:rPr>
        <w:t> </w:t>
      </w:r>
      <w:r>
        <w:rPr>
          <w:sz w:val="18"/>
          <w:vertAlign w:val="baseline"/>
        </w:rPr>
        <w:t>(Horn</w:t>
      </w:r>
      <w:r>
        <w:rPr>
          <w:spacing w:val="19"/>
          <w:sz w:val="18"/>
          <w:vertAlign w:val="baseline"/>
        </w:rPr>
        <w:t> </w:t>
      </w:r>
      <w:r>
        <w:rPr>
          <w:sz w:val="18"/>
          <w:vertAlign w:val="baseline"/>
        </w:rPr>
        <w:t>et</w:t>
      </w:r>
      <w:r>
        <w:rPr>
          <w:spacing w:val="19"/>
          <w:sz w:val="18"/>
          <w:vertAlign w:val="baseline"/>
        </w:rPr>
        <w:t> </w:t>
      </w:r>
      <w:r>
        <w:rPr>
          <w:sz w:val="18"/>
          <w:vertAlign w:val="baseline"/>
        </w:rPr>
        <w:t>al.</w:t>
      </w:r>
      <w:r>
        <w:rPr>
          <w:spacing w:val="19"/>
          <w:sz w:val="18"/>
          <w:vertAlign w:val="baseline"/>
        </w:rPr>
        <w:t> </w:t>
      </w:r>
      <w:r>
        <w:rPr>
          <w:sz w:val="18"/>
          <w:vertAlign w:val="baseline"/>
        </w:rPr>
        <w:t>2022a:</w:t>
      </w:r>
      <w:r>
        <w:rPr>
          <w:spacing w:val="19"/>
          <w:sz w:val="18"/>
          <w:vertAlign w:val="baseline"/>
        </w:rPr>
        <w:t> </w:t>
      </w:r>
      <w:r>
        <w:rPr>
          <w:sz w:val="18"/>
          <w:vertAlign w:val="baseline"/>
        </w:rPr>
        <w:t>14).</w:t>
      </w:r>
      <w:r>
        <w:rPr>
          <w:spacing w:val="19"/>
          <w:sz w:val="18"/>
          <w:vertAlign w:val="baseline"/>
        </w:rPr>
        <w:t> </w:t>
      </w:r>
      <w:r>
        <w:rPr>
          <w:sz w:val="18"/>
          <w:vertAlign w:val="baseline"/>
        </w:rPr>
        <w:t>The</w:t>
      </w:r>
      <w:r>
        <w:rPr>
          <w:spacing w:val="19"/>
          <w:sz w:val="18"/>
          <w:vertAlign w:val="baseline"/>
        </w:rPr>
        <w:t> </w:t>
      </w:r>
      <w:r>
        <w:rPr>
          <w:sz w:val="18"/>
          <w:vertAlign w:val="baseline"/>
        </w:rPr>
        <w:t>importance</w:t>
      </w:r>
      <w:r>
        <w:rPr>
          <w:spacing w:val="19"/>
          <w:sz w:val="18"/>
          <w:vertAlign w:val="baseline"/>
        </w:rPr>
        <w:t> </w:t>
      </w:r>
      <w:r>
        <w:rPr>
          <w:sz w:val="18"/>
          <w:vertAlign w:val="baseline"/>
        </w:rPr>
        <w:t>of</w:t>
      </w:r>
      <w:r>
        <w:rPr>
          <w:spacing w:val="19"/>
          <w:sz w:val="18"/>
          <w:vertAlign w:val="baseline"/>
        </w:rPr>
        <w:t> </w:t>
      </w:r>
      <w:r>
        <w:rPr>
          <w:sz w:val="18"/>
          <w:vertAlign w:val="baseline"/>
        </w:rPr>
        <w:t>this</w:t>
      </w:r>
      <w:r>
        <w:rPr>
          <w:spacing w:val="19"/>
          <w:sz w:val="18"/>
          <w:vertAlign w:val="baseline"/>
        </w:rPr>
        <w:t> </w:t>
      </w:r>
      <w:r>
        <w:rPr>
          <w:sz w:val="18"/>
          <w:vertAlign w:val="baseline"/>
        </w:rPr>
        <w:t>distinction</w:t>
      </w:r>
      <w:r>
        <w:rPr>
          <w:spacing w:val="19"/>
          <w:sz w:val="18"/>
          <w:vertAlign w:val="baseline"/>
        </w:rPr>
        <w:t> </w:t>
      </w:r>
      <w:r>
        <w:rPr>
          <w:sz w:val="18"/>
          <w:vertAlign w:val="baseline"/>
        </w:rPr>
        <w:t>came</w:t>
      </w:r>
      <w:r>
        <w:rPr>
          <w:spacing w:val="19"/>
          <w:sz w:val="18"/>
          <w:vertAlign w:val="baseline"/>
        </w:rPr>
        <w:t> </w:t>
      </w:r>
      <w:r>
        <w:rPr>
          <w:sz w:val="18"/>
          <w:vertAlign w:val="baseline"/>
        </w:rPr>
        <w:t>into sharper resolution after China agreed to participate in the G20’s Debt Service Suspension Initiative (DSSI). In April 2021, the President of China Eximbank publicly clariﬁed that “debt suspension [...] is neither debt reduction nor debt forgiveness. One should not take the opportunity [of the Covid-19 pandemic] to harm China’s interests and take advantage of China” (The Export-Import Bank of China 2021).</w:t>
      </w:r>
    </w:p>
    <w:p>
      <w:pPr>
        <w:spacing w:after="0" w:line="249" w:lineRule="auto"/>
        <w:jc w:val="left"/>
        <w:rPr>
          <w:sz w:val="18"/>
        </w:rPr>
        <w:sectPr>
          <w:pgSz w:w="12240" w:h="15840"/>
          <w:pgMar w:header="0" w:footer="720" w:top="1580" w:bottom="920" w:left="1040" w:right="1040"/>
        </w:sectPr>
      </w:pPr>
    </w:p>
    <w:p>
      <w:pPr>
        <w:pStyle w:val="BodyText"/>
        <w:spacing w:line="333" w:lineRule="auto" w:before="67"/>
        <w:ind w:left="760" w:right="838"/>
      </w:pPr>
      <w:r>
        <w:rPr/>
        <w:t>2020b, 2023; Dreher et al. 2021, 2022).</w:t>
      </w:r>
      <w:r>
        <w:rPr>
          <w:vertAlign w:val="superscript"/>
        </w:rPr>
        <w:t>169</w:t>
      </w:r>
      <w:r>
        <w:rPr>
          <w:vertAlign w:val="baseline"/>
        </w:rPr>
        <w:t> As such, they are generally unwilling to</w:t>
      </w:r>
      <w:r>
        <w:rPr>
          <w:spacing w:val="-7"/>
          <w:vertAlign w:val="baseline"/>
        </w:rPr>
        <w:t> </w:t>
      </w:r>
      <w:r>
        <w:rPr>
          <w:vertAlign w:val="baseline"/>
        </w:rPr>
        <w:t>accept</w:t>
      </w:r>
      <w:r>
        <w:rPr>
          <w:spacing w:val="-7"/>
          <w:vertAlign w:val="baseline"/>
        </w:rPr>
        <w:t> </w:t>
      </w:r>
      <w:r>
        <w:rPr>
          <w:vertAlign w:val="baseline"/>
        </w:rPr>
        <w:t>signiﬁcant</w:t>
      </w:r>
      <w:r>
        <w:rPr>
          <w:spacing w:val="-7"/>
          <w:vertAlign w:val="baseline"/>
        </w:rPr>
        <w:t> </w:t>
      </w:r>
      <w:r>
        <w:rPr>
          <w:vertAlign w:val="baseline"/>
        </w:rPr>
        <w:t>ﬁnancial</w:t>
      </w:r>
      <w:r>
        <w:rPr>
          <w:spacing w:val="-7"/>
          <w:vertAlign w:val="baseline"/>
        </w:rPr>
        <w:t> </w:t>
      </w:r>
      <w:r>
        <w:rPr>
          <w:vertAlign w:val="baseline"/>
        </w:rPr>
        <w:t>losses</w:t>
      </w:r>
      <w:r>
        <w:rPr>
          <w:spacing w:val="-7"/>
          <w:vertAlign w:val="baseline"/>
        </w:rPr>
        <w:t> </w:t>
      </w:r>
      <w:r>
        <w:rPr>
          <w:vertAlign w:val="baseline"/>
        </w:rPr>
        <w:t>in</w:t>
      </w:r>
      <w:r>
        <w:rPr>
          <w:spacing w:val="-7"/>
          <w:vertAlign w:val="baseline"/>
        </w:rPr>
        <w:t> </w:t>
      </w:r>
      <w:r>
        <w:rPr>
          <w:vertAlign w:val="baseline"/>
        </w:rPr>
        <w:t>net</w:t>
      </w:r>
      <w:r>
        <w:rPr>
          <w:spacing w:val="-7"/>
          <w:vertAlign w:val="baseline"/>
        </w:rPr>
        <w:t> </w:t>
      </w:r>
      <w:r>
        <w:rPr>
          <w:vertAlign w:val="baseline"/>
        </w:rPr>
        <w:t>present</w:t>
      </w:r>
      <w:r>
        <w:rPr>
          <w:spacing w:val="-7"/>
          <w:vertAlign w:val="baseline"/>
        </w:rPr>
        <w:t> </w:t>
      </w:r>
      <w:r>
        <w:rPr>
          <w:vertAlign w:val="baseline"/>
        </w:rPr>
        <w:t>value</w:t>
      </w:r>
      <w:r>
        <w:rPr>
          <w:spacing w:val="-7"/>
          <w:vertAlign w:val="baseline"/>
        </w:rPr>
        <w:t> </w:t>
      </w:r>
      <w:r>
        <w:rPr>
          <w:vertAlign w:val="baseline"/>
        </w:rPr>
        <w:t>(NPV)</w:t>
      </w:r>
      <w:r>
        <w:rPr>
          <w:spacing w:val="-7"/>
          <w:vertAlign w:val="baseline"/>
        </w:rPr>
        <w:t> </w:t>
      </w:r>
      <w:r>
        <w:rPr>
          <w:vertAlign w:val="baseline"/>
        </w:rPr>
        <w:t>terms</w:t>
      </w:r>
      <w:r>
        <w:rPr>
          <w:spacing w:val="-7"/>
          <w:vertAlign w:val="baseline"/>
        </w:rPr>
        <w:t> </w:t>
      </w:r>
      <w:r>
        <w:rPr>
          <w:vertAlign w:val="baseline"/>
        </w:rPr>
        <w:t>(Ministry</w:t>
      </w:r>
      <w:r>
        <w:rPr>
          <w:spacing w:val="-7"/>
          <w:vertAlign w:val="baseline"/>
        </w:rPr>
        <w:t> </w:t>
      </w:r>
      <w:r>
        <w:rPr>
          <w:vertAlign w:val="baseline"/>
        </w:rPr>
        <w:t>of Finance of the People's Republic of China 2020; Bon and Cheng 2021; Gardner et al. 2021; Horn et al. 2022b).</w:t>
      </w:r>
      <w:r>
        <w:rPr>
          <w:vertAlign w:val="superscript"/>
        </w:rPr>
        <w:t>170</w:t>
      </w:r>
    </w:p>
    <w:p>
      <w:pPr>
        <w:pStyle w:val="BodyText"/>
        <w:spacing w:before="7"/>
        <w:rPr>
          <w:sz w:val="27"/>
        </w:rPr>
      </w:pPr>
    </w:p>
    <w:p>
      <w:pPr>
        <w:pStyle w:val="BodyText"/>
        <w:spacing w:line="333" w:lineRule="auto"/>
        <w:ind w:left="760" w:right="786"/>
      </w:pPr>
      <w:r>
        <w:rPr/>
        <w:t>The 3.0 version of AidData’s GCDF dataset also sheds light on the key role that escrow account </w:t>
      </w:r>
      <w:r>
        <w:rPr>
          <w:i/>
        </w:rPr>
        <w:t>replenishment </w:t>
      </w:r>
      <w:r>
        <w:rPr/>
        <w:t>plays in debt rescheduling negotiations with Chinese creditors. Once a borrower has defaulted on its repayment obligations and its Chinese lender has exhausted the funds in a repayment reserve account (DSRA), the Chinese lender will typically instruct the escrow bank to (a) immediately replenish the account with funds from the revenue (sales collection) account, and (b) block the borrower from making any withdrawals from the revenue</w:t>
      </w:r>
      <w:r>
        <w:rPr>
          <w:spacing w:val="-5"/>
        </w:rPr>
        <w:t> </w:t>
      </w:r>
      <w:r>
        <w:rPr/>
        <w:t>(sales</w:t>
      </w:r>
      <w:r>
        <w:rPr>
          <w:spacing w:val="-5"/>
        </w:rPr>
        <w:t> </w:t>
      </w:r>
      <w:r>
        <w:rPr/>
        <w:t>collection)</w:t>
      </w:r>
      <w:r>
        <w:rPr>
          <w:spacing w:val="-5"/>
        </w:rPr>
        <w:t> </w:t>
      </w:r>
      <w:r>
        <w:rPr/>
        <w:t>account.</w:t>
      </w:r>
      <w:r>
        <w:rPr>
          <w:spacing w:val="-5"/>
        </w:rPr>
        <w:t> </w:t>
      </w:r>
      <w:r>
        <w:rPr/>
        <w:t>However,</w:t>
      </w:r>
      <w:r>
        <w:rPr>
          <w:spacing w:val="-5"/>
        </w:rPr>
        <w:t> </w:t>
      </w:r>
      <w:r>
        <w:rPr/>
        <w:t>this</w:t>
      </w:r>
      <w:r>
        <w:rPr>
          <w:spacing w:val="-5"/>
        </w:rPr>
        <w:t> </w:t>
      </w:r>
      <w:r>
        <w:rPr/>
        <w:t>approach</w:t>
      </w:r>
      <w:r>
        <w:rPr>
          <w:spacing w:val="-5"/>
        </w:rPr>
        <w:t> </w:t>
      </w:r>
      <w:r>
        <w:rPr/>
        <w:t>is</w:t>
      </w:r>
      <w:r>
        <w:rPr>
          <w:spacing w:val="-5"/>
        </w:rPr>
        <w:t> </w:t>
      </w:r>
      <w:r>
        <w:rPr/>
        <w:t>not</w:t>
      </w:r>
      <w:r>
        <w:rPr>
          <w:spacing w:val="-5"/>
        </w:rPr>
        <w:t> </w:t>
      </w:r>
      <w:r>
        <w:rPr/>
        <w:t>foolproof,</w:t>
      </w:r>
      <w:r>
        <w:rPr>
          <w:spacing w:val="-5"/>
        </w:rPr>
        <w:t> </w:t>
      </w:r>
      <w:r>
        <w:rPr/>
        <w:t>since a ﬁnancially distressed borrower can stop making deposits into the revenue (sales collection) account, thereby eliminating the Chinese lender’s second line</w:t>
      </w:r>
      <w:r>
        <w:rPr>
          <w:spacing w:val="40"/>
        </w:rPr>
        <w:t> </w:t>
      </w:r>
      <w:r>
        <w:rPr/>
        <w:t>of defense. Consequently, as more borrowers seek debt relief, Chinese lenders are demanding a credible protection against (another) default in exchange for short-term cash ﬂow relief.</w:t>
      </w:r>
    </w:p>
    <w:p>
      <w:pPr>
        <w:pStyle w:val="BodyText"/>
        <w:spacing w:before="3"/>
        <w:rPr>
          <w:sz w:val="27"/>
        </w:rPr>
      </w:pPr>
    </w:p>
    <w:p>
      <w:pPr>
        <w:pStyle w:val="BodyText"/>
        <w:spacing w:line="333" w:lineRule="auto" w:before="1"/>
        <w:ind w:left="760" w:right="767"/>
      </w:pPr>
      <w:r>
        <w:rPr/>
        <w:t>The Government of Angola’s 2020 debt rescheduling with China Development Bank is a case in point.</w:t>
      </w:r>
      <w:r>
        <w:rPr>
          <w:vertAlign w:val="superscript"/>
        </w:rPr>
        <w:t>171</w:t>
      </w:r>
      <w:r>
        <w:rPr>
          <w:vertAlign w:val="baseline"/>
        </w:rPr>
        <w:t> In late 2015, CDB issued a $15 billion loan to the Government of Angola and required that the borrower maintain a minimum balance of $1.5 billion in an escrow account as a source of cash collateral. Then, the Angolan Government faced a cash crunch—due to a sharp decline in oil prices—and had difﬁculty servicing its dollar-denominated debts. CDB agreed </w:t>
      </w:r>
      <w:r>
        <w:rPr>
          <w:vertAlign w:val="baseline"/>
        </w:rPr>
        <w:t>to defer principal payments as part of a debt reproﬁling agreement in 2020 and</w:t>
      </w:r>
    </w:p>
    <w:p>
      <w:pPr>
        <w:pStyle w:val="BodyText"/>
        <w:rPr>
          <w:sz w:val="10"/>
        </w:rPr>
      </w:pPr>
      <w:r>
        <w:rPr/>
        <w:pict>
          <v:shape style="position:absolute;margin-left:90pt;margin-top:6.997169pt;width:144pt;height:.1pt;mso-position-horizontal-relative:page;mso-position-vertical-relative:paragraph;z-index:-15691776;mso-wrap-distance-left:0;mso-wrap-distance-right:0" id="docshape66" coordorigin="1800,140" coordsize="2880,0" path="m1800,140l4680,140e" filled="false" stroked="true" strokeweight=".75pt" strokecolor="#000000">
            <v:path arrowok="t"/>
            <v:stroke dashstyle="solid"/>
            <w10:wrap type="topAndBottom"/>
          </v:shape>
        </w:pict>
      </w:r>
    </w:p>
    <w:p>
      <w:pPr>
        <w:spacing w:line="249" w:lineRule="auto" w:before="109"/>
        <w:ind w:left="760" w:right="835" w:firstLine="0"/>
        <w:jc w:val="left"/>
        <w:rPr>
          <w:sz w:val="18"/>
        </w:rPr>
      </w:pPr>
      <w:r>
        <w:rPr>
          <w:sz w:val="18"/>
          <w:vertAlign w:val="superscript"/>
        </w:rPr>
        <w:t>169</w:t>
      </w:r>
      <w:r>
        <w:rPr>
          <w:sz w:val="18"/>
          <w:vertAlign w:val="baseline"/>
        </w:rPr>
        <w:t> During debt rescheduling negotiations, Chinese lenders have traditionally provided cash ﬂow relief to borrowers so long as there was no signiﬁcant net present value (NPV) reduction in total repayments to the lender over the lifetime of the loan (i.e., the NPV of debt service payments after rescheduling was not </w:t>
      </w:r>
      <w:r>
        <w:rPr>
          <w:sz w:val="18"/>
          <w:vertAlign w:val="baseline"/>
        </w:rPr>
        <w:t>lower than the NPV of debt service payments before rescheduling). However, change may be afoot. In January 2023, IMF Managing Director Kristalina Georgieva announced that "[w]e have reached an understanding in principle</w:t>
      </w:r>
      <w:r>
        <w:rPr>
          <w:spacing w:val="17"/>
          <w:sz w:val="18"/>
          <w:vertAlign w:val="baseline"/>
        </w:rPr>
        <w:t> </w:t>
      </w:r>
      <w:r>
        <w:rPr>
          <w:sz w:val="18"/>
          <w:vertAlign w:val="baseline"/>
        </w:rPr>
        <w:t>that</w:t>
      </w:r>
      <w:r>
        <w:rPr>
          <w:spacing w:val="17"/>
          <w:sz w:val="18"/>
          <w:vertAlign w:val="baseline"/>
        </w:rPr>
        <w:t> </w:t>
      </w:r>
      <w:r>
        <w:rPr>
          <w:sz w:val="18"/>
          <w:vertAlign w:val="baseline"/>
        </w:rPr>
        <w:t>China</w:t>
      </w:r>
      <w:r>
        <w:rPr>
          <w:spacing w:val="17"/>
          <w:sz w:val="18"/>
          <w:vertAlign w:val="baseline"/>
        </w:rPr>
        <w:t> </w:t>
      </w:r>
      <w:r>
        <w:rPr>
          <w:sz w:val="18"/>
          <w:vertAlign w:val="baseline"/>
        </w:rPr>
        <w:t>will</w:t>
      </w:r>
      <w:r>
        <w:rPr>
          <w:spacing w:val="17"/>
          <w:sz w:val="18"/>
          <w:vertAlign w:val="baseline"/>
        </w:rPr>
        <w:t> </w:t>
      </w:r>
      <w:r>
        <w:rPr>
          <w:sz w:val="18"/>
          <w:vertAlign w:val="baseline"/>
        </w:rPr>
        <w:t>de</w:t>
      </w:r>
      <w:r>
        <w:rPr>
          <w:spacing w:val="17"/>
          <w:sz w:val="18"/>
          <w:vertAlign w:val="baseline"/>
        </w:rPr>
        <w:t> </w:t>
      </w:r>
      <w:r>
        <w:rPr>
          <w:sz w:val="18"/>
          <w:vertAlign w:val="baseline"/>
        </w:rPr>
        <w:t>facto</w:t>
      </w:r>
      <w:r>
        <w:rPr>
          <w:spacing w:val="17"/>
          <w:sz w:val="18"/>
          <w:vertAlign w:val="baseline"/>
        </w:rPr>
        <w:t> </w:t>
      </w:r>
      <w:r>
        <w:rPr>
          <w:sz w:val="18"/>
          <w:vertAlign w:val="baseline"/>
        </w:rPr>
        <w:t>accept</w:t>
      </w:r>
      <w:r>
        <w:rPr>
          <w:spacing w:val="17"/>
          <w:sz w:val="18"/>
          <w:vertAlign w:val="baseline"/>
        </w:rPr>
        <w:t> </w:t>
      </w:r>
      <w:r>
        <w:rPr>
          <w:sz w:val="18"/>
          <w:vertAlign w:val="baseline"/>
        </w:rPr>
        <w:t>NPV</w:t>
      </w:r>
      <w:r>
        <w:rPr>
          <w:spacing w:val="17"/>
          <w:sz w:val="18"/>
          <w:vertAlign w:val="baseline"/>
        </w:rPr>
        <w:t> </w:t>
      </w:r>
      <w:r>
        <w:rPr>
          <w:sz w:val="18"/>
          <w:vertAlign w:val="baseline"/>
        </w:rPr>
        <w:t>reduction</w:t>
      </w:r>
      <w:r>
        <w:rPr>
          <w:spacing w:val="17"/>
          <w:sz w:val="18"/>
          <w:vertAlign w:val="baseline"/>
        </w:rPr>
        <w:t> </w:t>
      </w:r>
      <w:r>
        <w:rPr>
          <w:sz w:val="18"/>
          <w:vertAlign w:val="baseline"/>
        </w:rPr>
        <w:t>on</w:t>
      </w:r>
      <w:r>
        <w:rPr>
          <w:spacing w:val="17"/>
          <w:sz w:val="18"/>
          <w:vertAlign w:val="baseline"/>
        </w:rPr>
        <w:t> </w:t>
      </w:r>
      <w:r>
        <w:rPr>
          <w:sz w:val="18"/>
          <w:vertAlign w:val="baseline"/>
        </w:rPr>
        <w:t>the</w:t>
      </w:r>
      <w:r>
        <w:rPr>
          <w:spacing w:val="17"/>
          <w:sz w:val="18"/>
          <w:vertAlign w:val="baseline"/>
        </w:rPr>
        <w:t> </w:t>
      </w:r>
      <w:r>
        <w:rPr>
          <w:sz w:val="18"/>
          <w:vertAlign w:val="baseline"/>
        </w:rPr>
        <w:t>basis</w:t>
      </w:r>
      <w:r>
        <w:rPr>
          <w:spacing w:val="17"/>
          <w:sz w:val="18"/>
          <w:vertAlign w:val="baseline"/>
        </w:rPr>
        <w:t> </w:t>
      </w:r>
      <w:r>
        <w:rPr>
          <w:sz w:val="18"/>
          <w:vertAlign w:val="baseline"/>
        </w:rPr>
        <w:t>of</w:t>
      </w:r>
      <w:r>
        <w:rPr>
          <w:spacing w:val="17"/>
          <w:sz w:val="18"/>
          <w:vertAlign w:val="baseline"/>
        </w:rPr>
        <w:t> </w:t>
      </w:r>
      <w:r>
        <w:rPr>
          <w:sz w:val="18"/>
          <w:vertAlign w:val="baseline"/>
        </w:rPr>
        <w:t>signiﬁcant</w:t>
      </w:r>
      <w:r>
        <w:rPr>
          <w:spacing w:val="17"/>
          <w:sz w:val="18"/>
          <w:vertAlign w:val="baseline"/>
        </w:rPr>
        <w:t> </w:t>
      </w:r>
      <w:r>
        <w:rPr>
          <w:sz w:val="18"/>
          <w:vertAlign w:val="baseline"/>
        </w:rPr>
        <w:t>stretching</w:t>
      </w:r>
      <w:r>
        <w:rPr>
          <w:spacing w:val="17"/>
          <w:sz w:val="18"/>
          <w:vertAlign w:val="baseline"/>
        </w:rPr>
        <w:t> </w:t>
      </w:r>
      <w:r>
        <w:rPr>
          <w:sz w:val="18"/>
          <w:vertAlign w:val="baseline"/>
        </w:rPr>
        <w:t>of</w:t>
      </w:r>
      <w:r>
        <w:rPr>
          <w:spacing w:val="17"/>
          <w:sz w:val="18"/>
          <w:vertAlign w:val="baseline"/>
        </w:rPr>
        <w:t> </w:t>
      </w:r>
      <w:r>
        <w:rPr>
          <w:sz w:val="18"/>
          <w:vertAlign w:val="baseline"/>
        </w:rPr>
        <w:t>the maturities and reduction of interest. [...] In China there is not yet a consensus to take upfront haircuts”</w:t>
      </w:r>
      <w:r>
        <w:rPr>
          <w:spacing w:val="80"/>
          <w:sz w:val="18"/>
          <w:vertAlign w:val="baseline"/>
        </w:rPr>
        <w:t> </w:t>
      </w:r>
      <w:r>
        <w:rPr>
          <w:sz w:val="18"/>
          <w:vertAlign w:val="baseline"/>
        </w:rPr>
        <w:t>(Mfula 2023). Reductions in a loan’s NPV can be achieved via substantial interest rate reductions, lengthy maturity/grace period extensions, and/or face value reductions to loan principal (so-called “face value haircuts” or “principal haircuts”).</w:t>
      </w:r>
    </w:p>
    <w:p>
      <w:pPr>
        <w:spacing w:before="7"/>
        <w:ind w:left="760" w:right="0" w:firstLine="0"/>
        <w:jc w:val="left"/>
        <w:rPr>
          <w:sz w:val="18"/>
        </w:rPr>
      </w:pPr>
      <w:r>
        <w:rPr>
          <w:sz w:val="18"/>
          <w:vertAlign w:val="superscript"/>
        </w:rPr>
        <w:t>170</w:t>
      </w:r>
      <w:r>
        <w:rPr>
          <w:spacing w:val="-3"/>
          <w:sz w:val="18"/>
          <w:vertAlign w:val="baseline"/>
        </w:rPr>
        <w:t> </w:t>
      </w:r>
      <w:r>
        <w:rPr>
          <w:sz w:val="18"/>
          <w:vertAlign w:val="baseline"/>
        </w:rPr>
        <w:t>Reinhart</w:t>
      </w:r>
      <w:r>
        <w:rPr>
          <w:spacing w:val="-2"/>
          <w:sz w:val="18"/>
          <w:vertAlign w:val="baseline"/>
        </w:rPr>
        <w:t> </w:t>
      </w:r>
      <w:r>
        <w:rPr>
          <w:sz w:val="18"/>
          <w:vertAlign w:val="baseline"/>
        </w:rPr>
        <w:t>and</w:t>
      </w:r>
      <w:r>
        <w:rPr>
          <w:spacing w:val="-2"/>
          <w:sz w:val="18"/>
          <w:vertAlign w:val="baseline"/>
        </w:rPr>
        <w:t> </w:t>
      </w:r>
      <w:r>
        <w:rPr>
          <w:sz w:val="18"/>
          <w:vertAlign w:val="baseline"/>
        </w:rPr>
        <w:t>Trebesch</w:t>
      </w:r>
      <w:r>
        <w:rPr>
          <w:spacing w:val="-2"/>
          <w:sz w:val="18"/>
          <w:vertAlign w:val="baseline"/>
        </w:rPr>
        <w:t> </w:t>
      </w:r>
      <w:r>
        <w:rPr>
          <w:sz w:val="18"/>
          <w:vertAlign w:val="baseline"/>
        </w:rPr>
        <w:t>(2016)</w:t>
      </w:r>
      <w:r>
        <w:rPr>
          <w:spacing w:val="-2"/>
          <w:sz w:val="18"/>
          <w:vertAlign w:val="baseline"/>
        </w:rPr>
        <w:t> </w:t>
      </w:r>
      <w:r>
        <w:rPr>
          <w:sz w:val="18"/>
          <w:vertAlign w:val="baseline"/>
        </w:rPr>
        <w:t>study</w:t>
      </w:r>
      <w:r>
        <w:rPr>
          <w:spacing w:val="-2"/>
          <w:sz w:val="18"/>
          <w:vertAlign w:val="baseline"/>
        </w:rPr>
        <w:t> </w:t>
      </w:r>
      <w:r>
        <w:rPr>
          <w:sz w:val="18"/>
          <w:vertAlign w:val="baseline"/>
        </w:rPr>
        <w:t>debt</w:t>
      </w:r>
      <w:r>
        <w:rPr>
          <w:spacing w:val="-2"/>
          <w:sz w:val="18"/>
          <w:vertAlign w:val="baseline"/>
        </w:rPr>
        <w:t> </w:t>
      </w:r>
      <w:r>
        <w:rPr>
          <w:sz w:val="18"/>
          <w:vertAlign w:val="baseline"/>
        </w:rPr>
        <w:t>relief</w:t>
      </w:r>
      <w:r>
        <w:rPr>
          <w:spacing w:val="-1"/>
          <w:sz w:val="18"/>
          <w:vertAlign w:val="baseline"/>
        </w:rPr>
        <w:t> </w:t>
      </w:r>
      <w:r>
        <w:rPr>
          <w:sz w:val="18"/>
          <w:vertAlign w:val="baseline"/>
        </w:rPr>
        <w:t>operations</w:t>
      </w:r>
      <w:r>
        <w:rPr>
          <w:spacing w:val="-2"/>
          <w:sz w:val="18"/>
          <w:vertAlign w:val="baseline"/>
        </w:rPr>
        <w:t> </w:t>
      </w:r>
      <w:r>
        <w:rPr>
          <w:sz w:val="18"/>
          <w:vertAlign w:val="baseline"/>
        </w:rPr>
        <w:t>during</w:t>
      </w:r>
      <w:r>
        <w:rPr>
          <w:spacing w:val="-2"/>
          <w:sz w:val="18"/>
          <w:vertAlign w:val="baseline"/>
        </w:rPr>
        <w:t> </w:t>
      </w:r>
      <w:r>
        <w:rPr>
          <w:sz w:val="18"/>
          <w:vertAlign w:val="baseline"/>
        </w:rPr>
        <w:t>two</w:t>
      </w:r>
      <w:r>
        <w:rPr>
          <w:spacing w:val="-2"/>
          <w:sz w:val="18"/>
          <w:vertAlign w:val="baseline"/>
        </w:rPr>
        <w:t> </w:t>
      </w:r>
      <w:r>
        <w:rPr>
          <w:sz w:val="18"/>
          <w:vertAlign w:val="baseline"/>
        </w:rPr>
        <w:t>periods—1920-1939</w:t>
      </w:r>
      <w:r>
        <w:rPr>
          <w:spacing w:val="-2"/>
          <w:sz w:val="18"/>
          <w:vertAlign w:val="baseline"/>
        </w:rPr>
        <w:t> </w:t>
      </w:r>
      <w:r>
        <w:rPr>
          <w:spacing w:val="-5"/>
          <w:sz w:val="18"/>
          <w:vertAlign w:val="baseline"/>
        </w:rPr>
        <w:t>and</w:t>
      </w:r>
    </w:p>
    <w:p>
      <w:pPr>
        <w:spacing w:line="252" w:lineRule="auto" w:before="10"/>
        <w:ind w:left="760" w:right="767" w:firstLine="0"/>
        <w:jc w:val="left"/>
        <w:rPr>
          <w:sz w:val="18"/>
        </w:rPr>
      </w:pPr>
      <w:r>
        <w:rPr>
          <w:sz w:val="18"/>
        </w:rPr>
        <w:t>1978-2010—and ﬁnd that economic growth generally increased following debt </w:t>
      </w:r>
      <w:r>
        <w:rPr>
          <w:i/>
          <w:sz w:val="18"/>
        </w:rPr>
        <w:t>stock </w:t>
      </w:r>
      <w:r>
        <w:rPr>
          <w:sz w:val="18"/>
        </w:rPr>
        <w:t>reductions (face </w:t>
      </w:r>
      <w:r>
        <w:rPr>
          <w:sz w:val="18"/>
        </w:rPr>
        <w:t>value </w:t>
      </w:r>
      <w:r>
        <w:rPr>
          <w:w w:val="105"/>
          <w:sz w:val="18"/>
        </w:rPr>
        <w:t>reductions</w:t>
      </w:r>
      <w:r>
        <w:rPr>
          <w:spacing w:val="-5"/>
          <w:w w:val="105"/>
          <w:sz w:val="18"/>
        </w:rPr>
        <w:t> </w:t>
      </w:r>
      <w:r>
        <w:rPr>
          <w:w w:val="105"/>
          <w:sz w:val="18"/>
        </w:rPr>
        <w:t>to</w:t>
      </w:r>
      <w:r>
        <w:rPr>
          <w:spacing w:val="-5"/>
          <w:w w:val="105"/>
          <w:sz w:val="18"/>
        </w:rPr>
        <w:t> </w:t>
      </w:r>
      <w:r>
        <w:rPr>
          <w:w w:val="105"/>
          <w:sz w:val="18"/>
        </w:rPr>
        <w:t>loan</w:t>
      </w:r>
      <w:r>
        <w:rPr>
          <w:spacing w:val="-5"/>
          <w:w w:val="105"/>
          <w:sz w:val="18"/>
        </w:rPr>
        <w:t> </w:t>
      </w:r>
      <w:r>
        <w:rPr>
          <w:w w:val="105"/>
          <w:sz w:val="18"/>
        </w:rPr>
        <w:t>principal)</w:t>
      </w:r>
      <w:r>
        <w:rPr>
          <w:spacing w:val="-6"/>
          <w:w w:val="105"/>
          <w:sz w:val="18"/>
        </w:rPr>
        <w:t> </w:t>
      </w:r>
      <w:r>
        <w:rPr>
          <w:w w:val="105"/>
          <w:sz w:val="18"/>
        </w:rPr>
        <w:t>but</w:t>
      </w:r>
      <w:r>
        <w:rPr>
          <w:spacing w:val="-5"/>
          <w:w w:val="105"/>
          <w:sz w:val="18"/>
        </w:rPr>
        <w:t> </w:t>
      </w:r>
      <w:r>
        <w:rPr>
          <w:w w:val="105"/>
          <w:sz w:val="18"/>
        </w:rPr>
        <w:t>not</w:t>
      </w:r>
      <w:r>
        <w:rPr>
          <w:spacing w:val="-5"/>
          <w:w w:val="105"/>
          <w:sz w:val="18"/>
        </w:rPr>
        <w:t> </w:t>
      </w:r>
      <w:r>
        <w:rPr>
          <w:w w:val="105"/>
          <w:sz w:val="18"/>
        </w:rPr>
        <w:t>debt</w:t>
      </w:r>
      <w:r>
        <w:rPr>
          <w:spacing w:val="-5"/>
          <w:w w:val="105"/>
          <w:sz w:val="18"/>
        </w:rPr>
        <w:t> </w:t>
      </w:r>
      <w:r>
        <w:rPr>
          <w:i/>
          <w:w w:val="105"/>
          <w:sz w:val="18"/>
        </w:rPr>
        <w:t>ﬂow</w:t>
      </w:r>
      <w:r>
        <w:rPr>
          <w:i/>
          <w:spacing w:val="-6"/>
          <w:w w:val="105"/>
          <w:sz w:val="18"/>
        </w:rPr>
        <w:t> </w:t>
      </w:r>
      <w:r>
        <w:rPr>
          <w:w w:val="105"/>
          <w:sz w:val="18"/>
        </w:rPr>
        <w:t>reductions</w:t>
      </w:r>
      <w:r>
        <w:rPr>
          <w:spacing w:val="-5"/>
          <w:w w:val="105"/>
          <w:sz w:val="18"/>
        </w:rPr>
        <w:t> </w:t>
      </w:r>
      <w:r>
        <w:rPr>
          <w:w w:val="105"/>
          <w:sz w:val="18"/>
        </w:rPr>
        <w:t>(cash</w:t>
      </w:r>
      <w:r>
        <w:rPr>
          <w:spacing w:val="-5"/>
          <w:w w:val="105"/>
          <w:sz w:val="18"/>
        </w:rPr>
        <w:t> </w:t>
      </w:r>
      <w:r>
        <w:rPr>
          <w:w w:val="105"/>
          <w:sz w:val="18"/>
        </w:rPr>
        <w:t>ﬂow</w:t>
      </w:r>
      <w:r>
        <w:rPr>
          <w:spacing w:val="-5"/>
          <w:w w:val="105"/>
          <w:sz w:val="18"/>
        </w:rPr>
        <w:t> </w:t>
      </w:r>
      <w:r>
        <w:rPr>
          <w:w w:val="105"/>
          <w:sz w:val="18"/>
        </w:rPr>
        <w:t>relief</w:t>
      </w:r>
      <w:r>
        <w:rPr>
          <w:spacing w:val="-6"/>
          <w:w w:val="105"/>
          <w:sz w:val="18"/>
        </w:rPr>
        <w:t> </w:t>
      </w:r>
      <w:r>
        <w:rPr>
          <w:w w:val="105"/>
          <w:sz w:val="18"/>
        </w:rPr>
        <w:t>via</w:t>
      </w:r>
      <w:r>
        <w:rPr>
          <w:spacing w:val="-5"/>
          <w:w w:val="105"/>
          <w:sz w:val="18"/>
        </w:rPr>
        <w:t> </w:t>
      </w:r>
      <w:r>
        <w:rPr>
          <w:w w:val="105"/>
          <w:sz w:val="18"/>
        </w:rPr>
        <w:t>maturity/grace</w:t>
      </w:r>
      <w:r>
        <w:rPr>
          <w:spacing w:val="-5"/>
          <w:w w:val="105"/>
          <w:sz w:val="18"/>
        </w:rPr>
        <w:t> </w:t>
      </w:r>
      <w:r>
        <w:rPr>
          <w:w w:val="105"/>
          <w:sz w:val="18"/>
        </w:rPr>
        <w:t>period extensions</w:t>
      </w:r>
      <w:r>
        <w:rPr>
          <w:spacing w:val="-1"/>
          <w:w w:val="105"/>
          <w:sz w:val="18"/>
        </w:rPr>
        <w:t> </w:t>
      </w:r>
      <w:r>
        <w:rPr>
          <w:w w:val="105"/>
          <w:sz w:val="18"/>
        </w:rPr>
        <w:t>and</w:t>
      </w:r>
      <w:r>
        <w:rPr>
          <w:spacing w:val="-1"/>
          <w:w w:val="105"/>
          <w:sz w:val="18"/>
        </w:rPr>
        <w:t> </w:t>
      </w:r>
      <w:r>
        <w:rPr>
          <w:w w:val="105"/>
          <w:sz w:val="18"/>
        </w:rPr>
        <w:t>interest</w:t>
      </w:r>
      <w:r>
        <w:rPr>
          <w:spacing w:val="-1"/>
          <w:w w:val="105"/>
          <w:sz w:val="18"/>
        </w:rPr>
        <w:t> </w:t>
      </w:r>
      <w:r>
        <w:rPr>
          <w:w w:val="105"/>
          <w:sz w:val="18"/>
        </w:rPr>
        <w:t>rate</w:t>
      </w:r>
      <w:r>
        <w:rPr>
          <w:spacing w:val="-2"/>
          <w:w w:val="105"/>
          <w:sz w:val="18"/>
        </w:rPr>
        <w:t> </w:t>
      </w:r>
      <w:r>
        <w:rPr>
          <w:w w:val="105"/>
          <w:sz w:val="18"/>
        </w:rPr>
        <w:t>reductions).</w:t>
      </w:r>
    </w:p>
    <w:p>
      <w:pPr>
        <w:spacing w:line="204" w:lineRule="exact" w:before="0"/>
        <w:ind w:left="760" w:right="0" w:firstLine="0"/>
        <w:jc w:val="left"/>
        <w:rPr>
          <w:sz w:val="18"/>
        </w:rPr>
      </w:pPr>
      <w:r>
        <w:rPr>
          <w:sz w:val="18"/>
          <w:vertAlign w:val="superscript"/>
        </w:rPr>
        <w:t>171</w:t>
      </w:r>
      <w:r>
        <w:rPr>
          <w:spacing w:val="-6"/>
          <w:sz w:val="18"/>
          <w:vertAlign w:val="baseline"/>
        </w:rPr>
        <w:t> </w:t>
      </w:r>
      <w:r>
        <w:rPr>
          <w:sz w:val="18"/>
          <w:vertAlign w:val="baseline"/>
        </w:rPr>
        <w:t>See</w:t>
      </w:r>
      <w:r>
        <w:rPr>
          <w:spacing w:val="-5"/>
          <w:sz w:val="18"/>
          <w:vertAlign w:val="baseline"/>
        </w:rPr>
        <w:t> </w:t>
      </w:r>
      <w:r>
        <w:rPr>
          <w:sz w:val="18"/>
          <w:vertAlign w:val="baseline"/>
        </w:rPr>
        <w:t>ID#95415</w:t>
      </w:r>
      <w:r>
        <w:rPr>
          <w:spacing w:val="-5"/>
          <w:sz w:val="18"/>
          <w:vertAlign w:val="baseline"/>
        </w:rPr>
        <w:t> </w:t>
      </w:r>
      <w:r>
        <w:rPr>
          <w:sz w:val="18"/>
          <w:vertAlign w:val="baseline"/>
        </w:rPr>
        <w:t>and</w:t>
      </w:r>
      <w:r>
        <w:rPr>
          <w:spacing w:val="-5"/>
          <w:sz w:val="18"/>
          <w:vertAlign w:val="baseline"/>
        </w:rPr>
        <w:t> </w:t>
      </w:r>
      <w:r>
        <w:rPr>
          <w:sz w:val="18"/>
          <w:vertAlign w:val="baseline"/>
        </w:rPr>
        <w:t>ID#53063</w:t>
      </w:r>
      <w:r>
        <w:rPr>
          <w:spacing w:val="-6"/>
          <w:sz w:val="18"/>
          <w:vertAlign w:val="baseline"/>
        </w:rPr>
        <w:t> </w:t>
      </w:r>
      <w:r>
        <w:rPr>
          <w:sz w:val="18"/>
          <w:vertAlign w:val="baseline"/>
        </w:rPr>
        <w:t>in</w:t>
      </w:r>
      <w:r>
        <w:rPr>
          <w:spacing w:val="-5"/>
          <w:sz w:val="18"/>
          <w:vertAlign w:val="baseline"/>
        </w:rPr>
        <w:t> </w:t>
      </w:r>
      <w:r>
        <w:rPr>
          <w:sz w:val="18"/>
          <w:vertAlign w:val="baseline"/>
        </w:rPr>
        <w:t>the</w:t>
      </w:r>
      <w:r>
        <w:rPr>
          <w:spacing w:val="-5"/>
          <w:sz w:val="18"/>
          <w:vertAlign w:val="baseline"/>
        </w:rPr>
        <w:t> </w:t>
      </w:r>
      <w:r>
        <w:rPr>
          <w:sz w:val="18"/>
          <w:vertAlign w:val="baseline"/>
        </w:rPr>
        <w:t>3.0</w:t>
      </w:r>
      <w:r>
        <w:rPr>
          <w:spacing w:val="-5"/>
          <w:sz w:val="18"/>
          <w:vertAlign w:val="baseline"/>
        </w:rPr>
        <w:t> </w:t>
      </w:r>
      <w:r>
        <w:rPr>
          <w:sz w:val="18"/>
          <w:vertAlign w:val="baseline"/>
        </w:rPr>
        <w:t>version</w:t>
      </w:r>
      <w:r>
        <w:rPr>
          <w:spacing w:val="-5"/>
          <w:sz w:val="18"/>
          <w:vertAlign w:val="baseline"/>
        </w:rPr>
        <w:t> </w:t>
      </w:r>
      <w:r>
        <w:rPr>
          <w:sz w:val="18"/>
          <w:vertAlign w:val="baseline"/>
        </w:rPr>
        <w:t>of</w:t>
      </w:r>
      <w:r>
        <w:rPr>
          <w:spacing w:val="-5"/>
          <w:sz w:val="18"/>
          <w:vertAlign w:val="baseline"/>
        </w:rPr>
        <w:t> </w:t>
      </w:r>
      <w:r>
        <w:rPr>
          <w:sz w:val="18"/>
          <w:vertAlign w:val="baseline"/>
        </w:rPr>
        <w:t>AidData’s</w:t>
      </w:r>
      <w:r>
        <w:rPr>
          <w:spacing w:val="-5"/>
          <w:sz w:val="18"/>
          <w:vertAlign w:val="baseline"/>
        </w:rPr>
        <w:t> </w:t>
      </w:r>
      <w:r>
        <w:rPr>
          <w:sz w:val="18"/>
          <w:vertAlign w:val="baseline"/>
        </w:rPr>
        <w:t>GCDF</w:t>
      </w:r>
      <w:r>
        <w:rPr>
          <w:spacing w:val="-5"/>
          <w:sz w:val="18"/>
          <w:vertAlign w:val="baseline"/>
        </w:rPr>
        <w:t> </w:t>
      </w:r>
      <w:r>
        <w:rPr>
          <w:spacing w:val="-2"/>
          <w:sz w:val="18"/>
          <w:vertAlign w:val="baseline"/>
        </w:rPr>
        <w:t>dataset.</w:t>
      </w:r>
    </w:p>
    <w:p>
      <w:pPr>
        <w:spacing w:after="0" w:line="204" w:lineRule="exact"/>
        <w:jc w:val="left"/>
        <w:rPr>
          <w:sz w:val="18"/>
        </w:rPr>
        <w:sectPr>
          <w:pgSz w:w="12240" w:h="15840"/>
          <w:pgMar w:header="0" w:footer="720" w:top="1360" w:bottom="920" w:left="1040" w:right="1040"/>
        </w:sectPr>
      </w:pPr>
    </w:p>
    <w:p>
      <w:pPr>
        <w:pStyle w:val="BodyText"/>
        <w:spacing w:line="333" w:lineRule="auto" w:before="27"/>
        <w:ind w:left="760" w:right="767"/>
      </w:pPr>
      <w:r>
        <w:rPr>
          <w:spacing w:val="-2"/>
          <w:w w:val="105"/>
        </w:rPr>
        <w:t>use</w:t>
      </w:r>
      <w:r>
        <w:rPr>
          <w:spacing w:val="-13"/>
          <w:w w:val="105"/>
        </w:rPr>
        <w:t> </w:t>
      </w:r>
      <w:r>
        <w:rPr>
          <w:spacing w:val="-2"/>
          <w:w w:val="105"/>
        </w:rPr>
        <w:t>the</w:t>
      </w:r>
      <w:r>
        <w:rPr>
          <w:spacing w:val="-13"/>
          <w:w w:val="105"/>
        </w:rPr>
        <w:t> </w:t>
      </w:r>
      <w:r>
        <w:rPr>
          <w:spacing w:val="-2"/>
          <w:w w:val="105"/>
        </w:rPr>
        <w:t>cash</w:t>
      </w:r>
      <w:r>
        <w:rPr>
          <w:spacing w:val="-13"/>
          <w:w w:val="105"/>
        </w:rPr>
        <w:t> </w:t>
      </w:r>
      <w:r>
        <w:rPr>
          <w:spacing w:val="-2"/>
          <w:w w:val="105"/>
        </w:rPr>
        <w:t>in</w:t>
      </w:r>
      <w:r>
        <w:rPr>
          <w:spacing w:val="-13"/>
          <w:w w:val="105"/>
        </w:rPr>
        <w:t> </w:t>
      </w:r>
      <w:r>
        <w:rPr>
          <w:spacing w:val="-2"/>
          <w:w w:val="105"/>
        </w:rPr>
        <w:t>the</w:t>
      </w:r>
      <w:r>
        <w:rPr>
          <w:spacing w:val="-13"/>
          <w:w w:val="105"/>
        </w:rPr>
        <w:t> </w:t>
      </w:r>
      <w:r>
        <w:rPr>
          <w:spacing w:val="-2"/>
          <w:w w:val="105"/>
        </w:rPr>
        <w:t>escrow</w:t>
      </w:r>
      <w:r>
        <w:rPr>
          <w:spacing w:val="-13"/>
          <w:w w:val="105"/>
        </w:rPr>
        <w:t> </w:t>
      </w:r>
      <w:r>
        <w:rPr>
          <w:spacing w:val="-2"/>
          <w:w w:val="105"/>
        </w:rPr>
        <w:t>account</w:t>
      </w:r>
      <w:r>
        <w:rPr>
          <w:spacing w:val="-13"/>
          <w:w w:val="105"/>
        </w:rPr>
        <w:t> </w:t>
      </w:r>
      <w:r>
        <w:rPr>
          <w:spacing w:val="-2"/>
          <w:w w:val="105"/>
        </w:rPr>
        <w:t>to</w:t>
      </w:r>
      <w:r>
        <w:rPr>
          <w:spacing w:val="-13"/>
          <w:w w:val="105"/>
        </w:rPr>
        <w:t> </w:t>
      </w:r>
      <w:r>
        <w:rPr>
          <w:spacing w:val="-2"/>
          <w:w w:val="105"/>
        </w:rPr>
        <w:t>satisfy</w:t>
      </w:r>
      <w:r>
        <w:rPr>
          <w:spacing w:val="-13"/>
          <w:w w:val="105"/>
        </w:rPr>
        <w:t> </w:t>
      </w:r>
      <w:r>
        <w:rPr>
          <w:spacing w:val="-2"/>
          <w:w w:val="105"/>
        </w:rPr>
        <w:t>the</w:t>
      </w:r>
      <w:r>
        <w:rPr>
          <w:spacing w:val="-13"/>
          <w:w w:val="105"/>
        </w:rPr>
        <w:t> </w:t>
      </w:r>
      <w:r>
        <w:rPr>
          <w:spacing w:val="-2"/>
          <w:w w:val="105"/>
        </w:rPr>
        <w:t>borrower’s</w:t>
      </w:r>
      <w:r>
        <w:rPr>
          <w:spacing w:val="-13"/>
          <w:w w:val="105"/>
        </w:rPr>
        <w:t> </w:t>
      </w:r>
      <w:r>
        <w:rPr>
          <w:spacing w:val="-2"/>
          <w:w w:val="105"/>
        </w:rPr>
        <w:t>interest</w:t>
      </w:r>
      <w:r>
        <w:rPr>
          <w:spacing w:val="-13"/>
          <w:w w:val="105"/>
        </w:rPr>
        <w:t> </w:t>
      </w:r>
      <w:r>
        <w:rPr>
          <w:spacing w:val="-2"/>
          <w:w w:val="105"/>
        </w:rPr>
        <w:t>payment </w:t>
      </w:r>
      <w:r>
        <w:rPr/>
        <w:t>obligations from 2020 to 2022. However, in anticipation of the escrow </w:t>
      </w:r>
      <w:r>
        <w:rPr/>
        <w:t>account </w:t>
      </w:r>
      <w:r>
        <w:rPr>
          <w:w w:val="105"/>
        </w:rPr>
        <w:t>balance</w:t>
      </w:r>
      <w:r>
        <w:rPr>
          <w:spacing w:val="-17"/>
          <w:w w:val="105"/>
        </w:rPr>
        <w:t> </w:t>
      </w:r>
      <w:r>
        <w:rPr>
          <w:w w:val="105"/>
        </w:rPr>
        <w:t>being</w:t>
      </w:r>
      <w:r>
        <w:rPr>
          <w:spacing w:val="-17"/>
          <w:w w:val="105"/>
        </w:rPr>
        <w:t> </w:t>
      </w:r>
      <w:r>
        <w:rPr>
          <w:w w:val="105"/>
        </w:rPr>
        <w:t>depleted</w:t>
      </w:r>
      <w:r>
        <w:rPr>
          <w:spacing w:val="-17"/>
          <w:w w:val="105"/>
        </w:rPr>
        <w:t> </w:t>
      </w:r>
      <w:r>
        <w:rPr>
          <w:w w:val="105"/>
        </w:rPr>
        <w:t>to</w:t>
      </w:r>
      <w:r>
        <w:rPr>
          <w:spacing w:val="-17"/>
          <w:w w:val="105"/>
        </w:rPr>
        <w:t> </w:t>
      </w:r>
      <w:r>
        <w:rPr>
          <w:w w:val="105"/>
        </w:rPr>
        <w:t>nearly</w:t>
      </w:r>
      <w:r>
        <w:rPr>
          <w:spacing w:val="-17"/>
          <w:w w:val="105"/>
        </w:rPr>
        <w:t> </w:t>
      </w:r>
      <w:r>
        <w:rPr>
          <w:w w:val="105"/>
        </w:rPr>
        <w:t>zero</w:t>
      </w:r>
      <w:r>
        <w:rPr>
          <w:spacing w:val="-17"/>
          <w:w w:val="105"/>
        </w:rPr>
        <w:t> </w:t>
      </w:r>
      <w:r>
        <w:rPr>
          <w:w w:val="105"/>
        </w:rPr>
        <w:t>by</w:t>
      </w:r>
      <w:r>
        <w:rPr>
          <w:spacing w:val="-17"/>
          <w:w w:val="105"/>
        </w:rPr>
        <w:t> </w:t>
      </w:r>
      <w:r>
        <w:rPr>
          <w:w w:val="105"/>
        </w:rPr>
        <w:t>mid-2022,</w:t>
      </w:r>
      <w:r>
        <w:rPr>
          <w:spacing w:val="-17"/>
          <w:w w:val="105"/>
        </w:rPr>
        <w:t> </w:t>
      </w:r>
      <w:r>
        <w:rPr>
          <w:w w:val="105"/>
        </w:rPr>
        <w:t>CDB</w:t>
      </w:r>
      <w:r>
        <w:rPr>
          <w:spacing w:val="-17"/>
          <w:w w:val="105"/>
        </w:rPr>
        <w:t> </w:t>
      </w:r>
      <w:r>
        <w:rPr>
          <w:w w:val="105"/>
        </w:rPr>
        <w:t>demanded</w:t>
      </w:r>
      <w:r>
        <w:rPr>
          <w:spacing w:val="-17"/>
          <w:w w:val="105"/>
        </w:rPr>
        <w:t> </w:t>
      </w:r>
      <w:r>
        <w:rPr>
          <w:w w:val="105"/>
        </w:rPr>
        <w:t>that</w:t>
      </w:r>
      <w:r>
        <w:rPr>
          <w:spacing w:val="-17"/>
          <w:w w:val="105"/>
        </w:rPr>
        <w:t> </w:t>
      </w:r>
      <w:r>
        <w:rPr>
          <w:w w:val="105"/>
        </w:rPr>
        <w:t>the borrower</w:t>
      </w:r>
      <w:r>
        <w:rPr>
          <w:spacing w:val="-3"/>
          <w:w w:val="105"/>
        </w:rPr>
        <w:t> </w:t>
      </w:r>
      <w:r>
        <w:rPr>
          <w:w w:val="105"/>
        </w:rPr>
        <w:t>replenish</w:t>
      </w:r>
      <w:r>
        <w:rPr>
          <w:spacing w:val="-3"/>
          <w:w w:val="105"/>
        </w:rPr>
        <w:t> </w:t>
      </w:r>
      <w:r>
        <w:rPr>
          <w:w w:val="105"/>
        </w:rPr>
        <w:t>the</w:t>
      </w:r>
      <w:r>
        <w:rPr>
          <w:spacing w:val="-3"/>
          <w:w w:val="105"/>
        </w:rPr>
        <w:t> </w:t>
      </w:r>
      <w:r>
        <w:rPr>
          <w:w w:val="105"/>
        </w:rPr>
        <w:t>account</w:t>
      </w:r>
      <w:r>
        <w:rPr>
          <w:spacing w:val="-3"/>
          <w:w w:val="105"/>
        </w:rPr>
        <w:t> </w:t>
      </w:r>
      <w:r>
        <w:rPr>
          <w:w w:val="105"/>
        </w:rPr>
        <w:t>to</w:t>
      </w:r>
      <w:r>
        <w:rPr>
          <w:spacing w:val="-3"/>
          <w:w w:val="105"/>
        </w:rPr>
        <w:t> </w:t>
      </w:r>
      <w:r>
        <w:rPr>
          <w:w w:val="105"/>
        </w:rPr>
        <w:t>$1.5</w:t>
      </w:r>
      <w:r>
        <w:rPr>
          <w:spacing w:val="-3"/>
          <w:w w:val="105"/>
        </w:rPr>
        <w:t> </w:t>
      </w:r>
      <w:r>
        <w:rPr>
          <w:w w:val="105"/>
        </w:rPr>
        <w:t>billion</w:t>
      </w:r>
      <w:r>
        <w:rPr>
          <w:spacing w:val="-3"/>
          <w:w w:val="105"/>
        </w:rPr>
        <w:t> </w:t>
      </w:r>
      <w:r>
        <w:rPr>
          <w:w w:val="105"/>
        </w:rPr>
        <w:t>by</w:t>
      </w:r>
      <w:r>
        <w:rPr>
          <w:spacing w:val="-3"/>
          <w:w w:val="105"/>
        </w:rPr>
        <w:t> </w:t>
      </w:r>
      <w:r>
        <w:rPr>
          <w:w w:val="105"/>
        </w:rPr>
        <w:t>2023.</w:t>
      </w:r>
    </w:p>
    <w:p>
      <w:pPr>
        <w:pStyle w:val="BodyText"/>
        <w:spacing w:before="8"/>
        <w:rPr>
          <w:sz w:val="27"/>
        </w:rPr>
      </w:pPr>
    </w:p>
    <w:p>
      <w:pPr>
        <w:pStyle w:val="Heading4"/>
        <w:spacing w:line="357" w:lineRule="auto"/>
        <w:ind w:right="1551"/>
        <w:jc w:val="both"/>
      </w:pPr>
      <w:r>
        <w:rPr>
          <w:spacing w:val="-8"/>
        </w:rPr>
        <w:t>Risk mitigation strategy #3: Lending with higher interest rates, </w:t>
      </w:r>
      <w:r>
        <w:rPr>
          <w:spacing w:val="-10"/>
        </w:rPr>
        <w:t>shorter</w:t>
      </w:r>
      <w:r>
        <w:rPr>
          <w:spacing w:val="-2"/>
        </w:rPr>
        <w:t> </w:t>
      </w:r>
      <w:r>
        <w:rPr>
          <w:spacing w:val="-10"/>
        </w:rPr>
        <w:t>repayment</w:t>
      </w:r>
      <w:r>
        <w:rPr>
          <w:spacing w:val="-2"/>
        </w:rPr>
        <w:t> </w:t>
      </w:r>
      <w:r>
        <w:rPr>
          <w:spacing w:val="-10"/>
        </w:rPr>
        <w:t>periods,</w:t>
      </w:r>
      <w:r>
        <w:rPr>
          <w:spacing w:val="-2"/>
        </w:rPr>
        <w:t> </w:t>
      </w:r>
      <w:r>
        <w:rPr>
          <w:spacing w:val="-10"/>
        </w:rPr>
        <w:t>more</w:t>
      </w:r>
      <w:r>
        <w:rPr>
          <w:spacing w:val="-2"/>
        </w:rPr>
        <w:t> </w:t>
      </w:r>
      <w:r>
        <w:rPr>
          <w:spacing w:val="-10"/>
        </w:rPr>
        <w:t>safeguards,</w:t>
      </w:r>
      <w:r>
        <w:rPr>
          <w:spacing w:val="-2"/>
        </w:rPr>
        <w:t> </w:t>
      </w:r>
      <w:r>
        <w:rPr>
          <w:spacing w:val="-10"/>
        </w:rPr>
        <w:t>and</w:t>
      </w:r>
      <w:r>
        <w:rPr>
          <w:spacing w:val="-2"/>
        </w:rPr>
        <w:t> </w:t>
      </w:r>
      <w:r>
        <w:rPr>
          <w:spacing w:val="-10"/>
        </w:rPr>
        <w:t>more</w:t>
      </w:r>
      <w:r>
        <w:rPr>
          <w:spacing w:val="-2"/>
        </w:rPr>
        <w:t> </w:t>
      </w:r>
      <w:r>
        <w:rPr>
          <w:spacing w:val="-10"/>
        </w:rPr>
        <w:t>severe </w:t>
      </w:r>
      <w:r>
        <w:rPr/>
        <w:t>penalties for default</w:t>
      </w:r>
    </w:p>
    <w:p>
      <w:pPr>
        <w:pStyle w:val="BodyText"/>
        <w:spacing w:line="333" w:lineRule="auto" w:before="81"/>
        <w:ind w:left="760" w:right="815"/>
      </w:pPr>
      <w:r>
        <w:rPr/>
        <w:t>One way to go about de-risking an overseas lending portfolio—on a going forward basis (“future-prooﬁng”)—is to reduce the provision of concessional credit. Lending on below-market terms is risky from a creditor perspective for multiple reasons.</w:t>
      </w:r>
      <w:r>
        <w:rPr>
          <w:vertAlign w:val="superscript"/>
        </w:rPr>
        <w:t>172</w:t>
      </w:r>
      <w:r>
        <w:rPr>
          <w:vertAlign w:val="baseline"/>
        </w:rPr>
        <w:t> First, any subsidy from a creditor to a borrower implies that the creditor will achieve a smaller investment return than it would in the absence of the subsidy. Second, most concessional loans carry low interest rates that are ﬁxed rather than ﬂoating, so a creditor that provides such loans must bear all of the</w:t>
      </w:r>
      <w:r>
        <w:rPr>
          <w:spacing w:val="22"/>
          <w:vertAlign w:val="baseline"/>
        </w:rPr>
        <w:t> </w:t>
      </w:r>
      <w:r>
        <w:rPr>
          <w:vertAlign w:val="baseline"/>
        </w:rPr>
        <w:t>risk</w:t>
      </w:r>
      <w:r>
        <w:rPr>
          <w:spacing w:val="22"/>
          <w:vertAlign w:val="baseline"/>
        </w:rPr>
        <w:t> </w:t>
      </w:r>
      <w:r>
        <w:rPr>
          <w:vertAlign w:val="baseline"/>
        </w:rPr>
        <w:t>associated</w:t>
      </w:r>
      <w:r>
        <w:rPr>
          <w:spacing w:val="22"/>
          <w:vertAlign w:val="baseline"/>
        </w:rPr>
        <w:t> </w:t>
      </w:r>
      <w:r>
        <w:rPr>
          <w:vertAlign w:val="baseline"/>
        </w:rPr>
        <w:t>with</w:t>
      </w:r>
      <w:r>
        <w:rPr>
          <w:spacing w:val="22"/>
          <w:vertAlign w:val="baseline"/>
        </w:rPr>
        <w:t> </w:t>
      </w:r>
      <w:r>
        <w:rPr>
          <w:vertAlign w:val="baseline"/>
        </w:rPr>
        <w:t>its</w:t>
      </w:r>
      <w:r>
        <w:rPr>
          <w:spacing w:val="22"/>
          <w:vertAlign w:val="baseline"/>
        </w:rPr>
        <w:t> </w:t>
      </w:r>
      <w:r>
        <w:rPr>
          <w:vertAlign w:val="baseline"/>
        </w:rPr>
        <w:t>“cost</w:t>
      </w:r>
      <w:r>
        <w:rPr>
          <w:spacing w:val="22"/>
          <w:vertAlign w:val="baseline"/>
        </w:rPr>
        <w:t> </w:t>
      </w:r>
      <w:r>
        <w:rPr>
          <w:vertAlign w:val="baseline"/>
        </w:rPr>
        <w:t>of</w:t>
      </w:r>
      <w:r>
        <w:rPr>
          <w:spacing w:val="22"/>
          <w:vertAlign w:val="baseline"/>
        </w:rPr>
        <w:t> </w:t>
      </w:r>
      <w:r>
        <w:rPr>
          <w:vertAlign w:val="baseline"/>
        </w:rPr>
        <w:t>funds”</w:t>
      </w:r>
      <w:r>
        <w:rPr>
          <w:spacing w:val="22"/>
          <w:vertAlign w:val="baseline"/>
        </w:rPr>
        <w:t> </w:t>
      </w:r>
      <w:r>
        <w:rPr>
          <w:vertAlign w:val="baseline"/>
        </w:rPr>
        <w:t>increasing</w:t>
      </w:r>
      <w:r>
        <w:rPr>
          <w:spacing w:val="22"/>
          <w:vertAlign w:val="baseline"/>
        </w:rPr>
        <w:t> </w:t>
      </w:r>
      <w:r>
        <w:rPr>
          <w:vertAlign w:val="baseline"/>
        </w:rPr>
        <w:t>over</w:t>
      </w:r>
      <w:r>
        <w:rPr>
          <w:spacing w:val="22"/>
          <w:vertAlign w:val="baseline"/>
        </w:rPr>
        <w:t> </w:t>
      </w:r>
      <w:r>
        <w:rPr>
          <w:vertAlign w:val="baseline"/>
        </w:rPr>
        <w:t>time.</w:t>
      </w:r>
      <w:r>
        <w:rPr>
          <w:vertAlign w:val="superscript"/>
        </w:rPr>
        <w:t>173</w:t>
      </w:r>
      <w:r>
        <w:rPr>
          <w:spacing w:val="20"/>
          <w:vertAlign w:val="baseline"/>
        </w:rPr>
        <w:t> </w:t>
      </w:r>
      <w:r>
        <w:rPr>
          <w:vertAlign w:val="baseline"/>
        </w:rPr>
        <w:t>As</w:t>
      </w:r>
      <w:r>
        <w:rPr>
          <w:spacing w:val="22"/>
          <w:vertAlign w:val="baseline"/>
        </w:rPr>
        <w:t> </w:t>
      </w:r>
      <w:r>
        <w:rPr>
          <w:vertAlign w:val="baseline"/>
        </w:rPr>
        <w:t>the</w:t>
      </w:r>
      <w:r>
        <w:rPr>
          <w:spacing w:val="22"/>
          <w:vertAlign w:val="baseline"/>
        </w:rPr>
        <w:t> </w:t>
      </w:r>
      <w:r>
        <w:rPr>
          <w:vertAlign w:val="baseline"/>
        </w:rPr>
        <w:t>“cost of funds” increases (for example, due to an increase in interbank lending rates </w:t>
      </w:r>
      <w:r>
        <w:rPr>
          <w:vertAlign w:val="baseline"/>
        </w:rPr>
        <w:t>or an increase in the cost of borrowing via bonds issued on capital markets), the creditor’s incentive to offer concessional loans with low, ﬁxed interest rates weakens. Third, concessional loans from ofﬁcial creditors are subject to substantially larger haircuts (investor losses) than loans from commercial creditors.</w:t>
      </w:r>
      <w:r>
        <w:rPr>
          <w:vertAlign w:val="superscript"/>
        </w:rPr>
        <w:t>174</w:t>
      </w:r>
      <w:r>
        <w:rPr>
          <w:vertAlign w:val="baseline"/>
        </w:rPr>
        <w:t> Therefore, if SAFE—a central government institution with discretionary authority to entrust surplus foreign exchange to “ofﬁcial creditors” like China Eximbank or “commercial creditors” like Bank of China (see Box 2b</w:t>
      </w:r>
      <w:r>
        <w:rPr>
          <w:spacing w:val="80"/>
          <w:vertAlign w:val="baseline"/>
        </w:rPr>
        <w:t> </w:t>
      </w:r>
      <w:r>
        <w:rPr>
          <w:vertAlign w:val="baseline"/>
        </w:rPr>
        <w:t>for more on SAFE’s role)—wanted to de-risk the country’s overseas loan portfolio, it might seek to minimize future losses (i.e., future-proof the portfolio)</w:t>
      </w:r>
    </w:p>
    <w:p>
      <w:pPr>
        <w:pStyle w:val="BodyText"/>
        <w:spacing w:before="10"/>
        <w:rPr>
          <w:sz w:val="27"/>
        </w:rPr>
      </w:pPr>
      <w:r>
        <w:rPr/>
        <w:pict>
          <v:shape style="position:absolute;margin-left:90pt;margin-top:17.270704pt;width:144pt;height:.1pt;mso-position-horizontal-relative:page;mso-position-vertical-relative:paragraph;z-index:-15691264;mso-wrap-distance-left:0;mso-wrap-distance-right:0" id="docshape67" coordorigin="1800,345" coordsize="2880,0" path="m1800,345l4680,345e" filled="false" stroked="true" strokeweight=".75pt" strokecolor="#000000">
            <v:path arrowok="t"/>
            <v:stroke dashstyle="solid"/>
            <w10:wrap type="topAndBottom"/>
          </v:shape>
        </w:pict>
      </w:r>
    </w:p>
    <w:p>
      <w:pPr>
        <w:spacing w:line="249" w:lineRule="auto" w:before="112"/>
        <w:ind w:left="760" w:right="781" w:firstLine="0"/>
        <w:jc w:val="left"/>
        <w:rPr>
          <w:sz w:val="18"/>
        </w:rPr>
      </w:pPr>
      <w:r>
        <w:rPr>
          <w:sz w:val="18"/>
          <w:vertAlign w:val="superscript"/>
        </w:rPr>
        <w:t>172</w:t>
      </w:r>
      <w:r>
        <w:rPr>
          <w:spacing w:val="-1"/>
          <w:sz w:val="18"/>
          <w:vertAlign w:val="baseline"/>
        </w:rPr>
        <w:t> </w:t>
      </w:r>
      <w:r>
        <w:rPr>
          <w:sz w:val="18"/>
          <w:vertAlign w:val="baseline"/>
        </w:rPr>
        <w:t>If a creditor issues a loan to a borrower at an interest rate that is lower than its own borrowing terms </w:t>
      </w:r>
      <w:r>
        <w:rPr>
          <w:sz w:val="18"/>
          <w:vertAlign w:val="baseline"/>
        </w:rPr>
        <w:t>(i.e., </w:t>
      </w:r>
      <w:r>
        <w:rPr>
          <w:w w:val="105"/>
          <w:sz w:val="18"/>
          <w:vertAlign w:val="baseline"/>
        </w:rPr>
        <w:t>“cost</w:t>
      </w:r>
      <w:r>
        <w:rPr>
          <w:spacing w:val="-3"/>
          <w:w w:val="105"/>
          <w:sz w:val="18"/>
          <w:vertAlign w:val="baseline"/>
        </w:rPr>
        <w:t> </w:t>
      </w:r>
      <w:r>
        <w:rPr>
          <w:w w:val="105"/>
          <w:sz w:val="18"/>
          <w:vertAlign w:val="baseline"/>
        </w:rPr>
        <w:t>of</w:t>
      </w:r>
      <w:r>
        <w:rPr>
          <w:spacing w:val="-3"/>
          <w:w w:val="105"/>
          <w:sz w:val="18"/>
          <w:vertAlign w:val="baseline"/>
        </w:rPr>
        <w:t> </w:t>
      </w:r>
      <w:r>
        <w:rPr>
          <w:w w:val="105"/>
          <w:sz w:val="18"/>
          <w:vertAlign w:val="baseline"/>
        </w:rPr>
        <w:t>funds”)</w:t>
      </w:r>
      <w:r>
        <w:rPr>
          <w:spacing w:val="-3"/>
          <w:w w:val="105"/>
          <w:sz w:val="18"/>
          <w:vertAlign w:val="baseline"/>
        </w:rPr>
        <w:t> </w:t>
      </w:r>
      <w:r>
        <w:rPr>
          <w:w w:val="105"/>
          <w:sz w:val="18"/>
          <w:vertAlign w:val="baseline"/>
        </w:rPr>
        <w:t>at</w:t>
      </w:r>
      <w:r>
        <w:rPr>
          <w:spacing w:val="-3"/>
          <w:w w:val="105"/>
          <w:sz w:val="18"/>
          <w:vertAlign w:val="baseline"/>
        </w:rPr>
        <w:t> </w:t>
      </w:r>
      <w:r>
        <w:rPr>
          <w:w w:val="105"/>
          <w:sz w:val="18"/>
          <w:vertAlign w:val="baseline"/>
        </w:rPr>
        <w:t>the</w:t>
      </w:r>
      <w:r>
        <w:rPr>
          <w:spacing w:val="-3"/>
          <w:w w:val="105"/>
          <w:sz w:val="18"/>
          <w:vertAlign w:val="baseline"/>
        </w:rPr>
        <w:t> </w:t>
      </w:r>
      <w:r>
        <w:rPr>
          <w:w w:val="105"/>
          <w:sz w:val="18"/>
          <w:vertAlign w:val="baseline"/>
        </w:rPr>
        <w:t>time</w:t>
      </w:r>
      <w:r>
        <w:rPr>
          <w:spacing w:val="-3"/>
          <w:w w:val="105"/>
          <w:sz w:val="18"/>
          <w:vertAlign w:val="baseline"/>
        </w:rPr>
        <w:t> </w:t>
      </w:r>
      <w:r>
        <w:rPr>
          <w:w w:val="105"/>
          <w:sz w:val="18"/>
          <w:vertAlign w:val="baseline"/>
        </w:rPr>
        <w:t>the</w:t>
      </w:r>
      <w:r>
        <w:rPr>
          <w:spacing w:val="-3"/>
          <w:w w:val="105"/>
          <w:sz w:val="18"/>
          <w:vertAlign w:val="baseline"/>
        </w:rPr>
        <w:t> </w:t>
      </w:r>
      <w:r>
        <w:rPr>
          <w:w w:val="105"/>
          <w:sz w:val="18"/>
          <w:vertAlign w:val="baseline"/>
        </w:rPr>
        <w:t>loan</w:t>
      </w:r>
      <w:r>
        <w:rPr>
          <w:spacing w:val="-3"/>
          <w:w w:val="105"/>
          <w:sz w:val="18"/>
          <w:vertAlign w:val="baseline"/>
        </w:rPr>
        <w:t> </w:t>
      </w:r>
      <w:r>
        <w:rPr>
          <w:w w:val="105"/>
          <w:sz w:val="18"/>
          <w:vertAlign w:val="baseline"/>
        </w:rPr>
        <w:t>is</w:t>
      </w:r>
      <w:r>
        <w:rPr>
          <w:spacing w:val="-3"/>
          <w:w w:val="105"/>
          <w:sz w:val="18"/>
          <w:vertAlign w:val="baseline"/>
        </w:rPr>
        <w:t> </w:t>
      </w:r>
      <w:r>
        <w:rPr>
          <w:w w:val="105"/>
          <w:sz w:val="18"/>
          <w:vertAlign w:val="baseline"/>
        </w:rPr>
        <w:t>issued,</w:t>
      </w:r>
      <w:r>
        <w:rPr>
          <w:spacing w:val="-3"/>
          <w:w w:val="105"/>
          <w:sz w:val="18"/>
          <w:vertAlign w:val="baseline"/>
        </w:rPr>
        <w:t> </w:t>
      </w:r>
      <w:r>
        <w:rPr>
          <w:w w:val="105"/>
          <w:sz w:val="18"/>
          <w:vertAlign w:val="baseline"/>
        </w:rPr>
        <w:t>the</w:t>
      </w:r>
      <w:r>
        <w:rPr>
          <w:spacing w:val="-3"/>
          <w:w w:val="105"/>
          <w:sz w:val="18"/>
          <w:vertAlign w:val="baseline"/>
        </w:rPr>
        <w:t> </w:t>
      </w:r>
      <w:r>
        <w:rPr>
          <w:w w:val="105"/>
          <w:sz w:val="18"/>
          <w:vertAlign w:val="baseline"/>
        </w:rPr>
        <w:t>creditor</w:t>
      </w:r>
      <w:r>
        <w:rPr>
          <w:spacing w:val="-3"/>
          <w:w w:val="105"/>
          <w:sz w:val="18"/>
          <w:vertAlign w:val="baseline"/>
        </w:rPr>
        <w:t> </w:t>
      </w:r>
      <w:r>
        <w:rPr>
          <w:w w:val="105"/>
          <w:sz w:val="18"/>
          <w:vertAlign w:val="baseline"/>
        </w:rPr>
        <w:t>is</w:t>
      </w:r>
      <w:r>
        <w:rPr>
          <w:spacing w:val="-3"/>
          <w:w w:val="105"/>
          <w:sz w:val="18"/>
          <w:vertAlign w:val="baseline"/>
        </w:rPr>
        <w:t> </w:t>
      </w:r>
      <w:r>
        <w:rPr>
          <w:w w:val="105"/>
          <w:sz w:val="18"/>
          <w:vertAlign w:val="baseline"/>
        </w:rPr>
        <w:t>lending</w:t>
      </w:r>
      <w:r>
        <w:rPr>
          <w:spacing w:val="-3"/>
          <w:w w:val="105"/>
          <w:sz w:val="18"/>
          <w:vertAlign w:val="baseline"/>
        </w:rPr>
        <w:t> </w:t>
      </w:r>
      <w:r>
        <w:rPr>
          <w:w w:val="105"/>
          <w:sz w:val="18"/>
          <w:vertAlign w:val="baseline"/>
        </w:rPr>
        <w:t>to</w:t>
      </w:r>
      <w:r>
        <w:rPr>
          <w:spacing w:val="-3"/>
          <w:w w:val="105"/>
          <w:sz w:val="18"/>
          <w:vertAlign w:val="baseline"/>
        </w:rPr>
        <w:t> </w:t>
      </w:r>
      <w:r>
        <w:rPr>
          <w:w w:val="105"/>
          <w:sz w:val="18"/>
          <w:vertAlign w:val="baseline"/>
        </w:rPr>
        <w:t>the</w:t>
      </w:r>
      <w:r>
        <w:rPr>
          <w:spacing w:val="-3"/>
          <w:w w:val="105"/>
          <w:sz w:val="18"/>
          <w:vertAlign w:val="baseline"/>
        </w:rPr>
        <w:t> </w:t>
      </w:r>
      <w:r>
        <w:rPr>
          <w:w w:val="105"/>
          <w:sz w:val="18"/>
          <w:vertAlign w:val="baseline"/>
        </w:rPr>
        <w:t>borrower</w:t>
      </w:r>
      <w:r>
        <w:rPr>
          <w:spacing w:val="-3"/>
          <w:w w:val="105"/>
          <w:sz w:val="18"/>
          <w:vertAlign w:val="baseline"/>
        </w:rPr>
        <w:t> </w:t>
      </w:r>
      <w:r>
        <w:rPr>
          <w:w w:val="105"/>
          <w:sz w:val="18"/>
          <w:vertAlign w:val="baseline"/>
        </w:rPr>
        <w:t>at</w:t>
      </w:r>
      <w:r>
        <w:rPr>
          <w:spacing w:val="-3"/>
          <w:w w:val="105"/>
          <w:sz w:val="18"/>
          <w:vertAlign w:val="baseline"/>
        </w:rPr>
        <w:t> </w:t>
      </w:r>
      <w:r>
        <w:rPr>
          <w:w w:val="105"/>
          <w:sz w:val="18"/>
          <w:vertAlign w:val="baseline"/>
        </w:rPr>
        <w:t>a</w:t>
      </w:r>
      <w:r>
        <w:rPr>
          <w:spacing w:val="-3"/>
          <w:w w:val="105"/>
          <w:sz w:val="18"/>
          <w:vertAlign w:val="baseline"/>
        </w:rPr>
        <w:t> </w:t>
      </w:r>
      <w:r>
        <w:rPr>
          <w:w w:val="105"/>
          <w:sz w:val="18"/>
          <w:vertAlign w:val="baseline"/>
        </w:rPr>
        <w:t>“below-market” </w:t>
      </w:r>
      <w:r>
        <w:rPr>
          <w:sz w:val="18"/>
          <w:vertAlign w:val="baseline"/>
        </w:rPr>
        <w:t>rate. There is signiﬁcant “cost of funds” variation across Chinese banks and loans denominated in different currencies (Chen 2020a). With respect to RMB-denominated loans, the state-owned commercial banks </w:t>
      </w:r>
      <w:r>
        <w:rPr>
          <w:w w:val="105"/>
          <w:sz w:val="18"/>
          <w:vertAlign w:val="baseline"/>
        </w:rPr>
        <w:t>mobilize</w:t>
      </w:r>
      <w:r>
        <w:rPr>
          <w:spacing w:val="-10"/>
          <w:w w:val="105"/>
          <w:sz w:val="18"/>
          <w:vertAlign w:val="baseline"/>
        </w:rPr>
        <w:t> </w:t>
      </w:r>
      <w:r>
        <w:rPr>
          <w:w w:val="105"/>
          <w:sz w:val="18"/>
          <w:vertAlign w:val="baseline"/>
        </w:rPr>
        <w:t>funds</w:t>
      </w:r>
      <w:r>
        <w:rPr>
          <w:spacing w:val="-10"/>
          <w:w w:val="105"/>
          <w:sz w:val="18"/>
          <w:vertAlign w:val="baseline"/>
        </w:rPr>
        <w:t> </w:t>
      </w:r>
      <w:r>
        <w:rPr>
          <w:w w:val="105"/>
          <w:sz w:val="18"/>
          <w:vertAlign w:val="baseline"/>
        </w:rPr>
        <w:t>by</w:t>
      </w:r>
      <w:r>
        <w:rPr>
          <w:spacing w:val="-10"/>
          <w:w w:val="105"/>
          <w:sz w:val="18"/>
          <w:vertAlign w:val="baseline"/>
        </w:rPr>
        <w:t> </w:t>
      </w:r>
      <w:r>
        <w:rPr>
          <w:w w:val="105"/>
          <w:sz w:val="18"/>
          <w:vertAlign w:val="baseline"/>
        </w:rPr>
        <w:t>accepting</w:t>
      </w:r>
      <w:r>
        <w:rPr>
          <w:spacing w:val="-10"/>
          <w:w w:val="105"/>
          <w:sz w:val="18"/>
          <w:vertAlign w:val="baseline"/>
        </w:rPr>
        <w:t> </w:t>
      </w:r>
      <w:r>
        <w:rPr>
          <w:w w:val="105"/>
          <w:sz w:val="18"/>
          <w:vertAlign w:val="baseline"/>
        </w:rPr>
        <w:t>deposits</w:t>
      </w:r>
      <w:r>
        <w:rPr>
          <w:spacing w:val="-10"/>
          <w:w w:val="105"/>
          <w:sz w:val="18"/>
          <w:vertAlign w:val="baseline"/>
        </w:rPr>
        <w:t> </w:t>
      </w:r>
      <w:r>
        <w:rPr>
          <w:w w:val="105"/>
          <w:sz w:val="18"/>
          <w:vertAlign w:val="baseline"/>
        </w:rPr>
        <w:t>(with</w:t>
      </w:r>
      <w:r>
        <w:rPr>
          <w:spacing w:val="-10"/>
          <w:w w:val="105"/>
          <w:sz w:val="18"/>
          <w:vertAlign w:val="baseline"/>
        </w:rPr>
        <w:t> </w:t>
      </w:r>
      <w:r>
        <w:rPr>
          <w:w w:val="105"/>
          <w:sz w:val="18"/>
          <w:vertAlign w:val="baseline"/>
        </w:rPr>
        <w:t>the</w:t>
      </w:r>
      <w:r>
        <w:rPr>
          <w:spacing w:val="-10"/>
          <w:w w:val="105"/>
          <w:sz w:val="18"/>
          <w:vertAlign w:val="baseline"/>
        </w:rPr>
        <w:t> </w:t>
      </w:r>
      <w:r>
        <w:rPr>
          <w:w w:val="105"/>
          <w:sz w:val="18"/>
          <w:vertAlign w:val="baseline"/>
        </w:rPr>
        <w:t>deposit</w:t>
      </w:r>
      <w:r>
        <w:rPr>
          <w:spacing w:val="-10"/>
          <w:w w:val="105"/>
          <w:sz w:val="18"/>
          <w:vertAlign w:val="baseline"/>
        </w:rPr>
        <w:t> </w:t>
      </w:r>
      <w:r>
        <w:rPr>
          <w:w w:val="105"/>
          <w:sz w:val="18"/>
          <w:vertAlign w:val="baseline"/>
        </w:rPr>
        <w:t>rate</w:t>
      </w:r>
      <w:r>
        <w:rPr>
          <w:spacing w:val="-10"/>
          <w:w w:val="105"/>
          <w:sz w:val="18"/>
          <w:vertAlign w:val="baseline"/>
        </w:rPr>
        <w:t> </w:t>
      </w:r>
      <w:r>
        <w:rPr>
          <w:w w:val="105"/>
          <w:sz w:val="18"/>
          <w:vertAlign w:val="baseline"/>
        </w:rPr>
        <w:t>at</w:t>
      </w:r>
      <w:r>
        <w:rPr>
          <w:spacing w:val="-10"/>
          <w:w w:val="105"/>
          <w:sz w:val="18"/>
          <w:vertAlign w:val="baseline"/>
        </w:rPr>
        <w:t> </w:t>
      </w:r>
      <w:r>
        <w:rPr>
          <w:w w:val="105"/>
          <w:sz w:val="18"/>
          <w:vertAlign w:val="baseline"/>
        </w:rPr>
        <w:t>1-2%),</w:t>
      </w:r>
      <w:r>
        <w:rPr>
          <w:spacing w:val="-10"/>
          <w:w w:val="105"/>
          <w:sz w:val="18"/>
          <w:vertAlign w:val="baseline"/>
        </w:rPr>
        <w:t> </w:t>
      </w:r>
      <w:r>
        <w:rPr>
          <w:w w:val="105"/>
          <w:sz w:val="18"/>
          <w:vertAlign w:val="baseline"/>
        </w:rPr>
        <w:t>while</w:t>
      </w:r>
      <w:r>
        <w:rPr>
          <w:spacing w:val="-10"/>
          <w:w w:val="105"/>
          <w:sz w:val="18"/>
          <w:vertAlign w:val="baseline"/>
        </w:rPr>
        <w:t> </w:t>
      </w:r>
      <w:r>
        <w:rPr>
          <w:w w:val="105"/>
          <w:sz w:val="18"/>
          <w:vertAlign w:val="baseline"/>
        </w:rPr>
        <w:t>the</w:t>
      </w:r>
      <w:r>
        <w:rPr>
          <w:spacing w:val="-10"/>
          <w:w w:val="105"/>
          <w:sz w:val="18"/>
          <w:vertAlign w:val="baseline"/>
        </w:rPr>
        <w:t> </w:t>
      </w:r>
      <w:r>
        <w:rPr>
          <w:w w:val="105"/>
          <w:sz w:val="18"/>
          <w:vertAlign w:val="baseline"/>
        </w:rPr>
        <w:t>state-owned</w:t>
      </w:r>
      <w:r>
        <w:rPr>
          <w:spacing w:val="-10"/>
          <w:w w:val="105"/>
          <w:sz w:val="18"/>
          <w:vertAlign w:val="baseline"/>
        </w:rPr>
        <w:t> </w:t>
      </w:r>
      <w:r>
        <w:rPr>
          <w:w w:val="105"/>
          <w:sz w:val="18"/>
          <w:vertAlign w:val="baseline"/>
        </w:rPr>
        <w:t>policy</w:t>
      </w:r>
      <w:r>
        <w:rPr>
          <w:spacing w:val="-10"/>
          <w:w w:val="105"/>
          <w:sz w:val="18"/>
          <w:vertAlign w:val="baseline"/>
        </w:rPr>
        <w:t> </w:t>
      </w:r>
      <w:r>
        <w:rPr>
          <w:w w:val="105"/>
          <w:sz w:val="18"/>
          <w:vertAlign w:val="baseline"/>
        </w:rPr>
        <w:t>banks mobilize</w:t>
      </w:r>
      <w:r>
        <w:rPr>
          <w:spacing w:val="-14"/>
          <w:w w:val="105"/>
          <w:sz w:val="18"/>
          <w:vertAlign w:val="baseline"/>
        </w:rPr>
        <w:t> </w:t>
      </w:r>
      <w:r>
        <w:rPr>
          <w:w w:val="105"/>
          <w:sz w:val="18"/>
          <w:vertAlign w:val="baseline"/>
        </w:rPr>
        <w:t>funds</w:t>
      </w:r>
      <w:r>
        <w:rPr>
          <w:spacing w:val="-13"/>
          <w:w w:val="105"/>
          <w:sz w:val="18"/>
          <w:vertAlign w:val="baseline"/>
        </w:rPr>
        <w:t> </w:t>
      </w:r>
      <w:r>
        <w:rPr>
          <w:w w:val="105"/>
          <w:sz w:val="18"/>
          <w:vertAlign w:val="baseline"/>
        </w:rPr>
        <w:t>by</w:t>
      </w:r>
      <w:r>
        <w:rPr>
          <w:spacing w:val="-13"/>
          <w:w w:val="105"/>
          <w:sz w:val="18"/>
          <w:vertAlign w:val="baseline"/>
        </w:rPr>
        <w:t> </w:t>
      </w:r>
      <w:r>
        <w:rPr>
          <w:w w:val="105"/>
          <w:sz w:val="18"/>
          <w:vertAlign w:val="baseline"/>
        </w:rPr>
        <w:t>issuing</w:t>
      </w:r>
      <w:r>
        <w:rPr>
          <w:spacing w:val="-13"/>
          <w:w w:val="105"/>
          <w:sz w:val="18"/>
          <w:vertAlign w:val="baseline"/>
        </w:rPr>
        <w:t> </w:t>
      </w:r>
      <w:r>
        <w:rPr>
          <w:w w:val="105"/>
          <w:sz w:val="18"/>
          <w:vertAlign w:val="baseline"/>
        </w:rPr>
        <w:t>bonds</w:t>
      </w:r>
      <w:r>
        <w:rPr>
          <w:spacing w:val="-13"/>
          <w:w w:val="105"/>
          <w:sz w:val="18"/>
          <w:vertAlign w:val="baseline"/>
        </w:rPr>
        <w:t> </w:t>
      </w:r>
      <w:r>
        <w:rPr>
          <w:w w:val="105"/>
          <w:sz w:val="18"/>
          <w:vertAlign w:val="baseline"/>
        </w:rPr>
        <w:t>with</w:t>
      </w:r>
      <w:r>
        <w:rPr>
          <w:spacing w:val="-13"/>
          <w:w w:val="105"/>
          <w:sz w:val="18"/>
          <w:vertAlign w:val="baseline"/>
        </w:rPr>
        <w:t> </w:t>
      </w:r>
      <w:r>
        <w:rPr>
          <w:w w:val="105"/>
          <w:sz w:val="18"/>
          <w:vertAlign w:val="baseline"/>
        </w:rPr>
        <w:t>yields</w:t>
      </w:r>
      <w:r>
        <w:rPr>
          <w:spacing w:val="-13"/>
          <w:w w:val="105"/>
          <w:sz w:val="18"/>
          <w:vertAlign w:val="baseline"/>
        </w:rPr>
        <w:t> </w:t>
      </w:r>
      <w:r>
        <w:rPr>
          <w:w w:val="105"/>
          <w:sz w:val="18"/>
          <w:vertAlign w:val="baseline"/>
        </w:rPr>
        <w:t>of</w:t>
      </w:r>
      <w:r>
        <w:rPr>
          <w:spacing w:val="-14"/>
          <w:w w:val="105"/>
          <w:sz w:val="18"/>
          <w:vertAlign w:val="baseline"/>
        </w:rPr>
        <w:t> </w:t>
      </w:r>
      <w:r>
        <w:rPr>
          <w:w w:val="105"/>
          <w:sz w:val="18"/>
          <w:vertAlign w:val="baseline"/>
        </w:rPr>
        <w:t>3-5%.</w:t>
      </w:r>
      <w:r>
        <w:rPr>
          <w:spacing w:val="-13"/>
          <w:w w:val="105"/>
          <w:sz w:val="18"/>
          <w:vertAlign w:val="baseline"/>
        </w:rPr>
        <w:t> </w:t>
      </w:r>
      <w:r>
        <w:rPr>
          <w:w w:val="105"/>
          <w:sz w:val="18"/>
          <w:vertAlign w:val="baseline"/>
        </w:rPr>
        <w:t>With</w:t>
      </w:r>
      <w:r>
        <w:rPr>
          <w:spacing w:val="-13"/>
          <w:w w:val="105"/>
          <w:sz w:val="18"/>
          <w:vertAlign w:val="baseline"/>
        </w:rPr>
        <w:t> </w:t>
      </w:r>
      <w:r>
        <w:rPr>
          <w:w w:val="105"/>
          <w:sz w:val="18"/>
          <w:vertAlign w:val="baseline"/>
        </w:rPr>
        <w:t>respect</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foreign</w:t>
      </w:r>
      <w:r>
        <w:rPr>
          <w:spacing w:val="-13"/>
          <w:w w:val="105"/>
          <w:sz w:val="18"/>
          <w:vertAlign w:val="baseline"/>
        </w:rPr>
        <w:t> </w:t>
      </w:r>
      <w:r>
        <w:rPr>
          <w:w w:val="105"/>
          <w:sz w:val="18"/>
          <w:vertAlign w:val="baseline"/>
        </w:rPr>
        <w:t>currency-denominated</w:t>
      </w:r>
      <w:r>
        <w:rPr>
          <w:spacing w:val="-13"/>
          <w:w w:val="105"/>
          <w:sz w:val="18"/>
          <w:vertAlign w:val="baseline"/>
        </w:rPr>
        <w:t> </w:t>
      </w:r>
      <w:r>
        <w:rPr>
          <w:w w:val="105"/>
          <w:sz w:val="18"/>
          <w:vertAlign w:val="baseline"/>
        </w:rPr>
        <w:t>loans, the</w:t>
      </w:r>
      <w:r>
        <w:rPr>
          <w:spacing w:val="-11"/>
          <w:w w:val="105"/>
          <w:sz w:val="18"/>
          <w:vertAlign w:val="baseline"/>
        </w:rPr>
        <w:t> </w:t>
      </w:r>
      <w:r>
        <w:rPr>
          <w:w w:val="105"/>
          <w:sz w:val="18"/>
          <w:vertAlign w:val="baseline"/>
        </w:rPr>
        <w:t>state-owned</w:t>
      </w:r>
      <w:r>
        <w:rPr>
          <w:spacing w:val="-11"/>
          <w:w w:val="105"/>
          <w:sz w:val="18"/>
          <w:vertAlign w:val="baseline"/>
        </w:rPr>
        <w:t> </w:t>
      </w:r>
      <w:r>
        <w:rPr>
          <w:w w:val="105"/>
          <w:sz w:val="18"/>
          <w:vertAlign w:val="baseline"/>
        </w:rPr>
        <w:t>policy</w:t>
      </w:r>
      <w:r>
        <w:rPr>
          <w:spacing w:val="-11"/>
          <w:w w:val="105"/>
          <w:sz w:val="18"/>
          <w:vertAlign w:val="baseline"/>
        </w:rPr>
        <w:t> </w:t>
      </w:r>
      <w:r>
        <w:rPr>
          <w:w w:val="105"/>
          <w:sz w:val="18"/>
          <w:vertAlign w:val="baseline"/>
        </w:rPr>
        <w:t>banks</w:t>
      </w:r>
      <w:r>
        <w:rPr>
          <w:spacing w:val="-11"/>
          <w:w w:val="105"/>
          <w:sz w:val="18"/>
          <w:vertAlign w:val="baseline"/>
        </w:rPr>
        <w:t> </w:t>
      </w:r>
      <w:r>
        <w:rPr>
          <w:w w:val="105"/>
          <w:sz w:val="18"/>
          <w:vertAlign w:val="baseline"/>
        </w:rPr>
        <w:t>can</w:t>
      </w:r>
      <w:r>
        <w:rPr>
          <w:spacing w:val="-11"/>
          <w:w w:val="105"/>
          <w:sz w:val="18"/>
          <w:vertAlign w:val="baseline"/>
        </w:rPr>
        <w:t> </w:t>
      </w:r>
      <w:r>
        <w:rPr>
          <w:w w:val="105"/>
          <w:sz w:val="18"/>
          <w:vertAlign w:val="baseline"/>
        </w:rPr>
        <w:t>borrow</w:t>
      </w:r>
      <w:r>
        <w:rPr>
          <w:spacing w:val="-11"/>
          <w:w w:val="105"/>
          <w:sz w:val="18"/>
          <w:vertAlign w:val="baseline"/>
        </w:rPr>
        <w:t> </w:t>
      </w:r>
      <w:r>
        <w:rPr>
          <w:w w:val="105"/>
          <w:sz w:val="18"/>
          <w:vertAlign w:val="baseline"/>
        </w:rPr>
        <w:t>from</w:t>
      </w:r>
      <w:r>
        <w:rPr>
          <w:spacing w:val="-11"/>
          <w:w w:val="105"/>
          <w:sz w:val="18"/>
          <w:vertAlign w:val="baseline"/>
        </w:rPr>
        <w:t> </w:t>
      </w:r>
      <w:r>
        <w:rPr>
          <w:w w:val="105"/>
          <w:sz w:val="18"/>
          <w:vertAlign w:val="baseline"/>
        </w:rPr>
        <w:t>PBOC</w:t>
      </w:r>
      <w:r>
        <w:rPr>
          <w:spacing w:val="-11"/>
          <w:w w:val="105"/>
          <w:sz w:val="18"/>
          <w:vertAlign w:val="baseline"/>
        </w:rPr>
        <w:t> </w:t>
      </w:r>
      <w:r>
        <w:rPr>
          <w:w w:val="105"/>
          <w:sz w:val="18"/>
          <w:vertAlign w:val="baseline"/>
        </w:rPr>
        <w:t>at</w:t>
      </w:r>
      <w:r>
        <w:rPr>
          <w:spacing w:val="-11"/>
          <w:w w:val="105"/>
          <w:sz w:val="18"/>
          <w:vertAlign w:val="baseline"/>
        </w:rPr>
        <w:t> </w:t>
      </w:r>
      <w:r>
        <w:rPr>
          <w:w w:val="105"/>
          <w:sz w:val="18"/>
          <w:vertAlign w:val="baseline"/>
        </w:rPr>
        <w:t>a</w:t>
      </w:r>
      <w:r>
        <w:rPr>
          <w:spacing w:val="-11"/>
          <w:w w:val="105"/>
          <w:sz w:val="18"/>
          <w:vertAlign w:val="baseline"/>
        </w:rPr>
        <w:t> </w:t>
      </w:r>
      <w:r>
        <w:rPr>
          <w:w w:val="105"/>
          <w:sz w:val="18"/>
          <w:vertAlign w:val="baseline"/>
        </w:rPr>
        <w:t>2-3%</w:t>
      </w:r>
      <w:r>
        <w:rPr>
          <w:spacing w:val="-11"/>
          <w:w w:val="105"/>
          <w:sz w:val="18"/>
          <w:vertAlign w:val="baseline"/>
        </w:rPr>
        <w:t> </w:t>
      </w:r>
      <w:r>
        <w:rPr>
          <w:w w:val="105"/>
          <w:sz w:val="18"/>
          <w:vertAlign w:val="baseline"/>
        </w:rPr>
        <w:t>interest</w:t>
      </w:r>
      <w:r>
        <w:rPr>
          <w:spacing w:val="-11"/>
          <w:w w:val="105"/>
          <w:sz w:val="18"/>
          <w:vertAlign w:val="baseline"/>
        </w:rPr>
        <w:t> </w:t>
      </w:r>
      <w:r>
        <w:rPr>
          <w:w w:val="105"/>
          <w:sz w:val="18"/>
          <w:vertAlign w:val="baseline"/>
        </w:rPr>
        <w:t>rate.</w:t>
      </w:r>
    </w:p>
    <w:p>
      <w:pPr>
        <w:spacing w:line="249" w:lineRule="auto" w:before="6"/>
        <w:ind w:left="760" w:right="794" w:firstLine="0"/>
        <w:jc w:val="left"/>
        <w:rPr>
          <w:sz w:val="18"/>
        </w:rPr>
      </w:pPr>
      <w:r>
        <w:rPr>
          <w:sz w:val="18"/>
          <w:vertAlign w:val="superscript"/>
        </w:rPr>
        <w:t>173</w:t>
      </w:r>
      <w:r>
        <w:rPr>
          <w:spacing w:val="-1"/>
          <w:sz w:val="18"/>
          <w:vertAlign w:val="baseline"/>
        </w:rPr>
        <w:t> </w:t>
      </w:r>
      <w:r>
        <w:rPr>
          <w:sz w:val="18"/>
          <w:vertAlign w:val="baseline"/>
        </w:rPr>
        <w:t>Relatedly, the bank bears all of the downside risk associated with an increase in the </w:t>
      </w:r>
      <w:r>
        <w:rPr>
          <w:i/>
          <w:sz w:val="18"/>
          <w:vertAlign w:val="baseline"/>
        </w:rPr>
        <w:t>opportunity </w:t>
      </w:r>
      <w:r>
        <w:rPr>
          <w:sz w:val="18"/>
          <w:vertAlign w:val="baseline"/>
        </w:rPr>
        <w:t>cost </w:t>
      </w:r>
      <w:r>
        <w:rPr>
          <w:sz w:val="18"/>
          <w:vertAlign w:val="baseline"/>
        </w:rPr>
        <w:t>of </w:t>
      </w:r>
      <w:r>
        <w:rPr>
          <w:spacing w:val="-2"/>
          <w:sz w:val="18"/>
          <w:vertAlign w:val="baseline"/>
        </w:rPr>
        <w:t>funds.</w:t>
      </w:r>
    </w:p>
    <w:p>
      <w:pPr>
        <w:spacing w:line="249" w:lineRule="auto" w:before="1"/>
        <w:ind w:left="760" w:right="838" w:firstLine="0"/>
        <w:jc w:val="left"/>
        <w:rPr>
          <w:sz w:val="18"/>
        </w:rPr>
      </w:pPr>
      <w:r>
        <w:rPr>
          <w:sz w:val="18"/>
          <w:vertAlign w:val="superscript"/>
        </w:rPr>
        <w:t>174</w:t>
      </w:r>
      <w:r>
        <w:rPr>
          <w:sz w:val="18"/>
          <w:vertAlign w:val="baseline"/>
        </w:rPr>
        <w:t> Depending on the discounting approach that is used, there is a 19.4 percentage point minimum difference</w:t>
      </w:r>
      <w:r>
        <w:rPr>
          <w:spacing w:val="-2"/>
          <w:sz w:val="18"/>
          <w:vertAlign w:val="baseline"/>
        </w:rPr>
        <w:t> </w:t>
      </w:r>
      <w:r>
        <w:rPr>
          <w:sz w:val="18"/>
          <w:vertAlign w:val="baseline"/>
        </w:rPr>
        <w:t>and</w:t>
      </w:r>
      <w:r>
        <w:rPr>
          <w:spacing w:val="-2"/>
          <w:sz w:val="18"/>
          <w:vertAlign w:val="baseline"/>
        </w:rPr>
        <w:t> </w:t>
      </w:r>
      <w:r>
        <w:rPr>
          <w:sz w:val="18"/>
          <w:vertAlign w:val="baseline"/>
        </w:rPr>
        <w:t>38.6</w:t>
      </w:r>
      <w:r>
        <w:rPr>
          <w:spacing w:val="-2"/>
          <w:sz w:val="18"/>
          <w:vertAlign w:val="baseline"/>
        </w:rPr>
        <w:t> </w:t>
      </w:r>
      <w:r>
        <w:rPr>
          <w:sz w:val="18"/>
          <w:vertAlign w:val="baseline"/>
        </w:rPr>
        <w:t>percentage</w:t>
      </w:r>
      <w:r>
        <w:rPr>
          <w:spacing w:val="-2"/>
          <w:sz w:val="18"/>
          <w:vertAlign w:val="baseline"/>
        </w:rPr>
        <w:t> </w:t>
      </w:r>
      <w:r>
        <w:rPr>
          <w:sz w:val="18"/>
          <w:vertAlign w:val="baseline"/>
        </w:rPr>
        <w:t>point</w:t>
      </w:r>
      <w:r>
        <w:rPr>
          <w:spacing w:val="-2"/>
          <w:sz w:val="18"/>
          <w:vertAlign w:val="baseline"/>
        </w:rPr>
        <w:t> </w:t>
      </w:r>
      <w:r>
        <w:rPr>
          <w:sz w:val="18"/>
          <w:vertAlign w:val="baseline"/>
        </w:rPr>
        <w:t>maximum</w:t>
      </w:r>
      <w:r>
        <w:rPr>
          <w:spacing w:val="-2"/>
          <w:sz w:val="18"/>
          <w:vertAlign w:val="baseline"/>
        </w:rPr>
        <w:t> </w:t>
      </w:r>
      <w:r>
        <w:rPr>
          <w:sz w:val="18"/>
          <w:vertAlign w:val="baseline"/>
        </w:rPr>
        <w:t>difference</w:t>
      </w:r>
      <w:r>
        <w:rPr>
          <w:spacing w:val="-2"/>
          <w:sz w:val="18"/>
          <w:vertAlign w:val="baseline"/>
        </w:rPr>
        <w:t> </w:t>
      </w:r>
      <w:r>
        <w:rPr>
          <w:sz w:val="18"/>
          <w:vertAlign w:val="baseline"/>
        </w:rPr>
        <w:t>in</w:t>
      </w:r>
      <w:r>
        <w:rPr>
          <w:spacing w:val="-2"/>
          <w:sz w:val="18"/>
          <w:vertAlign w:val="baseline"/>
        </w:rPr>
        <w:t> </w:t>
      </w:r>
      <w:r>
        <w:rPr>
          <w:sz w:val="18"/>
          <w:vertAlign w:val="baseline"/>
        </w:rPr>
        <w:t>average</w:t>
      </w:r>
      <w:r>
        <w:rPr>
          <w:spacing w:val="-2"/>
          <w:sz w:val="18"/>
          <w:vertAlign w:val="baseline"/>
        </w:rPr>
        <w:t> </w:t>
      </w:r>
      <w:r>
        <w:rPr>
          <w:sz w:val="18"/>
          <w:vertAlign w:val="baseline"/>
        </w:rPr>
        <w:t>haircuts</w:t>
      </w:r>
      <w:r>
        <w:rPr>
          <w:spacing w:val="-2"/>
          <w:sz w:val="18"/>
          <w:vertAlign w:val="baseline"/>
        </w:rPr>
        <w:t> </w:t>
      </w:r>
      <w:r>
        <w:rPr>
          <w:sz w:val="18"/>
          <w:vertAlign w:val="baseline"/>
        </w:rPr>
        <w:t>(investor</w:t>
      </w:r>
      <w:r>
        <w:rPr>
          <w:spacing w:val="-2"/>
          <w:sz w:val="18"/>
          <w:vertAlign w:val="baseline"/>
        </w:rPr>
        <w:t> </w:t>
      </w:r>
      <w:r>
        <w:rPr>
          <w:sz w:val="18"/>
          <w:vertAlign w:val="baseline"/>
        </w:rPr>
        <w:t>losses)</w:t>
      </w:r>
      <w:r>
        <w:rPr>
          <w:spacing w:val="-2"/>
          <w:sz w:val="18"/>
          <w:vertAlign w:val="baseline"/>
        </w:rPr>
        <w:t> </w:t>
      </w:r>
      <w:r>
        <w:rPr>
          <w:sz w:val="18"/>
          <w:vertAlign w:val="baseline"/>
        </w:rPr>
        <w:t>for</w:t>
      </w:r>
      <w:r>
        <w:rPr>
          <w:spacing w:val="-2"/>
          <w:sz w:val="18"/>
          <w:vertAlign w:val="baseline"/>
        </w:rPr>
        <w:t> </w:t>
      </w:r>
      <w:r>
        <w:rPr>
          <w:sz w:val="18"/>
          <w:vertAlign w:val="baseline"/>
        </w:rPr>
        <w:t>ofﬁcial creditors versus commercial creditors (Schlegl et al. 2019).</w:t>
      </w:r>
    </w:p>
    <w:p>
      <w:pPr>
        <w:spacing w:after="0" w:line="249" w:lineRule="auto"/>
        <w:jc w:val="left"/>
        <w:rPr>
          <w:sz w:val="18"/>
        </w:rPr>
        <w:sectPr>
          <w:pgSz w:w="12240" w:h="15840"/>
          <w:pgMar w:header="0" w:footer="720" w:top="1400" w:bottom="920" w:left="1040" w:right="1040"/>
        </w:sectPr>
      </w:pPr>
    </w:p>
    <w:p>
      <w:pPr>
        <w:pStyle w:val="BodyText"/>
        <w:spacing w:line="333" w:lineRule="auto" w:before="27"/>
        <w:ind w:left="760"/>
      </w:pPr>
      <w:r>
        <w:rPr/>
        <w:t>by reining in the amount of concessional credit provided via ofﬁcial creditors </w:t>
      </w:r>
      <w:r>
        <w:rPr/>
        <w:t>and prioritizing the provision of non-concessional credit via commercial creditors.</w:t>
      </w:r>
      <w:r>
        <w:rPr>
          <w:vertAlign w:val="superscript"/>
        </w:rPr>
        <w:t>175</w:t>
      </w:r>
    </w:p>
    <w:p>
      <w:pPr>
        <w:pStyle w:val="BodyText"/>
        <w:spacing w:before="8"/>
        <w:rPr>
          <w:sz w:val="27"/>
        </w:rPr>
      </w:pPr>
    </w:p>
    <w:p>
      <w:pPr>
        <w:pStyle w:val="BodyText"/>
        <w:spacing w:line="333" w:lineRule="auto"/>
        <w:ind w:left="760" w:right="806"/>
      </w:pPr>
      <w:r>
        <w:rPr/>
        <w:t>The 3.0 version of AidData’s GCDF dataset provides evidence that Beijing is indeed moving in this direction. Figure A18 demonstrates that the weighted average interest rate of ofﬁcial sector lending from China to LICs and MICs increased from 4.5% during the early BRI period to 5% during the late BRI period. Consistent with this shift toward harder lending terms, the weighted average</w:t>
      </w:r>
      <w:r>
        <w:rPr>
          <w:spacing w:val="-1"/>
        </w:rPr>
        <w:t> </w:t>
      </w:r>
      <w:r>
        <w:rPr/>
        <w:t>repayment</w:t>
      </w:r>
      <w:r>
        <w:rPr>
          <w:spacing w:val="-1"/>
        </w:rPr>
        <w:t> </w:t>
      </w:r>
      <w:r>
        <w:rPr/>
        <w:t>period</w:t>
      </w:r>
      <w:r>
        <w:rPr>
          <w:spacing w:val="-1"/>
        </w:rPr>
        <w:t> </w:t>
      </w:r>
      <w:r>
        <w:rPr/>
        <w:t>(maturity)</w:t>
      </w:r>
      <w:r>
        <w:rPr>
          <w:spacing w:val="-1"/>
        </w:rPr>
        <w:t> </w:t>
      </w:r>
      <w:r>
        <w:rPr/>
        <w:t>declined</w:t>
      </w:r>
      <w:r>
        <w:rPr>
          <w:spacing w:val="-1"/>
        </w:rPr>
        <w:t> </w:t>
      </w:r>
      <w:r>
        <w:rPr/>
        <w:t>from</w:t>
      </w:r>
      <w:r>
        <w:rPr>
          <w:spacing w:val="-1"/>
        </w:rPr>
        <w:t> </w:t>
      </w:r>
      <w:r>
        <w:rPr/>
        <w:t>11</w:t>
      </w:r>
      <w:r>
        <w:rPr>
          <w:spacing w:val="-1"/>
        </w:rPr>
        <w:t> </w:t>
      </w:r>
      <w:r>
        <w:rPr/>
        <w:t>years</w:t>
      </w:r>
      <w:r>
        <w:rPr>
          <w:spacing w:val="-1"/>
        </w:rPr>
        <w:t> </w:t>
      </w:r>
      <w:r>
        <w:rPr/>
        <w:t>during</w:t>
      </w:r>
      <w:r>
        <w:rPr>
          <w:spacing w:val="-1"/>
        </w:rPr>
        <w:t> </w:t>
      </w:r>
      <w:r>
        <w:rPr/>
        <w:t>the</w:t>
      </w:r>
      <w:r>
        <w:rPr>
          <w:spacing w:val="-1"/>
        </w:rPr>
        <w:t> </w:t>
      </w:r>
      <w:r>
        <w:rPr/>
        <w:t>early</w:t>
      </w:r>
      <w:r>
        <w:rPr>
          <w:spacing w:val="-1"/>
        </w:rPr>
        <w:t> </w:t>
      </w:r>
      <w:r>
        <w:rPr/>
        <w:t>BRI period to 6 years during the late BRI period (see Figure A19). The weighted average grant element—a summary measure of ﬁnancial concessionality (discussed at greater length in Section A-2 in the Appendix)—fell by 9 percentage points between the early BRI period and the late BRI period: from 25% to 16% (see Figure A20).</w:t>
      </w:r>
      <w:r>
        <w:rPr>
          <w:vertAlign w:val="superscript"/>
        </w:rPr>
        <w:t>176</w:t>
      </w:r>
    </w:p>
    <w:p>
      <w:pPr>
        <w:pStyle w:val="BodyText"/>
        <w:spacing w:before="4"/>
        <w:rPr>
          <w:sz w:val="27"/>
        </w:rPr>
      </w:pPr>
    </w:p>
    <w:p>
      <w:pPr>
        <w:pStyle w:val="BodyText"/>
        <w:spacing w:line="333" w:lineRule="auto"/>
        <w:ind w:left="760" w:right="767"/>
      </w:pPr>
      <w:r>
        <w:rPr>
          <w:w w:val="105"/>
        </w:rPr>
        <w:t>In</w:t>
      </w:r>
      <w:r>
        <w:rPr>
          <w:spacing w:val="-6"/>
          <w:w w:val="105"/>
        </w:rPr>
        <w:t> </w:t>
      </w:r>
      <w:r>
        <w:rPr>
          <w:w w:val="105"/>
        </w:rPr>
        <w:t>order</w:t>
      </w:r>
      <w:r>
        <w:rPr>
          <w:spacing w:val="-6"/>
          <w:w w:val="105"/>
        </w:rPr>
        <w:t> </w:t>
      </w:r>
      <w:r>
        <w:rPr>
          <w:w w:val="105"/>
        </w:rPr>
        <w:t>to</w:t>
      </w:r>
      <w:r>
        <w:rPr>
          <w:spacing w:val="-6"/>
          <w:w w:val="105"/>
        </w:rPr>
        <w:t> </w:t>
      </w:r>
      <w:r>
        <w:rPr>
          <w:w w:val="105"/>
        </w:rPr>
        <w:t>gauge</w:t>
      </w:r>
      <w:r>
        <w:rPr>
          <w:spacing w:val="-6"/>
          <w:w w:val="105"/>
        </w:rPr>
        <w:t> </w:t>
      </w:r>
      <w:r>
        <w:rPr>
          <w:w w:val="105"/>
        </w:rPr>
        <w:t>whether</w:t>
      </w:r>
      <w:r>
        <w:rPr>
          <w:spacing w:val="-6"/>
          <w:w w:val="105"/>
        </w:rPr>
        <w:t> </w:t>
      </w:r>
      <w:r>
        <w:rPr>
          <w:w w:val="105"/>
        </w:rPr>
        <w:t>Beijing</w:t>
      </w:r>
      <w:r>
        <w:rPr>
          <w:spacing w:val="-6"/>
          <w:w w:val="105"/>
        </w:rPr>
        <w:t> </w:t>
      </w:r>
      <w:r>
        <w:rPr>
          <w:w w:val="105"/>
        </w:rPr>
        <w:t>is</w:t>
      </w:r>
      <w:r>
        <w:rPr>
          <w:spacing w:val="-6"/>
          <w:w w:val="105"/>
        </w:rPr>
        <w:t> </w:t>
      </w:r>
      <w:r>
        <w:rPr>
          <w:w w:val="105"/>
        </w:rPr>
        <w:t>making</w:t>
      </w:r>
      <w:r>
        <w:rPr>
          <w:spacing w:val="-6"/>
          <w:w w:val="105"/>
        </w:rPr>
        <w:t> </w:t>
      </w:r>
      <w:r>
        <w:rPr>
          <w:w w:val="105"/>
        </w:rPr>
        <w:t>a</w:t>
      </w:r>
      <w:r>
        <w:rPr>
          <w:spacing w:val="-6"/>
          <w:w w:val="105"/>
        </w:rPr>
        <w:t> </w:t>
      </w:r>
      <w:r>
        <w:rPr>
          <w:w w:val="105"/>
        </w:rPr>
        <w:t>concerted</w:t>
      </w:r>
      <w:r>
        <w:rPr>
          <w:spacing w:val="-6"/>
          <w:w w:val="105"/>
        </w:rPr>
        <w:t> </w:t>
      </w:r>
      <w:r>
        <w:rPr>
          <w:w w:val="105"/>
        </w:rPr>
        <w:t>effort</w:t>
      </w:r>
      <w:r>
        <w:rPr>
          <w:spacing w:val="-6"/>
          <w:w w:val="105"/>
        </w:rPr>
        <w:t> </w:t>
      </w:r>
      <w:r>
        <w:rPr>
          <w:w w:val="105"/>
        </w:rPr>
        <w:t>to</w:t>
      </w:r>
      <w:r>
        <w:rPr>
          <w:spacing w:val="-6"/>
          <w:w w:val="105"/>
        </w:rPr>
        <w:t> </w:t>
      </w:r>
      <w:r>
        <w:rPr>
          <w:w w:val="105"/>
        </w:rPr>
        <w:t>rein</w:t>
      </w:r>
      <w:r>
        <w:rPr>
          <w:spacing w:val="-6"/>
          <w:w w:val="105"/>
        </w:rPr>
        <w:t> </w:t>
      </w:r>
      <w:r>
        <w:rPr>
          <w:w w:val="105"/>
        </w:rPr>
        <w:t>in</w:t>
      </w:r>
      <w:r>
        <w:rPr>
          <w:spacing w:val="-6"/>
          <w:w w:val="105"/>
        </w:rPr>
        <w:t> </w:t>
      </w:r>
      <w:r>
        <w:rPr>
          <w:w w:val="105"/>
        </w:rPr>
        <w:t>the </w:t>
      </w:r>
      <w:r>
        <w:rPr/>
        <w:t>provision of concessional cross-border credit, it is also worth considering if it </w:t>
      </w:r>
      <w:r>
        <w:rPr/>
        <w:t>has increased or reduced use of the two primary instruments that it has established for concessional lending to overseas borrowers: government concessional loans (GCLs)</w:t>
      </w:r>
      <w:r>
        <w:rPr>
          <w:spacing w:val="-4"/>
        </w:rPr>
        <w:t> </w:t>
      </w:r>
      <w:r>
        <w:rPr/>
        <w:t>and</w:t>
      </w:r>
      <w:r>
        <w:rPr>
          <w:spacing w:val="-4"/>
        </w:rPr>
        <w:t> </w:t>
      </w:r>
      <w:r>
        <w:rPr/>
        <w:t>preferential</w:t>
      </w:r>
      <w:r>
        <w:rPr>
          <w:spacing w:val="-4"/>
        </w:rPr>
        <w:t> </w:t>
      </w:r>
      <w:r>
        <w:rPr/>
        <w:t>buyer’s</w:t>
      </w:r>
      <w:r>
        <w:rPr>
          <w:spacing w:val="-4"/>
        </w:rPr>
        <w:t> </w:t>
      </w:r>
      <w:r>
        <w:rPr/>
        <w:t>credits</w:t>
      </w:r>
      <w:r>
        <w:rPr>
          <w:spacing w:val="-4"/>
        </w:rPr>
        <w:t> </w:t>
      </w:r>
      <w:r>
        <w:rPr/>
        <w:t>(PBCs)</w:t>
      </w:r>
      <w:r>
        <w:rPr>
          <w:spacing w:val="-4"/>
        </w:rPr>
        <w:t> </w:t>
      </w:r>
      <w:r>
        <w:rPr/>
        <w:t>from</w:t>
      </w:r>
      <w:r>
        <w:rPr>
          <w:spacing w:val="-4"/>
        </w:rPr>
        <w:t> </w:t>
      </w:r>
      <w:r>
        <w:rPr/>
        <w:t>China</w:t>
      </w:r>
      <w:r>
        <w:rPr>
          <w:spacing w:val="-4"/>
        </w:rPr>
        <w:t> </w:t>
      </w:r>
      <w:r>
        <w:rPr/>
        <w:t>Eximbank.</w:t>
      </w:r>
      <w:r>
        <w:rPr>
          <w:vertAlign w:val="superscript"/>
        </w:rPr>
        <w:t>177</w:t>
      </w:r>
      <w:r>
        <w:rPr>
          <w:spacing w:val="-5"/>
          <w:vertAlign w:val="baseline"/>
        </w:rPr>
        <w:t> </w:t>
      </w:r>
      <w:r>
        <w:rPr>
          <w:vertAlign w:val="baseline"/>
        </w:rPr>
        <w:t>Figure A12 provides evidence that GCLs and PBCs have indeed fallen out of favor, as </w:t>
      </w:r>
      <w:r>
        <w:rPr>
          <w:w w:val="105"/>
          <w:vertAlign w:val="baseline"/>
        </w:rPr>
        <w:t>they</w:t>
      </w:r>
      <w:r>
        <w:rPr>
          <w:spacing w:val="-13"/>
          <w:w w:val="105"/>
          <w:vertAlign w:val="baseline"/>
        </w:rPr>
        <w:t> </w:t>
      </w:r>
      <w:r>
        <w:rPr>
          <w:w w:val="105"/>
          <w:vertAlign w:val="baseline"/>
        </w:rPr>
        <w:t>represent</w:t>
      </w:r>
      <w:r>
        <w:rPr>
          <w:spacing w:val="-13"/>
          <w:w w:val="105"/>
          <w:vertAlign w:val="baseline"/>
        </w:rPr>
        <w:t> </w:t>
      </w:r>
      <w:r>
        <w:rPr>
          <w:w w:val="105"/>
          <w:vertAlign w:val="baseline"/>
        </w:rPr>
        <w:t>a</w:t>
      </w:r>
      <w:r>
        <w:rPr>
          <w:spacing w:val="-13"/>
          <w:w w:val="105"/>
          <w:vertAlign w:val="baseline"/>
        </w:rPr>
        <w:t> </w:t>
      </w:r>
      <w:r>
        <w:rPr>
          <w:w w:val="105"/>
          <w:vertAlign w:val="baseline"/>
        </w:rPr>
        <w:t>rapidly</w:t>
      </w:r>
      <w:r>
        <w:rPr>
          <w:spacing w:val="-13"/>
          <w:w w:val="105"/>
          <w:vertAlign w:val="baseline"/>
        </w:rPr>
        <w:t> </w:t>
      </w:r>
      <w:r>
        <w:rPr>
          <w:w w:val="105"/>
          <w:vertAlign w:val="baseline"/>
        </w:rPr>
        <w:t>dwindling</w:t>
      </w:r>
      <w:r>
        <w:rPr>
          <w:spacing w:val="-13"/>
          <w:w w:val="105"/>
          <w:vertAlign w:val="baseline"/>
        </w:rPr>
        <w:t> </w:t>
      </w:r>
      <w:r>
        <w:rPr>
          <w:w w:val="105"/>
          <w:vertAlign w:val="baseline"/>
        </w:rPr>
        <w:t>percentage</w:t>
      </w:r>
      <w:r>
        <w:rPr>
          <w:spacing w:val="-13"/>
          <w:w w:val="105"/>
          <w:vertAlign w:val="baseline"/>
        </w:rPr>
        <w:t> </w:t>
      </w:r>
      <w:r>
        <w:rPr>
          <w:w w:val="105"/>
          <w:vertAlign w:val="baseline"/>
        </w:rPr>
        <w:t>of</w:t>
      </w:r>
      <w:r>
        <w:rPr>
          <w:spacing w:val="-13"/>
          <w:w w:val="105"/>
          <w:vertAlign w:val="baseline"/>
        </w:rPr>
        <w:t> </w:t>
      </w:r>
      <w:r>
        <w:rPr>
          <w:w w:val="105"/>
          <w:vertAlign w:val="baseline"/>
        </w:rPr>
        <w:t>new</w:t>
      </w:r>
      <w:r>
        <w:rPr>
          <w:spacing w:val="-13"/>
          <w:w w:val="105"/>
          <w:vertAlign w:val="baseline"/>
        </w:rPr>
        <w:t> </w:t>
      </w:r>
      <w:r>
        <w:rPr>
          <w:w w:val="105"/>
          <w:vertAlign w:val="baseline"/>
        </w:rPr>
        <w:t>overseas</w:t>
      </w:r>
      <w:r>
        <w:rPr>
          <w:spacing w:val="-13"/>
          <w:w w:val="105"/>
          <w:vertAlign w:val="baseline"/>
        </w:rPr>
        <w:t> </w:t>
      </w:r>
      <w:r>
        <w:rPr>
          <w:w w:val="105"/>
          <w:vertAlign w:val="baseline"/>
        </w:rPr>
        <w:t>lending </w:t>
      </w:r>
      <w:r>
        <w:rPr>
          <w:vertAlign w:val="baseline"/>
        </w:rPr>
        <w:t>commitments from China to LICs and MICs (18% in 2014 and 3% in 2021).</w:t>
      </w:r>
      <w:r>
        <w:rPr>
          <w:vertAlign w:val="superscript"/>
        </w:rPr>
        <w:t>178</w:t>
      </w:r>
    </w:p>
    <w:p>
      <w:pPr>
        <w:pStyle w:val="BodyText"/>
        <w:spacing w:before="1"/>
        <w:rPr>
          <w:sz w:val="16"/>
        </w:rPr>
      </w:pPr>
      <w:r>
        <w:rPr/>
        <w:pict>
          <v:shape style="position:absolute;margin-left:90pt;margin-top:10.488282pt;width:144pt;height:.1pt;mso-position-horizontal-relative:page;mso-position-vertical-relative:paragraph;z-index:-15690752;mso-wrap-distance-left:0;mso-wrap-distance-right:0" id="docshape68" coordorigin="1800,210" coordsize="2880,0" path="m1800,210l4680,210e" filled="false" stroked="true" strokeweight=".75pt" strokecolor="#000000">
            <v:path arrowok="t"/>
            <v:stroke dashstyle="solid"/>
            <w10:wrap type="topAndBottom"/>
          </v:shape>
        </w:pict>
      </w:r>
    </w:p>
    <w:p>
      <w:pPr>
        <w:spacing w:line="249" w:lineRule="auto" w:before="110"/>
        <w:ind w:left="760" w:right="759" w:firstLine="0"/>
        <w:jc w:val="left"/>
        <w:rPr>
          <w:sz w:val="18"/>
        </w:rPr>
      </w:pPr>
      <w:r>
        <w:rPr>
          <w:sz w:val="18"/>
          <w:vertAlign w:val="superscript"/>
        </w:rPr>
        <w:t>175</w:t>
      </w:r>
      <w:r>
        <w:rPr>
          <w:sz w:val="18"/>
          <w:vertAlign w:val="baseline"/>
        </w:rPr>
        <w:t> Some Chinese state-owned lenders participate in debt restructurings that are (loosely) coordinated with ofﬁcial creditors from other countries, while others do not and wish to be treated as commercial creditors (Gardner et al. 2021; Horn et al. 2022b). Recent events in Zambia suggest that Beijing considers the claims of its ofﬁcial creditors to include those of China Eximbank and those of other Chinese state-owned </w:t>
      </w:r>
      <w:r>
        <w:rPr>
          <w:sz w:val="18"/>
          <w:vertAlign w:val="baseline"/>
        </w:rPr>
        <w:t>creditors that</w:t>
      </w:r>
      <w:r>
        <w:rPr>
          <w:spacing w:val="11"/>
          <w:sz w:val="18"/>
          <w:vertAlign w:val="baseline"/>
        </w:rPr>
        <w:t> </w:t>
      </w:r>
      <w:r>
        <w:rPr>
          <w:sz w:val="18"/>
          <w:vertAlign w:val="baseline"/>
        </w:rPr>
        <w:t>are</w:t>
      </w:r>
      <w:r>
        <w:rPr>
          <w:spacing w:val="11"/>
          <w:sz w:val="18"/>
          <w:vertAlign w:val="baseline"/>
        </w:rPr>
        <w:t> </w:t>
      </w:r>
      <w:r>
        <w:rPr>
          <w:sz w:val="18"/>
          <w:vertAlign w:val="baseline"/>
        </w:rPr>
        <w:t>insured</w:t>
      </w:r>
      <w:r>
        <w:rPr>
          <w:spacing w:val="11"/>
          <w:sz w:val="18"/>
          <w:vertAlign w:val="baseline"/>
        </w:rPr>
        <w:t> </w:t>
      </w:r>
      <w:r>
        <w:rPr>
          <w:sz w:val="18"/>
          <w:vertAlign w:val="baseline"/>
        </w:rPr>
        <w:t>(“guaranteed”)</w:t>
      </w:r>
      <w:r>
        <w:rPr>
          <w:spacing w:val="11"/>
          <w:sz w:val="18"/>
          <w:vertAlign w:val="baseline"/>
        </w:rPr>
        <w:t> </w:t>
      </w:r>
      <w:r>
        <w:rPr>
          <w:sz w:val="18"/>
          <w:vertAlign w:val="baseline"/>
        </w:rPr>
        <w:t>by</w:t>
      </w:r>
      <w:r>
        <w:rPr>
          <w:spacing w:val="11"/>
          <w:sz w:val="18"/>
          <w:vertAlign w:val="baseline"/>
        </w:rPr>
        <w:t> </w:t>
      </w:r>
      <w:r>
        <w:rPr>
          <w:sz w:val="18"/>
          <w:vertAlign w:val="baseline"/>
        </w:rPr>
        <w:t>Sinosure.</w:t>
      </w:r>
      <w:r>
        <w:rPr>
          <w:spacing w:val="11"/>
          <w:sz w:val="18"/>
          <w:vertAlign w:val="baseline"/>
        </w:rPr>
        <w:t> </w:t>
      </w:r>
      <w:r>
        <w:rPr>
          <w:sz w:val="18"/>
          <w:vertAlign w:val="baseline"/>
        </w:rPr>
        <w:t>Beijing</w:t>
      </w:r>
      <w:r>
        <w:rPr>
          <w:spacing w:val="11"/>
          <w:sz w:val="18"/>
          <w:vertAlign w:val="baseline"/>
        </w:rPr>
        <w:t> </w:t>
      </w:r>
      <w:r>
        <w:rPr>
          <w:sz w:val="18"/>
          <w:vertAlign w:val="baseline"/>
        </w:rPr>
        <w:t>evidently</w:t>
      </w:r>
      <w:r>
        <w:rPr>
          <w:spacing w:val="11"/>
          <w:sz w:val="18"/>
          <w:vertAlign w:val="baseline"/>
        </w:rPr>
        <w:t> </w:t>
      </w:r>
      <w:r>
        <w:rPr>
          <w:sz w:val="18"/>
          <w:vertAlign w:val="baseline"/>
        </w:rPr>
        <w:t>considers</w:t>
      </w:r>
      <w:r>
        <w:rPr>
          <w:spacing w:val="11"/>
          <w:sz w:val="18"/>
          <w:vertAlign w:val="baseline"/>
        </w:rPr>
        <w:t> </w:t>
      </w:r>
      <w:r>
        <w:rPr>
          <w:sz w:val="18"/>
          <w:vertAlign w:val="baseline"/>
        </w:rPr>
        <w:t>CDB</w:t>
      </w:r>
      <w:r>
        <w:rPr>
          <w:spacing w:val="11"/>
          <w:sz w:val="18"/>
          <w:vertAlign w:val="baseline"/>
        </w:rPr>
        <w:t> </w:t>
      </w:r>
      <w:r>
        <w:rPr>
          <w:sz w:val="18"/>
          <w:vertAlign w:val="baseline"/>
        </w:rPr>
        <w:t>debts</w:t>
      </w:r>
      <w:r>
        <w:rPr>
          <w:spacing w:val="11"/>
          <w:sz w:val="18"/>
          <w:vertAlign w:val="baseline"/>
        </w:rPr>
        <w:t> </w:t>
      </w:r>
      <w:r>
        <w:rPr>
          <w:sz w:val="18"/>
          <w:vertAlign w:val="baseline"/>
        </w:rPr>
        <w:t>that</w:t>
      </w:r>
      <w:r>
        <w:rPr>
          <w:spacing w:val="11"/>
          <w:sz w:val="18"/>
          <w:vertAlign w:val="baseline"/>
        </w:rPr>
        <w:t> </w:t>
      </w:r>
      <w:r>
        <w:rPr>
          <w:sz w:val="18"/>
          <w:vertAlign w:val="baseline"/>
        </w:rPr>
        <w:t>are</w:t>
      </w:r>
      <w:r>
        <w:rPr>
          <w:spacing w:val="11"/>
          <w:sz w:val="18"/>
          <w:vertAlign w:val="baseline"/>
        </w:rPr>
        <w:t> </w:t>
      </w:r>
      <w:r>
        <w:rPr>
          <w:sz w:val="18"/>
          <w:vertAlign w:val="baseline"/>
        </w:rPr>
        <w:t>not</w:t>
      </w:r>
      <w:r>
        <w:rPr>
          <w:spacing w:val="11"/>
          <w:sz w:val="18"/>
          <w:vertAlign w:val="baseline"/>
        </w:rPr>
        <w:t> </w:t>
      </w:r>
      <w:r>
        <w:rPr>
          <w:sz w:val="18"/>
          <w:vertAlign w:val="baseline"/>
        </w:rPr>
        <w:t>backed</w:t>
      </w:r>
      <w:r>
        <w:rPr>
          <w:spacing w:val="11"/>
          <w:sz w:val="18"/>
          <w:vertAlign w:val="baseline"/>
        </w:rPr>
        <w:t> </w:t>
      </w:r>
      <w:r>
        <w:rPr>
          <w:sz w:val="18"/>
          <w:vertAlign w:val="baseline"/>
        </w:rPr>
        <w:t>by a Sinosure credit insurance policy to be the claims of a commercial creditor (Setser 2023b).</w:t>
      </w:r>
    </w:p>
    <w:p>
      <w:pPr>
        <w:spacing w:line="249" w:lineRule="auto" w:before="4"/>
        <w:ind w:left="760" w:right="767" w:firstLine="0"/>
        <w:jc w:val="left"/>
        <w:rPr>
          <w:sz w:val="18"/>
        </w:rPr>
      </w:pPr>
      <w:r>
        <w:rPr>
          <w:sz w:val="18"/>
          <w:vertAlign w:val="superscript"/>
        </w:rPr>
        <w:t>176</w:t>
      </w:r>
      <w:r>
        <w:rPr>
          <w:sz w:val="18"/>
          <w:vertAlign w:val="baseline"/>
        </w:rPr>
        <w:t> The weighted average grant element of Chinese lending to overseas borrowers declined by </w:t>
      </w:r>
      <w:r>
        <w:rPr>
          <w:sz w:val="18"/>
          <w:vertAlign w:val="baseline"/>
        </w:rPr>
        <w:t>19 percentage points—from 30% in 2014 to 11% in 2021 (see Figure A21).</w:t>
      </w:r>
    </w:p>
    <w:p>
      <w:pPr>
        <w:spacing w:line="249" w:lineRule="auto" w:before="2"/>
        <w:ind w:left="760" w:right="1248" w:firstLine="0"/>
        <w:jc w:val="left"/>
        <w:rPr>
          <w:sz w:val="18"/>
        </w:rPr>
      </w:pPr>
      <w:r>
        <w:rPr>
          <w:sz w:val="18"/>
          <w:vertAlign w:val="superscript"/>
        </w:rPr>
        <w:t>177</w:t>
      </w:r>
      <w:r>
        <w:rPr>
          <w:sz w:val="18"/>
          <w:vertAlign w:val="baseline"/>
        </w:rPr>
        <w:t> GCLs are RMB-denominated loans that are issued to government institutions and provided on below-market</w:t>
      </w:r>
      <w:r>
        <w:rPr>
          <w:spacing w:val="-9"/>
          <w:sz w:val="18"/>
          <w:vertAlign w:val="baseline"/>
        </w:rPr>
        <w:t> </w:t>
      </w:r>
      <w:r>
        <w:rPr>
          <w:sz w:val="18"/>
          <w:vertAlign w:val="baseline"/>
        </w:rPr>
        <w:t>terms</w:t>
      </w:r>
      <w:r>
        <w:rPr>
          <w:spacing w:val="-9"/>
          <w:sz w:val="18"/>
          <w:vertAlign w:val="baseline"/>
        </w:rPr>
        <w:t> </w:t>
      </w:r>
      <w:r>
        <w:rPr>
          <w:sz w:val="18"/>
          <w:vertAlign w:val="baseline"/>
        </w:rPr>
        <w:t>(usually</w:t>
      </w:r>
      <w:r>
        <w:rPr>
          <w:spacing w:val="-9"/>
          <w:sz w:val="18"/>
          <w:vertAlign w:val="baseline"/>
        </w:rPr>
        <w:t> </w:t>
      </w:r>
      <w:r>
        <w:rPr>
          <w:sz w:val="18"/>
          <w:vertAlign w:val="baseline"/>
        </w:rPr>
        <w:t>20-year</w:t>
      </w:r>
      <w:r>
        <w:rPr>
          <w:spacing w:val="-9"/>
          <w:sz w:val="18"/>
          <w:vertAlign w:val="baseline"/>
        </w:rPr>
        <w:t> </w:t>
      </w:r>
      <w:r>
        <w:rPr>
          <w:sz w:val="18"/>
          <w:vertAlign w:val="baseline"/>
        </w:rPr>
        <w:t>maturities,</w:t>
      </w:r>
      <w:r>
        <w:rPr>
          <w:spacing w:val="-9"/>
          <w:sz w:val="18"/>
          <w:vertAlign w:val="baseline"/>
        </w:rPr>
        <w:t> </w:t>
      </w:r>
      <w:r>
        <w:rPr>
          <w:sz w:val="18"/>
          <w:vertAlign w:val="baseline"/>
        </w:rPr>
        <w:t>5-year</w:t>
      </w:r>
      <w:r>
        <w:rPr>
          <w:spacing w:val="-9"/>
          <w:sz w:val="18"/>
          <w:vertAlign w:val="baseline"/>
        </w:rPr>
        <w:t> </w:t>
      </w:r>
      <w:r>
        <w:rPr>
          <w:sz w:val="18"/>
          <w:vertAlign w:val="baseline"/>
        </w:rPr>
        <w:t>grace</w:t>
      </w:r>
      <w:r>
        <w:rPr>
          <w:spacing w:val="-9"/>
          <w:sz w:val="18"/>
          <w:vertAlign w:val="baseline"/>
        </w:rPr>
        <w:t> </w:t>
      </w:r>
      <w:r>
        <w:rPr>
          <w:sz w:val="18"/>
          <w:vertAlign w:val="baseline"/>
        </w:rPr>
        <w:t>periods,</w:t>
      </w:r>
      <w:r>
        <w:rPr>
          <w:spacing w:val="-9"/>
          <w:sz w:val="18"/>
          <w:vertAlign w:val="baseline"/>
        </w:rPr>
        <w:t> </w:t>
      </w:r>
      <w:r>
        <w:rPr>
          <w:sz w:val="18"/>
          <w:vertAlign w:val="baseline"/>
        </w:rPr>
        <w:t>and</w:t>
      </w:r>
      <w:r>
        <w:rPr>
          <w:spacing w:val="-9"/>
          <w:sz w:val="18"/>
          <w:vertAlign w:val="baseline"/>
        </w:rPr>
        <w:t> </w:t>
      </w:r>
      <w:r>
        <w:rPr>
          <w:sz w:val="18"/>
          <w:vertAlign w:val="baseline"/>
        </w:rPr>
        <w:t>2%</w:t>
      </w:r>
      <w:r>
        <w:rPr>
          <w:spacing w:val="-9"/>
          <w:sz w:val="18"/>
          <w:vertAlign w:val="baseline"/>
        </w:rPr>
        <w:t> </w:t>
      </w:r>
      <w:r>
        <w:rPr>
          <w:sz w:val="18"/>
          <w:vertAlign w:val="baseline"/>
        </w:rPr>
        <w:t>interest</w:t>
      </w:r>
      <w:r>
        <w:rPr>
          <w:spacing w:val="-9"/>
          <w:sz w:val="18"/>
          <w:vertAlign w:val="baseline"/>
        </w:rPr>
        <w:t> </w:t>
      </w:r>
      <w:r>
        <w:rPr>
          <w:sz w:val="18"/>
          <w:vertAlign w:val="baseline"/>
        </w:rPr>
        <w:t>rates).</w:t>
      </w:r>
      <w:r>
        <w:rPr>
          <w:spacing w:val="-9"/>
          <w:sz w:val="18"/>
          <w:vertAlign w:val="baseline"/>
        </w:rPr>
        <w:t> </w:t>
      </w:r>
      <w:r>
        <w:rPr>
          <w:sz w:val="18"/>
          <w:vertAlign w:val="baseline"/>
        </w:rPr>
        <w:t>PBCs</w:t>
      </w:r>
      <w:r>
        <w:rPr>
          <w:spacing w:val="-9"/>
          <w:sz w:val="18"/>
          <w:vertAlign w:val="baseline"/>
        </w:rPr>
        <w:t> </w:t>
      </w:r>
      <w:r>
        <w:rPr>
          <w:sz w:val="18"/>
          <w:vertAlign w:val="baseline"/>
        </w:rPr>
        <w:t>are</w:t>
      </w:r>
    </w:p>
    <w:p>
      <w:pPr>
        <w:spacing w:line="249" w:lineRule="auto" w:before="1"/>
        <w:ind w:left="760" w:right="954" w:firstLine="0"/>
        <w:jc w:val="both"/>
        <w:rPr>
          <w:sz w:val="18"/>
        </w:rPr>
      </w:pPr>
      <w:r>
        <w:rPr>
          <w:sz w:val="18"/>
        </w:rPr>
        <w:t>USD-denominated loans that are issued to government institutions on terms that are more generous </w:t>
      </w:r>
      <w:r>
        <w:rPr>
          <w:sz w:val="18"/>
        </w:rPr>
        <w:t>than prevailing market terms, but slightly more expensive (higher interest rates, shorter maturities, and shorter </w:t>
      </w:r>
      <w:r>
        <w:rPr>
          <w:w w:val="105"/>
          <w:sz w:val="18"/>
        </w:rPr>
        <w:t>grace</w:t>
      </w:r>
      <w:r>
        <w:rPr>
          <w:spacing w:val="-13"/>
          <w:w w:val="105"/>
          <w:sz w:val="18"/>
        </w:rPr>
        <w:t> </w:t>
      </w:r>
      <w:r>
        <w:rPr>
          <w:w w:val="105"/>
          <w:sz w:val="18"/>
        </w:rPr>
        <w:t>periods)</w:t>
      </w:r>
      <w:r>
        <w:rPr>
          <w:spacing w:val="-13"/>
          <w:w w:val="105"/>
          <w:sz w:val="18"/>
        </w:rPr>
        <w:t> </w:t>
      </w:r>
      <w:r>
        <w:rPr>
          <w:w w:val="105"/>
          <w:sz w:val="18"/>
        </w:rPr>
        <w:t>than</w:t>
      </w:r>
      <w:r>
        <w:rPr>
          <w:spacing w:val="-13"/>
          <w:w w:val="105"/>
          <w:sz w:val="18"/>
        </w:rPr>
        <w:t> </w:t>
      </w:r>
      <w:r>
        <w:rPr>
          <w:w w:val="105"/>
          <w:sz w:val="18"/>
        </w:rPr>
        <w:t>GCLs</w:t>
      </w:r>
      <w:r>
        <w:rPr>
          <w:spacing w:val="-13"/>
          <w:w w:val="105"/>
          <w:sz w:val="18"/>
        </w:rPr>
        <w:t> </w:t>
      </w:r>
      <w:r>
        <w:rPr>
          <w:w w:val="105"/>
          <w:sz w:val="18"/>
        </w:rPr>
        <w:t>(Morris</w:t>
      </w:r>
      <w:r>
        <w:rPr>
          <w:spacing w:val="-13"/>
          <w:w w:val="105"/>
          <w:sz w:val="18"/>
        </w:rPr>
        <w:t> </w:t>
      </w:r>
      <w:r>
        <w:rPr>
          <w:w w:val="105"/>
          <w:sz w:val="18"/>
        </w:rPr>
        <w:t>et</w:t>
      </w:r>
      <w:r>
        <w:rPr>
          <w:spacing w:val="-13"/>
          <w:w w:val="105"/>
          <w:sz w:val="18"/>
        </w:rPr>
        <w:t> </w:t>
      </w:r>
      <w:r>
        <w:rPr>
          <w:w w:val="105"/>
          <w:sz w:val="18"/>
        </w:rPr>
        <w:t>al.</w:t>
      </w:r>
      <w:r>
        <w:rPr>
          <w:spacing w:val="-13"/>
          <w:w w:val="105"/>
          <w:sz w:val="18"/>
        </w:rPr>
        <w:t> </w:t>
      </w:r>
      <w:r>
        <w:rPr>
          <w:w w:val="105"/>
          <w:sz w:val="18"/>
        </w:rPr>
        <w:t>2020;</w:t>
      </w:r>
      <w:r>
        <w:rPr>
          <w:spacing w:val="-13"/>
          <w:w w:val="105"/>
          <w:sz w:val="18"/>
        </w:rPr>
        <w:t> </w:t>
      </w:r>
      <w:r>
        <w:rPr>
          <w:w w:val="105"/>
          <w:sz w:val="18"/>
        </w:rPr>
        <w:t>Horn</w:t>
      </w:r>
      <w:r>
        <w:rPr>
          <w:spacing w:val="-13"/>
          <w:w w:val="105"/>
          <w:sz w:val="18"/>
        </w:rPr>
        <w:t> </w:t>
      </w:r>
      <w:r>
        <w:rPr>
          <w:w w:val="105"/>
          <w:sz w:val="18"/>
        </w:rPr>
        <w:t>et</w:t>
      </w:r>
      <w:r>
        <w:rPr>
          <w:spacing w:val="-13"/>
          <w:w w:val="105"/>
          <w:sz w:val="18"/>
        </w:rPr>
        <w:t> </w:t>
      </w:r>
      <w:r>
        <w:rPr>
          <w:w w:val="105"/>
          <w:sz w:val="18"/>
        </w:rPr>
        <w:t>al.</w:t>
      </w:r>
      <w:r>
        <w:rPr>
          <w:spacing w:val="-13"/>
          <w:w w:val="105"/>
          <w:sz w:val="18"/>
        </w:rPr>
        <w:t> </w:t>
      </w:r>
      <w:r>
        <w:rPr>
          <w:w w:val="105"/>
          <w:sz w:val="18"/>
        </w:rPr>
        <w:t>2021;</w:t>
      </w:r>
      <w:r>
        <w:rPr>
          <w:spacing w:val="-13"/>
          <w:w w:val="105"/>
          <w:sz w:val="18"/>
        </w:rPr>
        <w:t> </w:t>
      </w:r>
      <w:r>
        <w:rPr>
          <w:w w:val="105"/>
          <w:sz w:val="18"/>
        </w:rPr>
        <w:t>Dreher</w:t>
      </w:r>
      <w:r>
        <w:rPr>
          <w:spacing w:val="-13"/>
          <w:w w:val="105"/>
          <w:sz w:val="18"/>
        </w:rPr>
        <w:t> </w:t>
      </w:r>
      <w:r>
        <w:rPr>
          <w:w w:val="105"/>
          <w:sz w:val="18"/>
        </w:rPr>
        <w:t>et</w:t>
      </w:r>
      <w:r>
        <w:rPr>
          <w:spacing w:val="-13"/>
          <w:w w:val="105"/>
          <w:sz w:val="18"/>
        </w:rPr>
        <w:t> </w:t>
      </w:r>
      <w:r>
        <w:rPr>
          <w:w w:val="105"/>
          <w:sz w:val="18"/>
        </w:rPr>
        <w:t>al.</w:t>
      </w:r>
      <w:r>
        <w:rPr>
          <w:spacing w:val="-13"/>
          <w:w w:val="105"/>
          <w:sz w:val="18"/>
        </w:rPr>
        <w:t> </w:t>
      </w:r>
      <w:r>
        <w:rPr>
          <w:w w:val="105"/>
          <w:sz w:val="18"/>
        </w:rPr>
        <w:t>2022).</w:t>
      </w:r>
    </w:p>
    <w:p>
      <w:pPr>
        <w:spacing w:line="249" w:lineRule="auto" w:before="3"/>
        <w:ind w:left="760" w:right="898" w:firstLine="0"/>
        <w:jc w:val="left"/>
        <w:rPr>
          <w:sz w:val="18"/>
        </w:rPr>
      </w:pPr>
      <w:r>
        <w:rPr>
          <w:sz w:val="18"/>
          <w:vertAlign w:val="superscript"/>
        </w:rPr>
        <w:t>178</w:t>
      </w:r>
      <w:r>
        <w:rPr>
          <w:sz w:val="18"/>
          <w:vertAlign w:val="baseline"/>
        </w:rPr>
        <w:t> The fact that these two concessional lending windows are increasingly inaccessible has signiﬁcant implications for sovereign borrowers. The terms and conditions in PBC and GCL contracts are fairly standardized (Gelpern et al. 2022) and reasonably well-understood among debt management ofﬁcers </w:t>
      </w:r>
      <w:r>
        <w:rPr>
          <w:sz w:val="18"/>
          <w:vertAlign w:val="baseline"/>
        </w:rPr>
        <w:t>and transaction lawyers in LIC and MIC ﬁnance ministries (e.g., Banco Central de Bolivia 2016; NEDA 2017; Economic Relations Division of the Government of the People's Republic of Bangladesh 2023). They include low (ﬁxed) interest rates, long maturities, generous grace periods, no penalty interest provisions, and strict requirements to use Chinese contractors and keep all terms and conditions conﬁdential, among</w:t>
      </w:r>
    </w:p>
    <w:p>
      <w:pPr>
        <w:spacing w:after="0" w:line="249" w:lineRule="auto"/>
        <w:jc w:val="left"/>
        <w:rPr>
          <w:sz w:val="18"/>
        </w:rPr>
        <w:sectPr>
          <w:pgSz w:w="12240" w:h="15840"/>
          <w:pgMar w:header="0" w:footer="720" w:top="1400" w:bottom="920" w:left="1040" w:right="1040"/>
        </w:sectPr>
      </w:pPr>
    </w:p>
    <w:p>
      <w:pPr>
        <w:pStyle w:val="BodyText"/>
        <w:spacing w:line="333" w:lineRule="auto" w:before="27"/>
        <w:ind w:left="760" w:right="767"/>
      </w:pPr>
      <w:r>
        <w:rPr/>
        <w:t>During</w:t>
      </w:r>
      <w:r>
        <w:rPr>
          <w:spacing w:val="-10"/>
        </w:rPr>
        <w:t> </w:t>
      </w:r>
      <w:r>
        <w:rPr/>
        <w:t>the</w:t>
      </w:r>
      <w:r>
        <w:rPr>
          <w:spacing w:val="-10"/>
        </w:rPr>
        <w:t> </w:t>
      </w:r>
      <w:r>
        <w:rPr/>
        <w:t>pre-BRI</w:t>
      </w:r>
      <w:r>
        <w:rPr>
          <w:spacing w:val="-10"/>
        </w:rPr>
        <w:t> </w:t>
      </w:r>
      <w:r>
        <w:rPr/>
        <w:t>and</w:t>
      </w:r>
      <w:r>
        <w:rPr>
          <w:spacing w:val="-10"/>
        </w:rPr>
        <w:t> </w:t>
      </w:r>
      <w:r>
        <w:rPr/>
        <w:t>early</w:t>
      </w:r>
      <w:r>
        <w:rPr>
          <w:spacing w:val="-10"/>
        </w:rPr>
        <w:t> </w:t>
      </w:r>
      <w:r>
        <w:rPr/>
        <w:t>BRI</w:t>
      </w:r>
      <w:r>
        <w:rPr>
          <w:spacing w:val="-10"/>
        </w:rPr>
        <w:t> </w:t>
      </w:r>
      <w:r>
        <w:rPr/>
        <w:t>era,</w:t>
      </w:r>
      <w:r>
        <w:rPr>
          <w:spacing w:val="-10"/>
        </w:rPr>
        <w:t> </w:t>
      </w:r>
      <w:r>
        <w:rPr/>
        <w:t>GCLs</w:t>
      </w:r>
      <w:r>
        <w:rPr>
          <w:spacing w:val="-10"/>
        </w:rPr>
        <w:t> </w:t>
      </w:r>
      <w:r>
        <w:rPr/>
        <w:t>and</w:t>
      </w:r>
      <w:r>
        <w:rPr>
          <w:spacing w:val="-10"/>
        </w:rPr>
        <w:t> </w:t>
      </w:r>
      <w:r>
        <w:rPr/>
        <w:t>PBCs</w:t>
      </w:r>
      <w:r>
        <w:rPr>
          <w:spacing w:val="-10"/>
        </w:rPr>
        <w:t> </w:t>
      </w:r>
      <w:r>
        <w:rPr/>
        <w:t>were</w:t>
      </w:r>
      <w:r>
        <w:rPr>
          <w:spacing w:val="-10"/>
        </w:rPr>
        <w:t> </w:t>
      </w:r>
      <w:r>
        <w:rPr/>
        <w:t>Beijing’s</w:t>
      </w:r>
      <w:r>
        <w:rPr>
          <w:spacing w:val="-10"/>
        </w:rPr>
        <w:t> </w:t>
      </w:r>
      <w:r>
        <w:rPr/>
        <w:t>“workhorse” lending instruments. China Eximbank issued 669 GCLs and PBCs worth $121 billion from 2000 to 2017.</w:t>
      </w:r>
      <w:r>
        <w:rPr>
          <w:vertAlign w:val="superscript"/>
        </w:rPr>
        <w:t>179</w:t>
      </w:r>
      <w:r>
        <w:rPr>
          <w:vertAlign w:val="baseline"/>
        </w:rPr>
        <w:t> All of these loans carry low, ﬁxed interest rates and nearly 100% of them qualify as concessional loans under OECD-DAC measurement standards.</w:t>
      </w:r>
      <w:r>
        <w:rPr>
          <w:vertAlign w:val="superscript"/>
        </w:rPr>
        <w:t>180</w:t>
      </w:r>
      <w:r>
        <w:rPr>
          <w:vertAlign w:val="baseline"/>
        </w:rPr>
        <w:t> However, Figure 2.13 provides evidence of a shift away from ﬁxed interest rate lending and toward variable interest rate lending: whereas 60% of new lending commitments from China to LIC and MIC</w:t>
      </w:r>
      <w:r>
        <w:rPr>
          <w:spacing w:val="80"/>
          <w:vertAlign w:val="baseline"/>
        </w:rPr>
        <w:t> </w:t>
      </w:r>
      <w:r>
        <w:rPr>
          <w:vertAlign w:val="baseline"/>
        </w:rPr>
        <w:t>borrowers carried variable interest rates in 2014, this ﬁgure increased to 90% by 2021. These portfolio-level summary statistics suggest that an effort is underway to transfer more risk from lenders to borrowers. Risk-based loan pricing models usually rely on a variable interest rate, which in turn is based on a ﬂoating market reference rate—such as the London Interbank Offered Rate (LIBOR) or Euro Interbank Offered Rate (EURIBOR)—and a premium that accounts for the risk proﬁle of the borrower. It is also important to keep in mind that SAFE has tasked Chinese state-owned lenders with maximizing investment returns within acceptable</w:t>
      </w:r>
      <w:r>
        <w:rPr>
          <w:spacing w:val="22"/>
          <w:vertAlign w:val="baseline"/>
        </w:rPr>
        <w:t> </w:t>
      </w:r>
      <w:r>
        <w:rPr>
          <w:vertAlign w:val="baseline"/>
        </w:rPr>
        <w:t>risk</w:t>
      </w:r>
      <w:r>
        <w:rPr>
          <w:spacing w:val="22"/>
          <w:vertAlign w:val="baseline"/>
        </w:rPr>
        <w:t> </w:t>
      </w:r>
      <w:r>
        <w:rPr>
          <w:vertAlign w:val="baseline"/>
        </w:rPr>
        <w:t>levels,</w:t>
      </w:r>
      <w:r>
        <w:rPr>
          <w:spacing w:val="22"/>
          <w:vertAlign w:val="baseline"/>
        </w:rPr>
        <w:t> </w:t>
      </w:r>
      <w:r>
        <w:rPr>
          <w:vertAlign w:val="baseline"/>
        </w:rPr>
        <w:t>which</w:t>
      </w:r>
      <w:r>
        <w:rPr>
          <w:spacing w:val="22"/>
          <w:vertAlign w:val="baseline"/>
        </w:rPr>
        <w:t> </w:t>
      </w:r>
      <w:r>
        <w:rPr>
          <w:vertAlign w:val="baseline"/>
        </w:rPr>
        <w:t>is</w:t>
      </w:r>
      <w:r>
        <w:rPr>
          <w:spacing w:val="22"/>
          <w:vertAlign w:val="baseline"/>
        </w:rPr>
        <w:t> </w:t>
      </w:r>
      <w:r>
        <w:rPr>
          <w:vertAlign w:val="baseline"/>
        </w:rPr>
        <w:t>more</w:t>
      </w:r>
      <w:r>
        <w:rPr>
          <w:spacing w:val="22"/>
          <w:vertAlign w:val="baseline"/>
        </w:rPr>
        <w:t> </w:t>
      </w:r>
      <w:r>
        <w:rPr>
          <w:vertAlign w:val="baseline"/>
        </w:rPr>
        <w:t>difﬁcult</w:t>
      </w:r>
      <w:r>
        <w:rPr>
          <w:spacing w:val="22"/>
          <w:vertAlign w:val="baseline"/>
        </w:rPr>
        <w:t> </w:t>
      </w:r>
      <w:r>
        <w:rPr>
          <w:vertAlign w:val="baseline"/>
        </w:rPr>
        <w:t>to</w:t>
      </w:r>
      <w:r>
        <w:rPr>
          <w:spacing w:val="22"/>
          <w:vertAlign w:val="baseline"/>
        </w:rPr>
        <w:t> </w:t>
      </w:r>
      <w:r>
        <w:rPr>
          <w:vertAlign w:val="baseline"/>
        </w:rPr>
        <w:t>do</w:t>
      </w:r>
      <w:r>
        <w:rPr>
          <w:spacing w:val="22"/>
          <w:vertAlign w:val="baseline"/>
        </w:rPr>
        <w:t> </w:t>
      </w:r>
      <w:r>
        <w:rPr>
          <w:vertAlign w:val="baseline"/>
        </w:rPr>
        <w:t>via</w:t>
      </w:r>
      <w:r>
        <w:rPr>
          <w:spacing w:val="22"/>
          <w:vertAlign w:val="baseline"/>
        </w:rPr>
        <w:t> </w:t>
      </w:r>
      <w:r>
        <w:rPr>
          <w:vertAlign w:val="baseline"/>
        </w:rPr>
        <w:t>ﬁxed</w:t>
      </w:r>
      <w:r>
        <w:rPr>
          <w:spacing w:val="22"/>
          <w:vertAlign w:val="baseline"/>
        </w:rPr>
        <w:t> </w:t>
      </w:r>
      <w:r>
        <w:rPr>
          <w:vertAlign w:val="baseline"/>
        </w:rPr>
        <w:t>interest</w:t>
      </w:r>
      <w:r>
        <w:rPr>
          <w:spacing w:val="22"/>
          <w:vertAlign w:val="baseline"/>
        </w:rPr>
        <w:t> </w:t>
      </w:r>
      <w:r>
        <w:rPr>
          <w:vertAlign w:val="baseline"/>
        </w:rPr>
        <w:t>lending when variable (ﬂoating market) interest rates are increasing and pushing up the opportunity cost of funds for lenders (see Box 2b).</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r>
        <w:rPr/>
        <w:pict>
          <v:shape style="position:absolute;margin-left:90pt;margin-top:11.944337pt;width:144pt;height:.1pt;mso-position-horizontal-relative:page;mso-position-vertical-relative:paragraph;z-index:-15690240;mso-wrap-distance-left:0;mso-wrap-distance-right:0" id="docshape69" coordorigin="1800,239" coordsize="2880,0" path="m1800,239l4680,239e" filled="false" stroked="true" strokeweight=".75pt" strokecolor="#000000">
            <v:path arrowok="t"/>
            <v:stroke dashstyle="solid"/>
            <w10:wrap type="topAndBottom"/>
          </v:shape>
        </w:pict>
      </w:r>
    </w:p>
    <w:p>
      <w:pPr>
        <w:spacing w:line="249" w:lineRule="auto" w:before="101"/>
        <w:ind w:left="760" w:right="767" w:firstLine="0"/>
        <w:jc w:val="left"/>
        <w:rPr>
          <w:sz w:val="18"/>
        </w:rPr>
      </w:pPr>
      <w:r>
        <w:rPr>
          <w:sz w:val="18"/>
        </w:rPr>
        <w:t>other things. However, the terms and conditions that are included in more “exotic” Chinese lending instruments</w:t>
      </w:r>
      <w:r>
        <w:rPr>
          <w:spacing w:val="-2"/>
          <w:sz w:val="18"/>
        </w:rPr>
        <w:t> </w:t>
      </w:r>
      <w:r>
        <w:rPr>
          <w:sz w:val="18"/>
        </w:rPr>
        <w:t>(like</w:t>
      </w:r>
      <w:r>
        <w:rPr>
          <w:spacing w:val="-2"/>
          <w:sz w:val="18"/>
        </w:rPr>
        <w:t> </w:t>
      </w:r>
      <w:r>
        <w:rPr>
          <w:sz w:val="18"/>
        </w:rPr>
        <w:t>PBOC</w:t>
      </w:r>
      <w:r>
        <w:rPr>
          <w:spacing w:val="-2"/>
          <w:sz w:val="18"/>
        </w:rPr>
        <w:t> </w:t>
      </w:r>
      <w:r>
        <w:rPr>
          <w:sz w:val="18"/>
        </w:rPr>
        <w:t>swap</w:t>
      </w:r>
      <w:r>
        <w:rPr>
          <w:spacing w:val="-2"/>
          <w:sz w:val="18"/>
        </w:rPr>
        <w:t> </w:t>
      </w:r>
      <w:r>
        <w:rPr>
          <w:sz w:val="18"/>
        </w:rPr>
        <w:t>contracts,</w:t>
      </w:r>
      <w:r>
        <w:rPr>
          <w:spacing w:val="-2"/>
          <w:sz w:val="18"/>
        </w:rPr>
        <w:t> </w:t>
      </w:r>
      <w:r>
        <w:rPr>
          <w:sz w:val="18"/>
        </w:rPr>
        <w:t>CDB</w:t>
      </w:r>
      <w:r>
        <w:rPr>
          <w:spacing w:val="-2"/>
          <w:sz w:val="18"/>
        </w:rPr>
        <w:t> </w:t>
      </w:r>
      <w:r>
        <w:rPr>
          <w:sz w:val="18"/>
        </w:rPr>
        <w:t>liquidity</w:t>
      </w:r>
      <w:r>
        <w:rPr>
          <w:spacing w:val="-2"/>
          <w:sz w:val="18"/>
        </w:rPr>
        <w:t> </w:t>
      </w:r>
      <w:r>
        <w:rPr>
          <w:sz w:val="18"/>
        </w:rPr>
        <w:t>support</w:t>
      </w:r>
      <w:r>
        <w:rPr>
          <w:spacing w:val="-2"/>
          <w:sz w:val="18"/>
        </w:rPr>
        <w:t> </w:t>
      </w:r>
      <w:r>
        <w:rPr>
          <w:sz w:val="18"/>
        </w:rPr>
        <w:t>facilities,</w:t>
      </w:r>
      <w:r>
        <w:rPr>
          <w:spacing w:val="-2"/>
          <w:sz w:val="18"/>
        </w:rPr>
        <w:t> </w:t>
      </w:r>
      <w:r>
        <w:rPr>
          <w:sz w:val="18"/>
        </w:rPr>
        <w:t>and</w:t>
      </w:r>
      <w:r>
        <w:rPr>
          <w:spacing w:val="-2"/>
          <w:sz w:val="18"/>
        </w:rPr>
        <w:t> </w:t>
      </w:r>
      <w:r>
        <w:rPr>
          <w:sz w:val="18"/>
        </w:rPr>
        <w:t>accounts</w:t>
      </w:r>
      <w:r>
        <w:rPr>
          <w:spacing w:val="-2"/>
          <w:sz w:val="18"/>
        </w:rPr>
        <w:t> </w:t>
      </w:r>
      <w:r>
        <w:rPr>
          <w:sz w:val="18"/>
        </w:rPr>
        <w:t>receivable</w:t>
      </w:r>
      <w:r>
        <w:rPr>
          <w:spacing w:val="-2"/>
          <w:sz w:val="18"/>
        </w:rPr>
        <w:t> </w:t>
      </w:r>
      <w:r>
        <w:rPr>
          <w:sz w:val="18"/>
        </w:rPr>
        <w:t>ﬁnancing arrangements with Chinese state-owned commercial banks) are not well-understood.</w:t>
      </w:r>
    </w:p>
    <w:p>
      <w:pPr>
        <w:spacing w:line="249" w:lineRule="auto" w:before="2"/>
        <w:ind w:left="760" w:right="898" w:firstLine="0"/>
        <w:jc w:val="left"/>
        <w:rPr>
          <w:sz w:val="18"/>
        </w:rPr>
      </w:pPr>
      <w:r>
        <w:rPr>
          <w:sz w:val="18"/>
          <w:vertAlign w:val="superscript"/>
        </w:rPr>
        <w:t>179</w:t>
      </w:r>
      <w:r>
        <w:rPr>
          <w:spacing w:val="-6"/>
          <w:sz w:val="18"/>
          <w:vertAlign w:val="baseline"/>
        </w:rPr>
        <w:t> </w:t>
      </w:r>
      <w:r>
        <w:rPr>
          <w:sz w:val="18"/>
          <w:vertAlign w:val="baseline"/>
        </w:rPr>
        <w:t>Between</w:t>
      </w:r>
      <w:r>
        <w:rPr>
          <w:spacing w:val="-5"/>
          <w:sz w:val="18"/>
          <w:vertAlign w:val="baseline"/>
        </w:rPr>
        <w:t> </w:t>
      </w:r>
      <w:r>
        <w:rPr>
          <w:sz w:val="18"/>
          <w:vertAlign w:val="baseline"/>
        </w:rPr>
        <w:t>2018</w:t>
      </w:r>
      <w:r>
        <w:rPr>
          <w:spacing w:val="-5"/>
          <w:sz w:val="18"/>
          <w:vertAlign w:val="baseline"/>
        </w:rPr>
        <w:t> </w:t>
      </w:r>
      <w:r>
        <w:rPr>
          <w:sz w:val="18"/>
          <w:vertAlign w:val="baseline"/>
        </w:rPr>
        <w:t>and</w:t>
      </w:r>
      <w:r>
        <w:rPr>
          <w:spacing w:val="-5"/>
          <w:sz w:val="18"/>
          <w:vertAlign w:val="baseline"/>
        </w:rPr>
        <w:t> </w:t>
      </w:r>
      <w:r>
        <w:rPr>
          <w:sz w:val="18"/>
          <w:vertAlign w:val="baseline"/>
        </w:rPr>
        <w:t>2021,</w:t>
      </w:r>
      <w:r>
        <w:rPr>
          <w:spacing w:val="-5"/>
          <w:sz w:val="18"/>
          <w:vertAlign w:val="baseline"/>
        </w:rPr>
        <w:t> </w:t>
      </w:r>
      <w:r>
        <w:rPr>
          <w:sz w:val="18"/>
          <w:vertAlign w:val="baseline"/>
        </w:rPr>
        <w:t>China</w:t>
      </w:r>
      <w:r>
        <w:rPr>
          <w:spacing w:val="-5"/>
          <w:sz w:val="18"/>
          <w:vertAlign w:val="baseline"/>
        </w:rPr>
        <w:t> </w:t>
      </w:r>
      <w:r>
        <w:rPr>
          <w:sz w:val="18"/>
          <w:vertAlign w:val="baseline"/>
        </w:rPr>
        <w:t>Eximbank</w:t>
      </w:r>
      <w:r>
        <w:rPr>
          <w:spacing w:val="-5"/>
          <w:sz w:val="18"/>
          <w:vertAlign w:val="baseline"/>
        </w:rPr>
        <w:t> </w:t>
      </w:r>
      <w:r>
        <w:rPr>
          <w:sz w:val="18"/>
          <w:vertAlign w:val="baseline"/>
        </w:rPr>
        <w:t>issued</w:t>
      </w:r>
      <w:r>
        <w:rPr>
          <w:spacing w:val="-5"/>
          <w:sz w:val="18"/>
          <w:vertAlign w:val="baseline"/>
        </w:rPr>
        <w:t> </w:t>
      </w:r>
      <w:r>
        <w:rPr>
          <w:sz w:val="18"/>
          <w:vertAlign w:val="baseline"/>
        </w:rPr>
        <w:t>49</w:t>
      </w:r>
      <w:r>
        <w:rPr>
          <w:spacing w:val="-5"/>
          <w:sz w:val="18"/>
          <w:vertAlign w:val="baseline"/>
        </w:rPr>
        <w:t> </w:t>
      </w:r>
      <w:r>
        <w:rPr>
          <w:sz w:val="18"/>
          <w:vertAlign w:val="baseline"/>
        </w:rPr>
        <w:t>GCLs</w:t>
      </w:r>
      <w:r>
        <w:rPr>
          <w:spacing w:val="-5"/>
          <w:sz w:val="18"/>
          <w:vertAlign w:val="baseline"/>
        </w:rPr>
        <w:t> </w:t>
      </w:r>
      <w:r>
        <w:rPr>
          <w:sz w:val="18"/>
          <w:vertAlign w:val="baseline"/>
        </w:rPr>
        <w:t>worth</w:t>
      </w:r>
      <w:r>
        <w:rPr>
          <w:spacing w:val="-5"/>
          <w:sz w:val="18"/>
          <w:vertAlign w:val="baseline"/>
        </w:rPr>
        <w:t> </w:t>
      </w:r>
      <w:r>
        <w:rPr>
          <w:sz w:val="18"/>
          <w:vertAlign w:val="baseline"/>
        </w:rPr>
        <w:t>$9</w:t>
      </w:r>
      <w:r>
        <w:rPr>
          <w:spacing w:val="-5"/>
          <w:sz w:val="18"/>
          <w:vertAlign w:val="baseline"/>
        </w:rPr>
        <w:t> </w:t>
      </w:r>
      <w:r>
        <w:rPr>
          <w:sz w:val="18"/>
          <w:vertAlign w:val="baseline"/>
        </w:rPr>
        <w:t>billion</w:t>
      </w:r>
      <w:r>
        <w:rPr>
          <w:spacing w:val="-5"/>
          <w:sz w:val="18"/>
          <w:vertAlign w:val="baseline"/>
        </w:rPr>
        <w:t> </w:t>
      </w:r>
      <w:r>
        <w:rPr>
          <w:sz w:val="18"/>
          <w:vertAlign w:val="baseline"/>
        </w:rPr>
        <w:t>and</w:t>
      </w:r>
      <w:r>
        <w:rPr>
          <w:spacing w:val="-5"/>
          <w:sz w:val="18"/>
          <w:vertAlign w:val="baseline"/>
        </w:rPr>
        <w:t> </w:t>
      </w:r>
      <w:r>
        <w:rPr>
          <w:sz w:val="18"/>
          <w:vertAlign w:val="baseline"/>
        </w:rPr>
        <w:t>40</w:t>
      </w:r>
      <w:r>
        <w:rPr>
          <w:spacing w:val="-5"/>
          <w:sz w:val="18"/>
          <w:vertAlign w:val="baseline"/>
        </w:rPr>
        <w:t> </w:t>
      </w:r>
      <w:r>
        <w:rPr>
          <w:sz w:val="18"/>
          <w:vertAlign w:val="baseline"/>
        </w:rPr>
        <w:t>PBCs</w:t>
      </w:r>
      <w:r>
        <w:rPr>
          <w:spacing w:val="-5"/>
          <w:sz w:val="18"/>
          <w:vertAlign w:val="baseline"/>
        </w:rPr>
        <w:t> </w:t>
      </w:r>
      <w:r>
        <w:rPr>
          <w:sz w:val="18"/>
          <w:vertAlign w:val="baseline"/>
        </w:rPr>
        <w:t>worth</w:t>
      </w:r>
      <w:r>
        <w:rPr>
          <w:spacing w:val="-5"/>
          <w:sz w:val="18"/>
          <w:vertAlign w:val="baseline"/>
        </w:rPr>
        <w:t> </w:t>
      </w:r>
      <w:r>
        <w:rPr>
          <w:sz w:val="18"/>
          <w:vertAlign w:val="baseline"/>
        </w:rPr>
        <w:t>$22 </w:t>
      </w:r>
      <w:r>
        <w:rPr>
          <w:spacing w:val="-2"/>
          <w:sz w:val="18"/>
          <w:vertAlign w:val="baseline"/>
        </w:rPr>
        <w:t>billion.</w:t>
      </w:r>
    </w:p>
    <w:p>
      <w:pPr>
        <w:spacing w:line="249" w:lineRule="auto" w:before="2"/>
        <w:ind w:left="760" w:right="898" w:firstLine="0"/>
        <w:jc w:val="left"/>
        <w:rPr>
          <w:sz w:val="18"/>
        </w:rPr>
      </w:pPr>
      <w:r>
        <w:rPr>
          <w:sz w:val="18"/>
          <w:vertAlign w:val="superscript"/>
        </w:rPr>
        <w:t>180</w:t>
      </w:r>
      <w:r>
        <w:rPr>
          <w:sz w:val="18"/>
          <w:vertAlign w:val="baseline"/>
        </w:rPr>
        <w:t> 99.6% (260 of 261) of the GCLs that were issued between 2000 and 2017 with grant element observations</w:t>
      </w:r>
      <w:r>
        <w:rPr>
          <w:spacing w:val="-2"/>
          <w:sz w:val="18"/>
          <w:vertAlign w:val="baseline"/>
        </w:rPr>
        <w:t> </w:t>
      </w:r>
      <w:r>
        <w:rPr>
          <w:sz w:val="18"/>
          <w:vertAlign w:val="baseline"/>
        </w:rPr>
        <w:t>met</w:t>
      </w:r>
      <w:r>
        <w:rPr>
          <w:spacing w:val="-2"/>
          <w:sz w:val="18"/>
          <w:vertAlign w:val="baseline"/>
        </w:rPr>
        <w:t> </w:t>
      </w:r>
      <w:r>
        <w:rPr>
          <w:sz w:val="18"/>
          <w:vertAlign w:val="baseline"/>
        </w:rPr>
        <w:t>the</w:t>
      </w:r>
      <w:r>
        <w:rPr>
          <w:spacing w:val="-2"/>
          <w:sz w:val="18"/>
          <w:vertAlign w:val="baseline"/>
        </w:rPr>
        <w:t> </w:t>
      </w:r>
      <w:r>
        <w:rPr>
          <w:sz w:val="18"/>
          <w:vertAlign w:val="baseline"/>
        </w:rPr>
        <w:t>OECD’s</w:t>
      </w:r>
      <w:r>
        <w:rPr>
          <w:spacing w:val="-2"/>
          <w:sz w:val="18"/>
          <w:vertAlign w:val="baseline"/>
        </w:rPr>
        <w:t> </w:t>
      </w:r>
      <w:r>
        <w:rPr>
          <w:sz w:val="18"/>
          <w:vertAlign w:val="baseline"/>
        </w:rPr>
        <w:t>25%</w:t>
      </w:r>
      <w:r>
        <w:rPr>
          <w:spacing w:val="-2"/>
          <w:sz w:val="18"/>
          <w:vertAlign w:val="baseline"/>
        </w:rPr>
        <w:t> </w:t>
      </w:r>
      <w:r>
        <w:rPr>
          <w:sz w:val="18"/>
          <w:vertAlign w:val="baseline"/>
        </w:rPr>
        <w:t>grant</w:t>
      </w:r>
      <w:r>
        <w:rPr>
          <w:spacing w:val="-2"/>
          <w:sz w:val="18"/>
          <w:vertAlign w:val="baseline"/>
        </w:rPr>
        <w:t> </w:t>
      </w:r>
      <w:r>
        <w:rPr>
          <w:sz w:val="18"/>
          <w:vertAlign w:val="baseline"/>
        </w:rPr>
        <w:t>element</w:t>
      </w:r>
      <w:r>
        <w:rPr>
          <w:spacing w:val="-2"/>
          <w:sz w:val="18"/>
          <w:vertAlign w:val="baseline"/>
        </w:rPr>
        <w:t> </w:t>
      </w:r>
      <w:r>
        <w:rPr>
          <w:sz w:val="18"/>
          <w:vertAlign w:val="baseline"/>
        </w:rPr>
        <w:t>threshold</w:t>
      </w:r>
      <w:r>
        <w:rPr>
          <w:spacing w:val="-2"/>
          <w:sz w:val="18"/>
          <w:vertAlign w:val="baseline"/>
        </w:rPr>
        <w:t> </w:t>
      </w:r>
      <w:r>
        <w:rPr>
          <w:sz w:val="18"/>
          <w:vertAlign w:val="baseline"/>
        </w:rPr>
        <w:t>of</w:t>
      </w:r>
      <w:r>
        <w:rPr>
          <w:spacing w:val="-2"/>
          <w:sz w:val="18"/>
          <w:vertAlign w:val="baseline"/>
        </w:rPr>
        <w:t> </w:t>
      </w:r>
      <w:r>
        <w:rPr>
          <w:sz w:val="18"/>
          <w:vertAlign w:val="baseline"/>
        </w:rPr>
        <w:t>concessionality.</w:t>
      </w:r>
      <w:r>
        <w:rPr>
          <w:spacing w:val="-2"/>
          <w:sz w:val="18"/>
          <w:vertAlign w:val="baseline"/>
        </w:rPr>
        <w:t> </w:t>
      </w:r>
      <w:r>
        <w:rPr>
          <w:sz w:val="18"/>
          <w:vertAlign w:val="baseline"/>
        </w:rPr>
        <w:t>99.6%</w:t>
      </w:r>
      <w:r>
        <w:rPr>
          <w:spacing w:val="-2"/>
          <w:sz w:val="18"/>
          <w:vertAlign w:val="baseline"/>
        </w:rPr>
        <w:t> </w:t>
      </w:r>
      <w:r>
        <w:rPr>
          <w:sz w:val="18"/>
          <w:vertAlign w:val="baseline"/>
        </w:rPr>
        <w:t>(247</w:t>
      </w:r>
      <w:r>
        <w:rPr>
          <w:spacing w:val="-2"/>
          <w:sz w:val="18"/>
          <w:vertAlign w:val="baseline"/>
        </w:rPr>
        <w:t> </w:t>
      </w:r>
      <w:r>
        <w:rPr>
          <w:sz w:val="18"/>
          <w:vertAlign w:val="baseline"/>
        </w:rPr>
        <w:t>of</w:t>
      </w:r>
      <w:r>
        <w:rPr>
          <w:spacing w:val="-2"/>
          <w:sz w:val="18"/>
          <w:vertAlign w:val="baseline"/>
        </w:rPr>
        <w:t> </w:t>
      </w:r>
      <w:r>
        <w:rPr>
          <w:sz w:val="18"/>
          <w:vertAlign w:val="baseline"/>
        </w:rPr>
        <w:t>248)</w:t>
      </w:r>
      <w:r>
        <w:rPr>
          <w:spacing w:val="-2"/>
          <w:sz w:val="18"/>
          <w:vertAlign w:val="baseline"/>
        </w:rPr>
        <w:t> </w:t>
      </w:r>
      <w:r>
        <w:rPr>
          <w:sz w:val="18"/>
          <w:vertAlign w:val="baseline"/>
        </w:rPr>
        <w:t>of</w:t>
      </w:r>
      <w:r>
        <w:rPr>
          <w:spacing w:val="-2"/>
          <w:sz w:val="18"/>
          <w:vertAlign w:val="baseline"/>
        </w:rPr>
        <w:t> </w:t>
      </w:r>
      <w:r>
        <w:rPr>
          <w:sz w:val="18"/>
          <w:vertAlign w:val="baseline"/>
        </w:rPr>
        <w:t>the PBCs that were issued between 2000 and 2017 with grant element observations met the OECD's 25% grant element threshold of concessionality.</w:t>
      </w:r>
    </w:p>
    <w:p>
      <w:pPr>
        <w:spacing w:after="0" w:line="249" w:lineRule="auto"/>
        <w:jc w:val="left"/>
        <w:rPr>
          <w:sz w:val="18"/>
        </w:rPr>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70"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2.13</w:t>
                  </w:r>
                </w:p>
              </w:txbxContent>
            </v:textbox>
            <v:fill type="solid"/>
          </v:shape>
        </w:pict>
      </w:r>
      <w:r>
        <w:rPr>
          <w:sz w:val="20"/>
        </w:rPr>
      </w:r>
    </w:p>
    <w:p>
      <w:pPr>
        <w:pStyle w:val="BodyText"/>
        <w:spacing w:before="10"/>
        <w:rPr>
          <w:sz w:val="13"/>
        </w:rPr>
      </w:pPr>
      <w:r>
        <w:rPr/>
        <w:drawing>
          <wp:anchor distT="0" distB="0" distL="0" distR="0" allowOverlap="1" layoutInCell="1" locked="0" behindDoc="0" simplePos="0" relativeHeight="77">
            <wp:simplePos x="0" y="0"/>
            <wp:positionH relativeFrom="page">
              <wp:posOffset>1250453</wp:posOffset>
            </wp:positionH>
            <wp:positionV relativeFrom="paragraph">
              <wp:posOffset>116616</wp:posOffset>
            </wp:positionV>
            <wp:extent cx="5256583" cy="3184398"/>
            <wp:effectExtent l="0" t="0" r="0" b="0"/>
            <wp:wrapTopAndBottom/>
            <wp:docPr id="25" name="image14.jpeg"/>
            <wp:cNvGraphicFramePr>
              <a:graphicFrameLocks noChangeAspect="1"/>
            </wp:cNvGraphicFramePr>
            <a:graphic>
              <a:graphicData uri="http://schemas.openxmlformats.org/drawingml/2006/picture">
                <pic:pic>
                  <pic:nvPicPr>
                    <pic:cNvPr id="26" name="image14.jpeg"/>
                    <pic:cNvPicPr/>
                  </pic:nvPicPr>
                  <pic:blipFill>
                    <a:blip r:embed="rId24" cstate="print"/>
                    <a:stretch>
                      <a:fillRect/>
                    </a:stretch>
                  </pic:blipFill>
                  <pic:spPr>
                    <a:xfrm>
                      <a:off x="0" y="0"/>
                      <a:ext cx="5256583" cy="3184398"/>
                    </a:xfrm>
                    <a:prstGeom prst="rect">
                      <a:avLst/>
                    </a:prstGeom>
                  </pic:spPr>
                </pic:pic>
              </a:graphicData>
            </a:graphic>
          </wp:anchor>
        </w:drawing>
      </w:r>
    </w:p>
    <w:p>
      <w:pPr>
        <w:pStyle w:val="BodyText"/>
        <w:rPr>
          <w:sz w:val="20"/>
        </w:rPr>
      </w:pPr>
    </w:p>
    <w:p>
      <w:pPr>
        <w:pStyle w:val="BodyText"/>
        <w:spacing w:before="10"/>
        <w:rPr>
          <w:sz w:val="16"/>
        </w:rPr>
      </w:pPr>
    </w:p>
    <w:p>
      <w:pPr>
        <w:spacing w:line="333" w:lineRule="auto" w:before="72"/>
        <w:ind w:left="760" w:right="767" w:firstLine="0"/>
        <w:jc w:val="left"/>
        <w:rPr>
          <w:i/>
          <w:sz w:val="18"/>
        </w:rPr>
      </w:pPr>
      <w:r>
        <w:rPr>
          <w:i/>
          <w:sz w:val="18"/>
        </w:rPr>
        <w:t>Notes: Variable interest rates that Chinese state-owned creditors use as benchmarks include LIBOR,</w:t>
      </w:r>
      <w:r>
        <w:rPr>
          <w:i/>
          <w:sz w:val="18"/>
        </w:rPr>
        <w:t> </w:t>
      </w:r>
      <w:r>
        <w:rPr>
          <w:i/>
          <w:spacing w:val="-2"/>
          <w:sz w:val="18"/>
        </w:rPr>
        <w:t>EURIBOR,</w:t>
      </w:r>
      <w:r>
        <w:rPr>
          <w:i/>
          <w:spacing w:val="-10"/>
          <w:sz w:val="18"/>
        </w:rPr>
        <w:t> </w:t>
      </w:r>
      <w:r>
        <w:rPr>
          <w:i/>
          <w:spacing w:val="-2"/>
          <w:sz w:val="18"/>
        </w:rPr>
        <w:t>SHIBOR,</w:t>
      </w:r>
      <w:r>
        <w:rPr>
          <w:i/>
          <w:spacing w:val="-10"/>
          <w:sz w:val="18"/>
        </w:rPr>
        <w:t> </w:t>
      </w:r>
      <w:r>
        <w:rPr>
          <w:i/>
          <w:spacing w:val="-2"/>
          <w:sz w:val="18"/>
        </w:rPr>
        <w:t>BADLAR,</w:t>
      </w:r>
      <w:r>
        <w:rPr>
          <w:i/>
          <w:spacing w:val="-10"/>
          <w:sz w:val="18"/>
        </w:rPr>
        <w:t> </w:t>
      </w:r>
      <w:r>
        <w:rPr>
          <w:i/>
          <w:spacing w:val="-2"/>
          <w:sz w:val="18"/>
        </w:rPr>
        <w:t>CIRR,</w:t>
      </w:r>
      <w:r>
        <w:rPr>
          <w:i/>
          <w:spacing w:val="-10"/>
          <w:sz w:val="18"/>
        </w:rPr>
        <w:t> </w:t>
      </w:r>
      <w:r>
        <w:rPr>
          <w:i/>
          <w:spacing w:val="-2"/>
          <w:sz w:val="18"/>
        </w:rPr>
        <w:t>JIBOR,</w:t>
      </w:r>
      <w:r>
        <w:rPr>
          <w:i/>
          <w:spacing w:val="-10"/>
          <w:sz w:val="18"/>
        </w:rPr>
        <w:t> </w:t>
      </w:r>
      <w:r>
        <w:rPr>
          <w:i/>
          <w:spacing w:val="-2"/>
          <w:sz w:val="18"/>
        </w:rPr>
        <w:t>LPR</w:t>
      </w:r>
      <w:r>
        <w:rPr>
          <w:i/>
          <w:spacing w:val="-10"/>
          <w:sz w:val="18"/>
        </w:rPr>
        <w:t> </w:t>
      </w:r>
      <w:r>
        <w:rPr>
          <w:i/>
          <w:spacing w:val="-2"/>
          <w:sz w:val="18"/>
        </w:rPr>
        <w:t>and</w:t>
      </w:r>
      <w:r>
        <w:rPr>
          <w:i/>
          <w:spacing w:val="-10"/>
          <w:sz w:val="18"/>
        </w:rPr>
        <w:t> </w:t>
      </w:r>
      <w:r>
        <w:rPr>
          <w:i/>
          <w:spacing w:val="-2"/>
          <w:sz w:val="18"/>
        </w:rPr>
        <w:t>BADCOR.</w:t>
      </w:r>
      <w:r>
        <w:rPr>
          <w:i/>
          <w:spacing w:val="-10"/>
          <w:sz w:val="18"/>
        </w:rPr>
        <w:t> </w:t>
      </w:r>
      <w:r>
        <w:rPr>
          <w:i/>
          <w:spacing w:val="-2"/>
          <w:sz w:val="18"/>
        </w:rPr>
        <w:t>We</w:t>
      </w:r>
      <w:r>
        <w:rPr>
          <w:i/>
          <w:spacing w:val="-10"/>
          <w:sz w:val="18"/>
        </w:rPr>
        <w:t> </w:t>
      </w:r>
      <w:r>
        <w:rPr>
          <w:i/>
          <w:spacing w:val="-2"/>
          <w:sz w:val="18"/>
        </w:rPr>
        <w:t>exclude</w:t>
      </w:r>
      <w:r>
        <w:rPr>
          <w:i/>
          <w:spacing w:val="-10"/>
          <w:sz w:val="18"/>
        </w:rPr>
        <w:t> </w:t>
      </w:r>
      <w:r>
        <w:rPr>
          <w:i/>
          <w:spacing w:val="-2"/>
          <w:sz w:val="18"/>
        </w:rPr>
        <w:t>all</w:t>
      </w:r>
      <w:r>
        <w:rPr>
          <w:i/>
          <w:spacing w:val="-10"/>
          <w:sz w:val="18"/>
        </w:rPr>
        <w:t> </w:t>
      </w:r>
      <w:r>
        <w:rPr>
          <w:i/>
          <w:spacing w:val="-2"/>
          <w:sz w:val="18"/>
        </w:rPr>
        <w:t>loans</w:t>
      </w:r>
      <w:r>
        <w:rPr>
          <w:i/>
          <w:spacing w:val="-10"/>
          <w:sz w:val="18"/>
        </w:rPr>
        <w:t> </w:t>
      </w:r>
      <w:r>
        <w:rPr>
          <w:i/>
          <w:spacing w:val="-2"/>
          <w:sz w:val="18"/>
        </w:rPr>
        <w:t>for</w:t>
      </w:r>
      <w:r>
        <w:rPr>
          <w:i/>
          <w:spacing w:val="-10"/>
          <w:sz w:val="18"/>
        </w:rPr>
        <w:t> </w:t>
      </w:r>
      <w:r>
        <w:rPr>
          <w:i/>
          <w:spacing w:val="-2"/>
          <w:sz w:val="18"/>
        </w:rPr>
        <w:t>which</w:t>
      </w:r>
      <w:r>
        <w:rPr>
          <w:i/>
          <w:spacing w:val="-10"/>
          <w:sz w:val="18"/>
        </w:rPr>
        <w:t> </w:t>
      </w:r>
      <w:r>
        <w:rPr>
          <w:i/>
          <w:spacing w:val="-2"/>
          <w:sz w:val="18"/>
        </w:rPr>
        <w:t>we</w:t>
      </w:r>
      <w:r>
        <w:rPr>
          <w:i/>
          <w:spacing w:val="-10"/>
          <w:sz w:val="18"/>
        </w:rPr>
        <w:t> </w:t>
      </w:r>
      <w:r>
        <w:rPr>
          <w:i/>
          <w:spacing w:val="-2"/>
          <w:sz w:val="18"/>
        </w:rPr>
        <w:t>cannot </w:t>
      </w:r>
      <w:r>
        <w:rPr>
          <w:i/>
          <w:sz w:val="18"/>
        </w:rPr>
        <w:t>determine if a ﬁxed or variable interest rate was applied.</w:t>
      </w:r>
    </w:p>
    <w:p>
      <w:pPr>
        <w:pStyle w:val="BodyText"/>
        <w:rPr>
          <w:i/>
          <w:sz w:val="18"/>
        </w:rPr>
      </w:pPr>
    </w:p>
    <w:p>
      <w:pPr>
        <w:pStyle w:val="BodyText"/>
        <w:spacing w:line="333" w:lineRule="auto" w:before="112"/>
        <w:ind w:left="760" w:right="773"/>
      </w:pPr>
      <w:r>
        <w:rPr/>
        <w:t>Together, the shift from dollar-denominated lending to RMB-denominated</w:t>
      </w:r>
      <w:r>
        <w:rPr>
          <w:spacing w:val="80"/>
        </w:rPr>
        <w:t> </w:t>
      </w:r>
      <w:r>
        <w:rPr/>
        <w:t>lending and the shift from ﬁxed interest rate lending to variable interest rate lending have resulted in a dramatic turn away from LIBOR-based lending and toward SHIBOR-based lending. Figure 2.14 demonstrates that the percentage </w:t>
      </w:r>
      <w:r>
        <w:rPr/>
        <w:t>of China’s variable interest rate lending to LICs and MICs based on LIBOR sharply declined from 100% in 2008 to 29% in 2021.</w:t>
      </w:r>
      <w:r>
        <w:rPr>
          <w:vertAlign w:val="superscript"/>
        </w:rPr>
        <w:t>181</w:t>
      </w:r>
      <w:r>
        <w:rPr>
          <w:vertAlign w:val="baseline"/>
        </w:rPr>
        <w:t> The fall of LIBOR was accompanied by the rise of SHIBOR. The percentage of China’s variable interest rate</w:t>
      </w:r>
      <w:r>
        <w:rPr>
          <w:spacing w:val="-4"/>
          <w:vertAlign w:val="baseline"/>
        </w:rPr>
        <w:t> </w:t>
      </w:r>
      <w:r>
        <w:rPr>
          <w:vertAlign w:val="baseline"/>
        </w:rPr>
        <w:t>lending</w:t>
      </w:r>
      <w:r>
        <w:rPr>
          <w:spacing w:val="-4"/>
          <w:vertAlign w:val="baseline"/>
        </w:rPr>
        <w:t> </w:t>
      </w:r>
      <w:r>
        <w:rPr>
          <w:vertAlign w:val="baseline"/>
        </w:rPr>
        <w:t>to</w:t>
      </w:r>
      <w:r>
        <w:rPr>
          <w:spacing w:val="-4"/>
          <w:vertAlign w:val="baseline"/>
        </w:rPr>
        <w:t> </w:t>
      </w:r>
      <w:r>
        <w:rPr>
          <w:vertAlign w:val="baseline"/>
        </w:rPr>
        <w:t>LICs</w:t>
      </w:r>
      <w:r>
        <w:rPr>
          <w:spacing w:val="-4"/>
          <w:vertAlign w:val="baseline"/>
        </w:rPr>
        <w:t> </w:t>
      </w:r>
      <w:r>
        <w:rPr>
          <w:vertAlign w:val="baseline"/>
        </w:rPr>
        <w:t>and</w:t>
      </w:r>
      <w:r>
        <w:rPr>
          <w:spacing w:val="-4"/>
          <w:vertAlign w:val="baseline"/>
        </w:rPr>
        <w:t> </w:t>
      </w:r>
      <w:r>
        <w:rPr>
          <w:vertAlign w:val="baseline"/>
        </w:rPr>
        <w:t>MICs</w:t>
      </w:r>
      <w:r>
        <w:rPr>
          <w:spacing w:val="-4"/>
          <w:vertAlign w:val="baseline"/>
        </w:rPr>
        <w:t> </w:t>
      </w:r>
      <w:r>
        <w:rPr>
          <w:vertAlign w:val="baseline"/>
        </w:rPr>
        <w:t>based</w:t>
      </w:r>
      <w:r>
        <w:rPr>
          <w:spacing w:val="-4"/>
          <w:vertAlign w:val="baseline"/>
        </w:rPr>
        <w:t> </w:t>
      </w:r>
      <w:r>
        <w:rPr>
          <w:vertAlign w:val="baseline"/>
        </w:rPr>
        <w:t>on</w:t>
      </w:r>
      <w:r>
        <w:rPr>
          <w:spacing w:val="-4"/>
          <w:vertAlign w:val="baseline"/>
        </w:rPr>
        <w:t> </w:t>
      </w:r>
      <w:r>
        <w:rPr>
          <w:vertAlign w:val="baseline"/>
        </w:rPr>
        <w:t>SHIBOR</w:t>
      </w:r>
      <w:r>
        <w:rPr>
          <w:spacing w:val="-4"/>
          <w:vertAlign w:val="baseline"/>
        </w:rPr>
        <w:t> </w:t>
      </w:r>
      <w:r>
        <w:rPr>
          <w:vertAlign w:val="baseline"/>
        </w:rPr>
        <w:t>soared</w:t>
      </w:r>
      <w:r>
        <w:rPr>
          <w:spacing w:val="-4"/>
          <w:vertAlign w:val="baseline"/>
        </w:rPr>
        <w:t> </w:t>
      </w:r>
      <w:r>
        <w:rPr>
          <w:vertAlign w:val="baseline"/>
        </w:rPr>
        <w:t>from</w:t>
      </w:r>
      <w:r>
        <w:rPr>
          <w:spacing w:val="-4"/>
          <w:vertAlign w:val="baseline"/>
        </w:rPr>
        <w:t> </w:t>
      </w:r>
      <w:r>
        <w:rPr>
          <w:vertAlign w:val="baseline"/>
        </w:rPr>
        <w:t>0%</w:t>
      </w:r>
      <w:r>
        <w:rPr>
          <w:spacing w:val="-4"/>
          <w:vertAlign w:val="baseline"/>
        </w:rPr>
        <w:t> </w:t>
      </w:r>
      <w:r>
        <w:rPr>
          <w:vertAlign w:val="baseline"/>
        </w:rPr>
        <w:t>in</w:t>
      </w:r>
      <w:r>
        <w:rPr>
          <w:spacing w:val="-4"/>
          <w:vertAlign w:val="baseline"/>
        </w:rPr>
        <w:t> </w:t>
      </w:r>
      <w:r>
        <w:rPr>
          <w:vertAlign w:val="baseline"/>
        </w:rPr>
        <w:t>2008</w:t>
      </w:r>
      <w:r>
        <w:rPr>
          <w:spacing w:val="-4"/>
          <w:vertAlign w:val="baseline"/>
        </w:rPr>
        <w:t> </w:t>
      </w:r>
      <w:r>
        <w:rPr>
          <w:vertAlign w:val="baseline"/>
        </w:rPr>
        <w:t>to</w:t>
      </w:r>
      <w:r>
        <w:rPr>
          <w:spacing w:val="-4"/>
          <w:vertAlign w:val="baseline"/>
        </w:rPr>
        <w:t> </w:t>
      </w:r>
      <w:r>
        <w:rPr>
          <w:vertAlign w:val="baseline"/>
        </w:rPr>
        <w:t>70% in 2021.</w:t>
      </w:r>
      <w:r>
        <w:rPr>
          <w:vertAlign w:val="superscript"/>
        </w:rPr>
        <w:t>182</w:t>
      </w:r>
    </w:p>
    <w:p>
      <w:pPr>
        <w:pStyle w:val="BodyText"/>
        <w:rPr>
          <w:sz w:val="20"/>
        </w:rPr>
      </w:pPr>
    </w:p>
    <w:p>
      <w:pPr>
        <w:pStyle w:val="BodyText"/>
        <w:rPr>
          <w:sz w:val="20"/>
        </w:rPr>
      </w:pPr>
    </w:p>
    <w:p>
      <w:pPr>
        <w:pStyle w:val="BodyText"/>
        <w:spacing w:before="7"/>
        <w:rPr>
          <w:sz w:val="17"/>
        </w:rPr>
      </w:pPr>
      <w:r>
        <w:rPr/>
        <w:pict>
          <v:shape style="position:absolute;margin-left:90pt;margin-top:11.324864pt;width:144pt;height:.1pt;mso-position-horizontal-relative:page;mso-position-vertical-relative:paragraph;z-index:-15688704;mso-wrap-distance-left:0;mso-wrap-distance-right:0" id="docshape71" coordorigin="1800,226" coordsize="2880,0" path="m1800,226l4680,226e" filled="false" stroked="true" strokeweight=".75pt" strokecolor="#000000">
            <v:path arrowok="t"/>
            <v:stroke dashstyle="solid"/>
            <w10:wrap type="topAndBottom"/>
          </v:shape>
        </w:pict>
      </w:r>
    </w:p>
    <w:p>
      <w:pPr>
        <w:spacing w:line="249" w:lineRule="auto" w:before="104"/>
        <w:ind w:left="760" w:right="838" w:firstLine="0"/>
        <w:jc w:val="left"/>
        <w:rPr>
          <w:sz w:val="18"/>
        </w:rPr>
      </w:pPr>
      <w:r>
        <w:rPr>
          <w:sz w:val="18"/>
          <w:vertAlign w:val="superscript"/>
        </w:rPr>
        <w:t>181</w:t>
      </w:r>
      <w:r>
        <w:rPr>
          <w:spacing w:val="-4"/>
          <w:sz w:val="18"/>
          <w:vertAlign w:val="baseline"/>
        </w:rPr>
        <w:t> </w:t>
      </w:r>
      <w:r>
        <w:rPr>
          <w:sz w:val="18"/>
          <w:vertAlign w:val="baseline"/>
        </w:rPr>
        <w:t>China's</w:t>
      </w:r>
      <w:r>
        <w:rPr>
          <w:spacing w:val="-3"/>
          <w:sz w:val="18"/>
          <w:vertAlign w:val="baseline"/>
        </w:rPr>
        <w:t> </w:t>
      </w:r>
      <w:r>
        <w:rPr>
          <w:sz w:val="18"/>
          <w:vertAlign w:val="baseline"/>
        </w:rPr>
        <w:t>LIC</w:t>
      </w:r>
      <w:r>
        <w:rPr>
          <w:spacing w:val="-3"/>
          <w:sz w:val="18"/>
          <w:vertAlign w:val="baseline"/>
        </w:rPr>
        <w:t> </w:t>
      </w:r>
      <w:r>
        <w:rPr>
          <w:sz w:val="18"/>
          <w:vertAlign w:val="baseline"/>
        </w:rPr>
        <w:t>and</w:t>
      </w:r>
      <w:r>
        <w:rPr>
          <w:spacing w:val="-3"/>
          <w:sz w:val="18"/>
          <w:vertAlign w:val="baseline"/>
        </w:rPr>
        <w:t> </w:t>
      </w:r>
      <w:r>
        <w:rPr>
          <w:sz w:val="18"/>
          <w:vertAlign w:val="baseline"/>
        </w:rPr>
        <w:t>MIC</w:t>
      </w:r>
      <w:r>
        <w:rPr>
          <w:spacing w:val="-3"/>
          <w:sz w:val="18"/>
          <w:vertAlign w:val="baseline"/>
        </w:rPr>
        <w:t> </w:t>
      </w:r>
      <w:r>
        <w:rPr>
          <w:sz w:val="18"/>
          <w:vertAlign w:val="baseline"/>
        </w:rPr>
        <w:t>lending</w:t>
      </w:r>
      <w:r>
        <w:rPr>
          <w:spacing w:val="-3"/>
          <w:sz w:val="18"/>
          <w:vertAlign w:val="baseline"/>
        </w:rPr>
        <w:t> </w:t>
      </w:r>
      <w:r>
        <w:rPr>
          <w:sz w:val="18"/>
          <w:vertAlign w:val="baseline"/>
        </w:rPr>
        <w:t>program</w:t>
      </w:r>
      <w:r>
        <w:rPr>
          <w:spacing w:val="-3"/>
          <w:sz w:val="18"/>
          <w:vertAlign w:val="baseline"/>
        </w:rPr>
        <w:t> </w:t>
      </w:r>
      <w:r>
        <w:rPr>
          <w:sz w:val="18"/>
          <w:vertAlign w:val="baseline"/>
        </w:rPr>
        <w:t>was</w:t>
      </w:r>
      <w:r>
        <w:rPr>
          <w:spacing w:val="-3"/>
          <w:sz w:val="18"/>
          <w:vertAlign w:val="baseline"/>
        </w:rPr>
        <w:t> </w:t>
      </w:r>
      <w:r>
        <w:rPr>
          <w:sz w:val="18"/>
          <w:vertAlign w:val="baseline"/>
        </w:rPr>
        <w:t>almost</w:t>
      </w:r>
      <w:r>
        <w:rPr>
          <w:spacing w:val="-3"/>
          <w:sz w:val="18"/>
          <w:vertAlign w:val="baseline"/>
        </w:rPr>
        <w:t> </w:t>
      </w:r>
      <w:r>
        <w:rPr>
          <w:sz w:val="18"/>
          <w:vertAlign w:val="baseline"/>
        </w:rPr>
        <w:t>exclusively</w:t>
      </w:r>
      <w:r>
        <w:rPr>
          <w:spacing w:val="-3"/>
          <w:sz w:val="18"/>
          <w:vertAlign w:val="baseline"/>
        </w:rPr>
        <w:t> </w:t>
      </w:r>
      <w:r>
        <w:rPr>
          <w:sz w:val="18"/>
          <w:vertAlign w:val="baseline"/>
        </w:rPr>
        <w:t>dollar-denominated</w:t>
      </w:r>
      <w:r>
        <w:rPr>
          <w:spacing w:val="-3"/>
          <w:sz w:val="18"/>
          <w:vertAlign w:val="baseline"/>
        </w:rPr>
        <w:t> </w:t>
      </w:r>
      <w:r>
        <w:rPr>
          <w:sz w:val="18"/>
          <w:vertAlign w:val="baseline"/>
        </w:rPr>
        <w:t>in</w:t>
      </w:r>
      <w:r>
        <w:rPr>
          <w:spacing w:val="-3"/>
          <w:sz w:val="18"/>
          <w:vertAlign w:val="baseline"/>
        </w:rPr>
        <w:t> </w:t>
      </w:r>
      <w:r>
        <w:rPr>
          <w:sz w:val="18"/>
          <w:vertAlign w:val="baseline"/>
        </w:rPr>
        <w:t>2009</w:t>
      </w:r>
      <w:r>
        <w:rPr>
          <w:spacing w:val="-3"/>
          <w:sz w:val="18"/>
          <w:vertAlign w:val="baseline"/>
        </w:rPr>
        <w:t> </w:t>
      </w:r>
      <w:r>
        <w:rPr>
          <w:sz w:val="18"/>
          <w:vertAlign w:val="baseline"/>
        </w:rPr>
        <w:t>(see</w:t>
      </w:r>
      <w:r>
        <w:rPr>
          <w:spacing w:val="-3"/>
          <w:sz w:val="18"/>
          <w:vertAlign w:val="baseline"/>
        </w:rPr>
        <w:t> </w:t>
      </w:r>
      <w:r>
        <w:rPr>
          <w:sz w:val="18"/>
          <w:vertAlign w:val="baseline"/>
        </w:rPr>
        <w:t>Figure </w:t>
      </w:r>
      <w:r>
        <w:rPr>
          <w:spacing w:val="-2"/>
          <w:sz w:val="18"/>
          <w:vertAlign w:val="baseline"/>
        </w:rPr>
        <w:t>2.2).</w:t>
      </w:r>
    </w:p>
    <w:p>
      <w:pPr>
        <w:spacing w:line="249" w:lineRule="auto" w:before="1"/>
        <w:ind w:left="760" w:right="852" w:firstLine="0"/>
        <w:jc w:val="left"/>
        <w:rPr>
          <w:sz w:val="18"/>
        </w:rPr>
      </w:pPr>
      <w:r>
        <w:rPr>
          <w:sz w:val="18"/>
          <w:vertAlign w:val="superscript"/>
        </w:rPr>
        <w:t>182</w:t>
      </w:r>
      <w:r>
        <w:rPr>
          <w:sz w:val="18"/>
          <w:vertAlign w:val="baseline"/>
        </w:rPr>
        <w:t> SHIBOR and LPR are both variable interest rates set by the PBOC. Figure 2.14 combines all loans with SHIBOR- and LPR- based interest rates into a single category. However, LPR is not yet widely used in China’s</w:t>
      </w:r>
      <w:r>
        <w:rPr>
          <w:spacing w:val="-5"/>
          <w:sz w:val="18"/>
          <w:vertAlign w:val="baseline"/>
        </w:rPr>
        <w:t> </w:t>
      </w:r>
      <w:r>
        <w:rPr>
          <w:sz w:val="18"/>
          <w:vertAlign w:val="baseline"/>
        </w:rPr>
        <w:t>overseas</w:t>
      </w:r>
      <w:r>
        <w:rPr>
          <w:spacing w:val="-5"/>
          <w:sz w:val="18"/>
          <w:vertAlign w:val="baseline"/>
        </w:rPr>
        <w:t> </w:t>
      </w:r>
      <w:r>
        <w:rPr>
          <w:sz w:val="18"/>
          <w:vertAlign w:val="baseline"/>
        </w:rPr>
        <w:t>lending</w:t>
      </w:r>
      <w:r>
        <w:rPr>
          <w:spacing w:val="-5"/>
          <w:sz w:val="18"/>
          <w:vertAlign w:val="baseline"/>
        </w:rPr>
        <w:t> </w:t>
      </w:r>
      <w:r>
        <w:rPr>
          <w:sz w:val="18"/>
          <w:vertAlign w:val="baseline"/>
        </w:rPr>
        <w:t>portfolio.</w:t>
      </w:r>
      <w:r>
        <w:rPr>
          <w:spacing w:val="-5"/>
          <w:sz w:val="18"/>
          <w:vertAlign w:val="baseline"/>
        </w:rPr>
        <w:t> </w:t>
      </w:r>
      <w:r>
        <w:rPr>
          <w:sz w:val="18"/>
          <w:vertAlign w:val="baseline"/>
        </w:rPr>
        <w:t>There</w:t>
      </w:r>
      <w:r>
        <w:rPr>
          <w:spacing w:val="-5"/>
          <w:sz w:val="18"/>
          <w:vertAlign w:val="baseline"/>
        </w:rPr>
        <w:t> </w:t>
      </w:r>
      <w:r>
        <w:rPr>
          <w:sz w:val="18"/>
          <w:vertAlign w:val="baseline"/>
        </w:rPr>
        <w:t>are</w:t>
      </w:r>
      <w:r>
        <w:rPr>
          <w:spacing w:val="-5"/>
          <w:sz w:val="18"/>
          <w:vertAlign w:val="baseline"/>
        </w:rPr>
        <w:t> </w:t>
      </w:r>
      <w:r>
        <w:rPr>
          <w:sz w:val="18"/>
          <w:vertAlign w:val="baseline"/>
        </w:rPr>
        <w:t>only</w:t>
      </w:r>
      <w:r>
        <w:rPr>
          <w:spacing w:val="-5"/>
          <w:sz w:val="18"/>
          <w:vertAlign w:val="baseline"/>
        </w:rPr>
        <w:t> </w:t>
      </w:r>
      <w:r>
        <w:rPr>
          <w:sz w:val="18"/>
          <w:vertAlign w:val="baseline"/>
        </w:rPr>
        <w:t>2</w:t>
      </w:r>
      <w:r>
        <w:rPr>
          <w:spacing w:val="-5"/>
          <w:sz w:val="18"/>
          <w:vertAlign w:val="baseline"/>
        </w:rPr>
        <w:t> </w:t>
      </w:r>
      <w:r>
        <w:rPr>
          <w:sz w:val="18"/>
          <w:vertAlign w:val="baseline"/>
        </w:rPr>
        <w:t>LPR-based</w:t>
      </w:r>
      <w:r>
        <w:rPr>
          <w:spacing w:val="-5"/>
          <w:sz w:val="18"/>
          <w:vertAlign w:val="baseline"/>
        </w:rPr>
        <w:t> </w:t>
      </w:r>
      <w:r>
        <w:rPr>
          <w:sz w:val="18"/>
          <w:vertAlign w:val="baseline"/>
        </w:rPr>
        <w:t>loan</w:t>
      </w:r>
      <w:r>
        <w:rPr>
          <w:spacing w:val="-5"/>
          <w:sz w:val="18"/>
          <w:vertAlign w:val="baseline"/>
        </w:rPr>
        <w:t> </w:t>
      </w:r>
      <w:r>
        <w:rPr>
          <w:sz w:val="18"/>
          <w:vertAlign w:val="baseline"/>
        </w:rPr>
        <w:t>records</w:t>
      </w:r>
      <w:r>
        <w:rPr>
          <w:spacing w:val="-5"/>
          <w:sz w:val="18"/>
          <w:vertAlign w:val="baseline"/>
        </w:rPr>
        <w:t> </w:t>
      </w:r>
      <w:r>
        <w:rPr>
          <w:sz w:val="18"/>
          <w:vertAlign w:val="baseline"/>
        </w:rPr>
        <w:t>in</w:t>
      </w:r>
      <w:r>
        <w:rPr>
          <w:spacing w:val="-5"/>
          <w:sz w:val="18"/>
          <w:vertAlign w:val="baseline"/>
        </w:rPr>
        <w:t> </w:t>
      </w:r>
      <w:r>
        <w:rPr>
          <w:sz w:val="18"/>
          <w:vertAlign w:val="baseline"/>
        </w:rPr>
        <w:t>the</w:t>
      </w:r>
      <w:r>
        <w:rPr>
          <w:spacing w:val="-5"/>
          <w:sz w:val="18"/>
          <w:vertAlign w:val="baseline"/>
        </w:rPr>
        <w:t> </w:t>
      </w:r>
      <w:r>
        <w:rPr>
          <w:sz w:val="18"/>
          <w:vertAlign w:val="baseline"/>
        </w:rPr>
        <w:t>3.0</w:t>
      </w:r>
      <w:r>
        <w:rPr>
          <w:spacing w:val="-5"/>
          <w:sz w:val="18"/>
          <w:vertAlign w:val="baseline"/>
        </w:rPr>
        <w:t> </w:t>
      </w:r>
      <w:r>
        <w:rPr>
          <w:sz w:val="18"/>
          <w:vertAlign w:val="baseline"/>
        </w:rPr>
        <w:t>version</w:t>
      </w:r>
      <w:r>
        <w:rPr>
          <w:spacing w:val="-5"/>
          <w:sz w:val="18"/>
          <w:vertAlign w:val="baseline"/>
        </w:rPr>
        <w:t> </w:t>
      </w:r>
      <w:r>
        <w:rPr>
          <w:sz w:val="18"/>
          <w:vertAlign w:val="baseline"/>
        </w:rPr>
        <w:t>of</w:t>
      </w:r>
      <w:r>
        <w:rPr>
          <w:spacing w:val="-5"/>
          <w:sz w:val="18"/>
          <w:vertAlign w:val="baseline"/>
        </w:rPr>
        <w:t> </w:t>
      </w:r>
      <w:r>
        <w:rPr>
          <w:sz w:val="18"/>
          <w:vertAlign w:val="baseline"/>
        </w:rPr>
        <w:t>the</w:t>
      </w:r>
      <w:r>
        <w:rPr>
          <w:spacing w:val="-5"/>
          <w:sz w:val="18"/>
          <w:vertAlign w:val="baseline"/>
        </w:rPr>
        <w:t> </w:t>
      </w:r>
      <w:r>
        <w:rPr>
          <w:sz w:val="18"/>
          <w:vertAlign w:val="baseline"/>
        </w:rPr>
        <w:t>GCDF dataset. The shift that has taken place is largely a shift from LIBOR to SHIBOR.</w:t>
      </w:r>
    </w:p>
    <w:p>
      <w:pPr>
        <w:spacing w:after="0" w:line="249" w:lineRule="auto"/>
        <w:jc w:val="left"/>
        <w:rPr>
          <w:sz w:val="18"/>
        </w:rPr>
        <w:sectPr>
          <w:pgSz w:w="12240" w:h="15840"/>
          <w:pgMar w:header="0" w:footer="720" w:top="1560" w:bottom="920" w:left="1040" w:right="1040"/>
        </w:sectPr>
      </w:pPr>
    </w:p>
    <w:p>
      <w:pPr>
        <w:pStyle w:val="BodyText"/>
        <w:ind w:left="640"/>
        <w:rPr>
          <w:sz w:val="20"/>
        </w:rPr>
      </w:pPr>
      <w:r>
        <w:rPr>
          <w:sz w:val="20"/>
        </w:rPr>
        <w:pict>
          <v:shape style="width:444pt;height:38pt;mso-position-horizontal-relative:char;mso-position-vertical-relative:line" type="#_x0000_t202" id="docshape72"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2.14</w:t>
                  </w:r>
                </w:p>
              </w:txbxContent>
            </v:textbox>
            <v:fill type="solid"/>
          </v:shape>
        </w:pict>
      </w:r>
      <w:r>
        <w:rPr>
          <w:sz w:val="20"/>
        </w:rPr>
      </w:r>
    </w:p>
    <w:p>
      <w:pPr>
        <w:pStyle w:val="BodyText"/>
        <w:spacing w:before="10"/>
        <w:rPr>
          <w:sz w:val="13"/>
        </w:rPr>
      </w:pPr>
      <w:r>
        <w:rPr/>
        <w:drawing>
          <wp:anchor distT="0" distB="0" distL="0" distR="0" allowOverlap="1" layoutInCell="1" locked="0" behindDoc="0" simplePos="0" relativeHeight="80">
            <wp:simplePos x="0" y="0"/>
            <wp:positionH relativeFrom="page">
              <wp:posOffset>1255811</wp:posOffset>
            </wp:positionH>
            <wp:positionV relativeFrom="paragraph">
              <wp:posOffset>116536</wp:posOffset>
            </wp:positionV>
            <wp:extent cx="5254902" cy="3184398"/>
            <wp:effectExtent l="0" t="0" r="0" b="0"/>
            <wp:wrapTopAndBottom/>
            <wp:docPr id="27" name="image15.png"/>
            <wp:cNvGraphicFramePr>
              <a:graphicFrameLocks noChangeAspect="1"/>
            </wp:cNvGraphicFramePr>
            <a:graphic>
              <a:graphicData uri="http://schemas.openxmlformats.org/drawingml/2006/picture">
                <pic:pic>
                  <pic:nvPicPr>
                    <pic:cNvPr id="28" name="image15.png"/>
                    <pic:cNvPicPr/>
                  </pic:nvPicPr>
                  <pic:blipFill>
                    <a:blip r:embed="rId25" cstate="print"/>
                    <a:stretch>
                      <a:fillRect/>
                    </a:stretch>
                  </pic:blipFill>
                  <pic:spPr>
                    <a:xfrm>
                      <a:off x="0" y="0"/>
                      <a:ext cx="5254902" cy="3184398"/>
                    </a:xfrm>
                    <a:prstGeom prst="rect">
                      <a:avLst/>
                    </a:prstGeom>
                  </pic:spPr>
                </pic:pic>
              </a:graphicData>
            </a:graphic>
          </wp:anchor>
        </w:drawing>
      </w:r>
    </w:p>
    <w:p>
      <w:pPr>
        <w:pStyle w:val="BodyText"/>
        <w:rPr>
          <w:sz w:val="20"/>
        </w:rPr>
      </w:pPr>
    </w:p>
    <w:p>
      <w:pPr>
        <w:pStyle w:val="BodyText"/>
        <w:spacing w:before="6"/>
        <w:rPr>
          <w:sz w:val="19"/>
        </w:rPr>
      </w:pPr>
    </w:p>
    <w:p>
      <w:pPr>
        <w:spacing w:line="333" w:lineRule="auto" w:before="71"/>
        <w:ind w:left="760" w:right="767" w:firstLine="0"/>
        <w:jc w:val="left"/>
        <w:rPr>
          <w:i/>
          <w:sz w:val="18"/>
        </w:rPr>
      </w:pPr>
      <w:r>
        <w:rPr>
          <w:i/>
          <w:sz w:val="18"/>
        </w:rPr>
        <w:t>Notes: LIBOR refers to the London Interbank Offered Rate. SHIBOR refers to the Shanghai Interbank</w:t>
      </w:r>
      <w:r>
        <w:rPr>
          <w:i/>
          <w:sz w:val="18"/>
        </w:rPr>
        <w:t> Offered</w:t>
      </w:r>
      <w:r>
        <w:rPr>
          <w:i/>
          <w:spacing w:val="-2"/>
          <w:sz w:val="18"/>
        </w:rPr>
        <w:t> </w:t>
      </w:r>
      <w:r>
        <w:rPr>
          <w:i/>
          <w:sz w:val="18"/>
        </w:rPr>
        <w:t>Rate.</w:t>
      </w:r>
      <w:r>
        <w:rPr>
          <w:i/>
          <w:spacing w:val="-2"/>
          <w:sz w:val="18"/>
        </w:rPr>
        <w:t> </w:t>
      </w:r>
      <w:r>
        <w:rPr>
          <w:i/>
          <w:sz w:val="18"/>
        </w:rPr>
        <w:t>LPR</w:t>
      </w:r>
      <w:r>
        <w:rPr>
          <w:i/>
          <w:spacing w:val="-2"/>
          <w:sz w:val="18"/>
        </w:rPr>
        <w:t> </w:t>
      </w:r>
      <w:r>
        <w:rPr>
          <w:i/>
          <w:sz w:val="18"/>
        </w:rPr>
        <w:t>refers</w:t>
      </w:r>
      <w:r>
        <w:rPr>
          <w:i/>
          <w:spacing w:val="-2"/>
          <w:sz w:val="18"/>
        </w:rPr>
        <w:t> </w:t>
      </w:r>
      <w:r>
        <w:rPr>
          <w:i/>
          <w:sz w:val="18"/>
        </w:rPr>
        <w:t>to</w:t>
      </w:r>
      <w:r>
        <w:rPr>
          <w:i/>
          <w:spacing w:val="-2"/>
          <w:sz w:val="18"/>
        </w:rPr>
        <w:t> </w:t>
      </w:r>
      <w:r>
        <w:rPr>
          <w:i/>
          <w:sz w:val="18"/>
        </w:rPr>
        <w:t>the</w:t>
      </w:r>
      <w:r>
        <w:rPr>
          <w:i/>
          <w:spacing w:val="-2"/>
          <w:sz w:val="18"/>
        </w:rPr>
        <w:t> </w:t>
      </w:r>
      <w:r>
        <w:rPr>
          <w:i/>
          <w:sz w:val="18"/>
        </w:rPr>
        <w:t>China</w:t>
      </w:r>
      <w:r>
        <w:rPr>
          <w:i/>
          <w:spacing w:val="-2"/>
          <w:sz w:val="18"/>
        </w:rPr>
        <w:t> </w:t>
      </w:r>
      <w:r>
        <w:rPr>
          <w:i/>
          <w:sz w:val="18"/>
        </w:rPr>
        <w:t>Loan</w:t>
      </w:r>
      <w:r>
        <w:rPr>
          <w:i/>
          <w:spacing w:val="-2"/>
          <w:sz w:val="18"/>
        </w:rPr>
        <w:t> </w:t>
      </w:r>
      <w:r>
        <w:rPr>
          <w:i/>
          <w:sz w:val="18"/>
        </w:rPr>
        <w:t>Prime</w:t>
      </w:r>
      <w:r>
        <w:rPr>
          <w:i/>
          <w:spacing w:val="-2"/>
          <w:sz w:val="18"/>
        </w:rPr>
        <w:t> </w:t>
      </w:r>
      <w:r>
        <w:rPr>
          <w:i/>
          <w:sz w:val="18"/>
        </w:rPr>
        <w:t>Rate.</w:t>
      </w:r>
      <w:r>
        <w:rPr>
          <w:i/>
          <w:spacing w:val="-2"/>
          <w:sz w:val="18"/>
        </w:rPr>
        <w:t> </w:t>
      </w:r>
      <w:r>
        <w:rPr>
          <w:i/>
          <w:sz w:val="18"/>
        </w:rPr>
        <w:t>The</w:t>
      </w:r>
      <w:r>
        <w:rPr>
          <w:i/>
          <w:spacing w:val="-2"/>
          <w:sz w:val="18"/>
        </w:rPr>
        <w:t> </w:t>
      </w:r>
      <w:r>
        <w:rPr>
          <w:i/>
          <w:sz w:val="18"/>
        </w:rPr>
        <w:t>“other”</w:t>
      </w:r>
      <w:r>
        <w:rPr>
          <w:i/>
          <w:spacing w:val="-2"/>
          <w:sz w:val="18"/>
        </w:rPr>
        <w:t> </w:t>
      </w:r>
      <w:r>
        <w:rPr>
          <w:i/>
          <w:sz w:val="18"/>
        </w:rPr>
        <w:t>category</w:t>
      </w:r>
      <w:r>
        <w:rPr>
          <w:i/>
          <w:spacing w:val="-2"/>
          <w:sz w:val="18"/>
        </w:rPr>
        <w:t> </w:t>
      </w:r>
      <w:r>
        <w:rPr>
          <w:i/>
          <w:sz w:val="18"/>
        </w:rPr>
        <w:t>includes</w:t>
      </w:r>
      <w:r>
        <w:rPr>
          <w:i/>
          <w:spacing w:val="-2"/>
          <w:sz w:val="18"/>
        </w:rPr>
        <w:t> </w:t>
      </w:r>
      <w:r>
        <w:rPr>
          <w:i/>
          <w:sz w:val="18"/>
        </w:rPr>
        <w:t>loans</w:t>
      </w:r>
      <w:r>
        <w:rPr>
          <w:i/>
          <w:spacing w:val="-2"/>
          <w:sz w:val="18"/>
        </w:rPr>
        <w:t> </w:t>
      </w:r>
      <w:r>
        <w:rPr>
          <w:i/>
          <w:sz w:val="18"/>
        </w:rPr>
        <w:t>with</w:t>
      </w:r>
      <w:r>
        <w:rPr>
          <w:i/>
          <w:spacing w:val="-2"/>
          <w:sz w:val="18"/>
        </w:rPr>
        <w:t> </w:t>
      </w:r>
      <w:r>
        <w:rPr>
          <w:i/>
          <w:sz w:val="18"/>
        </w:rPr>
        <w:t>variable interest</w:t>
      </w:r>
      <w:r>
        <w:rPr>
          <w:i/>
          <w:spacing w:val="-8"/>
          <w:sz w:val="18"/>
        </w:rPr>
        <w:t> </w:t>
      </w:r>
      <w:r>
        <w:rPr>
          <w:i/>
          <w:sz w:val="18"/>
        </w:rPr>
        <w:t>rates,</w:t>
      </w:r>
      <w:r>
        <w:rPr>
          <w:i/>
          <w:spacing w:val="-8"/>
          <w:sz w:val="18"/>
        </w:rPr>
        <w:t> </w:t>
      </w:r>
      <w:r>
        <w:rPr>
          <w:i/>
          <w:sz w:val="18"/>
        </w:rPr>
        <w:t>such</w:t>
      </w:r>
      <w:r>
        <w:rPr>
          <w:i/>
          <w:spacing w:val="-8"/>
          <w:sz w:val="18"/>
        </w:rPr>
        <w:t> </w:t>
      </w:r>
      <w:r>
        <w:rPr>
          <w:i/>
          <w:sz w:val="18"/>
        </w:rPr>
        <w:t>as</w:t>
      </w:r>
      <w:r>
        <w:rPr>
          <w:i/>
          <w:spacing w:val="-8"/>
          <w:sz w:val="18"/>
        </w:rPr>
        <w:t> </w:t>
      </w:r>
      <w:r>
        <w:rPr>
          <w:i/>
          <w:sz w:val="18"/>
        </w:rPr>
        <w:t>EURIBOR,</w:t>
      </w:r>
      <w:r>
        <w:rPr>
          <w:i/>
          <w:spacing w:val="-8"/>
          <w:sz w:val="18"/>
        </w:rPr>
        <w:t> </w:t>
      </w:r>
      <w:r>
        <w:rPr>
          <w:i/>
          <w:sz w:val="18"/>
        </w:rPr>
        <w:t>BADLAR,</w:t>
      </w:r>
      <w:r>
        <w:rPr>
          <w:i/>
          <w:spacing w:val="-8"/>
          <w:sz w:val="18"/>
        </w:rPr>
        <w:t> </w:t>
      </w:r>
      <w:r>
        <w:rPr>
          <w:i/>
          <w:sz w:val="18"/>
        </w:rPr>
        <w:t>CIRR,</w:t>
      </w:r>
      <w:r>
        <w:rPr>
          <w:i/>
          <w:spacing w:val="-8"/>
          <w:sz w:val="18"/>
        </w:rPr>
        <w:t> </w:t>
      </w:r>
      <w:r>
        <w:rPr>
          <w:i/>
          <w:sz w:val="18"/>
        </w:rPr>
        <w:t>JIBOR,</w:t>
      </w:r>
      <w:r>
        <w:rPr>
          <w:i/>
          <w:spacing w:val="-8"/>
          <w:sz w:val="18"/>
        </w:rPr>
        <w:t> </w:t>
      </w:r>
      <w:r>
        <w:rPr>
          <w:i/>
          <w:sz w:val="18"/>
        </w:rPr>
        <w:t>and</w:t>
      </w:r>
      <w:r>
        <w:rPr>
          <w:i/>
          <w:spacing w:val="-8"/>
          <w:sz w:val="18"/>
        </w:rPr>
        <w:t> </w:t>
      </w:r>
      <w:r>
        <w:rPr>
          <w:i/>
          <w:sz w:val="18"/>
        </w:rPr>
        <w:t>BADCOR.</w:t>
      </w:r>
    </w:p>
    <w:p>
      <w:pPr>
        <w:pStyle w:val="BodyText"/>
        <w:rPr>
          <w:i/>
          <w:sz w:val="18"/>
        </w:rPr>
      </w:pPr>
    </w:p>
    <w:p>
      <w:pPr>
        <w:pStyle w:val="BodyText"/>
        <w:spacing w:line="333" w:lineRule="auto" w:before="112"/>
        <w:ind w:left="760" w:right="964"/>
      </w:pPr>
      <w:r>
        <w:rPr/>
        <w:t>Another important reason why concessionality at the portfolio level has fallen over time is that some of Beijing’s biggest sovereign borrowers have swapped less expensive debt for more expensive debt. Horn et al. (2023a) provide evidence</w:t>
      </w:r>
      <w:r>
        <w:rPr>
          <w:spacing w:val="-6"/>
        </w:rPr>
        <w:t> </w:t>
      </w:r>
      <w:r>
        <w:rPr/>
        <w:t>that</w:t>
      </w:r>
      <w:r>
        <w:rPr>
          <w:spacing w:val="-6"/>
        </w:rPr>
        <w:t> </w:t>
      </w:r>
      <w:r>
        <w:rPr/>
        <w:t>the</w:t>
      </w:r>
      <w:r>
        <w:rPr>
          <w:spacing w:val="-6"/>
        </w:rPr>
        <w:t> </w:t>
      </w:r>
      <w:r>
        <w:rPr/>
        <w:t>interest</w:t>
      </w:r>
      <w:r>
        <w:rPr>
          <w:spacing w:val="-6"/>
        </w:rPr>
        <w:t> </w:t>
      </w:r>
      <w:r>
        <w:rPr/>
        <w:t>rates</w:t>
      </w:r>
      <w:r>
        <w:rPr>
          <w:spacing w:val="-6"/>
        </w:rPr>
        <w:t> </w:t>
      </w:r>
      <w:r>
        <w:rPr/>
        <w:t>on</w:t>
      </w:r>
      <w:r>
        <w:rPr>
          <w:spacing w:val="-6"/>
        </w:rPr>
        <w:t> </w:t>
      </w:r>
      <w:r>
        <w:rPr/>
        <w:t>China’s</w:t>
      </w:r>
      <w:r>
        <w:rPr>
          <w:spacing w:val="-6"/>
        </w:rPr>
        <w:t> </w:t>
      </w:r>
      <w:r>
        <w:rPr/>
        <w:t>emergency</w:t>
      </w:r>
      <w:r>
        <w:rPr>
          <w:spacing w:val="-6"/>
        </w:rPr>
        <w:t> </w:t>
      </w:r>
      <w:r>
        <w:rPr/>
        <w:t>rescue</w:t>
      </w:r>
      <w:r>
        <w:rPr>
          <w:spacing w:val="-6"/>
        </w:rPr>
        <w:t> </w:t>
      </w:r>
      <w:r>
        <w:rPr/>
        <w:t>loans</w:t>
      </w:r>
      <w:r>
        <w:rPr>
          <w:spacing w:val="-6"/>
        </w:rPr>
        <w:t> </w:t>
      </w:r>
      <w:r>
        <w:rPr/>
        <w:t>exceed</w:t>
      </w:r>
      <w:r>
        <w:rPr>
          <w:spacing w:val="-6"/>
        </w:rPr>
        <w:t> </w:t>
      </w:r>
      <w:r>
        <w:rPr/>
        <w:t>the interest rates on the existing debt stocks of the borrowers. They also provide evidence that China’s emergency loans have very short maturities (in many cases, 1 year or less), although it is not unusual for such loans to be “rolled over” when they reach their ofﬁcial maturity dates (see Box 2c for more on this issue).</w:t>
      </w:r>
      <w:r>
        <w:rPr>
          <w:vertAlign w:val="superscript"/>
        </w:rPr>
        <w:t>183</w:t>
      </w:r>
      <w:r>
        <w:rPr>
          <w:vertAlign w:val="baseline"/>
        </w:rPr>
        <w:t> As such, reﬁnancing with bailouts from Beijing typically does not reduce the net present value of a borrower’s debt stock, which highlights an emerging tension between those providing and those receiving new loans:</w:t>
      </w:r>
    </w:p>
    <w:p>
      <w:pPr>
        <w:pStyle w:val="BodyText"/>
        <w:rPr>
          <w:sz w:val="17"/>
        </w:rPr>
      </w:pPr>
      <w:r>
        <w:rPr/>
        <w:pict>
          <v:shape style="position:absolute;margin-left:90pt;margin-top:10.993609pt;width:144pt;height:.1pt;mso-position-horizontal-relative:page;mso-position-vertical-relative:paragraph;z-index:-15687168;mso-wrap-distance-left:0;mso-wrap-distance-right:0" id="docshape73" coordorigin="1800,220" coordsize="2880,0" path="m1800,220l4680,220e" filled="false" stroked="true" strokeweight=".75pt" strokecolor="#000000">
            <v:path arrowok="t"/>
            <v:stroke dashstyle="solid"/>
            <w10:wrap type="topAndBottom"/>
          </v:shape>
        </w:pict>
      </w:r>
    </w:p>
    <w:p>
      <w:pPr>
        <w:spacing w:line="249" w:lineRule="auto" w:before="110"/>
        <w:ind w:left="760" w:right="898" w:firstLine="0"/>
        <w:jc w:val="left"/>
        <w:rPr>
          <w:sz w:val="20"/>
        </w:rPr>
      </w:pPr>
      <w:r>
        <w:rPr>
          <w:sz w:val="20"/>
          <w:vertAlign w:val="superscript"/>
        </w:rPr>
        <w:t>183</w:t>
      </w:r>
      <w:r>
        <w:rPr>
          <w:sz w:val="20"/>
          <w:vertAlign w:val="baseline"/>
        </w:rPr>
        <w:t> Rollover</w:t>
      </w:r>
      <w:r>
        <w:rPr>
          <w:spacing w:val="-1"/>
          <w:sz w:val="20"/>
          <w:vertAlign w:val="baseline"/>
        </w:rPr>
        <w:t> </w:t>
      </w:r>
      <w:r>
        <w:rPr>
          <w:sz w:val="20"/>
          <w:vertAlign w:val="baseline"/>
        </w:rPr>
        <w:t>debt</w:t>
      </w:r>
      <w:r>
        <w:rPr>
          <w:spacing w:val="-1"/>
          <w:sz w:val="20"/>
          <w:vertAlign w:val="baseline"/>
        </w:rPr>
        <w:t> </w:t>
      </w:r>
      <w:r>
        <w:rPr>
          <w:sz w:val="20"/>
          <w:vertAlign w:val="baseline"/>
        </w:rPr>
        <w:t>comes</w:t>
      </w:r>
      <w:r>
        <w:rPr>
          <w:spacing w:val="-1"/>
          <w:sz w:val="20"/>
          <w:vertAlign w:val="baseline"/>
        </w:rPr>
        <w:t> </w:t>
      </w:r>
      <w:r>
        <w:rPr>
          <w:sz w:val="20"/>
          <w:vertAlign w:val="baseline"/>
        </w:rPr>
        <w:t>in</w:t>
      </w:r>
      <w:r>
        <w:rPr>
          <w:spacing w:val="-1"/>
          <w:sz w:val="20"/>
          <w:vertAlign w:val="baseline"/>
        </w:rPr>
        <w:t> </w:t>
      </w:r>
      <w:r>
        <w:rPr>
          <w:sz w:val="20"/>
          <w:vertAlign w:val="baseline"/>
        </w:rPr>
        <w:t>two</w:t>
      </w:r>
      <w:r>
        <w:rPr>
          <w:spacing w:val="-1"/>
          <w:sz w:val="20"/>
          <w:vertAlign w:val="baseline"/>
        </w:rPr>
        <w:t> </w:t>
      </w:r>
      <w:r>
        <w:rPr>
          <w:sz w:val="20"/>
          <w:vertAlign w:val="baseline"/>
        </w:rPr>
        <w:t>varieties:</w:t>
      </w:r>
      <w:r>
        <w:rPr>
          <w:spacing w:val="-1"/>
          <w:sz w:val="20"/>
          <w:vertAlign w:val="baseline"/>
        </w:rPr>
        <w:t> </w:t>
      </w:r>
      <w:r>
        <w:rPr>
          <w:sz w:val="20"/>
          <w:vertAlign w:val="baseline"/>
        </w:rPr>
        <w:t>(1) loans</w:t>
      </w:r>
      <w:r>
        <w:rPr>
          <w:spacing w:val="-1"/>
          <w:sz w:val="20"/>
          <w:vertAlign w:val="baseline"/>
        </w:rPr>
        <w:t> </w:t>
      </w:r>
      <w:r>
        <w:rPr>
          <w:sz w:val="20"/>
          <w:vertAlign w:val="baseline"/>
        </w:rPr>
        <w:t>that</w:t>
      </w:r>
      <w:r>
        <w:rPr>
          <w:spacing w:val="-1"/>
          <w:sz w:val="20"/>
          <w:vertAlign w:val="baseline"/>
        </w:rPr>
        <w:t> </w:t>
      </w:r>
      <w:r>
        <w:rPr>
          <w:sz w:val="20"/>
          <w:vertAlign w:val="baseline"/>
        </w:rPr>
        <w:t>reach</w:t>
      </w:r>
      <w:r>
        <w:rPr>
          <w:spacing w:val="-1"/>
          <w:sz w:val="20"/>
          <w:vertAlign w:val="baseline"/>
        </w:rPr>
        <w:t> </w:t>
      </w:r>
      <w:r>
        <w:rPr>
          <w:sz w:val="20"/>
          <w:vertAlign w:val="baseline"/>
        </w:rPr>
        <w:t>their</w:t>
      </w:r>
      <w:r>
        <w:rPr>
          <w:spacing w:val="-1"/>
          <w:sz w:val="20"/>
          <w:vertAlign w:val="baseline"/>
        </w:rPr>
        <w:t> </w:t>
      </w:r>
      <w:r>
        <w:rPr>
          <w:sz w:val="20"/>
          <w:vertAlign w:val="baseline"/>
        </w:rPr>
        <w:t>original contractual maturity dates and secure ﬁnal maturity date extensions; and (2) loans that are repaid on their original contractual maturity dates and reissued (with similar or different face values and borrowing terms) and assigned new maturity dates.</w:t>
      </w:r>
    </w:p>
    <w:p>
      <w:pPr>
        <w:spacing w:after="0" w:line="249" w:lineRule="auto"/>
        <w:jc w:val="left"/>
        <w:rPr>
          <w:sz w:val="20"/>
        </w:rPr>
        <w:sectPr>
          <w:pgSz w:w="12240" w:h="15840"/>
          <w:pgMar w:header="0" w:footer="720" w:top="1560" w:bottom="920" w:left="1040" w:right="1040"/>
        </w:sectPr>
      </w:pPr>
    </w:p>
    <w:p>
      <w:pPr>
        <w:pStyle w:val="BodyText"/>
        <w:spacing w:line="333" w:lineRule="auto" w:before="27"/>
        <w:ind w:left="760" w:right="964"/>
      </w:pPr>
      <w:r>
        <w:rPr/>
        <w:t>ﬁnancially distressed borrowers want cheap credit that will help them “ride </w:t>
      </w:r>
      <w:r>
        <w:rPr/>
        <w:t>out the storm,” but Chinese state-owned creditors are unsure if their biggest Belt and Road borrowers are illiquid or insolvent, so they are pricing in a higher risk of default when they provide additional credit.</w:t>
      </w:r>
    </w:p>
    <w:p>
      <w:pPr>
        <w:pStyle w:val="BodyText"/>
      </w:pPr>
    </w:p>
    <w:p>
      <w:pPr>
        <w:pStyle w:val="Heading5"/>
        <w:spacing w:line="333" w:lineRule="auto" w:before="162"/>
        <w:ind w:left="760" w:right="898"/>
      </w:pPr>
      <w:r>
        <w:rPr/>
        <w:pict>
          <v:shape style="position:absolute;margin-left:84.000008pt;margin-top:2.124032pt;width:444pt;height:482pt;mso-position-horizontal-relative:page;mso-position-vertical-relative:paragraph;z-index:-17105920" id="docshape74" coordorigin="1680,42" coordsize="8880,9640" path="m10560,42l1680,42,1680,543,1680,562,1680,9682,10560,9682,10560,543,10560,42xe" filled="true" fillcolor="#f0f2f4" stroked="false">
            <v:path arrowok="t"/>
            <v:fill type="solid"/>
            <w10:wrap type="none"/>
          </v:shape>
        </w:pict>
      </w:r>
      <w:r>
        <w:rPr>
          <w:spacing w:val="-8"/>
        </w:rPr>
        <w:t>Box 2c: Should emergency liquidity support from PBOC swap lines be </w:t>
      </w:r>
      <w:r>
        <w:rPr>
          <w:spacing w:val="-8"/>
        </w:rPr>
        <w:t>treated </w:t>
      </w:r>
      <w:r>
        <w:rPr/>
        <w:t>as</w:t>
      </w:r>
      <w:r>
        <w:rPr>
          <w:spacing w:val="-7"/>
        </w:rPr>
        <w:t> </w:t>
      </w:r>
      <w:r>
        <w:rPr/>
        <w:t>short-term</w:t>
      </w:r>
      <w:r>
        <w:rPr>
          <w:spacing w:val="-7"/>
        </w:rPr>
        <w:t> </w:t>
      </w:r>
      <w:r>
        <w:rPr/>
        <w:t>or</w:t>
      </w:r>
      <w:r>
        <w:rPr>
          <w:spacing w:val="-7"/>
        </w:rPr>
        <w:t> </w:t>
      </w:r>
      <w:r>
        <w:rPr/>
        <w:t>long-term</w:t>
      </w:r>
      <w:r>
        <w:rPr>
          <w:spacing w:val="-7"/>
        </w:rPr>
        <w:t> </w:t>
      </w:r>
      <w:r>
        <w:rPr/>
        <w:t>debt?</w:t>
      </w:r>
    </w:p>
    <w:p>
      <w:pPr>
        <w:pStyle w:val="BodyText"/>
        <w:spacing w:before="8"/>
        <w:rPr>
          <w:b/>
          <w:sz w:val="20"/>
        </w:rPr>
      </w:pPr>
    </w:p>
    <w:p>
      <w:pPr>
        <w:spacing w:line="300" w:lineRule="auto" w:before="0"/>
        <w:ind w:left="760" w:right="898" w:firstLine="0"/>
        <w:jc w:val="left"/>
        <w:rPr>
          <w:sz w:val="20"/>
        </w:rPr>
      </w:pPr>
      <w:r>
        <w:rPr>
          <w:sz w:val="20"/>
        </w:rPr>
        <w:t>Between 2016 and 2021, the PBOC used its swap line network to provide nearly $150 billion in emergency liquidity support to central banks in LICs and MICs (Horn et al. 2023a). These borrowings have created a new measurement challenge for organizations that (a) track the international lending activities of external creditors, and (b) monitor levels of public debt exposure in the developing world.</w:t>
      </w:r>
    </w:p>
    <w:p>
      <w:pPr>
        <w:pStyle w:val="BodyText"/>
        <w:spacing w:before="1"/>
        <w:rPr>
          <w:sz w:val="21"/>
        </w:rPr>
      </w:pPr>
    </w:p>
    <w:p>
      <w:pPr>
        <w:spacing w:line="300" w:lineRule="auto" w:before="0"/>
        <w:ind w:left="760" w:right="759" w:firstLine="0"/>
        <w:jc w:val="left"/>
        <w:rPr>
          <w:sz w:val="20"/>
        </w:rPr>
      </w:pPr>
      <w:r>
        <w:rPr>
          <w:sz w:val="20"/>
        </w:rPr>
        <w:t>The</w:t>
      </w:r>
      <w:r>
        <w:rPr>
          <w:spacing w:val="-3"/>
          <w:sz w:val="20"/>
        </w:rPr>
        <w:t> </w:t>
      </w:r>
      <w:r>
        <w:rPr>
          <w:sz w:val="20"/>
        </w:rPr>
        <w:t>reporting</w:t>
      </w:r>
      <w:r>
        <w:rPr>
          <w:spacing w:val="-3"/>
          <w:sz w:val="20"/>
        </w:rPr>
        <w:t> </w:t>
      </w:r>
      <w:r>
        <w:rPr>
          <w:sz w:val="20"/>
        </w:rPr>
        <w:t>directives</w:t>
      </w:r>
      <w:r>
        <w:rPr>
          <w:spacing w:val="-3"/>
          <w:sz w:val="20"/>
        </w:rPr>
        <w:t> </w:t>
      </w:r>
      <w:r>
        <w:rPr>
          <w:sz w:val="20"/>
        </w:rPr>
        <w:t>of</w:t>
      </w:r>
      <w:r>
        <w:rPr>
          <w:spacing w:val="-3"/>
          <w:sz w:val="20"/>
        </w:rPr>
        <w:t> </w:t>
      </w:r>
      <w:r>
        <w:rPr>
          <w:sz w:val="20"/>
        </w:rPr>
        <w:t>the</w:t>
      </w:r>
      <w:r>
        <w:rPr>
          <w:spacing w:val="-3"/>
          <w:sz w:val="20"/>
        </w:rPr>
        <w:t> </w:t>
      </w:r>
      <w:r>
        <w:rPr>
          <w:sz w:val="20"/>
        </w:rPr>
        <w:t>OECD’s</w:t>
      </w:r>
      <w:r>
        <w:rPr>
          <w:spacing w:val="-3"/>
          <w:sz w:val="20"/>
        </w:rPr>
        <w:t> </w:t>
      </w:r>
      <w:r>
        <w:rPr>
          <w:sz w:val="20"/>
        </w:rPr>
        <w:t>Creditor</w:t>
      </w:r>
      <w:r>
        <w:rPr>
          <w:spacing w:val="-3"/>
          <w:sz w:val="20"/>
        </w:rPr>
        <w:t> </w:t>
      </w:r>
      <w:r>
        <w:rPr>
          <w:sz w:val="20"/>
        </w:rPr>
        <w:t>Reporting</w:t>
      </w:r>
      <w:r>
        <w:rPr>
          <w:spacing w:val="-3"/>
          <w:sz w:val="20"/>
        </w:rPr>
        <w:t> </w:t>
      </w:r>
      <w:r>
        <w:rPr>
          <w:sz w:val="20"/>
        </w:rPr>
        <w:t>System</w:t>
      </w:r>
      <w:r>
        <w:rPr>
          <w:spacing w:val="-3"/>
          <w:sz w:val="20"/>
        </w:rPr>
        <w:t> </w:t>
      </w:r>
      <w:r>
        <w:rPr>
          <w:sz w:val="20"/>
        </w:rPr>
        <w:t>(CRS)</w:t>
      </w:r>
      <w:r>
        <w:rPr>
          <w:spacing w:val="-2"/>
          <w:sz w:val="20"/>
        </w:rPr>
        <w:t> </w:t>
      </w:r>
      <w:r>
        <w:rPr>
          <w:sz w:val="20"/>
        </w:rPr>
        <w:t>specify</w:t>
      </w:r>
      <w:r>
        <w:rPr>
          <w:spacing w:val="-3"/>
          <w:sz w:val="20"/>
        </w:rPr>
        <w:t> </w:t>
      </w:r>
      <w:r>
        <w:rPr>
          <w:sz w:val="20"/>
        </w:rPr>
        <w:t>that</w:t>
      </w:r>
      <w:r>
        <w:rPr>
          <w:spacing w:val="-3"/>
          <w:sz w:val="20"/>
        </w:rPr>
        <w:t> </w:t>
      </w:r>
      <w:r>
        <w:rPr>
          <w:sz w:val="20"/>
        </w:rPr>
        <w:t>“[l]oans</w:t>
      </w:r>
      <w:r>
        <w:rPr>
          <w:spacing w:val="-3"/>
          <w:sz w:val="20"/>
        </w:rPr>
        <w:t> </w:t>
      </w:r>
      <w:r>
        <w:rPr>
          <w:sz w:val="20"/>
        </w:rPr>
        <w:t>with a maturity of one year or less are not reportable in DAC statistics” (OECD 2021: 51).</w:t>
      </w:r>
      <w:r>
        <w:rPr>
          <w:sz w:val="20"/>
          <w:vertAlign w:val="superscript"/>
        </w:rPr>
        <w:t>184</w:t>
      </w:r>
      <w:r>
        <w:rPr>
          <w:sz w:val="20"/>
          <w:vertAlign w:val="baseline"/>
        </w:rPr>
        <w:t> Similarly, governments that participate in the World Bank’s Debtor Reporting System (DRS) are asked to report their long-term debt repayment obligations to external creditors on an annual basis.</w:t>
      </w:r>
      <w:r>
        <w:rPr>
          <w:sz w:val="20"/>
          <w:vertAlign w:val="superscript"/>
        </w:rPr>
        <w:t>185</w:t>
      </w:r>
      <w:r>
        <w:rPr>
          <w:sz w:val="20"/>
          <w:vertAlign w:val="baseline"/>
        </w:rPr>
        <w:t> Long-term debt is deﬁned in the DRS reporting manual as debt “with an original contractual or extended maturity of more than one year […]” (World Bank 2000: 4).</w:t>
      </w:r>
    </w:p>
    <w:p>
      <w:pPr>
        <w:pStyle w:val="BodyText"/>
        <w:spacing w:before="2"/>
        <w:rPr>
          <w:sz w:val="21"/>
        </w:rPr>
      </w:pPr>
    </w:p>
    <w:p>
      <w:pPr>
        <w:spacing w:line="300" w:lineRule="auto" w:before="0"/>
        <w:ind w:left="760" w:right="767" w:firstLine="0"/>
        <w:jc w:val="left"/>
        <w:rPr>
          <w:sz w:val="20"/>
        </w:rPr>
      </w:pPr>
      <w:r>
        <w:rPr>
          <w:spacing w:val="-2"/>
          <w:w w:val="105"/>
          <w:sz w:val="20"/>
        </w:rPr>
        <w:t>Based</w:t>
      </w:r>
      <w:r>
        <w:rPr>
          <w:spacing w:val="-7"/>
          <w:w w:val="105"/>
          <w:sz w:val="20"/>
        </w:rPr>
        <w:t> </w:t>
      </w:r>
      <w:r>
        <w:rPr>
          <w:spacing w:val="-2"/>
          <w:w w:val="105"/>
          <w:sz w:val="20"/>
        </w:rPr>
        <w:t>on</w:t>
      </w:r>
      <w:r>
        <w:rPr>
          <w:spacing w:val="-7"/>
          <w:w w:val="105"/>
          <w:sz w:val="20"/>
        </w:rPr>
        <w:t> </w:t>
      </w:r>
      <w:r>
        <w:rPr>
          <w:spacing w:val="-2"/>
          <w:w w:val="105"/>
          <w:sz w:val="20"/>
        </w:rPr>
        <w:t>a</w:t>
      </w:r>
      <w:r>
        <w:rPr>
          <w:spacing w:val="-7"/>
          <w:w w:val="105"/>
          <w:sz w:val="20"/>
        </w:rPr>
        <w:t> </w:t>
      </w:r>
      <w:r>
        <w:rPr>
          <w:spacing w:val="-2"/>
          <w:w w:val="105"/>
          <w:sz w:val="20"/>
        </w:rPr>
        <w:t>narrow</w:t>
      </w:r>
      <w:r>
        <w:rPr>
          <w:spacing w:val="-7"/>
          <w:w w:val="105"/>
          <w:sz w:val="20"/>
        </w:rPr>
        <w:t> </w:t>
      </w:r>
      <w:r>
        <w:rPr>
          <w:spacing w:val="-2"/>
          <w:w w:val="105"/>
          <w:sz w:val="20"/>
        </w:rPr>
        <w:t>interpretation</w:t>
      </w:r>
      <w:r>
        <w:rPr>
          <w:spacing w:val="-7"/>
          <w:w w:val="105"/>
          <w:sz w:val="20"/>
        </w:rPr>
        <w:t> </w:t>
      </w:r>
      <w:r>
        <w:rPr>
          <w:spacing w:val="-2"/>
          <w:w w:val="105"/>
          <w:sz w:val="20"/>
        </w:rPr>
        <w:t>of</w:t>
      </w:r>
      <w:r>
        <w:rPr>
          <w:spacing w:val="-7"/>
          <w:w w:val="105"/>
          <w:sz w:val="20"/>
        </w:rPr>
        <w:t> </w:t>
      </w:r>
      <w:r>
        <w:rPr>
          <w:spacing w:val="-2"/>
          <w:w w:val="105"/>
          <w:sz w:val="20"/>
        </w:rPr>
        <w:t>the</w:t>
      </w:r>
      <w:r>
        <w:rPr>
          <w:spacing w:val="-7"/>
          <w:w w:val="105"/>
          <w:sz w:val="20"/>
        </w:rPr>
        <w:t> </w:t>
      </w:r>
      <w:r>
        <w:rPr>
          <w:spacing w:val="-2"/>
          <w:w w:val="105"/>
          <w:sz w:val="20"/>
        </w:rPr>
        <w:t>prevailing</w:t>
      </w:r>
      <w:r>
        <w:rPr>
          <w:spacing w:val="-7"/>
          <w:w w:val="105"/>
          <w:sz w:val="20"/>
        </w:rPr>
        <w:t> </w:t>
      </w:r>
      <w:r>
        <w:rPr>
          <w:spacing w:val="-2"/>
          <w:w w:val="105"/>
          <w:sz w:val="20"/>
        </w:rPr>
        <w:t>international</w:t>
      </w:r>
      <w:r>
        <w:rPr>
          <w:spacing w:val="-6"/>
          <w:w w:val="105"/>
          <w:sz w:val="20"/>
        </w:rPr>
        <w:t> </w:t>
      </w:r>
      <w:r>
        <w:rPr>
          <w:spacing w:val="-2"/>
          <w:w w:val="105"/>
          <w:sz w:val="20"/>
        </w:rPr>
        <w:t>reporting</w:t>
      </w:r>
      <w:r>
        <w:rPr>
          <w:spacing w:val="-7"/>
          <w:w w:val="105"/>
          <w:sz w:val="20"/>
        </w:rPr>
        <w:t> </w:t>
      </w:r>
      <w:r>
        <w:rPr>
          <w:spacing w:val="-2"/>
          <w:w w:val="105"/>
          <w:sz w:val="20"/>
        </w:rPr>
        <w:t>rules,</w:t>
      </w:r>
      <w:r>
        <w:rPr>
          <w:spacing w:val="-7"/>
          <w:w w:val="105"/>
          <w:sz w:val="20"/>
        </w:rPr>
        <w:t> </w:t>
      </w:r>
      <w:r>
        <w:rPr>
          <w:spacing w:val="-2"/>
          <w:w w:val="105"/>
          <w:sz w:val="20"/>
        </w:rPr>
        <w:t>PBOC</w:t>
      </w:r>
      <w:r>
        <w:rPr>
          <w:spacing w:val="-7"/>
          <w:w w:val="105"/>
          <w:sz w:val="20"/>
        </w:rPr>
        <w:t> </w:t>
      </w:r>
      <w:r>
        <w:rPr>
          <w:spacing w:val="-2"/>
          <w:w w:val="105"/>
          <w:sz w:val="20"/>
        </w:rPr>
        <w:t>swap</w:t>
      </w:r>
      <w:r>
        <w:rPr>
          <w:spacing w:val="-7"/>
          <w:w w:val="105"/>
          <w:sz w:val="20"/>
        </w:rPr>
        <w:t> </w:t>
      </w:r>
      <w:r>
        <w:rPr>
          <w:spacing w:val="-2"/>
          <w:w w:val="105"/>
          <w:sz w:val="20"/>
        </w:rPr>
        <w:t>line borrowings</w:t>
      </w:r>
      <w:r>
        <w:rPr>
          <w:spacing w:val="-8"/>
          <w:w w:val="105"/>
          <w:sz w:val="20"/>
        </w:rPr>
        <w:t> </w:t>
      </w:r>
      <w:r>
        <w:rPr>
          <w:spacing w:val="-2"/>
          <w:w w:val="105"/>
          <w:sz w:val="20"/>
        </w:rPr>
        <w:t>should</w:t>
      </w:r>
      <w:r>
        <w:rPr>
          <w:spacing w:val="-8"/>
          <w:w w:val="105"/>
          <w:sz w:val="20"/>
        </w:rPr>
        <w:t> </w:t>
      </w:r>
      <w:r>
        <w:rPr>
          <w:spacing w:val="-2"/>
          <w:w w:val="105"/>
          <w:sz w:val="20"/>
        </w:rPr>
        <w:t>not</w:t>
      </w:r>
      <w:r>
        <w:rPr>
          <w:spacing w:val="-8"/>
          <w:w w:val="105"/>
          <w:sz w:val="20"/>
        </w:rPr>
        <w:t> </w:t>
      </w:r>
      <w:r>
        <w:rPr>
          <w:spacing w:val="-2"/>
          <w:w w:val="105"/>
          <w:sz w:val="20"/>
        </w:rPr>
        <w:t>be</w:t>
      </w:r>
      <w:r>
        <w:rPr>
          <w:spacing w:val="-8"/>
          <w:w w:val="105"/>
          <w:sz w:val="20"/>
        </w:rPr>
        <w:t> </w:t>
      </w:r>
      <w:r>
        <w:rPr>
          <w:spacing w:val="-2"/>
          <w:w w:val="105"/>
          <w:sz w:val="20"/>
        </w:rPr>
        <w:t>reported</w:t>
      </w:r>
      <w:r>
        <w:rPr>
          <w:spacing w:val="-8"/>
          <w:w w:val="105"/>
          <w:sz w:val="20"/>
        </w:rPr>
        <w:t> </w:t>
      </w:r>
      <w:r>
        <w:rPr>
          <w:spacing w:val="-2"/>
          <w:w w:val="105"/>
          <w:sz w:val="20"/>
        </w:rPr>
        <w:t>to</w:t>
      </w:r>
      <w:r>
        <w:rPr>
          <w:spacing w:val="-8"/>
          <w:w w:val="105"/>
          <w:sz w:val="20"/>
        </w:rPr>
        <w:t> </w:t>
      </w:r>
      <w:r>
        <w:rPr>
          <w:spacing w:val="-2"/>
          <w:w w:val="105"/>
          <w:sz w:val="20"/>
        </w:rPr>
        <w:t>the</w:t>
      </w:r>
      <w:r>
        <w:rPr>
          <w:spacing w:val="-8"/>
          <w:w w:val="105"/>
          <w:sz w:val="20"/>
        </w:rPr>
        <w:t> </w:t>
      </w:r>
      <w:r>
        <w:rPr>
          <w:spacing w:val="-2"/>
          <w:w w:val="105"/>
          <w:sz w:val="20"/>
        </w:rPr>
        <w:t>DRS</w:t>
      </w:r>
      <w:r>
        <w:rPr>
          <w:spacing w:val="-8"/>
          <w:w w:val="105"/>
          <w:sz w:val="20"/>
        </w:rPr>
        <w:t> </w:t>
      </w:r>
      <w:r>
        <w:rPr>
          <w:spacing w:val="-2"/>
          <w:w w:val="105"/>
          <w:sz w:val="20"/>
        </w:rPr>
        <w:t>or</w:t>
      </w:r>
      <w:r>
        <w:rPr>
          <w:spacing w:val="-8"/>
          <w:w w:val="105"/>
          <w:sz w:val="20"/>
        </w:rPr>
        <w:t> </w:t>
      </w:r>
      <w:r>
        <w:rPr>
          <w:spacing w:val="-2"/>
          <w:w w:val="105"/>
          <w:sz w:val="20"/>
        </w:rPr>
        <w:t>the</w:t>
      </w:r>
      <w:r>
        <w:rPr>
          <w:spacing w:val="-8"/>
          <w:w w:val="105"/>
          <w:sz w:val="20"/>
        </w:rPr>
        <w:t> </w:t>
      </w:r>
      <w:r>
        <w:rPr>
          <w:spacing w:val="-2"/>
          <w:w w:val="105"/>
          <w:sz w:val="20"/>
        </w:rPr>
        <w:t>CRS.</w:t>
      </w:r>
      <w:r>
        <w:rPr>
          <w:spacing w:val="-8"/>
          <w:w w:val="105"/>
          <w:sz w:val="20"/>
        </w:rPr>
        <w:t> </w:t>
      </w:r>
      <w:r>
        <w:rPr>
          <w:spacing w:val="-2"/>
          <w:w w:val="105"/>
          <w:sz w:val="20"/>
        </w:rPr>
        <w:t>Nearly</w:t>
      </w:r>
      <w:r>
        <w:rPr>
          <w:spacing w:val="-8"/>
          <w:w w:val="105"/>
          <w:sz w:val="20"/>
        </w:rPr>
        <w:t> </w:t>
      </w:r>
      <w:r>
        <w:rPr>
          <w:spacing w:val="-2"/>
          <w:w w:val="105"/>
          <w:sz w:val="20"/>
        </w:rPr>
        <w:t>all</w:t>
      </w:r>
      <w:r>
        <w:rPr>
          <w:spacing w:val="-7"/>
          <w:w w:val="105"/>
          <w:sz w:val="20"/>
        </w:rPr>
        <w:t> </w:t>
      </w:r>
      <w:r>
        <w:rPr>
          <w:spacing w:val="-2"/>
          <w:w w:val="105"/>
          <w:sz w:val="20"/>
        </w:rPr>
        <w:t>of</w:t>
      </w:r>
      <w:r>
        <w:rPr>
          <w:spacing w:val="-8"/>
          <w:w w:val="105"/>
          <w:sz w:val="20"/>
        </w:rPr>
        <w:t> </w:t>
      </w:r>
      <w:r>
        <w:rPr>
          <w:spacing w:val="-2"/>
          <w:w w:val="105"/>
          <w:sz w:val="20"/>
        </w:rPr>
        <w:t>these</w:t>
      </w:r>
      <w:r>
        <w:rPr>
          <w:spacing w:val="-8"/>
          <w:w w:val="105"/>
          <w:sz w:val="20"/>
        </w:rPr>
        <w:t> </w:t>
      </w:r>
      <w:r>
        <w:rPr>
          <w:spacing w:val="-2"/>
          <w:w w:val="105"/>
          <w:sz w:val="20"/>
        </w:rPr>
        <w:t>borrowings</w:t>
      </w:r>
      <w:r>
        <w:rPr>
          <w:spacing w:val="-8"/>
          <w:w w:val="105"/>
          <w:sz w:val="20"/>
        </w:rPr>
        <w:t> </w:t>
      </w:r>
      <w:r>
        <w:rPr>
          <w:spacing w:val="-2"/>
          <w:w w:val="105"/>
          <w:sz w:val="20"/>
        </w:rPr>
        <w:t>carry </w:t>
      </w:r>
      <w:r>
        <w:rPr>
          <w:sz w:val="20"/>
        </w:rPr>
        <w:t>de jure maturities of one year or less (i.e., they are initially scheduled for repayment in 12 months </w:t>
      </w:r>
      <w:r>
        <w:rPr>
          <w:spacing w:val="-2"/>
          <w:w w:val="105"/>
          <w:sz w:val="20"/>
        </w:rPr>
        <w:t>or</w:t>
      </w:r>
      <w:r>
        <w:rPr>
          <w:spacing w:val="-11"/>
          <w:w w:val="105"/>
          <w:sz w:val="20"/>
        </w:rPr>
        <w:t> </w:t>
      </w:r>
      <w:r>
        <w:rPr>
          <w:spacing w:val="-2"/>
          <w:w w:val="105"/>
          <w:sz w:val="20"/>
        </w:rPr>
        <w:t>less).</w:t>
      </w:r>
      <w:r>
        <w:rPr>
          <w:spacing w:val="-11"/>
          <w:w w:val="105"/>
          <w:sz w:val="20"/>
        </w:rPr>
        <w:t> </w:t>
      </w:r>
      <w:r>
        <w:rPr>
          <w:spacing w:val="-2"/>
          <w:w w:val="105"/>
          <w:sz w:val="20"/>
        </w:rPr>
        <w:t>However,</w:t>
      </w:r>
      <w:r>
        <w:rPr>
          <w:spacing w:val="-11"/>
          <w:w w:val="105"/>
          <w:sz w:val="20"/>
        </w:rPr>
        <w:t> </w:t>
      </w:r>
      <w:r>
        <w:rPr>
          <w:spacing w:val="-2"/>
          <w:w w:val="105"/>
          <w:sz w:val="20"/>
        </w:rPr>
        <w:t>central</w:t>
      </w:r>
      <w:r>
        <w:rPr>
          <w:spacing w:val="-10"/>
          <w:w w:val="105"/>
          <w:sz w:val="20"/>
        </w:rPr>
        <w:t> </w:t>
      </w:r>
      <w:r>
        <w:rPr>
          <w:spacing w:val="-2"/>
          <w:w w:val="105"/>
          <w:sz w:val="20"/>
        </w:rPr>
        <w:t>banks</w:t>
      </w:r>
      <w:r>
        <w:rPr>
          <w:spacing w:val="-11"/>
          <w:w w:val="105"/>
          <w:sz w:val="20"/>
        </w:rPr>
        <w:t> </w:t>
      </w:r>
      <w:r>
        <w:rPr>
          <w:spacing w:val="-2"/>
          <w:w w:val="105"/>
          <w:sz w:val="20"/>
        </w:rPr>
        <w:t>that</w:t>
      </w:r>
      <w:r>
        <w:rPr>
          <w:spacing w:val="-11"/>
          <w:w w:val="105"/>
          <w:sz w:val="20"/>
        </w:rPr>
        <w:t> </w:t>
      </w:r>
      <w:r>
        <w:rPr>
          <w:spacing w:val="-2"/>
          <w:w w:val="105"/>
          <w:sz w:val="20"/>
        </w:rPr>
        <w:t>borrow</w:t>
      </w:r>
      <w:r>
        <w:rPr>
          <w:spacing w:val="-11"/>
          <w:w w:val="105"/>
          <w:sz w:val="20"/>
        </w:rPr>
        <w:t> </w:t>
      </w:r>
      <w:r>
        <w:rPr>
          <w:spacing w:val="-2"/>
          <w:w w:val="105"/>
          <w:sz w:val="20"/>
        </w:rPr>
        <w:t>from</w:t>
      </w:r>
      <w:r>
        <w:rPr>
          <w:spacing w:val="-11"/>
          <w:w w:val="105"/>
          <w:sz w:val="20"/>
        </w:rPr>
        <w:t> </w:t>
      </w:r>
      <w:r>
        <w:rPr>
          <w:spacing w:val="-2"/>
          <w:w w:val="105"/>
          <w:sz w:val="20"/>
        </w:rPr>
        <w:t>the</w:t>
      </w:r>
      <w:r>
        <w:rPr>
          <w:spacing w:val="-11"/>
          <w:w w:val="105"/>
          <w:sz w:val="20"/>
        </w:rPr>
        <w:t> </w:t>
      </w:r>
      <w:r>
        <w:rPr>
          <w:spacing w:val="-2"/>
          <w:w w:val="105"/>
          <w:sz w:val="20"/>
        </w:rPr>
        <w:t>PBOC</w:t>
      </w:r>
      <w:r>
        <w:rPr>
          <w:spacing w:val="-11"/>
          <w:w w:val="105"/>
          <w:sz w:val="20"/>
        </w:rPr>
        <w:t> </w:t>
      </w:r>
      <w:r>
        <w:rPr>
          <w:spacing w:val="-2"/>
          <w:w w:val="105"/>
          <w:sz w:val="20"/>
        </w:rPr>
        <w:t>frequently</w:t>
      </w:r>
      <w:r>
        <w:rPr>
          <w:spacing w:val="-11"/>
          <w:w w:val="105"/>
          <w:sz w:val="20"/>
        </w:rPr>
        <w:t> </w:t>
      </w:r>
      <w:r>
        <w:rPr>
          <w:spacing w:val="-2"/>
          <w:w w:val="105"/>
          <w:sz w:val="20"/>
        </w:rPr>
        <w:t>see</w:t>
      </w:r>
      <w:r>
        <w:rPr>
          <w:spacing w:val="-11"/>
          <w:w w:val="105"/>
          <w:sz w:val="20"/>
        </w:rPr>
        <w:t> </w:t>
      </w:r>
      <w:r>
        <w:rPr>
          <w:spacing w:val="-2"/>
          <w:w w:val="105"/>
          <w:sz w:val="20"/>
        </w:rPr>
        <w:t>their</w:t>
      </w:r>
      <w:r>
        <w:rPr>
          <w:spacing w:val="-11"/>
          <w:w w:val="105"/>
          <w:sz w:val="20"/>
        </w:rPr>
        <w:t> </w:t>
      </w:r>
      <w:r>
        <w:rPr>
          <w:spacing w:val="-2"/>
          <w:w w:val="105"/>
          <w:sz w:val="20"/>
        </w:rPr>
        <w:t>ﬁnal</w:t>
      </w:r>
      <w:r>
        <w:rPr>
          <w:spacing w:val="-10"/>
          <w:w w:val="105"/>
          <w:sz w:val="20"/>
        </w:rPr>
        <w:t> </w:t>
      </w:r>
      <w:r>
        <w:rPr>
          <w:spacing w:val="-2"/>
          <w:w w:val="105"/>
          <w:sz w:val="20"/>
        </w:rPr>
        <w:t>maturity dates</w:t>
      </w:r>
      <w:r>
        <w:rPr>
          <w:spacing w:val="-7"/>
          <w:w w:val="105"/>
          <w:sz w:val="20"/>
        </w:rPr>
        <w:t> </w:t>
      </w:r>
      <w:r>
        <w:rPr>
          <w:spacing w:val="-2"/>
          <w:w w:val="105"/>
          <w:sz w:val="20"/>
        </w:rPr>
        <w:t>extended—or</w:t>
      </w:r>
      <w:r>
        <w:rPr>
          <w:spacing w:val="-7"/>
          <w:w w:val="105"/>
          <w:sz w:val="20"/>
        </w:rPr>
        <w:t> </w:t>
      </w:r>
      <w:r>
        <w:rPr>
          <w:spacing w:val="-2"/>
          <w:w w:val="105"/>
          <w:sz w:val="20"/>
        </w:rPr>
        <w:t>they</w:t>
      </w:r>
      <w:r>
        <w:rPr>
          <w:spacing w:val="-7"/>
          <w:w w:val="105"/>
          <w:sz w:val="20"/>
        </w:rPr>
        <w:t> </w:t>
      </w:r>
      <w:r>
        <w:rPr>
          <w:spacing w:val="-2"/>
          <w:w w:val="105"/>
          <w:sz w:val="20"/>
        </w:rPr>
        <w:t>repeatedly</w:t>
      </w:r>
      <w:r>
        <w:rPr>
          <w:spacing w:val="-7"/>
          <w:w w:val="105"/>
          <w:sz w:val="20"/>
        </w:rPr>
        <w:t> </w:t>
      </w:r>
      <w:r>
        <w:rPr>
          <w:spacing w:val="-2"/>
          <w:w w:val="105"/>
          <w:sz w:val="20"/>
        </w:rPr>
        <w:t>receive</w:t>
      </w:r>
      <w:r>
        <w:rPr>
          <w:spacing w:val="-7"/>
          <w:w w:val="105"/>
          <w:sz w:val="20"/>
        </w:rPr>
        <w:t> </w:t>
      </w:r>
      <w:r>
        <w:rPr>
          <w:spacing w:val="-2"/>
          <w:w w:val="105"/>
          <w:sz w:val="20"/>
        </w:rPr>
        <w:t>short-term</w:t>
      </w:r>
      <w:r>
        <w:rPr>
          <w:spacing w:val="-7"/>
          <w:w w:val="105"/>
          <w:sz w:val="20"/>
        </w:rPr>
        <w:t> </w:t>
      </w:r>
      <w:r>
        <w:rPr>
          <w:spacing w:val="-2"/>
          <w:w w:val="105"/>
          <w:sz w:val="20"/>
        </w:rPr>
        <w:t>loans</w:t>
      </w:r>
      <w:r>
        <w:rPr>
          <w:spacing w:val="-7"/>
          <w:w w:val="105"/>
          <w:sz w:val="20"/>
        </w:rPr>
        <w:t> </w:t>
      </w:r>
      <w:r>
        <w:rPr>
          <w:spacing w:val="-2"/>
          <w:w w:val="105"/>
          <w:sz w:val="20"/>
        </w:rPr>
        <w:t>to</w:t>
      </w:r>
      <w:r>
        <w:rPr>
          <w:spacing w:val="-7"/>
          <w:w w:val="105"/>
          <w:sz w:val="20"/>
        </w:rPr>
        <w:t> </w:t>
      </w:r>
      <w:r>
        <w:rPr>
          <w:spacing w:val="-2"/>
          <w:w w:val="105"/>
          <w:sz w:val="20"/>
        </w:rPr>
        <w:t>reﬁnance</w:t>
      </w:r>
      <w:r>
        <w:rPr>
          <w:spacing w:val="-7"/>
          <w:w w:val="105"/>
          <w:sz w:val="20"/>
        </w:rPr>
        <w:t> </w:t>
      </w:r>
      <w:r>
        <w:rPr>
          <w:spacing w:val="-2"/>
          <w:w w:val="105"/>
          <w:sz w:val="20"/>
        </w:rPr>
        <w:t>maturing</w:t>
      </w:r>
      <w:r>
        <w:rPr>
          <w:spacing w:val="-7"/>
          <w:w w:val="105"/>
          <w:sz w:val="20"/>
        </w:rPr>
        <w:t> </w:t>
      </w:r>
      <w:r>
        <w:rPr>
          <w:spacing w:val="-2"/>
          <w:w w:val="105"/>
          <w:sz w:val="20"/>
        </w:rPr>
        <w:t>debts.</w:t>
      </w:r>
      <w:r>
        <w:rPr>
          <w:spacing w:val="-7"/>
          <w:w w:val="105"/>
          <w:sz w:val="20"/>
        </w:rPr>
        <w:t> </w:t>
      </w:r>
      <w:r>
        <w:rPr>
          <w:spacing w:val="-2"/>
          <w:w w:val="105"/>
          <w:sz w:val="20"/>
        </w:rPr>
        <w:t>Horn </w:t>
      </w:r>
      <w:r>
        <w:rPr>
          <w:w w:val="105"/>
          <w:sz w:val="20"/>
        </w:rPr>
        <w:t>et</w:t>
      </w:r>
      <w:r>
        <w:rPr>
          <w:spacing w:val="-15"/>
          <w:w w:val="105"/>
          <w:sz w:val="20"/>
        </w:rPr>
        <w:t> </w:t>
      </w:r>
      <w:r>
        <w:rPr>
          <w:w w:val="105"/>
          <w:sz w:val="20"/>
        </w:rPr>
        <w:t>al.</w:t>
      </w:r>
      <w:r>
        <w:rPr>
          <w:spacing w:val="-15"/>
          <w:w w:val="105"/>
          <w:sz w:val="20"/>
        </w:rPr>
        <w:t> </w:t>
      </w:r>
      <w:r>
        <w:rPr>
          <w:w w:val="105"/>
          <w:sz w:val="20"/>
        </w:rPr>
        <w:t>(2023a)</w:t>
      </w:r>
      <w:r>
        <w:rPr>
          <w:spacing w:val="-14"/>
          <w:w w:val="105"/>
          <w:sz w:val="20"/>
        </w:rPr>
        <w:t> </w:t>
      </w:r>
      <w:r>
        <w:rPr>
          <w:w w:val="105"/>
          <w:sz w:val="20"/>
        </w:rPr>
        <w:t>provide</w:t>
      </w:r>
      <w:r>
        <w:rPr>
          <w:spacing w:val="-15"/>
          <w:w w:val="105"/>
          <w:sz w:val="20"/>
        </w:rPr>
        <w:t> </w:t>
      </w:r>
      <w:r>
        <w:rPr>
          <w:w w:val="105"/>
          <w:sz w:val="20"/>
        </w:rPr>
        <w:t>evidence</w:t>
      </w:r>
      <w:r>
        <w:rPr>
          <w:spacing w:val="-14"/>
          <w:w w:val="105"/>
          <w:sz w:val="20"/>
        </w:rPr>
        <w:t> </w:t>
      </w:r>
      <w:r>
        <w:rPr>
          <w:w w:val="105"/>
          <w:sz w:val="20"/>
        </w:rPr>
        <w:t>that</w:t>
      </w:r>
      <w:r>
        <w:rPr>
          <w:spacing w:val="-15"/>
          <w:w w:val="105"/>
          <w:sz w:val="20"/>
        </w:rPr>
        <w:t> </w:t>
      </w:r>
      <w:r>
        <w:rPr>
          <w:w w:val="105"/>
          <w:sz w:val="20"/>
        </w:rPr>
        <w:t>the</w:t>
      </w:r>
      <w:r>
        <w:rPr>
          <w:spacing w:val="-15"/>
          <w:w w:val="105"/>
          <w:sz w:val="20"/>
        </w:rPr>
        <w:t> </w:t>
      </w:r>
      <w:r>
        <w:rPr>
          <w:w w:val="105"/>
          <w:sz w:val="20"/>
        </w:rPr>
        <w:t>de</w:t>
      </w:r>
      <w:r>
        <w:rPr>
          <w:spacing w:val="-14"/>
          <w:w w:val="105"/>
          <w:sz w:val="20"/>
        </w:rPr>
        <w:t> </w:t>
      </w:r>
      <w:r>
        <w:rPr>
          <w:w w:val="105"/>
          <w:sz w:val="20"/>
        </w:rPr>
        <w:t>facto</w:t>
      </w:r>
      <w:r>
        <w:rPr>
          <w:spacing w:val="-15"/>
          <w:w w:val="105"/>
          <w:sz w:val="20"/>
        </w:rPr>
        <w:t> </w:t>
      </w:r>
      <w:r>
        <w:rPr>
          <w:w w:val="105"/>
          <w:sz w:val="20"/>
        </w:rPr>
        <w:t>maturity</w:t>
      </w:r>
      <w:r>
        <w:rPr>
          <w:spacing w:val="-14"/>
          <w:w w:val="105"/>
          <w:sz w:val="20"/>
        </w:rPr>
        <w:t> </w:t>
      </w:r>
      <w:r>
        <w:rPr>
          <w:w w:val="105"/>
          <w:sz w:val="20"/>
        </w:rPr>
        <w:t>of</w:t>
      </w:r>
      <w:r>
        <w:rPr>
          <w:spacing w:val="-15"/>
          <w:w w:val="105"/>
          <w:sz w:val="20"/>
        </w:rPr>
        <w:t> </w:t>
      </w:r>
      <w:r>
        <w:rPr>
          <w:w w:val="105"/>
          <w:sz w:val="20"/>
        </w:rPr>
        <w:t>the</w:t>
      </w:r>
      <w:r>
        <w:rPr>
          <w:spacing w:val="-15"/>
          <w:w w:val="105"/>
          <w:sz w:val="20"/>
        </w:rPr>
        <w:t> </w:t>
      </w:r>
      <w:r>
        <w:rPr>
          <w:w w:val="105"/>
          <w:sz w:val="20"/>
        </w:rPr>
        <w:t>average</w:t>
      </w:r>
      <w:r>
        <w:rPr>
          <w:spacing w:val="-14"/>
          <w:w w:val="105"/>
          <w:sz w:val="20"/>
        </w:rPr>
        <w:t> </w:t>
      </w:r>
      <w:r>
        <w:rPr>
          <w:w w:val="105"/>
          <w:sz w:val="20"/>
        </w:rPr>
        <w:t>PBOC</w:t>
      </w:r>
      <w:r>
        <w:rPr>
          <w:spacing w:val="-15"/>
          <w:w w:val="105"/>
          <w:sz w:val="20"/>
        </w:rPr>
        <w:t> </w:t>
      </w:r>
      <w:r>
        <w:rPr>
          <w:w w:val="105"/>
          <w:sz w:val="20"/>
        </w:rPr>
        <w:t>swap</w:t>
      </w:r>
      <w:r>
        <w:rPr>
          <w:spacing w:val="-14"/>
          <w:w w:val="105"/>
          <w:sz w:val="20"/>
        </w:rPr>
        <w:t> </w:t>
      </w:r>
      <w:r>
        <w:rPr>
          <w:w w:val="105"/>
          <w:sz w:val="20"/>
        </w:rPr>
        <w:t>line borrowing is 3.5 years.</w:t>
      </w:r>
    </w:p>
    <w:p>
      <w:pPr>
        <w:pStyle w:val="BodyText"/>
        <w:spacing w:before="2"/>
        <w:rPr>
          <w:sz w:val="21"/>
        </w:rPr>
      </w:pPr>
    </w:p>
    <w:p>
      <w:pPr>
        <w:spacing w:line="300" w:lineRule="auto" w:before="0"/>
        <w:ind w:left="760" w:right="778" w:firstLine="0"/>
        <w:jc w:val="left"/>
        <w:rPr>
          <w:sz w:val="20"/>
        </w:rPr>
      </w:pPr>
      <w:r>
        <w:rPr>
          <w:w w:val="105"/>
          <w:sz w:val="20"/>
        </w:rPr>
        <w:t>The</w:t>
      </w:r>
      <w:r>
        <w:rPr>
          <w:spacing w:val="-15"/>
          <w:w w:val="105"/>
          <w:sz w:val="20"/>
        </w:rPr>
        <w:t> </w:t>
      </w:r>
      <w:r>
        <w:rPr>
          <w:w w:val="105"/>
          <w:sz w:val="20"/>
        </w:rPr>
        <w:t>custodians</w:t>
      </w:r>
      <w:r>
        <w:rPr>
          <w:spacing w:val="-15"/>
          <w:w w:val="105"/>
          <w:sz w:val="20"/>
        </w:rPr>
        <w:t> </w:t>
      </w:r>
      <w:r>
        <w:rPr>
          <w:w w:val="105"/>
          <w:sz w:val="20"/>
        </w:rPr>
        <w:t>of</w:t>
      </w:r>
      <w:r>
        <w:rPr>
          <w:spacing w:val="-14"/>
          <w:w w:val="105"/>
          <w:sz w:val="20"/>
        </w:rPr>
        <w:t> </w:t>
      </w:r>
      <w:r>
        <w:rPr>
          <w:w w:val="105"/>
          <w:sz w:val="20"/>
        </w:rPr>
        <w:t>the</w:t>
      </w:r>
      <w:r>
        <w:rPr>
          <w:spacing w:val="-15"/>
          <w:w w:val="105"/>
          <w:sz w:val="20"/>
        </w:rPr>
        <w:t> </w:t>
      </w:r>
      <w:r>
        <w:rPr>
          <w:w w:val="105"/>
          <w:sz w:val="20"/>
        </w:rPr>
        <w:t>DRS</w:t>
      </w:r>
      <w:r>
        <w:rPr>
          <w:spacing w:val="-14"/>
          <w:w w:val="105"/>
          <w:sz w:val="20"/>
        </w:rPr>
        <w:t> </w:t>
      </w:r>
      <w:r>
        <w:rPr>
          <w:w w:val="105"/>
          <w:sz w:val="20"/>
        </w:rPr>
        <w:t>are</w:t>
      </w:r>
      <w:r>
        <w:rPr>
          <w:spacing w:val="-15"/>
          <w:w w:val="105"/>
          <w:sz w:val="20"/>
        </w:rPr>
        <w:t> </w:t>
      </w:r>
      <w:r>
        <w:rPr>
          <w:w w:val="105"/>
          <w:sz w:val="20"/>
        </w:rPr>
        <w:t>aware</w:t>
      </w:r>
      <w:r>
        <w:rPr>
          <w:spacing w:val="-15"/>
          <w:w w:val="105"/>
          <w:sz w:val="20"/>
        </w:rPr>
        <w:t> </w:t>
      </w:r>
      <w:r>
        <w:rPr>
          <w:w w:val="105"/>
          <w:sz w:val="20"/>
        </w:rPr>
        <w:t>of</w:t>
      </w:r>
      <w:r>
        <w:rPr>
          <w:spacing w:val="-14"/>
          <w:w w:val="105"/>
          <w:sz w:val="20"/>
        </w:rPr>
        <w:t> </w:t>
      </w:r>
      <w:r>
        <w:rPr>
          <w:w w:val="105"/>
          <w:sz w:val="20"/>
        </w:rPr>
        <w:t>the</w:t>
      </w:r>
      <w:r>
        <w:rPr>
          <w:spacing w:val="-15"/>
          <w:w w:val="105"/>
          <w:sz w:val="20"/>
        </w:rPr>
        <w:t> </w:t>
      </w:r>
      <w:r>
        <w:rPr>
          <w:w w:val="105"/>
          <w:sz w:val="20"/>
        </w:rPr>
        <w:t>gap</w:t>
      </w:r>
      <w:r>
        <w:rPr>
          <w:spacing w:val="-14"/>
          <w:w w:val="105"/>
          <w:sz w:val="20"/>
        </w:rPr>
        <w:t> </w:t>
      </w:r>
      <w:r>
        <w:rPr>
          <w:w w:val="105"/>
          <w:sz w:val="20"/>
        </w:rPr>
        <w:t>between</w:t>
      </w:r>
      <w:r>
        <w:rPr>
          <w:spacing w:val="-15"/>
          <w:w w:val="105"/>
          <w:sz w:val="20"/>
        </w:rPr>
        <w:t> </w:t>
      </w:r>
      <w:r>
        <w:rPr>
          <w:w w:val="105"/>
          <w:sz w:val="20"/>
        </w:rPr>
        <w:t>the</w:t>
      </w:r>
      <w:r>
        <w:rPr>
          <w:spacing w:val="-15"/>
          <w:w w:val="105"/>
          <w:sz w:val="20"/>
        </w:rPr>
        <w:t> </w:t>
      </w:r>
      <w:r>
        <w:rPr>
          <w:w w:val="105"/>
          <w:sz w:val="20"/>
        </w:rPr>
        <w:t>de</w:t>
      </w:r>
      <w:r>
        <w:rPr>
          <w:spacing w:val="-14"/>
          <w:w w:val="105"/>
          <w:sz w:val="20"/>
        </w:rPr>
        <w:t> </w:t>
      </w:r>
      <w:r>
        <w:rPr>
          <w:w w:val="105"/>
          <w:sz w:val="20"/>
        </w:rPr>
        <w:t>jure</w:t>
      </w:r>
      <w:r>
        <w:rPr>
          <w:spacing w:val="-15"/>
          <w:w w:val="105"/>
          <w:sz w:val="20"/>
        </w:rPr>
        <w:t> </w:t>
      </w:r>
      <w:r>
        <w:rPr>
          <w:w w:val="105"/>
          <w:sz w:val="20"/>
        </w:rPr>
        <w:t>and</w:t>
      </w:r>
      <w:r>
        <w:rPr>
          <w:spacing w:val="-14"/>
          <w:w w:val="105"/>
          <w:sz w:val="20"/>
        </w:rPr>
        <w:t> </w:t>
      </w:r>
      <w:r>
        <w:rPr>
          <w:w w:val="105"/>
          <w:sz w:val="20"/>
        </w:rPr>
        <w:t>de</w:t>
      </w:r>
      <w:r>
        <w:rPr>
          <w:spacing w:val="-15"/>
          <w:w w:val="105"/>
          <w:sz w:val="20"/>
        </w:rPr>
        <w:t> </w:t>
      </w:r>
      <w:r>
        <w:rPr>
          <w:w w:val="105"/>
          <w:sz w:val="20"/>
        </w:rPr>
        <w:t>facto</w:t>
      </w:r>
      <w:r>
        <w:rPr>
          <w:spacing w:val="-14"/>
          <w:w w:val="105"/>
          <w:sz w:val="20"/>
        </w:rPr>
        <w:t> </w:t>
      </w:r>
      <w:r>
        <w:rPr>
          <w:w w:val="105"/>
          <w:sz w:val="20"/>
        </w:rPr>
        <w:t>maturities</w:t>
      </w:r>
      <w:r>
        <w:rPr>
          <w:spacing w:val="-15"/>
          <w:w w:val="105"/>
          <w:sz w:val="20"/>
        </w:rPr>
        <w:t> </w:t>
      </w:r>
      <w:r>
        <w:rPr>
          <w:w w:val="105"/>
          <w:sz w:val="20"/>
        </w:rPr>
        <w:t>of </w:t>
      </w:r>
      <w:r>
        <w:rPr>
          <w:spacing w:val="-2"/>
          <w:w w:val="105"/>
          <w:sz w:val="20"/>
        </w:rPr>
        <w:t>PBOC</w:t>
      </w:r>
      <w:r>
        <w:rPr>
          <w:spacing w:val="-8"/>
          <w:w w:val="105"/>
          <w:sz w:val="20"/>
        </w:rPr>
        <w:t> </w:t>
      </w:r>
      <w:r>
        <w:rPr>
          <w:spacing w:val="-2"/>
          <w:w w:val="105"/>
          <w:sz w:val="20"/>
        </w:rPr>
        <w:t>swap</w:t>
      </w:r>
      <w:r>
        <w:rPr>
          <w:spacing w:val="-8"/>
          <w:w w:val="105"/>
          <w:sz w:val="20"/>
        </w:rPr>
        <w:t> </w:t>
      </w:r>
      <w:r>
        <w:rPr>
          <w:spacing w:val="-2"/>
          <w:w w:val="105"/>
          <w:sz w:val="20"/>
        </w:rPr>
        <w:t>line</w:t>
      </w:r>
      <w:r>
        <w:rPr>
          <w:spacing w:val="-8"/>
          <w:w w:val="105"/>
          <w:sz w:val="20"/>
        </w:rPr>
        <w:t> </w:t>
      </w:r>
      <w:r>
        <w:rPr>
          <w:spacing w:val="-2"/>
          <w:w w:val="105"/>
          <w:sz w:val="20"/>
        </w:rPr>
        <w:t>borrowings</w:t>
      </w:r>
      <w:r>
        <w:rPr>
          <w:spacing w:val="-8"/>
          <w:w w:val="105"/>
          <w:sz w:val="20"/>
        </w:rPr>
        <w:t> </w:t>
      </w:r>
      <w:r>
        <w:rPr>
          <w:spacing w:val="-2"/>
          <w:w w:val="105"/>
          <w:sz w:val="20"/>
        </w:rPr>
        <w:t>and</w:t>
      </w:r>
      <w:r>
        <w:rPr>
          <w:spacing w:val="-8"/>
          <w:w w:val="105"/>
          <w:sz w:val="20"/>
        </w:rPr>
        <w:t> </w:t>
      </w:r>
      <w:r>
        <w:rPr>
          <w:spacing w:val="-2"/>
          <w:w w:val="105"/>
          <w:sz w:val="20"/>
        </w:rPr>
        <w:t>the</w:t>
      </w:r>
      <w:r>
        <w:rPr>
          <w:spacing w:val="-8"/>
          <w:w w:val="105"/>
          <w:sz w:val="20"/>
        </w:rPr>
        <w:t> </w:t>
      </w:r>
      <w:r>
        <w:rPr>
          <w:spacing w:val="-2"/>
          <w:w w:val="105"/>
          <w:sz w:val="20"/>
        </w:rPr>
        <w:t>underreporting</w:t>
      </w:r>
      <w:r>
        <w:rPr>
          <w:spacing w:val="-8"/>
          <w:w w:val="105"/>
          <w:sz w:val="20"/>
        </w:rPr>
        <w:t> </w:t>
      </w:r>
      <w:r>
        <w:rPr>
          <w:spacing w:val="-2"/>
          <w:w w:val="105"/>
          <w:sz w:val="20"/>
        </w:rPr>
        <w:t>of</w:t>
      </w:r>
      <w:r>
        <w:rPr>
          <w:spacing w:val="-8"/>
          <w:w w:val="105"/>
          <w:sz w:val="20"/>
        </w:rPr>
        <w:t> </w:t>
      </w:r>
      <w:r>
        <w:rPr>
          <w:spacing w:val="-2"/>
          <w:w w:val="105"/>
          <w:sz w:val="20"/>
        </w:rPr>
        <w:t>PBOC</w:t>
      </w:r>
      <w:r>
        <w:rPr>
          <w:spacing w:val="-8"/>
          <w:w w:val="105"/>
          <w:sz w:val="20"/>
        </w:rPr>
        <w:t> </w:t>
      </w:r>
      <w:r>
        <w:rPr>
          <w:spacing w:val="-2"/>
          <w:w w:val="105"/>
          <w:sz w:val="20"/>
        </w:rPr>
        <w:t>swap</w:t>
      </w:r>
      <w:r>
        <w:rPr>
          <w:spacing w:val="-8"/>
          <w:w w:val="105"/>
          <w:sz w:val="20"/>
        </w:rPr>
        <w:t> </w:t>
      </w:r>
      <w:r>
        <w:rPr>
          <w:spacing w:val="-2"/>
          <w:w w:val="105"/>
          <w:sz w:val="20"/>
        </w:rPr>
        <w:t>debt.</w:t>
      </w:r>
      <w:r>
        <w:rPr>
          <w:spacing w:val="-8"/>
          <w:w w:val="105"/>
          <w:sz w:val="20"/>
        </w:rPr>
        <w:t> </w:t>
      </w:r>
      <w:r>
        <w:rPr>
          <w:spacing w:val="-2"/>
          <w:w w:val="105"/>
          <w:sz w:val="20"/>
        </w:rPr>
        <w:t>In</w:t>
      </w:r>
      <w:r>
        <w:rPr>
          <w:spacing w:val="-8"/>
          <w:w w:val="105"/>
          <w:sz w:val="20"/>
        </w:rPr>
        <w:t> </w:t>
      </w:r>
      <w:r>
        <w:rPr>
          <w:spacing w:val="-2"/>
          <w:w w:val="105"/>
          <w:sz w:val="20"/>
        </w:rPr>
        <w:t>October</w:t>
      </w:r>
      <w:r>
        <w:rPr>
          <w:spacing w:val="-8"/>
          <w:w w:val="105"/>
          <w:sz w:val="20"/>
        </w:rPr>
        <w:t> </w:t>
      </w:r>
      <w:r>
        <w:rPr>
          <w:spacing w:val="-2"/>
          <w:w w:val="105"/>
          <w:sz w:val="20"/>
        </w:rPr>
        <w:t>2020,</w:t>
      </w:r>
      <w:r>
        <w:rPr>
          <w:spacing w:val="-8"/>
          <w:w w:val="105"/>
          <w:sz w:val="20"/>
        </w:rPr>
        <w:t> </w:t>
      </w:r>
      <w:r>
        <w:rPr>
          <w:spacing w:val="-2"/>
          <w:w w:val="105"/>
          <w:sz w:val="20"/>
        </w:rPr>
        <w:t>they </w:t>
      </w:r>
      <w:r>
        <w:rPr>
          <w:sz w:val="20"/>
        </w:rPr>
        <w:t>sounded the alarm, questioning whether “currency swap arrangements that represent loans from </w:t>
      </w:r>
      <w:r>
        <w:rPr>
          <w:w w:val="105"/>
          <w:sz w:val="20"/>
        </w:rPr>
        <w:t>other</w:t>
      </w:r>
      <w:r>
        <w:rPr>
          <w:spacing w:val="-14"/>
          <w:w w:val="105"/>
          <w:sz w:val="20"/>
        </w:rPr>
        <w:t> </w:t>
      </w:r>
      <w:r>
        <w:rPr>
          <w:w w:val="105"/>
          <w:sz w:val="20"/>
        </w:rPr>
        <w:t>central</w:t>
      </w:r>
      <w:r>
        <w:rPr>
          <w:spacing w:val="-13"/>
          <w:w w:val="105"/>
          <w:sz w:val="20"/>
        </w:rPr>
        <w:t> </w:t>
      </w:r>
      <w:r>
        <w:rPr>
          <w:w w:val="105"/>
          <w:sz w:val="20"/>
        </w:rPr>
        <w:t>banks</w:t>
      </w:r>
      <w:r>
        <w:rPr>
          <w:spacing w:val="-14"/>
          <w:w w:val="105"/>
          <w:sz w:val="20"/>
        </w:rPr>
        <w:t> </w:t>
      </w:r>
      <w:r>
        <w:rPr>
          <w:w w:val="105"/>
          <w:sz w:val="20"/>
        </w:rPr>
        <w:t>are</w:t>
      </w:r>
      <w:r>
        <w:rPr>
          <w:spacing w:val="-14"/>
          <w:w w:val="105"/>
          <w:sz w:val="20"/>
        </w:rPr>
        <w:t> </w:t>
      </w:r>
      <w:r>
        <w:rPr>
          <w:w w:val="105"/>
          <w:sz w:val="20"/>
        </w:rPr>
        <w:t>reﬂected</w:t>
      </w:r>
      <w:r>
        <w:rPr>
          <w:spacing w:val="-14"/>
          <w:w w:val="105"/>
          <w:sz w:val="20"/>
        </w:rPr>
        <w:t> </w:t>
      </w:r>
      <w:r>
        <w:rPr>
          <w:w w:val="105"/>
          <w:sz w:val="20"/>
        </w:rPr>
        <w:t>in</w:t>
      </w:r>
      <w:r>
        <w:rPr>
          <w:spacing w:val="-14"/>
          <w:w w:val="105"/>
          <w:sz w:val="20"/>
        </w:rPr>
        <w:t> </w:t>
      </w:r>
      <w:r>
        <w:rPr>
          <w:w w:val="105"/>
          <w:sz w:val="20"/>
        </w:rPr>
        <w:t>external</w:t>
      </w:r>
      <w:r>
        <w:rPr>
          <w:spacing w:val="-13"/>
          <w:w w:val="105"/>
          <w:sz w:val="20"/>
        </w:rPr>
        <w:t> </w:t>
      </w:r>
      <w:r>
        <w:rPr>
          <w:w w:val="105"/>
          <w:sz w:val="20"/>
        </w:rPr>
        <w:t>debt</w:t>
      </w:r>
      <w:r>
        <w:rPr>
          <w:spacing w:val="-14"/>
          <w:w w:val="105"/>
          <w:sz w:val="20"/>
        </w:rPr>
        <w:t> </w:t>
      </w:r>
      <w:r>
        <w:rPr>
          <w:w w:val="105"/>
          <w:sz w:val="20"/>
        </w:rPr>
        <w:t>stocks</w:t>
      </w:r>
      <w:r>
        <w:rPr>
          <w:spacing w:val="-14"/>
          <w:w w:val="105"/>
          <w:sz w:val="20"/>
        </w:rPr>
        <w:t> </w:t>
      </w:r>
      <w:r>
        <w:rPr>
          <w:w w:val="105"/>
          <w:sz w:val="20"/>
        </w:rPr>
        <w:t>of</w:t>
      </w:r>
      <w:r>
        <w:rPr>
          <w:spacing w:val="-14"/>
          <w:w w:val="105"/>
          <w:sz w:val="20"/>
        </w:rPr>
        <w:t> </w:t>
      </w:r>
      <w:r>
        <w:rPr>
          <w:w w:val="105"/>
          <w:sz w:val="20"/>
        </w:rPr>
        <w:t>low-</w:t>
      </w:r>
      <w:r>
        <w:rPr>
          <w:spacing w:val="-14"/>
          <w:w w:val="105"/>
          <w:sz w:val="20"/>
        </w:rPr>
        <w:t> </w:t>
      </w:r>
      <w:r>
        <w:rPr>
          <w:w w:val="105"/>
          <w:sz w:val="20"/>
        </w:rPr>
        <w:t>and</w:t>
      </w:r>
      <w:r>
        <w:rPr>
          <w:spacing w:val="-14"/>
          <w:w w:val="105"/>
          <w:sz w:val="20"/>
        </w:rPr>
        <w:t> </w:t>
      </w:r>
      <w:r>
        <w:rPr>
          <w:w w:val="105"/>
          <w:sz w:val="20"/>
        </w:rPr>
        <w:t>middle-income</w:t>
      </w:r>
      <w:r>
        <w:rPr>
          <w:spacing w:val="-14"/>
          <w:w w:val="105"/>
          <w:sz w:val="20"/>
        </w:rPr>
        <w:t> </w:t>
      </w:r>
      <w:r>
        <w:rPr>
          <w:w w:val="105"/>
          <w:sz w:val="20"/>
        </w:rPr>
        <w:t>countries” </w:t>
      </w:r>
      <w:r>
        <w:rPr>
          <w:spacing w:val="-2"/>
          <w:w w:val="105"/>
          <w:sz w:val="20"/>
        </w:rPr>
        <w:t>(World</w:t>
      </w:r>
      <w:r>
        <w:rPr>
          <w:spacing w:val="-10"/>
          <w:w w:val="105"/>
          <w:sz w:val="20"/>
        </w:rPr>
        <w:t> </w:t>
      </w:r>
      <w:r>
        <w:rPr>
          <w:spacing w:val="-2"/>
          <w:w w:val="105"/>
          <w:sz w:val="20"/>
        </w:rPr>
        <w:t>Bank</w:t>
      </w:r>
      <w:r>
        <w:rPr>
          <w:spacing w:val="-10"/>
          <w:w w:val="105"/>
          <w:sz w:val="20"/>
        </w:rPr>
        <w:t> </w:t>
      </w:r>
      <w:r>
        <w:rPr>
          <w:spacing w:val="-2"/>
          <w:w w:val="105"/>
          <w:sz w:val="20"/>
        </w:rPr>
        <w:t>2020a:</w:t>
      </w:r>
      <w:r>
        <w:rPr>
          <w:spacing w:val="-10"/>
          <w:w w:val="105"/>
          <w:sz w:val="20"/>
        </w:rPr>
        <w:t> </w:t>
      </w:r>
      <w:r>
        <w:rPr>
          <w:spacing w:val="-2"/>
          <w:w w:val="105"/>
          <w:sz w:val="20"/>
        </w:rPr>
        <w:t>13).</w:t>
      </w:r>
      <w:r>
        <w:rPr>
          <w:spacing w:val="-10"/>
          <w:w w:val="105"/>
          <w:sz w:val="20"/>
        </w:rPr>
        <w:t> </w:t>
      </w:r>
      <w:r>
        <w:rPr>
          <w:spacing w:val="-2"/>
          <w:w w:val="105"/>
          <w:sz w:val="20"/>
        </w:rPr>
        <w:t>At</w:t>
      </w:r>
      <w:r>
        <w:rPr>
          <w:spacing w:val="-10"/>
          <w:w w:val="105"/>
          <w:sz w:val="20"/>
        </w:rPr>
        <w:t> </w:t>
      </w:r>
      <w:r>
        <w:rPr>
          <w:spacing w:val="-2"/>
          <w:w w:val="105"/>
          <w:sz w:val="20"/>
        </w:rPr>
        <w:t>that</w:t>
      </w:r>
      <w:r>
        <w:rPr>
          <w:spacing w:val="-10"/>
          <w:w w:val="105"/>
          <w:sz w:val="20"/>
        </w:rPr>
        <w:t> </w:t>
      </w:r>
      <w:r>
        <w:rPr>
          <w:spacing w:val="-2"/>
          <w:w w:val="105"/>
          <w:sz w:val="20"/>
        </w:rPr>
        <w:t>time,</w:t>
      </w:r>
      <w:r>
        <w:rPr>
          <w:spacing w:val="-10"/>
          <w:w w:val="105"/>
          <w:sz w:val="20"/>
        </w:rPr>
        <w:t> </w:t>
      </w:r>
      <w:r>
        <w:rPr>
          <w:spacing w:val="-2"/>
          <w:w w:val="105"/>
          <w:sz w:val="20"/>
        </w:rPr>
        <w:t>they</w:t>
      </w:r>
      <w:r>
        <w:rPr>
          <w:spacing w:val="-10"/>
          <w:w w:val="105"/>
          <w:sz w:val="20"/>
        </w:rPr>
        <w:t> </w:t>
      </w:r>
      <w:r>
        <w:rPr>
          <w:spacing w:val="-2"/>
          <w:w w:val="105"/>
          <w:sz w:val="20"/>
        </w:rPr>
        <w:t>clariﬁed</w:t>
      </w:r>
      <w:r>
        <w:rPr>
          <w:spacing w:val="-10"/>
          <w:w w:val="105"/>
          <w:sz w:val="20"/>
        </w:rPr>
        <w:t> </w:t>
      </w:r>
      <w:r>
        <w:rPr>
          <w:spacing w:val="-2"/>
          <w:w w:val="105"/>
          <w:sz w:val="20"/>
        </w:rPr>
        <w:t>that</w:t>
      </w:r>
      <w:r>
        <w:rPr>
          <w:spacing w:val="-10"/>
          <w:w w:val="105"/>
          <w:sz w:val="20"/>
        </w:rPr>
        <w:t> </w:t>
      </w:r>
      <w:r>
        <w:rPr>
          <w:spacing w:val="-2"/>
          <w:w w:val="105"/>
          <w:sz w:val="20"/>
        </w:rPr>
        <w:t>“[t]he</w:t>
      </w:r>
      <w:r>
        <w:rPr>
          <w:spacing w:val="-10"/>
          <w:w w:val="105"/>
          <w:sz w:val="20"/>
        </w:rPr>
        <w:t> </w:t>
      </w:r>
      <w:r>
        <w:rPr>
          <w:spacing w:val="-2"/>
          <w:w w:val="105"/>
          <w:sz w:val="20"/>
        </w:rPr>
        <w:t>DRS</w:t>
      </w:r>
      <w:r>
        <w:rPr>
          <w:spacing w:val="-10"/>
          <w:w w:val="105"/>
          <w:sz w:val="20"/>
        </w:rPr>
        <w:t> </w:t>
      </w:r>
      <w:r>
        <w:rPr>
          <w:spacing w:val="-2"/>
          <w:w w:val="105"/>
          <w:sz w:val="20"/>
        </w:rPr>
        <w:t>[…]</w:t>
      </w:r>
      <w:r>
        <w:rPr>
          <w:spacing w:val="-9"/>
          <w:w w:val="105"/>
          <w:sz w:val="20"/>
        </w:rPr>
        <w:t> </w:t>
      </w:r>
      <w:r>
        <w:rPr>
          <w:spacing w:val="-2"/>
          <w:w w:val="105"/>
          <w:sz w:val="20"/>
        </w:rPr>
        <w:t>considers</w:t>
      </w:r>
      <w:r>
        <w:rPr>
          <w:spacing w:val="-10"/>
          <w:w w:val="105"/>
          <w:sz w:val="20"/>
        </w:rPr>
        <w:t> </w:t>
      </w:r>
      <w:r>
        <w:rPr>
          <w:spacing w:val="-2"/>
          <w:w w:val="105"/>
          <w:sz w:val="20"/>
        </w:rPr>
        <w:t>one-year</w:t>
      </w:r>
      <w:r>
        <w:rPr>
          <w:spacing w:val="-2"/>
          <w:w w:val="105"/>
          <w:sz w:val="20"/>
        </w:rPr>
        <w:t> </w:t>
      </w:r>
      <w:r>
        <w:rPr>
          <w:w w:val="105"/>
          <w:sz w:val="20"/>
        </w:rPr>
        <w:t>[central</w:t>
      </w:r>
      <w:r>
        <w:rPr>
          <w:spacing w:val="-11"/>
          <w:w w:val="105"/>
          <w:sz w:val="20"/>
        </w:rPr>
        <w:t> </w:t>
      </w:r>
      <w:r>
        <w:rPr>
          <w:w w:val="105"/>
          <w:sz w:val="20"/>
        </w:rPr>
        <w:t>bank]</w:t>
      </w:r>
      <w:r>
        <w:rPr>
          <w:spacing w:val="-11"/>
          <w:w w:val="105"/>
          <w:sz w:val="20"/>
        </w:rPr>
        <w:t> </w:t>
      </w:r>
      <w:r>
        <w:rPr>
          <w:w w:val="105"/>
          <w:sz w:val="20"/>
        </w:rPr>
        <w:t>deposits</w:t>
      </w:r>
      <w:r>
        <w:rPr>
          <w:spacing w:val="-12"/>
          <w:w w:val="105"/>
          <w:sz w:val="20"/>
        </w:rPr>
        <w:t> </w:t>
      </w:r>
      <w:r>
        <w:rPr>
          <w:w w:val="105"/>
          <w:sz w:val="20"/>
        </w:rPr>
        <w:t>that</w:t>
      </w:r>
      <w:r>
        <w:rPr>
          <w:spacing w:val="-12"/>
          <w:w w:val="105"/>
          <w:sz w:val="20"/>
        </w:rPr>
        <w:t> </w:t>
      </w:r>
      <w:r>
        <w:rPr>
          <w:w w:val="105"/>
          <w:sz w:val="20"/>
        </w:rPr>
        <w:t>are</w:t>
      </w:r>
      <w:r>
        <w:rPr>
          <w:spacing w:val="-12"/>
          <w:w w:val="105"/>
          <w:sz w:val="20"/>
        </w:rPr>
        <w:t> </w:t>
      </w:r>
      <w:r>
        <w:rPr>
          <w:w w:val="105"/>
          <w:sz w:val="20"/>
        </w:rPr>
        <w:t>consistently</w:t>
      </w:r>
      <w:r>
        <w:rPr>
          <w:spacing w:val="-12"/>
          <w:w w:val="105"/>
          <w:sz w:val="20"/>
        </w:rPr>
        <w:t> </w:t>
      </w:r>
      <w:r>
        <w:rPr>
          <w:w w:val="105"/>
          <w:sz w:val="20"/>
        </w:rPr>
        <w:t>rolled</w:t>
      </w:r>
      <w:r>
        <w:rPr>
          <w:spacing w:val="-12"/>
          <w:w w:val="105"/>
          <w:sz w:val="20"/>
        </w:rPr>
        <w:t> </w:t>
      </w:r>
      <w:r>
        <w:rPr>
          <w:w w:val="105"/>
          <w:sz w:val="20"/>
        </w:rPr>
        <w:t>over</w:t>
      </w:r>
      <w:r>
        <w:rPr>
          <w:spacing w:val="-12"/>
          <w:w w:val="105"/>
          <w:sz w:val="20"/>
        </w:rPr>
        <w:t> </w:t>
      </w:r>
      <w:r>
        <w:rPr>
          <w:w w:val="105"/>
          <w:sz w:val="20"/>
        </w:rPr>
        <w:t>(de</w:t>
      </w:r>
      <w:r>
        <w:rPr>
          <w:spacing w:val="-12"/>
          <w:w w:val="105"/>
          <w:sz w:val="20"/>
        </w:rPr>
        <w:t> </w:t>
      </w:r>
      <w:r>
        <w:rPr>
          <w:w w:val="105"/>
          <w:sz w:val="20"/>
        </w:rPr>
        <w:t>facto)</w:t>
      </w:r>
      <w:r>
        <w:rPr>
          <w:spacing w:val="-11"/>
          <w:w w:val="105"/>
          <w:sz w:val="20"/>
        </w:rPr>
        <w:t> </w:t>
      </w:r>
      <w:r>
        <w:rPr>
          <w:w w:val="105"/>
          <w:sz w:val="20"/>
        </w:rPr>
        <w:t>to</w:t>
      </w:r>
      <w:r>
        <w:rPr>
          <w:spacing w:val="-12"/>
          <w:w w:val="105"/>
          <w:sz w:val="20"/>
        </w:rPr>
        <w:t> </w:t>
      </w:r>
      <w:r>
        <w:rPr>
          <w:w w:val="105"/>
          <w:sz w:val="20"/>
        </w:rPr>
        <w:t>be</w:t>
      </w:r>
      <w:r>
        <w:rPr>
          <w:spacing w:val="-12"/>
          <w:w w:val="105"/>
          <w:sz w:val="20"/>
        </w:rPr>
        <w:t> </w:t>
      </w:r>
      <w:r>
        <w:rPr>
          <w:w w:val="105"/>
          <w:sz w:val="20"/>
        </w:rPr>
        <w:t>long-term</w:t>
      </w:r>
      <w:r>
        <w:rPr>
          <w:spacing w:val="-12"/>
          <w:w w:val="105"/>
          <w:sz w:val="20"/>
        </w:rPr>
        <w:t> </w:t>
      </w:r>
      <w:r>
        <w:rPr>
          <w:w w:val="105"/>
          <w:sz w:val="20"/>
        </w:rPr>
        <w:t>debt”</w:t>
      </w:r>
      <w:r>
        <w:rPr>
          <w:spacing w:val="-12"/>
          <w:w w:val="105"/>
          <w:sz w:val="20"/>
        </w:rPr>
        <w:t> </w:t>
      </w:r>
      <w:r>
        <w:rPr>
          <w:w w:val="105"/>
          <w:sz w:val="20"/>
        </w:rPr>
        <w:t>(World </w:t>
      </w:r>
      <w:r>
        <w:rPr>
          <w:spacing w:val="-2"/>
          <w:w w:val="105"/>
          <w:sz w:val="20"/>
        </w:rPr>
        <w:t>Bank</w:t>
      </w:r>
      <w:r>
        <w:rPr>
          <w:spacing w:val="-10"/>
          <w:w w:val="105"/>
          <w:sz w:val="20"/>
        </w:rPr>
        <w:t> </w:t>
      </w:r>
      <w:r>
        <w:rPr>
          <w:spacing w:val="-2"/>
          <w:w w:val="105"/>
          <w:sz w:val="20"/>
        </w:rPr>
        <w:t>2020a:</w:t>
      </w:r>
      <w:r>
        <w:rPr>
          <w:spacing w:val="-10"/>
          <w:w w:val="105"/>
          <w:sz w:val="20"/>
        </w:rPr>
        <w:t> </w:t>
      </w:r>
      <w:r>
        <w:rPr>
          <w:spacing w:val="-2"/>
          <w:w w:val="105"/>
          <w:sz w:val="20"/>
        </w:rPr>
        <w:t>13).</w:t>
      </w:r>
      <w:r>
        <w:rPr>
          <w:spacing w:val="-10"/>
          <w:w w:val="105"/>
          <w:sz w:val="20"/>
        </w:rPr>
        <w:t> </w:t>
      </w:r>
      <w:r>
        <w:rPr>
          <w:spacing w:val="-2"/>
          <w:w w:val="105"/>
          <w:sz w:val="20"/>
        </w:rPr>
        <w:t>They</w:t>
      </w:r>
      <w:r>
        <w:rPr>
          <w:spacing w:val="-10"/>
          <w:w w:val="105"/>
          <w:sz w:val="20"/>
        </w:rPr>
        <w:t> </w:t>
      </w:r>
      <w:r>
        <w:rPr>
          <w:spacing w:val="-2"/>
          <w:w w:val="105"/>
          <w:sz w:val="20"/>
        </w:rPr>
        <w:t>also</w:t>
      </w:r>
      <w:r>
        <w:rPr>
          <w:spacing w:val="-10"/>
          <w:w w:val="105"/>
          <w:sz w:val="20"/>
        </w:rPr>
        <w:t> </w:t>
      </w:r>
      <w:r>
        <w:rPr>
          <w:spacing w:val="-2"/>
          <w:w w:val="105"/>
          <w:sz w:val="20"/>
        </w:rPr>
        <w:t>emphasized</w:t>
      </w:r>
      <w:r>
        <w:rPr>
          <w:spacing w:val="-10"/>
          <w:w w:val="105"/>
          <w:sz w:val="20"/>
        </w:rPr>
        <w:t> </w:t>
      </w:r>
      <w:r>
        <w:rPr>
          <w:spacing w:val="-2"/>
          <w:w w:val="105"/>
          <w:sz w:val="20"/>
        </w:rPr>
        <w:t>that</w:t>
      </w:r>
      <w:r>
        <w:rPr>
          <w:spacing w:val="-10"/>
          <w:w w:val="105"/>
          <w:sz w:val="20"/>
        </w:rPr>
        <w:t> </w:t>
      </w:r>
      <w:r>
        <w:rPr>
          <w:spacing w:val="-2"/>
          <w:w w:val="105"/>
          <w:sz w:val="20"/>
        </w:rPr>
        <w:t>“[t]he</w:t>
      </w:r>
      <w:r>
        <w:rPr>
          <w:spacing w:val="-10"/>
          <w:w w:val="105"/>
          <w:sz w:val="20"/>
        </w:rPr>
        <w:t> </w:t>
      </w:r>
      <w:r>
        <w:rPr>
          <w:spacing w:val="-2"/>
          <w:w w:val="105"/>
          <w:sz w:val="20"/>
        </w:rPr>
        <w:t>transparency</w:t>
      </w:r>
      <w:r>
        <w:rPr>
          <w:spacing w:val="-10"/>
          <w:w w:val="105"/>
          <w:sz w:val="20"/>
        </w:rPr>
        <w:t> </w:t>
      </w:r>
      <w:r>
        <w:rPr>
          <w:spacing w:val="-2"/>
          <w:w w:val="105"/>
          <w:sz w:val="20"/>
        </w:rPr>
        <w:t>of</w:t>
      </w:r>
      <w:r>
        <w:rPr>
          <w:spacing w:val="-10"/>
          <w:w w:val="105"/>
          <w:sz w:val="20"/>
        </w:rPr>
        <w:t> </w:t>
      </w:r>
      <w:r>
        <w:rPr>
          <w:spacing w:val="-2"/>
          <w:w w:val="105"/>
          <w:sz w:val="20"/>
        </w:rPr>
        <w:t>data</w:t>
      </w:r>
      <w:r>
        <w:rPr>
          <w:spacing w:val="-10"/>
          <w:w w:val="105"/>
          <w:sz w:val="20"/>
        </w:rPr>
        <w:t> </w:t>
      </w:r>
      <w:r>
        <w:rPr>
          <w:spacing w:val="-2"/>
          <w:w w:val="105"/>
          <w:sz w:val="20"/>
        </w:rPr>
        <w:t>on</w:t>
      </w:r>
      <w:r>
        <w:rPr>
          <w:spacing w:val="-10"/>
          <w:w w:val="105"/>
          <w:sz w:val="20"/>
        </w:rPr>
        <w:t> </w:t>
      </w:r>
      <w:r>
        <w:rPr>
          <w:spacing w:val="-2"/>
          <w:w w:val="105"/>
          <w:sz w:val="20"/>
        </w:rPr>
        <w:t>debt</w:t>
      </w:r>
      <w:r>
        <w:rPr>
          <w:spacing w:val="-10"/>
          <w:w w:val="105"/>
          <w:sz w:val="20"/>
        </w:rPr>
        <w:t> </w:t>
      </w:r>
      <w:r>
        <w:rPr>
          <w:spacing w:val="-2"/>
          <w:w w:val="105"/>
          <w:sz w:val="20"/>
        </w:rPr>
        <w:t>must</w:t>
      </w:r>
      <w:r>
        <w:rPr>
          <w:spacing w:val="-10"/>
          <w:w w:val="105"/>
          <w:sz w:val="20"/>
        </w:rPr>
        <w:t> </w:t>
      </w:r>
      <w:r>
        <w:rPr>
          <w:spacing w:val="-2"/>
          <w:w w:val="105"/>
          <w:sz w:val="20"/>
        </w:rPr>
        <w:t>evolve</w:t>
      </w:r>
      <w:r>
        <w:rPr>
          <w:spacing w:val="-10"/>
          <w:w w:val="105"/>
          <w:sz w:val="20"/>
        </w:rPr>
        <w:t> </w:t>
      </w:r>
      <w:r>
        <w:rPr>
          <w:spacing w:val="-2"/>
          <w:w w:val="105"/>
          <w:sz w:val="20"/>
        </w:rPr>
        <w:t>to keep</w:t>
      </w:r>
      <w:r>
        <w:rPr>
          <w:spacing w:val="-9"/>
          <w:w w:val="105"/>
          <w:sz w:val="20"/>
        </w:rPr>
        <w:t> </w:t>
      </w:r>
      <w:r>
        <w:rPr>
          <w:spacing w:val="-2"/>
          <w:w w:val="105"/>
          <w:sz w:val="20"/>
        </w:rPr>
        <w:t>pace</w:t>
      </w:r>
      <w:r>
        <w:rPr>
          <w:spacing w:val="-9"/>
          <w:w w:val="105"/>
          <w:sz w:val="20"/>
        </w:rPr>
        <w:t> </w:t>
      </w:r>
      <w:r>
        <w:rPr>
          <w:spacing w:val="-2"/>
          <w:w w:val="105"/>
          <w:sz w:val="20"/>
        </w:rPr>
        <w:t>with</w:t>
      </w:r>
      <w:r>
        <w:rPr>
          <w:spacing w:val="-9"/>
          <w:w w:val="105"/>
          <w:sz w:val="20"/>
        </w:rPr>
        <w:t> </w:t>
      </w:r>
      <w:r>
        <w:rPr>
          <w:spacing w:val="-2"/>
          <w:w w:val="105"/>
          <w:sz w:val="20"/>
        </w:rPr>
        <w:t>an</w:t>
      </w:r>
      <w:r>
        <w:rPr>
          <w:spacing w:val="-9"/>
          <w:w w:val="105"/>
          <w:sz w:val="20"/>
        </w:rPr>
        <w:t> </w:t>
      </w:r>
      <w:r>
        <w:rPr>
          <w:spacing w:val="-2"/>
          <w:w w:val="105"/>
          <w:sz w:val="20"/>
        </w:rPr>
        <w:t>ever-changing</w:t>
      </w:r>
      <w:r>
        <w:rPr>
          <w:spacing w:val="-9"/>
          <w:w w:val="105"/>
          <w:sz w:val="20"/>
        </w:rPr>
        <w:t> </w:t>
      </w:r>
      <w:r>
        <w:rPr>
          <w:spacing w:val="-2"/>
          <w:w w:val="105"/>
          <w:sz w:val="20"/>
        </w:rPr>
        <w:t>creditor</w:t>
      </w:r>
      <w:r>
        <w:rPr>
          <w:spacing w:val="-9"/>
          <w:w w:val="105"/>
          <w:sz w:val="20"/>
        </w:rPr>
        <w:t> </w:t>
      </w:r>
      <w:r>
        <w:rPr>
          <w:spacing w:val="-2"/>
          <w:w w:val="105"/>
          <w:sz w:val="20"/>
        </w:rPr>
        <w:t>landscape</w:t>
      </w:r>
      <w:r>
        <w:rPr>
          <w:spacing w:val="-9"/>
          <w:w w:val="105"/>
          <w:sz w:val="20"/>
        </w:rPr>
        <w:t> </w:t>
      </w:r>
      <w:r>
        <w:rPr>
          <w:spacing w:val="-2"/>
          <w:w w:val="105"/>
          <w:sz w:val="20"/>
        </w:rPr>
        <w:t>and</w:t>
      </w:r>
      <w:r>
        <w:rPr>
          <w:spacing w:val="-9"/>
          <w:w w:val="105"/>
          <w:sz w:val="20"/>
        </w:rPr>
        <w:t> </w:t>
      </w:r>
      <w:r>
        <w:rPr>
          <w:spacing w:val="-2"/>
          <w:w w:val="105"/>
          <w:sz w:val="20"/>
        </w:rPr>
        <w:t>with</w:t>
      </w:r>
      <w:r>
        <w:rPr>
          <w:spacing w:val="-9"/>
          <w:w w:val="105"/>
          <w:sz w:val="20"/>
        </w:rPr>
        <w:t> </w:t>
      </w:r>
      <w:r>
        <w:rPr>
          <w:spacing w:val="-2"/>
          <w:w w:val="105"/>
          <w:sz w:val="20"/>
        </w:rPr>
        <w:t>new</w:t>
      </w:r>
      <w:r>
        <w:rPr>
          <w:spacing w:val="-9"/>
          <w:w w:val="105"/>
          <w:sz w:val="20"/>
        </w:rPr>
        <w:t> </w:t>
      </w:r>
      <w:r>
        <w:rPr>
          <w:spacing w:val="-2"/>
          <w:w w:val="105"/>
          <w:sz w:val="20"/>
        </w:rPr>
        <w:t>and</w:t>
      </w:r>
      <w:r>
        <w:rPr>
          <w:spacing w:val="-9"/>
          <w:w w:val="105"/>
          <w:sz w:val="20"/>
        </w:rPr>
        <w:t> </w:t>
      </w:r>
      <w:r>
        <w:rPr>
          <w:spacing w:val="-2"/>
          <w:w w:val="105"/>
          <w:sz w:val="20"/>
        </w:rPr>
        <w:t>increasingly</w:t>
      </w:r>
      <w:r>
        <w:rPr>
          <w:spacing w:val="-9"/>
          <w:w w:val="105"/>
          <w:sz w:val="20"/>
        </w:rPr>
        <w:t> </w:t>
      </w:r>
      <w:r>
        <w:rPr>
          <w:spacing w:val="-2"/>
          <w:w w:val="105"/>
          <w:sz w:val="20"/>
        </w:rPr>
        <w:t>complex </w:t>
      </w:r>
      <w:r>
        <w:rPr>
          <w:w w:val="105"/>
          <w:sz w:val="20"/>
        </w:rPr>
        <w:t>debt-like</w:t>
      </w:r>
      <w:r>
        <w:rPr>
          <w:spacing w:val="-8"/>
          <w:w w:val="105"/>
          <w:sz w:val="20"/>
        </w:rPr>
        <w:t> </w:t>
      </w:r>
      <w:r>
        <w:rPr>
          <w:w w:val="105"/>
          <w:sz w:val="20"/>
        </w:rPr>
        <w:t>instruments</w:t>
      </w:r>
      <w:r>
        <w:rPr>
          <w:spacing w:val="-8"/>
          <w:w w:val="105"/>
          <w:sz w:val="20"/>
        </w:rPr>
        <w:t> </w:t>
      </w:r>
      <w:r>
        <w:rPr>
          <w:w w:val="105"/>
          <w:sz w:val="20"/>
        </w:rPr>
        <w:t>and</w:t>
      </w:r>
      <w:r>
        <w:rPr>
          <w:spacing w:val="-8"/>
          <w:w w:val="105"/>
          <w:sz w:val="20"/>
        </w:rPr>
        <w:t> </w:t>
      </w:r>
      <w:r>
        <w:rPr>
          <w:w w:val="105"/>
          <w:sz w:val="20"/>
        </w:rPr>
        <w:t>data</w:t>
      </w:r>
      <w:r>
        <w:rPr>
          <w:spacing w:val="-8"/>
          <w:w w:val="105"/>
          <w:sz w:val="20"/>
        </w:rPr>
        <w:t> </w:t>
      </w:r>
      <w:r>
        <w:rPr>
          <w:w w:val="105"/>
          <w:sz w:val="20"/>
        </w:rPr>
        <w:t>requirements,”</w:t>
      </w:r>
      <w:r>
        <w:rPr>
          <w:spacing w:val="-8"/>
          <w:w w:val="105"/>
          <w:sz w:val="20"/>
        </w:rPr>
        <w:t> </w:t>
      </w:r>
      <w:r>
        <w:rPr>
          <w:w w:val="105"/>
          <w:sz w:val="20"/>
        </w:rPr>
        <w:t>and</w:t>
      </w:r>
      <w:r>
        <w:rPr>
          <w:spacing w:val="-8"/>
          <w:w w:val="105"/>
          <w:sz w:val="20"/>
        </w:rPr>
        <w:t> </w:t>
      </w:r>
      <w:r>
        <w:rPr>
          <w:w w:val="105"/>
          <w:sz w:val="20"/>
        </w:rPr>
        <w:t>that</w:t>
      </w:r>
      <w:r>
        <w:rPr>
          <w:spacing w:val="-8"/>
          <w:w w:val="105"/>
          <w:sz w:val="20"/>
        </w:rPr>
        <w:t> </w:t>
      </w:r>
      <w:r>
        <w:rPr>
          <w:w w:val="105"/>
          <w:sz w:val="20"/>
        </w:rPr>
        <w:t>one</w:t>
      </w:r>
      <w:r>
        <w:rPr>
          <w:spacing w:val="-8"/>
          <w:w w:val="105"/>
          <w:sz w:val="20"/>
        </w:rPr>
        <w:t> </w:t>
      </w:r>
      <w:r>
        <w:rPr>
          <w:w w:val="105"/>
          <w:sz w:val="20"/>
        </w:rPr>
        <w:t>of</w:t>
      </w:r>
      <w:r>
        <w:rPr>
          <w:spacing w:val="-8"/>
          <w:w w:val="105"/>
          <w:sz w:val="20"/>
        </w:rPr>
        <w:t> </w:t>
      </w:r>
      <w:r>
        <w:rPr>
          <w:w w:val="105"/>
          <w:sz w:val="20"/>
        </w:rPr>
        <w:t>their</w:t>
      </w:r>
      <w:r>
        <w:rPr>
          <w:spacing w:val="-8"/>
          <w:w w:val="105"/>
          <w:sz w:val="20"/>
        </w:rPr>
        <w:t> </w:t>
      </w:r>
      <w:r>
        <w:rPr>
          <w:w w:val="105"/>
          <w:sz w:val="20"/>
        </w:rPr>
        <w:t>top</w:t>
      </w:r>
      <w:r>
        <w:rPr>
          <w:spacing w:val="-8"/>
          <w:w w:val="105"/>
          <w:sz w:val="20"/>
        </w:rPr>
        <w:t> </w:t>
      </w:r>
      <w:r>
        <w:rPr>
          <w:w w:val="105"/>
          <w:sz w:val="20"/>
        </w:rPr>
        <w:t>priorities</w:t>
      </w:r>
      <w:r>
        <w:rPr>
          <w:spacing w:val="-8"/>
          <w:w w:val="105"/>
          <w:sz w:val="20"/>
        </w:rPr>
        <w:t> </w:t>
      </w:r>
      <w:r>
        <w:rPr>
          <w:w w:val="105"/>
          <w:sz w:val="20"/>
        </w:rPr>
        <w:t>is</w:t>
      </w:r>
    </w:p>
    <w:p>
      <w:pPr>
        <w:pStyle w:val="BodyText"/>
        <w:rPr>
          <w:sz w:val="20"/>
        </w:rPr>
      </w:pPr>
    </w:p>
    <w:p>
      <w:pPr>
        <w:pStyle w:val="BodyText"/>
        <w:spacing w:before="8"/>
        <w:rPr>
          <w:sz w:val="25"/>
        </w:rPr>
      </w:pPr>
      <w:r>
        <w:rPr/>
        <w:pict>
          <v:shape style="position:absolute;margin-left:90pt;margin-top:15.980371pt;width:144pt;height:.1pt;mso-position-horizontal-relative:page;mso-position-vertical-relative:paragraph;z-index:-15686656;mso-wrap-distance-left:0;mso-wrap-distance-right:0" id="docshape75" coordorigin="1800,320" coordsize="2880,0" path="m1800,320l4680,320e" filled="false" stroked="true" strokeweight=".75pt" strokecolor="#000000">
            <v:path arrowok="t"/>
            <v:stroke dashstyle="solid"/>
            <w10:wrap type="topAndBottom"/>
          </v:shape>
        </w:pict>
      </w:r>
    </w:p>
    <w:p>
      <w:pPr>
        <w:spacing w:line="249" w:lineRule="auto" w:before="110"/>
        <w:ind w:left="760" w:right="767" w:firstLine="0"/>
        <w:jc w:val="left"/>
        <w:rPr>
          <w:sz w:val="20"/>
        </w:rPr>
      </w:pPr>
      <w:r>
        <w:rPr>
          <w:sz w:val="20"/>
          <w:vertAlign w:val="superscript"/>
        </w:rPr>
        <w:t>184</w:t>
      </w:r>
      <w:r>
        <w:rPr>
          <w:spacing w:val="-8"/>
          <w:sz w:val="20"/>
          <w:vertAlign w:val="baseline"/>
        </w:rPr>
        <w:t> </w:t>
      </w:r>
      <w:r>
        <w:rPr>
          <w:sz w:val="20"/>
          <w:vertAlign w:val="baseline"/>
        </w:rPr>
        <w:t>Since</w:t>
      </w:r>
      <w:r>
        <w:rPr>
          <w:spacing w:val="-9"/>
          <w:sz w:val="20"/>
          <w:vertAlign w:val="baseline"/>
        </w:rPr>
        <w:t> </w:t>
      </w:r>
      <w:r>
        <w:rPr>
          <w:sz w:val="20"/>
          <w:vertAlign w:val="baseline"/>
        </w:rPr>
        <w:t>1973,</w:t>
      </w:r>
      <w:r>
        <w:rPr>
          <w:spacing w:val="-9"/>
          <w:sz w:val="20"/>
          <w:vertAlign w:val="baseline"/>
        </w:rPr>
        <w:t> </w:t>
      </w:r>
      <w:r>
        <w:rPr>
          <w:sz w:val="20"/>
          <w:vertAlign w:val="baseline"/>
        </w:rPr>
        <w:t>the</w:t>
      </w:r>
      <w:r>
        <w:rPr>
          <w:spacing w:val="-9"/>
          <w:sz w:val="20"/>
          <w:vertAlign w:val="baseline"/>
        </w:rPr>
        <w:t> </w:t>
      </w:r>
      <w:r>
        <w:rPr>
          <w:sz w:val="20"/>
          <w:vertAlign w:val="baseline"/>
        </w:rPr>
        <w:t>OECD’s</w:t>
      </w:r>
      <w:r>
        <w:rPr>
          <w:spacing w:val="-9"/>
          <w:sz w:val="20"/>
          <w:vertAlign w:val="baseline"/>
        </w:rPr>
        <w:t> </w:t>
      </w:r>
      <w:r>
        <w:rPr>
          <w:sz w:val="20"/>
          <w:vertAlign w:val="baseline"/>
        </w:rPr>
        <w:t>Creditor</w:t>
      </w:r>
      <w:r>
        <w:rPr>
          <w:spacing w:val="-9"/>
          <w:sz w:val="20"/>
          <w:vertAlign w:val="baseline"/>
        </w:rPr>
        <w:t> </w:t>
      </w:r>
      <w:r>
        <w:rPr>
          <w:sz w:val="20"/>
          <w:vertAlign w:val="baseline"/>
        </w:rPr>
        <w:t>Reporting</w:t>
      </w:r>
      <w:r>
        <w:rPr>
          <w:spacing w:val="-9"/>
          <w:sz w:val="20"/>
          <w:vertAlign w:val="baseline"/>
        </w:rPr>
        <w:t> </w:t>
      </w:r>
      <w:r>
        <w:rPr>
          <w:sz w:val="20"/>
          <w:vertAlign w:val="baseline"/>
        </w:rPr>
        <w:t>System</w:t>
      </w:r>
      <w:r>
        <w:rPr>
          <w:spacing w:val="-9"/>
          <w:sz w:val="20"/>
          <w:vertAlign w:val="baseline"/>
        </w:rPr>
        <w:t> </w:t>
      </w:r>
      <w:r>
        <w:rPr>
          <w:sz w:val="20"/>
          <w:vertAlign w:val="baseline"/>
        </w:rPr>
        <w:t>(CRS)</w:t>
      </w:r>
      <w:r>
        <w:rPr>
          <w:spacing w:val="-8"/>
          <w:sz w:val="20"/>
          <w:vertAlign w:val="baseline"/>
        </w:rPr>
        <w:t> </w:t>
      </w:r>
      <w:r>
        <w:rPr>
          <w:sz w:val="20"/>
          <w:vertAlign w:val="baseline"/>
        </w:rPr>
        <w:t>has</w:t>
      </w:r>
      <w:r>
        <w:rPr>
          <w:spacing w:val="-9"/>
          <w:sz w:val="20"/>
          <w:vertAlign w:val="baseline"/>
        </w:rPr>
        <w:t> </w:t>
      </w:r>
      <w:r>
        <w:rPr>
          <w:sz w:val="20"/>
          <w:vertAlign w:val="baseline"/>
        </w:rPr>
        <w:t>collected</w:t>
      </w:r>
      <w:r>
        <w:rPr>
          <w:spacing w:val="-9"/>
          <w:sz w:val="20"/>
          <w:vertAlign w:val="baseline"/>
        </w:rPr>
        <w:t> </w:t>
      </w:r>
      <w:r>
        <w:rPr>
          <w:sz w:val="20"/>
          <w:vertAlign w:val="baseline"/>
        </w:rPr>
        <w:t>and</w:t>
      </w:r>
      <w:r>
        <w:rPr>
          <w:spacing w:val="-9"/>
          <w:sz w:val="20"/>
          <w:vertAlign w:val="baseline"/>
        </w:rPr>
        <w:t> </w:t>
      </w:r>
      <w:r>
        <w:rPr>
          <w:sz w:val="20"/>
          <w:vertAlign w:val="baseline"/>
        </w:rPr>
        <w:t>published</w:t>
      </w:r>
      <w:r>
        <w:rPr>
          <w:spacing w:val="-9"/>
          <w:sz w:val="20"/>
          <w:vertAlign w:val="baseline"/>
        </w:rPr>
        <w:t> </w:t>
      </w:r>
      <w:r>
        <w:rPr>
          <w:sz w:val="20"/>
          <w:vertAlign w:val="baseline"/>
        </w:rPr>
        <w:t>data</w:t>
      </w:r>
      <w:r>
        <w:rPr>
          <w:spacing w:val="-9"/>
          <w:sz w:val="20"/>
          <w:vertAlign w:val="baseline"/>
        </w:rPr>
        <w:t> </w:t>
      </w:r>
      <w:r>
        <w:rPr>
          <w:sz w:val="20"/>
          <w:vertAlign w:val="baseline"/>
        </w:rPr>
        <w:t>on ofﬁcial sector ﬁnancial ﬂows (ODA and OOF) from DAC and non-DAC countries.</w:t>
      </w:r>
    </w:p>
    <w:p>
      <w:pPr>
        <w:spacing w:line="249" w:lineRule="auto" w:before="2"/>
        <w:ind w:left="760" w:right="767" w:firstLine="0"/>
        <w:jc w:val="left"/>
        <w:rPr>
          <w:sz w:val="20"/>
        </w:rPr>
      </w:pPr>
      <w:r>
        <w:rPr>
          <w:sz w:val="20"/>
          <w:vertAlign w:val="superscript"/>
        </w:rPr>
        <w:t>185</w:t>
      </w:r>
      <w:r>
        <w:rPr>
          <w:spacing w:val="-1"/>
          <w:sz w:val="20"/>
          <w:vertAlign w:val="baseline"/>
        </w:rPr>
        <w:t> </w:t>
      </w:r>
      <w:r>
        <w:rPr>
          <w:sz w:val="20"/>
          <w:vertAlign w:val="baseline"/>
        </w:rPr>
        <w:t>The</w:t>
      </w:r>
      <w:r>
        <w:rPr>
          <w:spacing w:val="-2"/>
          <w:sz w:val="20"/>
          <w:vertAlign w:val="baseline"/>
        </w:rPr>
        <w:t> </w:t>
      </w:r>
      <w:r>
        <w:rPr>
          <w:sz w:val="20"/>
          <w:vertAlign w:val="baseline"/>
        </w:rPr>
        <w:t>World</w:t>
      </w:r>
      <w:r>
        <w:rPr>
          <w:spacing w:val="-2"/>
          <w:sz w:val="20"/>
          <w:vertAlign w:val="baseline"/>
        </w:rPr>
        <w:t> </w:t>
      </w:r>
      <w:r>
        <w:rPr>
          <w:sz w:val="20"/>
          <w:vertAlign w:val="baseline"/>
        </w:rPr>
        <w:t>Bank’s</w:t>
      </w:r>
      <w:r>
        <w:rPr>
          <w:spacing w:val="-2"/>
          <w:sz w:val="20"/>
          <w:vertAlign w:val="baseline"/>
        </w:rPr>
        <w:t> </w:t>
      </w:r>
      <w:r>
        <w:rPr>
          <w:sz w:val="20"/>
          <w:vertAlign w:val="baseline"/>
        </w:rPr>
        <w:t>Debtor</w:t>
      </w:r>
      <w:r>
        <w:rPr>
          <w:spacing w:val="-2"/>
          <w:sz w:val="20"/>
          <w:vertAlign w:val="baseline"/>
        </w:rPr>
        <w:t> </w:t>
      </w:r>
      <w:r>
        <w:rPr>
          <w:sz w:val="20"/>
          <w:vertAlign w:val="baseline"/>
        </w:rPr>
        <w:t>Reporting</w:t>
      </w:r>
      <w:r>
        <w:rPr>
          <w:spacing w:val="-2"/>
          <w:sz w:val="20"/>
          <w:vertAlign w:val="baseline"/>
        </w:rPr>
        <w:t> </w:t>
      </w:r>
      <w:r>
        <w:rPr>
          <w:sz w:val="20"/>
          <w:vertAlign w:val="baseline"/>
        </w:rPr>
        <w:t>System</w:t>
      </w:r>
      <w:r>
        <w:rPr>
          <w:spacing w:val="-2"/>
          <w:sz w:val="20"/>
          <w:vertAlign w:val="baseline"/>
        </w:rPr>
        <w:t> </w:t>
      </w:r>
      <w:r>
        <w:rPr>
          <w:sz w:val="20"/>
          <w:vertAlign w:val="baseline"/>
        </w:rPr>
        <w:t>(DRS)</w:t>
      </w:r>
      <w:r>
        <w:rPr>
          <w:spacing w:val="-1"/>
          <w:sz w:val="20"/>
          <w:vertAlign w:val="baseline"/>
        </w:rPr>
        <w:t> </w:t>
      </w:r>
      <w:r>
        <w:rPr>
          <w:sz w:val="20"/>
          <w:vertAlign w:val="baseline"/>
        </w:rPr>
        <w:t>has</w:t>
      </w:r>
      <w:r>
        <w:rPr>
          <w:spacing w:val="-2"/>
          <w:sz w:val="20"/>
          <w:vertAlign w:val="baseline"/>
        </w:rPr>
        <w:t> </w:t>
      </w:r>
      <w:r>
        <w:rPr>
          <w:sz w:val="20"/>
          <w:vertAlign w:val="baseline"/>
        </w:rPr>
        <w:t>served</w:t>
      </w:r>
      <w:r>
        <w:rPr>
          <w:spacing w:val="-2"/>
          <w:sz w:val="20"/>
          <w:vertAlign w:val="baseline"/>
        </w:rPr>
        <w:t> </w:t>
      </w:r>
      <w:r>
        <w:rPr>
          <w:sz w:val="20"/>
          <w:vertAlign w:val="baseline"/>
        </w:rPr>
        <w:t>as</w:t>
      </w:r>
      <w:r>
        <w:rPr>
          <w:spacing w:val="-2"/>
          <w:sz w:val="20"/>
          <w:vertAlign w:val="baseline"/>
        </w:rPr>
        <w:t> </w:t>
      </w:r>
      <w:r>
        <w:rPr>
          <w:sz w:val="20"/>
          <w:vertAlign w:val="baseline"/>
        </w:rPr>
        <w:t>the</w:t>
      </w:r>
      <w:r>
        <w:rPr>
          <w:spacing w:val="-2"/>
          <w:sz w:val="20"/>
          <w:vertAlign w:val="baseline"/>
        </w:rPr>
        <w:t> </w:t>
      </w:r>
      <w:r>
        <w:rPr>
          <w:sz w:val="20"/>
          <w:vertAlign w:val="baseline"/>
        </w:rPr>
        <w:t>primary</w:t>
      </w:r>
      <w:r>
        <w:rPr>
          <w:spacing w:val="-2"/>
          <w:sz w:val="20"/>
          <w:vertAlign w:val="baseline"/>
        </w:rPr>
        <w:t> </w:t>
      </w:r>
      <w:r>
        <w:rPr>
          <w:sz w:val="20"/>
          <w:vertAlign w:val="baseline"/>
        </w:rPr>
        <w:t>international reporting system for public debt since 1951. It supports the publication of a widely used data source: the World Bank’s International Debt Statistics (IDS).</w:t>
      </w:r>
    </w:p>
    <w:p>
      <w:pPr>
        <w:spacing w:after="0" w:line="249" w:lineRule="auto"/>
        <w:jc w:val="left"/>
        <w:rPr>
          <w:sz w:val="20"/>
        </w:rPr>
        <w:sectPr>
          <w:pgSz w:w="12240" w:h="15840"/>
          <w:pgMar w:header="0" w:footer="720" w:top="1400" w:bottom="920" w:left="1040" w:right="1040"/>
        </w:sectPr>
      </w:pPr>
    </w:p>
    <w:p>
      <w:pPr>
        <w:pStyle w:val="BodyText"/>
        <w:ind w:left="640"/>
        <w:rPr>
          <w:sz w:val="20"/>
        </w:rPr>
      </w:pPr>
      <w:r>
        <w:rPr>
          <w:sz w:val="20"/>
        </w:rPr>
        <w:pict>
          <v:shape style="width:444pt;height:105pt;mso-position-horizontal-relative:char;mso-position-vertical-relative:line" type="#_x0000_t202" id="docshape76" filled="true" fillcolor="#f0f2f4" stroked="false">
            <w10:anchorlock/>
            <v:textbox inset="0,0,0,0">
              <w:txbxContent>
                <w:p>
                  <w:pPr>
                    <w:spacing w:line="300" w:lineRule="auto" w:before="6"/>
                    <w:ind w:left="120" w:right="199" w:firstLine="0"/>
                    <w:jc w:val="left"/>
                    <w:rPr>
                      <w:color w:val="000000"/>
                      <w:sz w:val="20"/>
                    </w:rPr>
                  </w:pPr>
                  <w:r>
                    <w:rPr>
                      <w:color w:val="000000"/>
                      <w:sz w:val="20"/>
                    </w:rPr>
                    <w:t>“incorporating Central Bank deposits and currency swaps lines into the DRS dataset” (World Bank 2021: 29).</w:t>
                  </w:r>
                  <w:r>
                    <w:rPr>
                      <w:color w:val="000000"/>
                      <w:sz w:val="20"/>
                      <w:vertAlign w:val="superscript"/>
                    </w:rPr>
                    <w:t>186</w:t>
                  </w:r>
                </w:p>
                <w:p>
                  <w:pPr>
                    <w:pStyle w:val="BodyText"/>
                    <w:rPr>
                      <w:color w:val="000000"/>
                      <w:sz w:val="21"/>
                    </w:rPr>
                  </w:pPr>
                </w:p>
                <w:p>
                  <w:pPr>
                    <w:spacing w:line="300" w:lineRule="auto" w:before="0"/>
                    <w:ind w:left="120" w:right="86" w:firstLine="0"/>
                    <w:jc w:val="left"/>
                    <w:rPr>
                      <w:color w:val="000000"/>
                      <w:sz w:val="20"/>
                    </w:rPr>
                  </w:pPr>
                  <w:r>
                    <w:rPr>
                      <w:color w:val="000000"/>
                      <w:sz w:val="20"/>
                    </w:rPr>
                    <w:t>The</w:t>
                  </w:r>
                  <w:r>
                    <w:rPr>
                      <w:color w:val="000000"/>
                      <w:spacing w:val="-5"/>
                      <w:sz w:val="20"/>
                    </w:rPr>
                    <w:t> </w:t>
                  </w:r>
                  <w:r>
                    <w:rPr>
                      <w:color w:val="000000"/>
                      <w:sz w:val="20"/>
                    </w:rPr>
                    <w:t>3.0</w:t>
                  </w:r>
                  <w:r>
                    <w:rPr>
                      <w:color w:val="000000"/>
                      <w:spacing w:val="-5"/>
                      <w:sz w:val="20"/>
                    </w:rPr>
                    <w:t> </w:t>
                  </w:r>
                  <w:r>
                    <w:rPr>
                      <w:color w:val="000000"/>
                      <w:sz w:val="20"/>
                    </w:rPr>
                    <w:t>version</w:t>
                  </w:r>
                  <w:r>
                    <w:rPr>
                      <w:color w:val="000000"/>
                      <w:spacing w:val="-5"/>
                      <w:sz w:val="20"/>
                    </w:rPr>
                    <w:t> </w:t>
                  </w:r>
                  <w:r>
                    <w:rPr>
                      <w:color w:val="000000"/>
                      <w:sz w:val="20"/>
                    </w:rPr>
                    <w:t>of</w:t>
                  </w:r>
                  <w:r>
                    <w:rPr>
                      <w:color w:val="000000"/>
                      <w:spacing w:val="-5"/>
                      <w:sz w:val="20"/>
                    </w:rPr>
                    <w:t> </w:t>
                  </w:r>
                  <w:r>
                    <w:rPr>
                      <w:color w:val="000000"/>
                      <w:sz w:val="20"/>
                    </w:rPr>
                    <w:t>AidData’s</w:t>
                  </w:r>
                  <w:r>
                    <w:rPr>
                      <w:color w:val="000000"/>
                      <w:spacing w:val="-5"/>
                      <w:sz w:val="20"/>
                    </w:rPr>
                    <w:t> </w:t>
                  </w:r>
                  <w:r>
                    <w:rPr>
                      <w:color w:val="000000"/>
                      <w:sz w:val="20"/>
                    </w:rPr>
                    <w:t>GCDF</w:t>
                  </w:r>
                  <w:r>
                    <w:rPr>
                      <w:color w:val="000000"/>
                      <w:spacing w:val="-5"/>
                      <w:sz w:val="20"/>
                    </w:rPr>
                    <w:t> </w:t>
                  </w:r>
                  <w:r>
                    <w:rPr>
                      <w:color w:val="000000"/>
                      <w:sz w:val="20"/>
                    </w:rPr>
                    <w:t>dataset</w:t>
                  </w:r>
                  <w:r>
                    <w:rPr>
                      <w:color w:val="000000"/>
                      <w:spacing w:val="-5"/>
                      <w:sz w:val="20"/>
                    </w:rPr>
                    <w:t> </w:t>
                  </w:r>
                  <w:r>
                    <w:rPr>
                      <w:color w:val="000000"/>
                      <w:sz w:val="20"/>
                    </w:rPr>
                    <w:t>captures</w:t>
                  </w:r>
                  <w:r>
                    <w:rPr>
                      <w:color w:val="000000"/>
                      <w:spacing w:val="-5"/>
                      <w:sz w:val="20"/>
                    </w:rPr>
                    <w:t> </w:t>
                  </w:r>
                  <w:r>
                    <w:rPr>
                      <w:color w:val="000000"/>
                      <w:sz w:val="20"/>
                    </w:rPr>
                    <w:t>the</w:t>
                  </w:r>
                  <w:r>
                    <w:rPr>
                      <w:color w:val="000000"/>
                      <w:spacing w:val="-5"/>
                      <w:sz w:val="20"/>
                    </w:rPr>
                    <w:t> </w:t>
                  </w:r>
                  <w:r>
                    <w:rPr>
                      <w:color w:val="000000"/>
                      <w:sz w:val="20"/>
                    </w:rPr>
                    <w:t>full</w:t>
                  </w:r>
                  <w:r>
                    <w:rPr>
                      <w:color w:val="000000"/>
                      <w:spacing w:val="-4"/>
                      <w:sz w:val="20"/>
                    </w:rPr>
                    <w:t> </w:t>
                  </w:r>
                  <w:r>
                    <w:rPr>
                      <w:color w:val="000000"/>
                      <w:sz w:val="20"/>
                    </w:rPr>
                    <w:t>range</w:t>
                  </w:r>
                  <w:r>
                    <w:rPr>
                      <w:color w:val="000000"/>
                      <w:spacing w:val="-5"/>
                      <w:sz w:val="20"/>
                    </w:rPr>
                    <w:t> </w:t>
                  </w:r>
                  <w:r>
                    <w:rPr>
                      <w:color w:val="000000"/>
                      <w:sz w:val="20"/>
                    </w:rPr>
                    <w:t>of</w:t>
                  </w:r>
                  <w:r>
                    <w:rPr>
                      <w:color w:val="000000"/>
                      <w:spacing w:val="-5"/>
                      <w:sz w:val="20"/>
                    </w:rPr>
                    <w:t> </w:t>
                  </w:r>
                  <w:r>
                    <w:rPr>
                      <w:color w:val="000000"/>
                      <w:sz w:val="20"/>
                    </w:rPr>
                    <w:t>China’s</w:t>
                  </w:r>
                  <w:r>
                    <w:rPr>
                      <w:color w:val="000000"/>
                      <w:spacing w:val="-5"/>
                      <w:sz w:val="20"/>
                    </w:rPr>
                    <w:t> </w:t>
                  </w:r>
                  <w:r>
                    <w:rPr>
                      <w:color w:val="000000"/>
                      <w:sz w:val="20"/>
                    </w:rPr>
                    <w:t>international</w:t>
                  </w:r>
                  <w:r>
                    <w:rPr>
                      <w:color w:val="000000"/>
                      <w:spacing w:val="-4"/>
                      <w:sz w:val="20"/>
                    </w:rPr>
                    <w:t> </w:t>
                  </w:r>
                  <w:r>
                    <w:rPr>
                      <w:color w:val="000000"/>
                      <w:sz w:val="20"/>
                    </w:rPr>
                    <w:t>rescue lending operations. Figure A14 demonstrates that an increasing proportion of China’s ofﬁcial sector lending to LICs and MICs consisted of “rollover” emergency rescue loans during the early BRI period (8%) and the late BRI period (34%).</w:t>
                  </w:r>
                </w:p>
              </w:txbxContent>
            </v:textbox>
            <v:fill type="solid"/>
          </v:shape>
        </w:pict>
      </w:r>
      <w:r>
        <w:rPr>
          <w:sz w:val="20"/>
        </w:rPr>
      </w:r>
    </w:p>
    <w:p>
      <w:pPr>
        <w:pStyle w:val="BodyText"/>
        <w:spacing w:before="3"/>
        <w:rPr>
          <w:sz w:val="14"/>
        </w:rPr>
      </w:pPr>
    </w:p>
    <w:p>
      <w:pPr>
        <w:pStyle w:val="BodyText"/>
        <w:spacing w:line="333" w:lineRule="auto" w:before="56"/>
        <w:ind w:left="760" w:right="844"/>
      </w:pPr>
      <w:r>
        <w:rPr/>
        <w:t>Another way of mitigating elevated levels of default risk is to attach stronger repayment safeguards to new loans. Beijing appears to be following this strategy. Figure 2.15 demonstrates that the percentage of China’s overseas lending portfolio supported by collateral increased from 42% during the </w:t>
      </w:r>
      <w:r>
        <w:rPr/>
        <w:t>pre-BRI and early BRI period (2000-2017) to 56% in the late BRI period (2018-2021). By 2021,</w:t>
      </w:r>
      <w:r>
        <w:rPr>
          <w:spacing w:val="-2"/>
        </w:rPr>
        <w:t> </w:t>
      </w:r>
      <w:r>
        <w:rPr/>
        <w:t>nearly</w:t>
      </w:r>
      <w:r>
        <w:rPr>
          <w:spacing w:val="-2"/>
        </w:rPr>
        <w:t> </w:t>
      </w:r>
      <w:r>
        <w:rPr/>
        <w:t>three-quarters</w:t>
      </w:r>
      <w:r>
        <w:rPr>
          <w:spacing w:val="-2"/>
        </w:rPr>
        <w:t> </w:t>
      </w:r>
      <w:r>
        <w:rPr/>
        <w:t>(72%)</w:t>
      </w:r>
      <w:r>
        <w:rPr>
          <w:spacing w:val="-2"/>
        </w:rPr>
        <w:t> </w:t>
      </w:r>
      <w:r>
        <w:rPr/>
        <w:t>of</w:t>
      </w:r>
      <w:r>
        <w:rPr>
          <w:spacing w:val="-2"/>
        </w:rPr>
        <w:t> </w:t>
      </w:r>
      <w:r>
        <w:rPr/>
        <w:t>China’s</w:t>
      </w:r>
      <w:r>
        <w:rPr>
          <w:spacing w:val="-2"/>
        </w:rPr>
        <w:t> </w:t>
      </w:r>
      <w:r>
        <w:rPr/>
        <w:t>overseas</w:t>
      </w:r>
      <w:r>
        <w:rPr>
          <w:spacing w:val="-2"/>
        </w:rPr>
        <w:t> </w:t>
      </w:r>
      <w:r>
        <w:rPr/>
        <w:t>lending</w:t>
      </w:r>
      <w:r>
        <w:rPr>
          <w:spacing w:val="-2"/>
        </w:rPr>
        <w:t> </w:t>
      </w:r>
      <w:r>
        <w:rPr/>
        <w:t>to</w:t>
      </w:r>
      <w:r>
        <w:rPr>
          <w:spacing w:val="-2"/>
        </w:rPr>
        <w:t> </w:t>
      </w:r>
      <w:r>
        <w:rPr/>
        <w:t>LICs</w:t>
      </w:r>
      <w:r>
        <w:rPr>
          <w:spacing w:val="-2"/>
        </w:rPr>
        <w:t> </w:t>
      </w:r>
      <w:r>
        <w:rPr/>
        <w:t>and</w:t>
      </w:r>
      <w:r>
        <w:rPr>
          <w:spacing w:val="-2"/>
        </w:rPr>
        <w:t> </w:t>
      </w:r>
      <w:r>
        <w:rPr/>
        <w:t>MICs was collateralized.</w:t>
      </w:r>
    </w:p>
    <w:p>
      <w:pPr>
        <w:pStyle w:val="BodyText"/>
        <w:rPr>
          <w:sz w:val="20"/>
        </w:rPr>
      </w:pPr>
    </w:p>
    <w:p>
      <w:pPr>
        <w:pStyle w:val="BodyText"/>
        <w:spacing w:before="10"/>
        <w:rPr>
          <w:sz w:val="17"/>
        </w:rPr>
      </w:pPr>
      <w:r>
        <w:rPr/>
        <w:pict>
          <v:shape style="position:absolute;margin-left:84pt;margin-top:11.48757pt;width:444pt;height:38pt;mso-position-horizontal-relative:page;mso-position-vertical-relative:paragraph;z-index:-15685120;mso-wrap-distance-left:0;mso-wrap-distance-right:0" type="#_x0000_t202" id="docshape77" filled="true" fillcolor="#5b666f" stroked="false">
            <v:textbox inset="0,0,0,0">
              <w:txbxContent>
                <w:p>
                  <w:pPr>
                    <w:spacing w:before="116"/>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2.15</w:t>
                  </w:r>
                </w:p>
              </w:txbxContent>
            </v:textbox>
            <v:fill type="solid"/>
            <w10:wrap type="topAndBottom"/>
          </v:shape>
        </w:pict>
      </w:r>
      <w:r>
        <w:rPr/>
        <w:drawing>
          <wp:anchor distT="0" distB="0" distL="0" distR="0" allowOverlap="1" layoutInCell="1" locked="0" behindDoc="0" simplePos="0" relativeHeight="86">
            <wp:simplePos x="0" y="0"/>
            <wp:positionH relativeFrom="page">
              <wp:posOffset>1253132</wp:posOffset>
            </wp:positionH>
            <wp:positionV relativeFrom="paragraph">
              <wp:posOffset>747953</wp:posOffset>
            </wp:positionV>
            <wp:extent cx="5243399" cy="3147060"/>
            <wp:effectExtent l="0" t="0" r="0" b="0"/>
            <wp:wrapTopAndBottom/>
            <wp:docPr id="29" name="image16.jpeg"/>
            <wp:cNvGraphicFramePr>
              <a:graphicFrameLocks noChangeAspect="1"/>
            </wp:cNvGraphicFramePr>
            <a:graphic>
              <a:graphicData uri="http://schemas.openxmlformats.org/drawingml/2006/picture">
                <pic:pic>
                  <pic:nvPicPr>
                    <pic:cNvPr id="30" name="image16.jpeg"/>
                    <pic:cNvPicPr/>
                  </pic:nvPicPr>
                  <pic:blipFill>
                    <a:blip r:embed="rId26" cstate="print"/>
                    <a:stretch>
                      <a:fillRect/>
                    </a:stretch>
                  </pic:blipFill>
                  <pic:spPr>
                    <a:xfrm>
                      <a:off x="0" y="0"/>
                      <a:ext cx="5243399" cy="3147060"/>
                    </a:xfrm>
                    <a:prstGeom prst="rect">
                      <a:avLst/>
                    </a:prstGeom>
                  </pic:spPr>
                </pic:pic>
              </a:graphicData>
            </a:graphic>
          </wp:anchor>
        </w:drawing>
      </w:r>
    </w:p>
    <w:p>
      <w:pPr>
        <w:pStyle w:val="BodyText"/>
        <w:spacing w:before="3"/>
        <w:rPr>
          <w:sz w:val="14"/>
        </w:rPr>
      </w:pPr>
    </w:p>
    <w:p>
      <w:pPr>
        <w:pStyle w:val="BodyText"/>
        <w:rPr>
          <w:sz w:val="20"/>
        </w:rPr>
      </w:pPr>
    </w:p>
    <w:p>
      <w:pPr>
        <w:pStyle w:val="BodyText"/>
        <w:spacing w:before="10"/>
        <w:rPr>
          <w:sz w:val="20"/>
        </w:rPr>
      </w:pPr>
    </w:p>
    <w:p>
      <w:pPr>
        <w:spacing w:before="0"/>
        <w:ind w:left="760" w:right="0" w:firstLine="0"/>
        <w:jc w:val="left"/>
        <w:rPr>
          <w:i/>
          <w:sz w:val="20"/>
        </w:rPr>
      </w:pPr>
      <w:r>
        <w:rPr>
          <w:i/>
          <w:sz w:val="20"/>
        </w:rPr>
        <w:t>Notes:</w:t>
      </w:r>
      <w:r>
        <w:rPr>
          <w:i/>
          <w:spacing w:val="12"/>
          <w:sz w:val="20"/>
        </w:rPr>
        <w:t> </w:t>
      </w:r>
      <w:r>
        <w:rPr>
          <w:i/>
          <w:sz w:val="20"/>
        </w:rPr>
        <w:t>Collateralized</w:t>
      </w:r>
      <w:r>
        <w:rPr>
          <w:i/>
          <w:spacing w:val="12"/>
          <w:sz w:val="20"/>
        </w:rPr>
        <w:t> </w:t>
      </w:r>
      <w:r>
        <w:rPr>
          <w:i/>
          <w:sz w:val="20"/>
        </w:rPr>
        <w:t>lending</w:t>
      </w:r>
      <w:r>
        <w:rPr>
          <w:i/>
          <w:spacing w:val="13"/>
          <w:sz w:val="20"/>
        </w:rPr>
        <w:t> </w:t>
      </w:r>
      <w:r>
        <w:rPr>
          <w:i/>
          <w:sz w:val="20"/>
        </w:rPr>
        <w:t>commitments</w:t>
      </w:r>
      <w:r>
        <w:rPr>
          <w:i/>
          <w:spacing w:val="12"/>
          <w:sz w:val="20"/>
        </w:rPr>
        <w:t> </w:t>
      </w:r>
      <w:r>
        <w:rPr>
          <w:i/>
          <w:sz w:val="20"/>
        </w:rPr>
        <w:t>are</w:t>
      </w:r>
      <w:r>
        <w:rPr>
          <w:i/>
          <w:spacing w:val="13"/>
          <w:sz w:val="20"/>
        </w:rPr>
        <w:t> </w:t>
      </w:r>
      <w:r>
        <w:rPr>
          <w:i/>
          <w:sz w:val="20"/>
        </w:rPr>
        <w:t>identiﬁed</w:t>
      </w:r>
      <w:r>
        <w:rPr>
          <w:i/>
          <w:spacing w:val="12"/>
          <w:sz w:val="20"/>
        </w:rPr>
        <w:t> </w:t>
      </w:r>
      <w:r>
        <w:rPr>
          <w:i/>
          <w:sz w:val="20"/>
        </w:rPr>
        <w:t>with</w:t>
      </w:r>
      <w:r>
        <w:rPr>
          <w:i/>
          <w:spacing w:val="12"/>
          <w:sz w:val="20"/>
        </w:rPr>
        <w:t> </w:t>
      </w:r>
      <w:r>
        <w:rPr>
          <w:i/>
          <w:sz w:val="20"/>
        </w:rPr>
        <w:t>the</w:t>
      </w:r>
      <w:r>
        <w:rPr>
          <w:i/>
          <w:spacing w:val="13"/>
          <w:sz w:val="20"/>
        </w:rPr>
        <w:t> </w:t>
      </w:r>
      <w:r>
        <w:rPr>
          <w:i/>
          <w:sz w:val="20"/>
        </w:rPr>
        <w:t>“collateralized”</w:t>
      </w:r>
      <w:r>
        <w:rPr>
          <w:i/>
          <w:spacing w:val="12"/>
          <w:sz w:val="20"/>
        </w:rPr>
        <w:t> </w:t>
      </w:r>
      <w:r>
        <w:rPr>
          <w:i/>
          <w:sz w:val="20"/>
        </w:rPr>
        <w:t>ﬁeld</w:t>
      </w:r>
      <w:r>
        <w:rPr>
          <w:i/>
          <w:spacing w:val="13"/>
          <w:sz w:val="20"/>
        </w:rPr>
        <w:t> </w:t>
      </w:r>
      <w:r>
        <w:rPr>
          <w:i/>
          <w:sz w:val="20"/>
        </w:rPr>
        <w:t>in</w:t>
      </w:r>
      <w:r>
        <w:rPr>
          <w:i/>
          <w:spacing w:val="12"/>
          <w:sz w:val="20"/>
        </w:rPr>
        <w:t> </w:t>
      </w:r>
      <w:r>
        <w:rPr>
          <w:i/>
          <w:spacing w:val="-5"/>
          <w:sz w:val="20"/>
        </w:rPr>
        <w:t>the</w:t>
      </w:r>
    </w:p>
    <w:p>
      <w:pPr>
        <w:spacing w:before="89"/>
        <w:ind w:left="760" w:right="0" w:firstLine="0"/>
        <w:jc w:val="left"/>
        <w:rPr>
          <w:i/>
          <w:sz w:val="20"/>
        </w:rPr>
      </w:pPr>
      <w:r>
        <w:rPr>
          <w:i/>
          <w:sz w:val="20"/>
        </w:rPr>
        <w:t>3.0</w:t>
      </w:r>
      <w:r>
        <w:rPr>
          <w:i/>
          <w:spacing w:val="-9"/>
          <w:sz w:val="20"/>
        </w:rPr>
        <w:t> </w:t>
      </w:r>
      <w:r>
        <w:rPr>
          <w:i/>
          <w:sz w:val="20"/>
        </w:rPr>
        <w:t>version</w:t>
      </w:r>
      <w:r>
        <w:rPr>
          <w:i/>
          <w:spacing w:val="-8"/>
          <w:sz w:val="20"/>
        </w:rPr>
        <w:t> </w:t>
      </w:r>
      <w:r>
        <w:rPr>
          <w:i/>
          <w:sz w:val="20"/>
        </w:rPr>
        <w:t>of</w:t>
      </w:r>
      <w:r>
        <w:rPr>
          <w:i/>
          <w:spacing w:val="-9"/>
          <w:sz w:val="20"/>
        </w:rPr>
        <w:t> </w:t>
      </w:r>
      <w:r>
        <w:rPr>
          <w:i/>
          <w:sz w:val="20"/>
        </w:rPr>
        <w:t>the</w:t>
      </w:r>
      <w:r>
        <w:rPr>
          <w:i/>
          <w:spacing w:val="-8"/>
          <w:sz w:val="20"/>
        </w:rPr>
        <w:t> </w:t>
      </w:r>
      <w:r>
        <w:rPr>
          <w:i/>
          <w:sz w:val="20"/>
        </w:rPr>
        <w:t>AidData’s</w:t>
      </w:r>
      <w:r>
        <w:rPr>
          <w:i/>
          <w:spacing w:val="-8"/>
          <w:sz w:val="20"/>
        </w:rPr>
        <w:t> </w:t>
      </w:r>
      <w:r>
        <w:rPr>
          <w:i/>
          <w:sz w:val="20"/>
        </w:rPr>
        <w:t>GCDF</w:t>
      </w:r>
      <w:r>
        <w:rPr>
          <w:i/>
          <w:spacing w:val="-9"/>
          <w:sz w:val="20"/>
        </w:rPr>
        <w:t> </w:t>
      </w:r>
      <w:r>
        <w:rPr>
          <w:i/>
          <w:spacing w:val="-2"/>
          <w:sz w:val="20"/>
        </w:rPr>
        <w:t>dataset.</w:t>
      </w:r>
    </w:p>
    <w:p>
      <w:pPr>
        <w:pStyle w:val="BodyText"/>
        <w:rPr>
          <w:i/>
          <w:sz w:val="20"/>
        </w:rPr>
      </w:pPr>
    </w:p>
    <w:p>
      <w:pPr>
        <w:pStyle w:val="BodyText"/>
        <w:spacing w:before="6"/>
        <w:rPr>
          <w:i/>
          <w:sz w:val="11"/>
        </w:rPr>
      </w:pPr>
      <w:r>
        <w:rPr/>
        <w:pict>
          <v:shape style="position:absolute;margin-left:90pt;margin-top:7.873399pt;width:144pt;height:.1pt;mso-position-horizontal-relative:page;mso-position-vertical-relative:paragraph;z-index:-15684096;mso-wrap-distance-left:0;mso-wrap-distance-right:0" id="docshape78" coordorigin="1800,157" coordsize="2880,0" path="m1800,157l4680,157e" filled="false" stroked="true" strokeweight=".75pt" strokecolor="#000000">
            <v:path arrowok="t"/>
            <v:stroke dashstyle="solid"/>
            <w10:wrap type="topAndBottom"/>
          </v:shape>
        </w:pict>
      </w:r>
    </w:p>
    <w:p>
      <w:pPr>
        <w:spacing w:line="249" w:lineRule="auto" w:before="113"/>
        <w:ind w:left="760" w:right="767" w:firstLine="0"/>
        <w:jc w:val="left"/>
        <w:rPr>
          <w:sz w:val="18"/>
        </w:rPr>
      </w:pPr>
      <w:r>
        <w:rPr>
          <w:sz w:val="18"/>
          <w:vertAlign w:val="superscript"/>
        </w:rPr>
        <w:t>186</w:t>
      </w:r>
      <w:r>
        <w:rPr>
          <w:spacing w:val="-9"/>
          <w:sz w:val="18"/>
          <w:vertAlign w:val="baseline"/>
        </w:rPr>
        <w:t> </w:t>
      </w:r>
      <w:r>
        <w:rPr>
          <w:sz w:val="18"/>
          <w:vertAlign w:val="baseline"/>
        </w:rPr>
        <w:t>The</w:t>
      </w:r>
      <w:r>
        <w:rPr>
          <w:spacing w:val="-8"/>
          <w:sz w:val="18"/>
          <w:vertAlign w:val="baseline"/>
        </w:rPr>
        <w:t> </w:t>
      </w:r>
      <w:r>
        <w:rPr>
          <w:sz w:val="18"/>
          <w:vertAlign w:val="baseline"/>
        </w:rPr>
        <w:t>custodians</w:t>
      </w:r>
      <w:r>
        <w:rPr>
          <w:spacing w:val="-8"/>
          <w:sz w:val="18"/>
          <w:vertAlign w:val="baseline"/>
        </w:rPr>
        <w:t> </w:t>
      </w:r>
      <w:r>
        <w:rPr>
          <w:sz w:val="18"/>
          <w:vertAlign w:val="baseline"/>
        </w:rPr>
        <w:t>of</w:t>
      </w:r>
      <w:r>
        <w:rPr>
          <w:spacing w:val="-8"/>
          <w:sz w:val="18"/>
          <w:vertAlign w:val="baseline"/>
        </w:rPr>
        <w:t> </w:t>
      </w:r>
      <w:r>
        <w:rPr>
          <w:sz w:val="18"/>
          <w:vertAlign w:val="baseline"/>
        </w:rPr>
        <w:t>the</w:t>
      </w:r>
      <w:r>
        <w:rPr>
          <w:spacing w:val="-8"/>
          <w:sz w:val="18"/>
          <w:vertAlign w:val="baseline"/>
        </w:rPr>
        <w:t> </w:t>
      </w:r>
      <w:r>
        <w:rPr>
          <w:sz w:val="18"/>
          <w:vertAlign w:val="baseline"/>
        </w:rPr>
        <w:t>CRS,</w:t>
      </w:r>
      <w:r>
        <w:rPr>
          <w:spacing w:val="-8"/>
          <w:sz w:val="18"/>
          <w:vertAlign w:val="baseline"/>
        </w:rPr>
        <w:t> </w:t>
      </w:r>
      <w:r>
        <w:rPr>
          <w:sz w:val="18"/>
          <w:vertAlign w:val="baseline"/>
        </w:rPr>
        <w:t>by</w:t>
      </w:r>
      <w:r>
        <w:rPr>
          <w:spacing w:val="-8"/>
          <w:sz w:val="18"/>
          <w:vertAlign w:val="baseline"/>
        </w:rPr>
        <w:t> </w:t>
      </w:r>
      <w:r>
        <w:rPr>
          <w:sz w:val="18"/>
          <w:vertAlign w:val="baseline"/>
        </w:rPr>
        <w:t>contrast,</w:t>
      </w:r>
      <w:r>
        <w:rPr>
          <w:spacing w:val="-8"/>
          <w:sz w:val="18"/>
          <w:vertAlign w:val="baseline"/>
        </w:rPr>
        <w:t> </w:t>
      </w:r>
      <w:r>
        <w:rPr>
          <w:sz w:val="18"/>
          <w:vertAlign w:val="baseline"/>
        </w:rPr>
        <w:t>have</w:t>
      </w:r>
      <w:r>
        <w:rPr>
          <w:spacing w:val="-8"/>
          <w:sz w:val="18"/>
          <w:vertAlign w:val="baseline"/>
        </w:rPr>
        <w:t> </w:t>
      </w:r>
      <w:r>
        <w:rPr>
          <w:sz w:val="18"/>
          <w:vertAlign w:val="baseline"/>
        </w:rPr>
        <w:t>not</w:t>
      </w:r>
      <w:r>
        <w:rPr>
          <w:spacing w:val="-8"/>
          <w:sz w:val="18"/>
          <w:vertAlign w:val="baseline"/>
        </w:rPr>
        <w:t> </w:t>
      </w:r>
      <w:r>
        <w:rPr>
          <w:sz w:val="18"/>
          <w:vertAlign w:val="baseline"/>
        </w:rPr>
        <w:t>addressed</w:t>
      </w:r>
      <w:r>
        <w:rPr>
          <w:spacing w:val="-8"/>
          <w:sz w:val="18"/>
          <w:vertAlign w:val="baseline"/>
        </w:rPr>
        <w:t> </w:t>
      </w:r>
      <w:r>
        <w:rPr>
          <w:sz w:val="18"/>
          <w:vertAlign w:val="baseline"/>
        </w:rPr>
        <w:t>this</w:t>
      </w:r>
      <w:r>
        <w:rPr>
          <w:spacing w:val="-8"/>
          <w:sz w:val="18"/>
          <w:vertAlign w:val="baseline"/>
        </w:rPr>
        <w:t> </w:t>
      </w:r>
      <w:r>
        <w:rPr>
          <w:sz w:val="18"/>
          <w:vertAlign w:val="baseline"/>
        </w:rPr>
        <w:t>issue—most</w:t>
      </w:r>
      <w:r>
        <w:rPr>
          <w:spacing w:val="-8"/>
          <w:sz w:val="18"/>
          <w:vertAlign w:val="baseline"/>
        </w:rPr>
        <w:t> </w:t>
      </w:r>
      <w:r>
        <w:rPr>
          <w:sz w:val="18"/>
          <w:vertAlign w:val="baseline"/>
        </w:rPr>
        <w:t>likely</w:t>
      </w:r>
      <w:r>
        <w:rPr>
          <w:spacing w:val="-8"/>
          <w:sz w:val="18"/>
          <w:vertAlign w:val="baseline"/>
        </w:rPr>
        <w:t> </w:t>
      </w:r>
      <w:r>
        <w:rPr>
          <w:sz w:val="18"/>
          <w:vertAlign w:val="baseline"/>
        </w:rPr>
        <w:t>because</w:t>
      </w:r>
      <w:r>
        <w:rPr>
          <w:spacing w:val="-8"/>
          <w:sz w:val="18"/>
          <w:vertAlign w:val="baseline"/>
        </w:rPr>
        <w:t> </w:t>
      </w:r>
      <w:r>
        <w:rPr>
          <w:sz w:val="18"/>
          <w:vertAlign w:val="baseline"/>
        </w:rPr>
        <w:t>China</w:t>
      </w:r>
      <w:r>
        <w:rPr>
          <w:spacing w:val="-8"/>
          <w:sz w:val="18"/>
          <w:vertAlign w:val="baseline"/>
        </w:rPr>
        <w:t> </w:t>
      </w:r>
      <w:r>
        <w:rPr>
          <w:sz w:val="18"/>
          <w:vertAlign w:val="baseline"/>
        </w:rPr>
        <w:t>does not participate in its reporting system.</w:t>
      </w:r>
    </w:p>
    <w:p>
      <w:pPr>
        <w:spacing w:after="0" w:line="249" w:lineRule="auto"/>
        <w:jc w:val="left"/>
        <w:rPr>
          <w:sz w:val="18"/>
        </w:rPr>
        <w:sectPr>
          <w:pgSz w:w="12240" w:h="15840"/>
          <w:pgMar w:header="0" w:footer="720" w:top="1420" w:bottom="920" w:left="1040" w:right="1040"/>
        </w:sectPr>
      </w:pPr>
    </w:p>
    <w:p>
      <w:pPr>
        <w:pStyle w:val="BodyText"/>
        <w:spacing w:line="333" w:lineRule="auto" w:before="27"/>
        <w:ind w:left="760" w:right="964"/>
      </w:pPr>
      <w:r>
        <w:rPr/>
        <w:t>There is also some evidence that, in order to reduce the likelihood of default and/or minimize post-default losses, Chinese state-owned creditors are including stiffer penalties for default in their contracts with borrowers. The </w:t>
      </w:r>
      <w:r>
        <w:rPr/>
        <w:t>3.0 version</w:t>
      </w:r>
      <w:r>
        <w:rPr>
          <w:spacing w:val="-4"/>
        </w:rPr>
        <w:t> </w:t>
      </w:r>
      <w:r>
        <w:rPr/>
        <w:t>of</w:t>
      </w:r>
      <w:r>
        <w:rPr>
          <w:spacing w:val="-4"/>
        </w:rPr>
        <w:t> </w:t>
      </w:r>
      <w:r>
        <w:rPr/>
        <w:t>AidData’s</w:t>
      </w:r>
      <w:r>
        <w:rPr>
          <w:spacing w:val="-4"/>
        </w:rPr>
        <w:t> </w:t>
      </w:r>
      <w:r>
        <w:rPr/>
        <w:t>GCDF</w:t>
      </w:r>
      <w:r>
        <w:rPr>
          <w:spacing w:val="-4"/>
        </w:rPr>
        <w:t> </w:t>
      </w:r>
      <w:r>
        <w:rPr/>
        <w:t>dataset</w:t>
      </w:r>
      <w:r>
        <w:rPr>
          <w:spacing w:val="-4"/>
        </w:rPr>
        <w:t> </w:t>
      </w:r>
      <w:r>
        <w:rPr/>
        <w:t>includes</w:t>
      </w:r>
      <w:r>
        <w:rPr>
          <w:spacing w:val="-4"/>
        </w:rPr>
        <w:t> </w:t>
      </w:r>
      <w:r>
        <w:rPr/>
        <w:t>a</w:t>
      </w:r>
      <w:r>
        <w:rPr>
          <w:spacing w:val="-4"/>
        </w:rPr>
        <w:t> </w:t>
      </w:r>
      <w:r>
        <w:rPr/>
        <w:t>new</w:t>
      </w:r>
      <w:r>
        <w:rPr>
          <w:spacing w:val="-4"/>
        </w:rPr>
        <w:t> </w:t>
      </w:r>
      <w:r>
        <w:rPr/>
        <w:t>variable</w:t>
      </w:r>
      <w:r>
        <w:rPr>
          <w:spacing w:val="-4"/>
        </w:rPr>
        <w:t> </w:t>
      </w:r>
      <w:r>
        <w:rPr/>
        <w:t>that</w:t>
      </w:r>
      <w:r>
        <w:rPr>
          <w:spacing w:val="-4"/>
        </w:rPr>
        <w:t> </w:t>
      </w:r>
      <w:r>
        <w:rPr/>
        <w:t>measures</w:t>
      </w:r>
      <w:r>
        <w:rPr>
          <w:spacing w:val="-4"/>
        </w:rPr>
        <w:t> </w:t>
      </w:r>
      <w:r>
        <w:rPr/>
        <w:t>the default (penalty) interest rates that apply to individual loans from Chinese</w:t>
      </w:r>
    </w:p>
    <w:p>
      <w:pPr>
        <w:pStyle w:val="BodyText"/>
        <w:spacing w:line="333" w:lineRule="auto"/>
        <w:ind w:left="760" w:right="780"/>
      </w:pPr>
      <w:r>
        <w:rPr/>
        <w:t>state-owned entities. Figure 2.16, which draws upon the data, demonstrates </w:t>
      </w:r>
      <w:r>
        <w:rPr/>
        <w:t>that the average default (penalty) interest rate more than doubled between the early BRI period and the late BRI period (0.584% from 2014-2017 and 1.175% from 2018-2021).</w:t>
      </w:r>
      <w:r>
        <w:rPr>
          <w:vertAlign w:val="superscript"/>
        </w:rPr>
        <w:t>187</w:t>
      </w:r>
      <w:r>
        <w:rPr>
          <w:vertAlign w:val="baseline"/>
        </w:rPr>
        <w:t> The maximum (observed) default (penalty) interest rate also increased—from 3% during the early BRI period to 8.7% during the late BRI period.</w:t>
      </w:r>
      <w:r>
        <w:rPr>
          <w:vertAlign w:val="superscript"/>
        </w:rPr>
        <w:t>188</w:t>
      </w:r>
      <w:r>
        <w:rPr>
          <w:spacing w:val="-1"/>
          <w:vertAlign w:val="baseline"/>
        </w:rPr>
        <w:t> </w:t>
      </w:r>
      <w:r>
        <w:rPr>
          <w:vertAlign w:val="baseline"/>
        </w:rPr>
        <w:t>These ﬁndings are difﬁcult to reconcile with those of SAIS-CARI, which has concluded that they “see no evidence of penalty interest rates” in China’s overseas lending to developing countries (Acker et al. 2020: 31).</w:t>
      </w:r>
      <w:r>
        <w:rPr>
          <w:vertAlign w:val="superscript"/>
        </w:rPr>
        <w:t>189</w:t>
      </w:r>
    </w:p>
    <w:p>
      <w:pPr>
        <w:pStyle w:val="BodyText"/>
        <w:rPr>
          <w:sz w:val="20"/>
        </w:rPr>
      </w:pPr>
    </w:p>
    <w:p>
      <w:pPr>
        <w:pStyle w:val="BodyText"/>
        <w:spacing w:before="8"/>
        <w:rPr>
          <w:sz w:val="16"/>
        </w:rPr>
      </w:pPr>
      <w:r>
        <w:rPr/>
        <w:pict>
          <v:shape style="position:absolute;margin-left:84pt;margin-top:10.808279pt;width:444pt;height:38pt;mso-position-horizontal-relative:page;mso-position-vertical-relative:paragraph;z-index:-15683584;mso-wrap-distance-left:0;mso-wrap-distance-right:0" type="#_x0000_t202" id="docshape79" filled="true" fillcolor="#5b666f" stroked="false">
            <v:textbox inset="0,0,0,0">
              <w:txbxContent>
                <w:p>
                  <w:pPr>
                    <w:spacing w:before="126"/>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2.16</w:t>
                  </w:r>
                </w:p>
              </w:txbxContent>
            </v:textbox>
            <v:fill type="solid"/>
            <w10:wrap type="topAndBottom"/>
          </v:shape>
        </w:pict>
      </w:r>
      <w:r>
        <w:rPr/>
        <w:drawing>
          <wp:anchor distT="0" distB="0" distL="0" distR="0" allowOverlap="1" layoutInCell="1" locked="0" behindDoc="0" simplePos="0" relativeHeight="89">
            <wp:simplePos x="0" y="0"/>
            <wp:positionH relativeFrom="page">
              <wp:posOffset>1251405</wp:posOffset>
            </wp:positionH>
            <wp:positionV relativeFrom="paragraph">
              <wp:posOffset>754305</wp:posOffset>
            </wp:positionV>
            <wp:extent cx="5298772" cy="1078896"/>
            <wp:effectExtent l="0" t="0" r="0" b="0"/>
            <wp:wrapTopAndBottom/>
            <wp:docPr id="31" name="image17.jpeg"/>
            <wp:cNvGraphicFramePr>
              <a:graphicFrameLocks noChangeAspect="1"/>
            </wp:cNvGraphicFramePr>
            <a:graphic>
              <a:graphicData uri="http://schemas.openxmlformats.org/drawingml/2006/picture">
                <pic:pic>
                  <pic:nvPicPr>
                    <pic:cNvPr id="32" name="image17.jpeg"/>
                    <pic:cNvPicPr/>
                  </pic:nvPicPr>
                  <pic:blipFill>
                    <a:blip r:embed="rId27" cstate="print"/>
                    <a:stretch>
                      <a:fillRect/>
                    </a:stretch>
                  </pic:blipFill>
                  <pic:spPr>
                    <a:xfrm>
                      <a:off x="0" y="0"/>
                      <a:ext cx="5298772" cy="1078896"/>
                    </a:xfrm>
                    <a:prstGeom prst="rect">
                      <a:avLst/>
                    </a:prstGeom>
                  </pic:spPr>
                </pic:pic>
              </a:graphicData>
            </a:graphic>
          </wp:anchor>
        </w:drawing>
      </w:r>
    </w:p>
    <w:p>
      <w:pPr>
        <w:pStyle w:val="BodyText"/>
        <w:spacing w:before="3"/>
        <w:rPr>
          <w:sz w:val="16"/>
        </w:rPr>
      </w:pPr>
    </w:p>
    <w:p>
      <w:pPr>
        <w:pStyle w:val="BodyText"/>
        <w:spacing w:before="8"/>
        <w:rPr>
          <w:sz w:val="29"/>
        </w:rPr>
      </w:pPr>
    </w:p>
    <w:p>
      <w:pPr>
        <w:spacing w:line="333" w:lineRule="auto" w:before="71"/>
        <w:ind w:left="760" w:right="898" w:firstLine="0"/>
        <w:jc w:val="left"/>
        <w:rPr>
          <w:i/>
          <w:sz w:val="18"/>
        </w:rPr>
      </w:pPr>
      <w:r>
        <w:rPr>
          <w:i/>
          <w:sz w:val="18"/>
        </w:rPr>
        <w:t>Notes: Default (penalty) interest rates are identiﬁed with the “Default Interest Rate” ﬁeld in the 3.0 </w:t>
      </w:r>
      <w:r>
        <w:rPr>
          <w:i/>
          <w:sz w:val="18"/>
        </w:rPr>
        <w:t>version</w:t>
      </w:r>
      <w:r>
        <w:rPr>
          <w:i/>
          <w:sz w:val="18"/>
        </w:rPr>
        <w:t> </w:t>
      </w:r>
      <w:r>
        <w:rPr>
          <w:i/>
          <w:w w:val="105"/>
          <w:sz w:val="18"/>
        </w:rPr>
        <w:t>of the AidData’s GCDF dataset.</w:t>
      </w:r>
    </w:p>
    <w:p>
      <w:pPr>
        <w:pStyle w:val="BodyText"/>
        <w:rPr>
          <w:i/>
          <w:sz w:val="20"/>
        </w:rPr>
      </w:pPr>
    </w:p>
    <w:p>
      <w:pPr>
        <w:pStyle w:val="BodyText"/>
        <w:rPr>
          <w:i/>
          <w:sz w:val="20"/>
        </w:rPr>
      </w:pPr>
    </w:p>
    <w:p>
      <w:pPr>
        <w:pStyle w:val="BodyText"/>
        <w:rPr>
          <w:i/>
          <w:sz w:val="20"/>
        </w:rPr>
      </w:pPr>
    </w:p>
    <w:p>
      <w:pPr>
        <w:pStyle w:val="BodyText"/>
        <w:rPr>
          <w:i/>
          <w:sz w:val="15"/>
        </w:rPr>
      </w:pPr>
      <w:r>
        <w:rPr/>
        <w:pict>
          <v:shape style="position:absolute;margin-left:90pt;margin-top:9.841717pt;width:144pt;height:.1pt;mso-position-horizontal-relative:page;mso-position-vertical-relative:paragraph;z-index:-15682560;mso-wrap-distance-left:0;mso-wrap-distance-right:0" id="docshape80" coordorigin="1800,197" coordsize="2880,0" path="m1800,197l4680,197e" filled="false" stroked="true" strokeweight=".75pt" strokecolor="#000000">
            <v:path arrowok="t"/>
            <v:stroke dashstyle="solid"/>
            <w10:wrap type="topAndBottom"/>
          </v:shape>
        </w:pict>
      </w:r>
    </w:p>
    <w:p>
      <w:pPr>
        <w:spacing w:line="249" w:lineRule="auto" w:before="110"/>
        <w:ind w:left="760" w:right="794" w:firstLine="0"/>
        <w:jc w:val="left"/>
        <w:rPr>
          <w:sz w:val="18"/>
        </w:rPr>
      </w:pPr>
      <w:r>
        <w:rPr>
          <w:sz w:val="18"/>
          <w:vertAlign w:val="superscript"/>
        </w:rPr>
        <w:t>187</w:t>
      </w:r>
      <w:r>
        <w:rPr>
          <w:sz w:val="18"/>
          <w:vertAlign w:val="baseline"/>
        </w:rPr>
        <w:t> In most Chinese loan agreements that include such provisions, the default (penalty) interest rate applies to overdue principal and/or overdue interest amounts. See, for example, Section 6.9 of the China </w:t>
      </w:r>
      <w:r>
        <w:rPr>
          <w:sz w:val="18"/>
          <w:vertAlign w:val="baseline"/>
        </w:rPr>
        <w:t>Eximbank buyer’s credit loan agreement for Phase 1 of the Standard Gauge Railway Project (accessible via </w:t>
      </w:r>
      <w:hyperlink r:id="rId28">
        <w:r>
          <w:rPr>
            <w:color w:val="1154CC"/>
            <w:spacing w:val="-2"/>
            <w:sz w:val="18"/>
            <w:u w:val="thick" w:color="1154CC"/>
            <w:vertAlign w:val="baseline"/>
          </w:rPr>
          <w:t>https://www.dropbox.com/s/5j3alwun2tv8wk2/SGR%20BCL%202014.pdf</w:t>
        </w:r>
      </w:hyperlink>
      <w:r>
        <w:rPr>
          <w:spacing w:val="-2"/>
          <w:sz w:val="18"/>
          <w:vertAlign w:val="baseline"/>
        </w:rPr>
        <w:t>).</w:t>
      </w:r>
    </w:p>
    <w:p>
      <w:pPr>
        <w:spacing w:line="249" w:lineRule="auto" w:before="3"/>
        <w:ind w:left="760" w:right="767" w:firstLine="0"/>
        <w:jc w:val="left"/>
        <w:rPr>
          <w:sz w:val="18"/>
        </w:rPr>
      </w:pPr>
      <w:r>
        <w:rPr>
          <w:spacing w:val="-2"/>
          <w:w w:val="105"/>
          <w:sz w:val="18"/>
          <w:vertAlign w:val="superscript"/>
        </w:rPr>
        <w:t>188</w:t>
      </w:r>
      <w:r>
        <w:rPr>
          <w:spacing w:val="-6"/>
          <w:w w:val="105"/>
          <w:sz w:val="18"/>
          <w:vertAlign w:val="baseline"/>
        </w:rPr>
        <w:t> </w:t>
      </w:r>
      <w:r>
        <w:rPr>
          <w:spacing w:val="-2"/>
          <w:w w:val="105"/>
          <w:sz w:val="18"/>
          <w:vertAlign w:val="baseline"/>
        </w:rPr>
        <w:t>It</w:t>
      </w:r>
      <w:r>
        <w:rPr>
          <w:spacing w:val="-5"/>
          <w:w w:val="105"/>
          <w:sz w:val="18"/>
          <w:vertAlign w:val="baseline"/>
        </w:rPr>
        <w:t> </w:t>
      </w:r>
      <w:r>
        <w:rPr>
          <w:spacing w:val="-2"/>
          <w:w w:val="105"/>
          <w:sz w:val="18"/>
          <w:vertAlign w:val="baseline"/>
        </w:rPr>
        <w:t>is</w:t>
      </w:r>
      <w:r>
        <w:rPr>
          <w:spacing w:val="-5"/>
          <w:w w:val="105"/>
          <w:sz w:val="18"/>
          <w:vertAlign w:val="baseline"/>
        </w:rPr>
        <w:t> </w:t>
      </w:r>
      <w:r>
        <w:rPr>
          <w:spacing w:val="-2"/>
          <w:w w:val="105"/>
          <w:sz w:val="18"/>
          <w:vertAlign w:val="baseline"/>
        </w:rPr>
        <w:t>also</w:t>
      </w:r>
      <w:r>
        <w:rPr>
          <w:spacing w:val="-5"/>
          <w:w w:val="105"/>
          <w:sz w:val="18"/>
          <w:vertAlign w:val="baseline"/>
        </w:rPr>
        <w:t> </w:t>
      </w:r>
      <w:r>
        <w:rPr>
          <w:spacing w:val="-2"/>
          <w:w w:val="105"/>
          <w:sz w:val="18"/>
          <w:vertAlign w:val="baseline"/>
        </w:rPr>
        <w:t>important</w:t>
      </w:r>
      <w:r>
        <w:rPr>
          <w:spacing w:val="-5"/>
          <w:w w:val="105"/>
          <w:sz w:val="18"/>
          <w:vertAlign w:val="baseline"/>
        </w:rPr>
        <w:t> </w:t>
      </w:r>
      <w:r>
        <w:rPr>
          <w:spacing w:val="-2"/>
          <w:w w:val="105"/>
          <w:sz w:val="18"/>
          <w:vertAlign w:val="baseline"/>
        </w:rPr>
        <w:t>to</w:t>
      </w:r>
      <w:r>
        <w:rPr>
          <w:spacing w:val="-5"/>
          <w:w w:val="105"/>
          <w:sz w:val="18"/>
          <w:vertAlign w:val="baseline"/>
        </w:rPr>
        <w:t> </w:t>
      </w:r>
      <w:r>
        <w:rPr>
          <w:spacing w:val="-2"/>
          <w:w w:val="105"/>
          <w:sz w:val="18"/>
          <w:vertAlign w:val="baseline"/>
        </w:rPr>
        <w:t>keep</w:t>
      </w:r>
      <w:r>
        <w:rPr>
          <w:spacing w:val="-5"/>
          <w:w w:val="105"/>
          <w:sz w:val="18"/>
          <w:vertAlign w:val="baseline"/>
        </w:rPr>
        <w:t> </w:t>
      </w:r>
      <w:r>
        <w:rPr>
          <w:spacing w:val="-2"/>
          <w:w w:val="105"/>
          <w:sz w:val="18"/>
          <w:vertAlign w:val="baseline"/>
        </w:rPr>
        <w:t>in</w:t>
      </w:r>
      <w:r>
        <w:rPr>
          <w:spacing w:val="-5"/>
          <w:w w:val="105"/>
          <w:sz w:val="18"/>
          <w:vertAlign w:val="baseline"/>
        </w:rPr>
        <w:t> </w:t>
      </w:r>
      <w:r>
        <w:rPr>
          <w:spacing w:val="-2"/>
          <w:w w:val="105"/>
          <w:sz w:val="18"/>
          <w:vertAlign w:val="baseline"/>
        </w:rPr>
        <w:t>mind</w:t>
      </w:r>
      <w:r>
        <w:rPr>
          <w:spacing w:val="-5"/>
          <w:w w:val="105"/>
          <w:sz w:val="18"/>
          <w:vertAlign w:val="baseline"/>
        </w:rPr>
        <w:t> </w:t>
      </w:r>
      <w:r>
        <w:rPr>
          <w:spacing w:val="-2"/>
          <w:w w:val="105"/>
          <w:sz w:val="18"/>
          <w:vertAlign w:val="baseline"/>
        </w:rPr>
        <w:t>that</w:t>
      </w:r>
      <w:r>
        <w:rPr>
          <w:spacing w:val="-5"/>
          <w:w w:val="105"/>
          <w:sz w:val="18"/>
          <w:vertAlign w:val="baseline"/>
        </w:rPr>
        <w:t> </w:t>
      </w:r>
      <w:r>
        <w:rPr>
          <w:spacing w:val="-2"/>
          <w:w w:val="105"/>
          <w:sz w:val="18"/>
          <w:vertAlign w:val="baseline"/>
        </w:rPr>
        <w:t>the</w:t>
      </w:r>
      <w:r>
        <w:rPr>
          <w:spacing w:val="-5"/>
          <w:w w:val="105"/>
          <w:sz w:val="18"/>
          <w:vertAlign w:val="baseline"/>
        </w:rPr>
        <w:t> </w:t>
      </w:r>
      <w:r>
        <w:rPr>
          <w:spacing w:val="-2"/>
          <w:w w:val="105"/>
          <w:sz w:val="18"/>
          <w:vertAlign w:val="baseline"/>
        </w:rPr>
        <w:t>creditor</w:t>
      </w:r>
      <w:r>
        <w:rPr>
          <w:spacing w:val="-5"/>
          <w:w w:val="105"/>
          <w:sz w:val="18"/>
          <w:vertAlign w:val="baseline"/>
        </w:rPr>
        <w:t> </w:t>
      </w:r>
      <w:r>
        <w:rPr>
          <w:spacing w:val="-2"/>
          <w:w w:val="105"/>
          <w:sz w:val="18"/>
          <w:vertAlign w:val="baseline"/>
        </w:rPr>
        <w:t>composition</w:t>
      </w:r>
      <w:r>
        <w:rPr>
          <w:spacing w:val="-5"/>
          <w:w w:val="105"/>
          <w:sz w:val="18"/>
          <w:vertAlign w:val="baseline"/>
        </w:rPr>
        <w:t> </w:t>
      </w:r>
      <w:r>
        <w:rPr>
          <w:spacing w:val="-2"/>
          <w:w w:val="105"/>
          <w:sz w:val="18"/>
          <w:vertAlign w:val="baseline"/>
        </w:rPr>
        <w:t>of</w:t>
      </w:r>
      <w:r>
        <w:rPr>
          <w:spacing w:val="-5"/>
          <w:w w:val="105"/>
          <w:sz w:val="18"/>
          <w:vertAlign w:val="baseline"/>
        </w:rPr>
        <w:t> </w:t>
      </w:r>
      <w:r>
        <w:rPr>
          <w:spacing w:val="-2"/>
          <w:w w:val="105"/>
          <w:sz w:val="18"/>
          <w:vertAlign w:val="baseline"/>
        </w:rPr>
        <w:t>China’s</w:t>
      </w:r>
      <w:r>
        <w:rPr>
          <w:spacing w:val="-5"/>
          <w:w w:val="105"/>
          <w:sz w:val="18"/>
          <w:vertAlign w:val="baseline"/>
        </w:rPr>
        <w:t> </w:t>
      </w:r>
      <w:r>
        <w:rPr>
          <w:spacing w:val="-2"/>
          <w:w w:val="105"/>
          <w:sz w:val="18"/>
          <w:vertAlign w:val="baseline"/>
        </w:rPr>
        <w:t>overseas</w:t>
      </w:r>
      <w:r>
        <w:rPr>
          <w:spacing w:val="-5"/>
          <w:w w:val="105"/>
          <w:sz w:val="18"/>
          <w:vertAlign w:val="baseline"/>
        </w:rPr>
        <w:t> </w:t>
      </w:r>
      <w:r>
        <w:rPr>
          <w:spacing w:val="-2"/>
          <w:w w:val="105"/>
          <w:sz w:val="18"/>
          <w:vertAlign w:val="baseline"/>
        </w:rPr>
        <w:t>lending</w:t>
      </w:r>
      <w:r>
        <w:rPr>
          <w:spacing w:val="-5"/>
          <w:w w:val="105"/>
          <w:sz w:val="18"/>
          <w:vertAlign w:val="baseline"/>
        </w:rPr>
        <w:t> </w:t>
      </w:r>
      <w:r>
        <w:rPr>
          <w:spacing w:val="-2"/>
          <w:w w:val="105"/>
          <w:sz w:val="18"/>
          <w:vertAlign w:val="baseline"/>
        </w:rPr>
        <w:t>portfolio</w:t>
      </w:r>
      <w:r>
        <w:rPr>
          <w:spacing w:val="-5"/>
          <w:w w:val="105"/>
          <w:sz w:val="18"/>
          <w:vertAlign w:val="baseline"/>
        </w:rPr>
        <w:t> </w:t>
      </w:r>
      <w:r>
        <w:rPr>
          <w:spacing w:val="-2"/>
          <w:w w:val="105"/>
          <w:sz w:val="18"/>
          <w:vertAlign w:val="baseline"/>
        </w:rPr>
        <w:t>is </w:t>
      </w:r>
      <w:r>
        <w:rPr>
          <w:w w:val="105"/>
          <w:sz w:val="18"/>
          <w:vertAlign w:val="baseline"/>
        </w:rPr>
        <w:t>shifting</w:t>
      </w:r>
      <w:r>
        <w:rPr>
          <w:spacing w:val="-14"/>
          <w:w w:val="105"/>
          <w:sz w:val="18"/>
          <w:vertAlign w:val="baseline"/>
        </w:rPr>
        <w:t> </w:t>
      </w:r>
      <w:r>
        <w:rPr>
          <w:w w:val="105"/>
          <w:sz w:val="18"/>
          <w:vertAlign w:val="baseline"/>
        </w:rPr>
        <w:t>away</w:t>
      </w:r>
      <w:r>
        <w:rPr>
          <w:spacing w:val="-13"/>
          <w:w w:val="105"/>
          <w:sz w:val="18"/>
          <w:vertAlign w:val="baseline"/>
        </w:rPr>
        <w:t> </w:t>
      </w:r>
      <w:r>
        <w:rPr>
          <w:w w:val="105"/>
          <w:sz w:val="18"/>
          <w:vertAlign w:val="baseline"/>
        </w:rPr>
        <w:t>from</w:t>
      </w:r>
      <w:r>
        <w:rPr>
          <w:spacing w:val="-13"/>
          <w:w w:val="105"/>
          <w:sz w:val="18"/>
          <w:vertAlign w:val="baseline"/>
        </w:rPr>
        <w:t> </w:t>
      </w:r>
      <w:r>
        <w:rPr>
          <w:w w:val="105"/>
          <w:sz w:val="18"/>
          <w:vertAlign w:val="baseline"/>
        </w:rPr>
        <w:t>ﬁnanciers</w:t>
      </w:r>
      <w:r>
        <w:rPr>
          <w:spacing w:val="-13"/>
          <w:w w:val="105"/>
          <w:sz w:val="18"/>
          <w:vertAlign w:val="baseline"/>
        </w:rPr>
        <w:t> </w:t>
      </w:r>
      <w:r>
        <w:rPr>
          <w:w w:val="105"/>
          <w:sz w:val="18"/>
          <w:vertAlign w:val="baseline"/>
        </w:rPr>
        <w:t>that</w:t>
      </w:r>
      <w:r>
        <w:rPr>
          <w:spacing w:val="-13"/>
          <w:w w:val="105"/>
          <w:sz w:val="18"/>
          <w:vertAlign w:val="baseline"/>
        </w:rPr>
        <w:t> </w:t>
      </w:r>
      <w:r>
        <w:rPr>
          <w:w w:val="105"/>
          <w:sz w:val="18"/>
          <w:vertAlign w:val="baseline"/>
        </w:rPr>
        <w:t>use</w:t>
      </w:r>
      <w:r>
        <w:rPr>
          <w:spacing w:val="-13"/>
          <w:w w:val="105"/>
          <w:sz w:val="18"/>
          <w:vertAlign w:val="baseline"/>
        </w:rPr>
        <w:t> </w:t>
      </w:r>
      <w:r>
        <w:rPr>
          <w:w w:val="105"/>
          <w:sz w:val="18"/>
          <w:vertAlign w:val="baseline"/>
        </w:rPr>
        <w:t>no</w:t>
      </w:r>
      <w:r>
        <w:rPr>
          <w:spacing w:val="-13"/>
          <w:w w:val="105"/>
          <w:sz w:val="18"/>
          <w:vertAlign w:val="baseline"/>
        </w:rPr>
        <w:t> </w:t>
      </w:r>
      <w:r>
        <w:rPr>
          <w:w w:val="105"/>
          <w:sz w:val="18"/>
          <w:vertAlign w:val="baseline"/>
        </w:rPr>
        <w:t>or</w:t>
      </w:r>
      <w:r>
        <w:rPr>
          <w:spacing w:val="-14"/>
          <w:w w:val="105"/>
          <w:sz w:val="18"/>
          <w:vertAlign w:val="baseline"/>
        </w:rPr>
        <w:t> </w:t>
      </w:r>
      <w:r>
        <w:rPr>
          <w:w w:val="105"/>
          <w:sz w:val="18"/>
          <w:vertAlign w:val="baseline"/>
        </w:rPr>
        <w:t>low</w:t>
      </w:r>
      <w:r>
        <w:rPr>
          <w:spacing w:val="-13"/>
          <w:w w:val="105"/>
          <w:sz w:val="18"/>
          <w:vertAlign w:val="baseline"/>
        </w:rPr>
        <w:t> </w:t>
      </w:r>
      <w:r>
        <w:rPr>
          <w:w w:val="105"/>
          <w:sz w:val="18"/>
          <w:vertAlign w:val="baseline"/>
        </w:rPr>
        <w:t>penalty</w:t>
      </w:r>
      <w:r>
        <w:rPr>
          <w:spacing w:val="-13"/>
          <w:w w:val="105"/>
          <w:sz w:val="18"/>
          <w:vertAlign w:val="baseline"/>
        </w:rPr>
        <w:t> </w:t>
      </w:r>
      <w:r>
        <w:rPr>
          <w:w w:val="105"/>
          <w:sz w:val="18"/>
          <w:vertAlign w:val="baseline"/>
        </w:rPr>
        <w:t>interest</w:t>
      </w:r>
      <w:r>
        <w:rPr>
          <w:spacing w:val="-13"/>
          <w:w w:val="105"/>
          <w:sz w:val="18"/>
          <w:vertAlign w:val="baseline"/>
        </w:rPr>
        <w:t> </w:t>
      </w:r>
      <w:r>
        <w:rPr>
          <w:w w:val="105"/>
          <w:sz w:val="18"/>
          <w:vertAlign w:val="baseline"/>
        </w:rPr>
        <w:t>rates.</w:t>
      </w:r>
      <w:r>
        <w:rPr>
          <w:spacing w:val="-13"/>
          <w:w w:val="105"/>
          <w:sz w:val="18"/>
          <w:vertAlign w:val="baseline"/>
        </w:rPr>
        <w:t> </w:t>
      </w:r>
      <w:r>
        <w:rPr>
          <w:w w:val="105"/>
          <w:sz w:val="18"/>
          <w:vertAlign w:val="baseline"/>
        </w:rPr>
        <w:t>Interest-free</w:t>
      </w:r>
      <w:r>
        <w:rPr>
          <w:spacing w:val="-13"/>
          <w:w w:val="105"/>
          <w:sz w:val="18"/>
          <w:vertAlign w:val="baseline"/>
        </w:rPr>
        <w:t> </w:t>
      </w:r>
      <w:r>
        <w:rPr>
          <w:w w:val="105"/>
          <w:sz w:val="18"/>
          <w:vertAlign w:val="baseline"/>
        </w:rPr>
        <w:t>loans</w:t>
      </w:r>
      <w:r>
        <w:rPr>
          <w:spacing w:val="-13"/>
          <w:w w:val="105"/>
          <w:sz w:val="18"/>
          <w:vertAlign w:val="baseline"/>
        </w:rPr>
        <w:t> </w:t>
      </w:r>
      <w:r>
        <w:rPr>
          <w:w w:val="105"/>
          <w:sz w:val="18"/>
          <w:vertAlign w:val="baseline"/>
        </w:rPr>
        <w:t>from</w:t>
      </w:r>
      <w:r>
        <w:rPr>
          <w:spacing w:val="-13"/>
          <w:w w:val="105"/>
          <w:sz w:val="18"/>
          <w:vertAlign w:val="baseline"/>
        </w:rPr>
        <w:t> </w:t>
      </w:r>
      <w:r>
        <w:rPr>
          <w:w w:val="105"/>
          <w:sz w:val="18"/>
          <w:vertAlign w:val="baseline"/>
        </w:rPr>
        <w:t>MOFCOM, </w:t>
      </w:r>
      <w:r>
        <w:rPr>
          <w:sz w:val="18"/>
          <w:vertAlign w:val="baseline"/>
        </w:rPr>
        <w:t>government</w:t>
      </w:r>
      <w:r>
        <w:rPr>
          <w:spacing w:val="-5"/>
          <w:sz w:val="18"/>
          <w:vertAlign w:val="baseline"/>
        </w:rPr>
        <w:t> </w:t>
      </w:r>
      <w:r>
        <w:rPr>
          <w:sz w:val="18"/>
          <w:vertAlign w:val="baseline"/>
        </w:rPr>
        <w:t>concessional</w:t>
      </w:r>
      <w:r>
        <w:rPr>
          <w:spacing w:val="-5"/>
          <w:sz w:val="18"/>
          <w:vertAlign w:val="baseline"/>
        </w:rPr>
        <w:t> </w:t>
      </w:r>
      <w:r>
        <w:rPr>
          <w:sz w:val="18"/>
          <w:vertAlign w:val="baseline"/>
        </w:rPr>
        <w:t>loans</w:t>
      </w:r>
      <w:r>
        <w:rPr>
          <w:spacing w:val="-5"/>
          <w:sz w:val="18"/>
          <w:vertAlign w:val="baseline"/>
        </w:rPr>
        <w:t> </w:t>
      </w:r>
      <w:r>
        <w:rPr>
          <w:sz w:val="18"/>
          <w:vertAlign w:val="baseline"/>
        </w:rPr>
        <w:t>from</w:t>
      </w:r>
      <w:r>
        <w:rPr>
          <w:spacing w:val="-5"/>
          <w:sz w:val="18"/>
          <w:vertAlign w:val="baseline"/>
        </w:rPr>
        <w:t> </w:t>
      </w:r>
      <w:r>
        <w:rPr>
          <w:sz w:val="18"/>
          <w:vertAlign w:val="baseline"/>
        </w:rPr>
        <w:t>China</w:t>
      </w:r>
      <w:r>
        <w:rPr>
          <w:spacing w:val="-5"/>
          <w:sz w:val="18"/>
          <w:vertAlign w:val="baseline"/>
        </w:rPr>
        <w:t> </w:t>
      </w:r>
      <w:r>
        <w:rPr>
          <w:sz w:val="18"/>
          <w:vertAlign w:val="baseline"/>
        </w:rPr>
        <w:t>Eximbank,</w:t>
      </w:r>
      <w:r>
        <w:rPr>
          <w:spacing w:val="-5"/>
          <w:sz w:val="18"/>
          <w:vertAlign w:val="baseline"/>
        </w:rPr>
        <w:t> </w:t>
      </w:r>
      <w:r>
        <w:rPr>
          <w:sz w:val="18"/>
          <w:vertAlign w:val="baseline"/>
        </w:rPr>
        <w:t>and</w:t>
      </w:r>
      <w:r>
        <w:rPr>
          <w:spacing w:val="-5"/>
          <w:sz w:val="18"/>
          <w:vertAlign w:val="baseline"/>
        </w:rPr>
        <w:t> </w:t>
      </w:r>
      <w:r>
        <w:rPr>
          <w:sz w:val="18"/>
          <w:vertAlign w:val="baseline"/>
        </w:rPr>
        <w:t>preferential</w:t>
      </w:r>
      <w:r>
        <w:rPr>
          <w:spacing w:val="-5"/>
          <w:sz w:val="18"/>
          <w:vertAlign w:val="baseline"/>
        </w:rPr>
        <w:t> </w:t>
      </w:r>
      <w:r>
        <w:rPr>
          <w:sz w:val="18"/>
          <w:vertAlign w:val="baseline"/>
        </w:rPr>
        <w:t>buyer’s</w:t>
      </w:r>
      <w:r>
        <w:rPr>
          <w:spacing w:val="-5"/>
          <w:sz w:val="18"/>
          <w:vertAlign w:val="baseline"/>
        </w:rPr>
        <w:t> </w:t>
      </w:r>
      <w:r>
        <w:rPr>
          <w:sz w:val="18"/>
          <w:vertAlign w:val="baseline"/>
        </w:rPr>
        <w:t>credits</w:t>
      </w:r>
      <w:r>
        <w:rPr>
          <w:spacing w:val="-5"/>
          <w:sz w:val="18"/>
          <w:vertAlign w:val="baseline"/>
        </w:rPr>
        <w:t> </w:t>
      </w:r>
      <w:r>
        <w:rPr>
          <w:sz w:val="18"/>
          <w:vertAlign w:val="baseline"/>
        </w:rPr>
        <w:t>from</w:t>
      </w:r>
      <w:r>
        <w:rPr>
          <w:spacing w:val="-5"/>
          <w:sz w:val="18"/>
          <w:vertAlign w:val="baseline"/>
        </w:rPr>
        <w:t> </w:t>
      </w:r>
      <w:r>
        <w:rPr>
          <w:sz w:val="18"/>
          <w:vertAlign w:val="baseline"/>
        </w:rPr>
        <w:t>China</w:t>
      </w:r>
      <w:r>
        <w:rPr>
          <w:spacing w:val="-5"/>
          <w:sz w:val="18"/>
          <w:vertAlign w:val="baseline"/>
        </w:rPr>
        <w:t> </w:t>
      </w:r>
      <w:r>
        <w:rPr>
          <w:sz w:val="18"/>
          <w:vertAlign w:val="baseline"/>
        </w:rPr>
        <w:t>Eximbank </w:t>
      </w:r>
      <w:r>
        <w:rPr>
          <w:spacing w:val="-2"/>
          <w:w w:val="105"/>
          <w:sz w:val="18"/>
          <w:vertAlign w:val="baseline"/>
        </w:rPr>
        <w:t>do</w:t>
      </w:r>
      <w:r>
        <w:rPr>
          <w:spacing w:val="-6"/>
          <w:w w:val="105"/>
          <w:sz w:val="18"/>
          <w:vertAlign w:val="baseline"/>
        </w:rPr>
        <w:t> </w:t>
      </w:r>
      <w:r>
        <w:rPr>
          <w:spacing w:val="-2"/>
          <w:w w:val="105"/>
          <w:sz w:val="18"/>
          <w:vertAlign w:val="baseline"/>
        </w:rPr>
        <w:t>not</w:t>
      </w:r>
      <w:r>
        <w:rPr>
          <w:spacing w:val="-6"/>
          <w:w w:val="105"/>
          <w:sz w:val="18"/>
          <w:vertAlign w:val="baseline"/>
        </w:rPr>
        <w:t> </w:t>
      </w:r>
      <w:r>
        <w:rPr>
          <w:spacing w:val="-2"/>
          <w:w w:val="105"/>
          <w:sz w:val="18"/>
          <w:vertAlign w:val="baseline"/>
        </w:rPr>
        <w:t>carry</w:t>
      </w:r>
      <w:r>
        <w:rPr>
          <w:spacing w:val="-6"/>
          <w:w w:val="105"/>
          <w:sz w:val="18"/>
          <w:vertAlign w:val="baseline"/>
        </w:rPr>
        <w:t> </w:t>
      </w:r>
      <w:r>
        <w:rPr>
          <w:spacing w:val="-2"/>
          <w:w w:val="105"/>
          <w:sz w:val="18"/>
          <w:vertAlign w:val="baseline"/>
        </w:rPr>
        <w:t>penalty</w:t>
      </w:r>
      <w:r>
        <w:rPr>
          <w:spacing w:val="-6"/>
          <w:w w:val="105"/>
          <w:sz w:val="18"/>
          <w:vertAlign w:val="baseline"/>
        </w:rPr>
        <w:t> </w:t>
      </w:r>
      <w:r>
        <w:rPr>
          <w:spacing w:val="-2"/>
          <w:w w:val="105"/>
          <w:sz w:val="18"/>
          <w:vertAlign w:val="baseline"/>
        </w:rPr>
        <w:t>interest</w:t>
      </w:r>
      <w:r>
        <w:rPr>
          <w:spacing w:val="-6"/>
          <w:w w:val="105"/>
          <w:sz w:val="18"/>
          <w:vertAlign w:val="baseline"/>
        </w:rPr>
        <w:t> </w:t>
      </w:r>
      <w:r>
        <w:rPr>
          <w:spacing w:val="-2"/>
          <w:w w:val="105"/>
          <w:sz w:val="18"/>
          <w:vertAlign w:val="baseline"/>
        </w:rPr>
        <w:t>rates—and</w:t>
      </w:r>
      <w:r>
        <w:rPr>
          <w:spacing w:val="-6"/>
          <w:w w:val="105"/>
          <w:sz w:val="18"/>
          <w:vertAlign w:val="baseline"/>
        </w:rPr>
        <w:t> </w:t>
      </w:r>
      <w:r>
        <w:rPr>
          <w:spacing w:val="-2"/>
          <w:w w:val="105"/>
          <w:sz w:val="18"/>
          <w:vertAlign w:val="baseline"/>
        </w:rPr>
        <w:t>they</w:t>
      </w:r>
      <w:r>
        <w:rPr>
          <w:spacing w:val="-6"/>
          <w:w w:val="105"/>
          <w:sz w:val="18"/>
          <w:vertAlign w:val="baseline"/>
        </w:rPr>
        <w:t> </w:t>
      </w:r>
      <w:r>
        <w:rPr>
          <w:spacing w:val="-2"/>
          <w:w w:val="105"/>
          <w:sz w:val="18"/>
          <w:vertAlign w:val="baseline"/>
        </w:rPr>
        <w:t>are</w:t>
      </w:r>
      <w:r>
        <w:rPr>
          <w:spacing w:val="-6"/>
          <w:w w:val="105"/>
          <w:sz w:val="18"/>
          <w:vertAlign w:val="baseline"/>
        </w:rPr>
        <w:t> </w:t>
      </w:r>
      <w:r>
        <w:rPr>
          <w:spacing w:val="-2"/>
          <w:w w:val="105"/>
          <w:sz w:val="18"/>
          <w:vertAlign w:val="baseline"/>
        </w:rPr>
        <w:t>all</w:t>
      </w:r>
      <w:r>
        <w:rPr>
          <w:spacing w:val="-6"/>
          <w:w w:val="105"/>
          <w:sz w:val="18"/>
          <w:vertAlign w:val="baseline"/>
        </w:rPr>
        <w:t> </w:t>
      </w:r>
      <w:r>
        <w:rPr>
          <w:spacing w:val="-2"/>
          <w:w w:val="105"/>
          <w:sz w:val="18"/>
          <w:vertAlign w:val="baseline"/>
        </w:rPr>
        <w:t>on</w:t>
      </w:r>
      <w:r>
        <w:rPr>
          <w:spacing w:val="-6"/>
          <w:w w:val="105"/>
          <w:sz w:val="18"/>
          <w:vertAlign w:val="baseline"/>
        </w:rPr>
        <w:t> </w:t>
      </w:r>
      <w:r>
        <w:rPr>
          <w:spacing w:val="-2"/>
          <w:w w:val="105"/>
          <w:sz w:val="18"/>
          <w:vertAlign w:val="baseline"/>
        </w:rPr>
        <w:t>the</w:t>
      </w:r>
      <w:r>
        <w:rPr>
          <w:spacing w:val="-6"/>
          <w:w w:val="105"/>
          <w:sz w:val="18"/>
          <w:vertAlign w:val="baseline"/>
        </w:rPr>
        <w:t> </w:t>
      </w:r>
      <w:r>
        <w:rPr>
          <w:spacing w:val="-2"/>
          <w:w w:val="105"/>
          <w:sz w:val="18"/>
          <w:vertAlign w:val="baseline"/>
        </w:rPr>
        <w:t>decline</w:t>
      </w:r>
      <w:r>
        <w:rPr>
          <w:spacing w:val="-6"/>
          <w:w w:val="105"/>
          <w:sz w:val="18"/>
          <w:vertAlign w:val="baseline"/>
        </w:rPr>
        <w:t> </w:t>
      </w:r>
      <w:r>
        <w:rPr>
          <w:spacing w:val="-2"/>
          <w:w w:val="105"/>
          <w:sz w:val="18"/>
          <w:vertAlign w:val="baseline"/>
        </w:rPr>
        <w:t>(see</w:t>
      </w:r>
      <w:r>
        <w:rPr>
          <w:spacing w:val="-6"/>
          <w:w w:val="105"/>
          <w:sz w:val="18"/>
          <w:vertAlign w:val="baseline"/>
        </w:rPr>
        <w:t> </w:t>
      </w:r>
      <w:r>
        <w:rPr>
          <w:spacing w:val="-2"/>
          <w:w w:val="105"/>
          <w:sz w:val="18"/>
          <w:vertAlign w:val="baseline"/>
        </w:rPr>
        <w:t>Figures</w:t>
      </w:r>
      <w:r>
        <w:rPr>
          <w:spacing w:val="-6"/>
          <w:w w:val="105"/>
          <w:sz w:val="18"/>
          <w:vertAlign w:val="baseline"/>
        </w:rPr>
        <w:t> </w:t>
      </w:r>
      <w:r>
        <w:rPr>
          <w:spacing w:val="-2"/>
          <w:w w:val="105"/>
          <w:sz w:val="18"/>
          <w:vertAlign w:val="baseline"/>
        </w:rPr>
        <w:t>2.7</w:t>
      </w:r>
      <w:r>
        <w:rPr>
          <w:spacing w:val="-6"/>
          <w:w w:val="105"/>
          <w:sz w:val="18"/>
          <w:vertAlign w:val="baseline"/>
        </w:rPr>
        <w:t> </w:t>
      </w:r>
      <w:r>
        <w:rPr>
          <w:spacing w:val="-2"/>
          <w:w w:val="105"/>
          <w:sz w:val="18"/>
          <w:vertAlign w:val="baseline"/>
        </w:rPr>
        <w:t>and</w:t>
      </w:r>
      <w:r>
        <w:rPr>
          <w:spacing w:val="-6"/>
          <w:w w:val="105"/>
          <w:sz w:val="18"/>
          <w:vertAlign w:val="baseline"/>
        </w:rPr>
        <w:t> </w:t>
      </w:r>
      <w:r>
        <w:rPr>
          <w:spacing w:val="-2"/>
          <w:w w:val="105"/>
          <w:sz w:val="18"/>
          <w:vertAlign w:val="baseline"/>
        </w:rPr>
        <w:t>A12).</w:t>
      </w:r>
      <w:r>
        <w:rPr>
          <w:spacing w:val="-6"/>
          <w:w w:val="105"/>
          <w:sz w:val="18"/>
          <w:vertAlign w:val="baseline"/>
        </w:rPr>
        <w:t> </w:t>
      </w:r>
      <w:r>
        <w:rPr>
          <w:spacing w:val="-2"/>
          <w:w w:val="105"/>
          <w:sz w:val="18"/>
          <w:vertAlign w:val="baseline"/>
        </w:rPr>
        <w:t>However, lending</w:t>
      </w:r>
      <w:r>
        <w:rPr>
          <w:spacing w:val="-4"/>
          <w:w w:val="105"/>
          <w:sz w:val="18"/>
          <w:vertAlign w:val="baseline"/>
        </w:rPr>
        <w:t> </w:t>
      </w:r>
      <w:r>
        <w:rPr>
          <w:spacing w:val="-2"/>
          <w:w w:val="105"/>
          <w:sz w:val="18"/>
          <w:vertAlign w:val="baseline"/>
        </w:rPr>
        <w:t>from</w:t>
      </w:r>
      <w:r>
        <w:rPr>
          <w:spacing w:val="-4"/>
          <w:w w:val="105"/>
          <w:sz w:val="18"/>
          <w:vertAlign w:val="baseline"/>
        </w:rPr>
        <w:t> </w:t>
      </w:r>
      <w:r>
        <w:rPr>
          <w:spacing w:val="-2"/>
          <w:w w:val="105"/>
          <w:sz w:val="18"/>
          <w:vertAlign w:val="baseline"/>
        </w:rPr>
        <w:t>Chinese</w:t>
      </w:r>
      <w:r>
        <w:rPr>
          <w:spacing w:val="-4"/>
          <w:w w:val="105"/>
          <w:sz w:val="18"/>
          <w:vertAlign w:val="baseline"/>
        </w:rPr>
        <w:t> </w:t>
      </w:r>
      <w:r>
        <w:rPr>
          <w:spacing w:val="-2"/>
          <w:w w:val="105"/>
          <w:sz w:val="18"/>
          <w:vertAlign w:val="baseline"/>
        </w:rPr>
        <w:t>state-owned</w:t>
      </w:r>
      <w:r>
        <w:rPr>
          <w:spacing w:val="-4"/>
          <w:w w:val="105"/>
          <w:sz w:val="18"/>
          <w:vertAlign w:val="baseline"/>
        </w:rPr>
        <w:t> </w:t>
      </w:r>
      <w:r>
        <w:rPr>
          <w:spacing w:val="-2"/>
          <w:w w:val="105"/>
          <w:sz w:val="18"/>
          <w:vertAlign w:val="baseline"/>
        </w:rPr>
        <w:t>commercial</w:t>
      </w:r>
      <w:r>
        <w:rPr>
          <w:spacing w:val="-4"/>
          <w:w w:val="105"/>
          <w:sz w:val="18"/>
          <w:vertAlign w:val="baseline"/>
        </w:rPr>
        <w:t> </w:t>
      </w:r>
      <w:r>
        <w:rPr>
          <w:spacing w:val="-2"/>
          <w:w w:val="105"/>
          <w:sz w:val="18"/>
          <w:vertAlign w:val="baseline"/>
        </w:rPr>
        <w:t>banks</w:t>
      </w:r>
      <w:r>
        <w:rPr>
          <w:spacing w:val="-4"/>
          <w:w w:val="105"/>
          <w:sz w:val="18"/>
          <w:vertAlign w:val="baseline"/>
        </w:rPr>
        <w:t> </w:t>
      </w:r>
      <w:r>
        <w:rPr>
          <w:spacing w:val="-2"/>
          <w:w w:val="105"/>
          <w:sz w:val="18"/>
          <w:vertAlign w:val="baseline"/>
        </w:rPr>
        <w:t>carries</w:t>
      </w:r>
      <w:r>
        <w:rPr>
          <w:spacing w:val="-4"/>
          <w:w w:val="105"/>
          <w:sz w:val="18"/>
          <w:vertAlign w:val="baseline"/>
        </w:rPr>
        <w:t> </w:t>
      </w:r>
      <w:r>
        <w:rPr>
          <w:spacing w:val="-2"/>
          <w:w w:val="105"/>
          <w:sz w:val="18"/>
          <w:vertAlign w:val="baseline"/>
        </w:rPr>
        <w:t>penalty</w:t>
      </w:r>
      <w:r>
        <w:rPr>
          <w:spacing w:val="-4"/>
          <w:w w:val="105"/>
          <w:sz w:val="18"/>
          <w:vertAlign w:val="baseline"/>
        </w:rPr>
        <w:t> </w:t>
      </w:r>
      <w:r>
        <w:rPr>
          <w:spacing w:val="-2"/>
          <w:w w:val="105"/>
          <w:sz w:val="18"/>
          <w:vertAlign w:val="baseline"/>
        </w:rPr>
        <w:t>interest</w:t>
      </w:r>
      <w:r>
        <w:rPr>
          <w:spacing w:val="-4"/>
          <w:w w:val="105"/>
          <w:sz w:val="18"/>
          <w:vertAlign w:val="baseline"/>
        </w:rPr>
        <w:t> </w:t>
      </w:r>
      <w:r>
        <w:rPr>
          <w:spacing w:val="-2"/>
          <w:w w:val="105"/>
          <w:sz w:val="18"/>
          <w:vertAlign w:val="baseline"/>
        </w:rPr>
        <w:t>rates</w:t>
      </w:r>
      <w:r>
        <w:rPr>
          <w:spacing w:val="-4"/>
          <w:w w:val="105"/>
          <w:sz w:val="18"/>
          <w:vertAlign w:val="baseline"/>
        </w:rPr>
        <w:t> </w:t>
      </w:r>
      <w:r>
        <w:rPr>
          <w:spacing w:val="-2"/>
          <w:w w:val="105"/>
          <w:sz w:val="18"/>
          <w:vertAlign w:val="baseline"/>
        </w:rPr>
        <w:t>in</w:t>
      </w:r>
      <w:r>
        <w:rPr>
          <w:spacing w:val="-4"/>
          <w:w w:val="105"/>
          <w:sz w:val="18"/>
          <w:vertAlign w:val="baseline"/>
        </w:rPr>
        <w:t> </w:t>
      </w:r>
      <w:r>
        <w:rPr>
          <w:spacing w:val="-2"/>
          <w:w w:val="105"/>
          <w:sz w:val="18"/>
          <w:vertAlign w:val="baseline"/>
        </w:rPr>
        <w:t>the</w:t>
      </w:r>
      <w:r>
        <w:rPr>
          <w:spacing w:val="-4"/>
          <w:w w:val="105"/>
          <w:sz w:val="18"/>
          <w:vertAlign w:val="baseline"/>
        </w:rPr>
        <w:t> </w:t>
      </w:r>
      <w:r>
        <w:rPr>
          <w:spacing w:val="-2"/>
          <w:w w:val="105"/>
          <w:sz w:val="18"/>
          <w:vertAlign w:val="baseline"/>
        </w:rPr>
        <w:t>0.5%</w:t>
      </w:r>
      <w:r>
        <w:rPr>
          <w:spacing w:val="-4"/>
          <w:w w:val="105"/>
          <w:sz w:val="18"/>
          <w:vertAlign w:val="baseline"/>
        </w:rPr>
        <w:t> </w:t>
      </w:r>
      <w:r>
        <w:rPr>
          <w:spacing w:val="-2"/>
          <w:w w:val="105"/>
          <w:sz w:val="18"/>
          <w:vertAlign w:val="baseline"/>
        </w:rPr>
        <w:t>to</w:t>
      </w:r>
      <w:r>
        <w:rPr>
          <w:spacing w:val="-4"/>
          <w:w w:val="105"/>
          <w:sz w:val="18"/>
          <w:vertAlign w:val="baseline"/>
        </w:rPr>
        <w:t> </w:t>
      </w:r>
      <w:r>
        <w:rPr>
          <w:spacing w:val="-2"/>
          <w:w w:val="105"/>
          <w:sz w:val="18"/>
          <w:vertAlign w:val="baseline"/>
        </w:rPr>
        <w:t>3% </w:t>
      </w:r>
      <w:r>
        <w:rPr>
          <w:w w:val="105"/>
          <w:sz w:val="18"/>
          <w:vertAlign w:val="baseline"/>
        </w:rPr>
        <w:t>range—and</w:t>
      </w:r>
      <w:r>
        <w:rPr>
          <w:spacing w:val="-6"/>
          <w:w w:val="105"/>
          <w:sz w:val="18"/>
          <w:vertAlign w:val="baseline"/>
        </w:rPr>
        <w:t> </w:t>
      </w:r>
      <w:r>
        <w:rPr>
          <w:w w:val="105"/>
          <w:sz w:val="18"/>
          <w:vertAlign w:val="baseline"/>
        </w:rPr>
        <w:t>it</w:t>
      </w:r>
      <w:r>
        <w:rPr>
          <w:spacing w:val="-6"/>
          <w:w w:val="105"/>
          <w:sz w:val="18"/>
          <w:vertAlign w:val="baseline"/>
        </w:rPr>
        <w:t> </w:t>
      </w:r>
      <w:r>
        <w:rPr>
          <w:w w:val="105"/>
          <w:sz w:val="18"/>
          <w:vertAlign w:val="baseline"/>
        </w:rPr>
        <w:t>is</w:t>
      </w:r>
      <w:r>
        <w:rPr>
          <w:spacing w:val="-6"/>
          <w:w w:val="105"/>
          <w:sz w:val="18"/>
          <w:vertAlign w:val="baseline"/>
        </w:rPr>
        <w:t> </w:t>
      </w:r>
      <w:r>
        <w:rPr>
          <w:w w:val="105"/>
          <w:sz w:val="18"/>
          <w:vertAlign w:val="baseline"/>
        </w:rPr>
        <w:t>on</w:t>
      </w:r>
      <w:r>
        <w:rPr>
          <w:spacing w:val="-6"/>
          <w:w w:val="105"/>
          <w:sz w:val="18"/>
          <w:vertAlign w:val="baseline"/>
        </w:rPr>
        <w:t> </w:t>
      </w:r>
      <w:r>
        <w:rPr>
          <w:w w:val="105"/>
          <w:sz w:val="18"/>
          <w:vertAlign w:val="baseline"/>
        </w:rPr>
        <w:t>the</w:t>
      </w:r>
      <w:r>
        <w:rPr>
          <w:spacing w:val="-6"/>
          <w:w w:val="105"/>
          <w:sz w:val="18"/>
          <w:vertAlign w:val="baseline"/>
        </w:rPr>
        <w:t> </w:t>
      </w:r>
      <w:r>
        <w:rPr>
          <w:w w:val="105"/>
          <w:sz w:val="18"/>
          <w:vertAlign w:val="baseline"/>
        </w:rPr>
        <w:t>rise</w:t>
      </w:r>
      <w:r>
        <w:rPr>
          <w:spacing w:val="-6"/>
          <w:w w:val="105"/>
          <w:sz w:val="18"/>
          <w:vertAlign w:val="baseline"/>
        </w:rPr>
        <w:t> </w:t>
      </w:r>
      <w:r>
        <w:rPr>
          <w:w w:val="105"/>
          <w:sz w:val="18"/>
          <w:vertAlign w:val="baseline"/>
        </w:rPr>
        <w:t>(see</w:t>
      </w:r>
      <w:r>
        <w:rPr>
          <w:spacing w:val="-6"/>
          <w:w w:val="105"/>
          <w:sz w:val="18"/>
          <w:vertAlign w:val="baseline"/>
        </w:rPr>
        <w:t> </w:t>
      </w:r>
      <w:r>
        <w:rPr>
          <w:w w:val="105"/>
          <w:sz w:val="18"/>
          <w:vertAlign w:val="baseline"/>
        </w:rPr>
        <w:t>Figure</w:t>
      </w:r>
      <w:r>
        <w:rPr>
          <w:spacing w:val="-6"/>
          <w:w w:val="105"/>
          <w:sz w:val="18"/>
          <w:vertAlign w:val="baseline"/>
        </w:rPr>
        <w:t> </w:t>
      </w:r>
      <w:r>
        <w:rPr>
          <w:w w:val="105"/>
          <w:sz w:val="18"/>
          <w:vertAlign w:val="baseline"/>
        </w:rPr>
        <w:t>2.7).</w:t>
      </w:r>
    </w:p>
    <w:p>
      <w:pPr>
        <w:spacing w:line="249" w:lineRule="auto" w:before="4"/>
        <w:ind w:left="760" w:right="862" w:firstLine="0"/>
        <w:jc w:val="left"/>
        <w:rPr>
          <w:sz w:val="18"/>
        </w:rPr>
      </w:pPr>
      <w:r>
        <w:rPr>
          <w:sz w:val="18"/>
          <w:vertAlign w:val="superscript"/>
        </w:rPr>
        <w:t>189</w:t>
      </w:r>
      <w:r>
        <w:rPr>
          <w:sz w:val="18"/>
          <w:vertAlign w:val="baseline"/>
        </w:rPr>
        <w:t> Lest there be any confusion about whether sovereign borrowers are responsible for making penalty interest payments to their Chinese creditors, the Government of Sudan disclosed that it owed $127 </w:t>
      </w:r>
      <w:r>
        <w:rPr>
          <w:sz w:val="18"/>
          <w:vertAlign w:val="baseline"/>
        </w:rPr>
        <w:t>million of penalty interest to Chinese creditors as of March 31, 2022 (CBOS 2023). The Government of Zimbabwe and the Government of Serbia have also acknowledged incurring penalty interest under their loan agreements with China Eximbank (NBS 2007; MOFED 2022).</w:t>
      </w:r>
    </w:p>
    <w:p>
      <w:pPr>
        <w:spacing w:after="0" w:line="249" w:lineRule="auto"/>
        <w:jc w:val="left"/>
        <w:rPr>
          <w:sz w:val="18"/>
        </w:rPr>
        <w:sectPr>
          <w:pgSz w:w="12240" w:h="15840"/>
          <w:pgMar w:header="0" w:footer="720" w:top="1400" w:bottom="920" w:left="1040" w:right="1040"/>
        </w:sectPr>
      </w:pPr>
    </w:p>
    <w:p>
      <w:pPr>
        <w:pStyle w:val="BodyText"/>
        <w:spacing w:line="333" w:lineRule="auto" w:before="27"/>
        <w:ind w:left="760" w:right="838"/>
      </w:pPr>
      <w:r>
        <w:rPr/>
        <w:t>Figure 2.17 zooms in on four sovereign borrowers—Ghana, Uganda, Guyana, and Serbia—for whom we have reasonably complete data over time on the default (penalty) interest rates attached to loans from Chinese state-owned creditors. One can see that, in all of these countries, default (penalty) interest rates varied between 0-0.33% until 2015. These rates remained mostly stable from 2016 to 2020, although there was a slight uptick in two countries. </w:t>
      </w:r>
      <w:r>
        <w:rPr/>
        <w:t>However, by 2021 or 2022, default (penalty) interest rates reached 2% in Serbia, 2% in Uganda, 3.5% in Guyana, and 4.8% in Ghana. These new risk mitigation measures by Beijing pose a challenge to borrowers in the developing world that is rarely taken into consideration: those who continue to contract new debt from Beijing must be aware of the danger of compounding arrears due to penalty </w:t>
      </w:r>
      <w:r>
        <w:rPr>
          <w:spacing w:val="-2"/>
        </w:rPr>
        <w:t>interest.</w:t>
      </w:r>
    </w:p>
    <w:p>
      <w:pPr>
        <w:spacing w:after="0" w:line="333" w:lineRule="auto"/>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81"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2.17</w:t>
                  </w:r>
                </w:p>
              </w:txbxContent>
            </v:textbox>
            <v:fill type="solid"/>
          </v:shape>
        </w:pict>
      </w:r>
      <w:r>
        <w:rPr>
          <w:sz w:val="20"/>
        </w:rPr>
      </w:r>
    </w:p>
    <w:p>
      <w:pPr>
        <w:pStyle w:val="BodyText"/>
        <w:spacing w:before="4"/>
        <w:rPr>
          <w:sz w:val="14"/>
        </w:rPr>
      </w:pPr>
      <w:r>
        <w:rPr/>
        <w:drawing>
          <wp:anchor distT="0" distB="0" distL="0" distR="0" allowOverlap="1" layoutInCell="1" locked="0" behindDoc="0" simplePos="0" relativeHeight="92">
            <wp:simplePos x="0" y="0"/>
            <wp:positionH relativeFrom="page">
              <wp:posOffset>1250540</wp:posOffset>
            </wp:positionH>
            <wp:positionV relativeFrom="paragraph">
              <wp:posOffset>120436</wp:posOffset>
            </wp:positionV>
            <wp:extent cx="5262084" cy="6142863"/>
            <wp:effectExtent l="0" t="0" r="0" b="0"/>
            <wp:wrapTopAndBottom/>
            <wp:docPr id="33" name="image18.png"/>
            <wp:cNvGraphicFramePr>
              <a:graphicFrameLocks noChangeAspect="1"/>
            </wp:cNvGraphicFramePr>
            <a:graphic>
              <a:graphicData uri="http://schemas.openxmlformats.org/drawingml/2006/picture">
                <pic:pic>
                  <pic:nvPicPr>
                    <pic:cNvPr id="34" name="image18.png"/>
                    <pic:cNvPicPr/>
                  </pic:nvPicPr>
                  <pic:blipFill>
                    <a:blip r:embed="rId29" cstate="print"/>
                    <a:stretch>
                      <a:fillRect/>
                    </a:stretch>
                  </pic:blipFill>
                  <pic:spPr>
                    <a:xfrm>
                      <a:off x="0" y="0"/>
                      <a:ext cx="5262084" cy="6142863"/>
                    </a:xfrm>
                    <a:prstGeom prst="rect">
                      <a:avLst/>
                    </a:prstGeom>
                  </pic:spPr>
                </pic:pic>
              </a:graphicData>
            </a:graphic>
          </wp:anchor>
        </w:drawing>
      </w:r>
    </w:p>
    <w:p>
      <w:pPr>
        <w:pStyle w:val="BodyText"/>
        <w:spacing w:before="8"/>
        <w:rPr>
          <w:sz w:val="27"/>
        </w:rPr>
      </w:pPr>
    </w:p>
    <w:p>
      <w:pPr>
        <w:spacing w:line="333" w:lineRule="auto" w:before="72"/>
        <w:ind w:left="760" w:right="767" w:firstLine="0"/>
        <w:jc w:val="left"/>
        <w:rPr>
          <w:i/>
          <w:sz w:val="18"/>
        </w:rPr>
      </w:pPr>
      <w:r>
        <w:rPr>
          <w:i/>
          <w:sz w:val="18"/>
        </w:rPr>
        <w:t>Notes: This chart shows unweighted average default (penalty) interest rates on loans from ofﬁcial sector</w:t>
      </w:r>
      <w:r>
        <w:rPr>
          <w:i/>
          <w:sz w:val="18"/>
        </w:rPr>
        <w:t> institutions in China to government and state-owned borrowing institutions in Ghana, Serbia, Guyana </w:t>
      </w:r>
      <w:r>
        <w:rPr>
          <w:i/>
          <w:sz w:val="18"/>
        </w:rPr>
        <w:t>and </w:t>
      </w:r>
      <w:r>
        <w:rPr>
          <w:i/>
          <w:spacing w:val="-2"/>
          <w:w w:val="105"/>
          <w:sz w:val="18"/>
        </w:rPr>
        <w:t>Uganda.</w:t>
      </w:r>
      <w:r>
        <w:rPr>
          <w:i/>
          <w:spacing w:val="-5"/>
          <w:w w:val="105"/>
          <w:sz w:val="18"/>
        </w:rPr>
        <w:t> </w:t>
      </w:r>
      <w:r>
        <w:rPr>
          <w:i/>
          <w:spacing w:val="-2"/>
          <w:w w:val="105"/>
          <w:sz w:val="18"/>
        </w:rPr>
        <w:t>The</w:t>
      </w:r>
      <w:r>
        <w:rPr>
          <w:i/>
          <w:spacing w:val="-5"/>
          <w:w w:val="105"/>
          <w:sz w:val="18"/>
        </w:rPr>
        <w:t> </w:t>
      </w:r>
      <w:r>
        <w:rPr>
          <w:i/>
          <w:spacing w:val="-2"/>
          <w:w w:val="105"/>
          <w:sz w:val="18"/>
        </w:rPr>
        <w:t>absence</w:t>
      </w:r>
      <w:r>
        <w:rPr>
          <w:i/>
          <w:spacing w:val="-5"/>
          <w:w w:val="105"/>
          <w:sz w:val="18"/>
        </w:rPr>
        <w:t> </w:t>
      </w:r>
      <w:r>
        <w:rPr>
          <w:i/>
          <w:spacing w:val="-2"/>
          <w:w w:val="105"/>
          <w:sz w:val="18"/>
        </w:rPr>
        <w:t>of</w:t>
      </w:r>
      <w:r>
        <w:rPr>
          <w:i/>
          <w:spacing w:val="-5"/>
          <w:w w:val="105"/>
          <w:sz w:val="18"/>
        </w:rPr>
        <w:t> </w:t>
      </w:r>
      <w:r>
        <w:rPr>
          <w:i/>
          <w:spacing w:val="-2"/>
          <w:w w:val="105"/>
          <w:sz w:val="18"/>
        </w:rPr>
        <w:t>a</w:t>
      </w:r>
      <w:r>
        <w:rPr>
          <w:i/>
          <w:spacing w:val="-5"/>
          <w:w w:val="105"/>
          <w:sz w:val="18"/>
        </w:rPr>
        <w:t> </w:t>
      </w:r>
      <w:r>
        <w:rPr>
          <w:i/>
          <w:spacing w:val="-2"/>
          <w:w w:val="105"/>
          <w:sz w:val="18"/>
        </w:rPr>
        <w:t>value</w:t>
      </w:r>
      <w:r>
        <w:rPr>
          <w:i/>
          <w:spacing w:val="-5"/>
          <w:w w:val="105"/>
          <w:sz w:val="18"/>
        </w:rPr>
        <w:t> </w:t>
      </w:r>
      <w:r>
        <w:rPr>
          <w:i/>
          <w:spacing w:val="-2"/>
          <w:w w:val="105"/>
          <w:sz w:val="18"/>
        </w:rPr>
        <w:t>in</w:t>
      </w:r>
      <w:r>
        <w:rPr>
          <w:i/>
          <w:spacing w:val="-5"/>
          <w:w w:val="105"/>
          <w:sz w:val="18"/>
        </w:rPr>
        <w:t> </w:t>
      </w:r>
      <w:r>
        <w:rPr>
          <w:i/>
          <w:spacing w:val="-2"/>
          <w:w w:val="105"/>
          <w:sz w:val="18"/>
        </w:rPr>
        <w:t>a</w:t>
      </w:r>
      <w:r>
        <w:rPr>
          <w:i/>
          <w:spacing w:val="-5"/>
          <w:w w:val="105"/>
          <w:sz w:val="18"/>
        </w:rPr>
        <w:t> </w:t>
      </w:r>
      <w:r>
        <w:rPr>
          <w:i/>
          <w:spacing w:val="-2"/>
          <w:w w:val="105"/>
          <w:sz w:val="18"/>
        </w:rPr>
        <w:t>given</w:t>
      </w:r>
      <w:r>
        <w:rPr>
          <w:i/>
          <w:spacing w:val="-5"/>
          <w:w w:val="105"/>
          <w:sz w:val="18"/>
        </w:rPr>
        <w:t> </w:t>
      </w:r>
      <w:r>
        <w:rPr>
          <w:i/>
          <w:spacing w:val="-2"/>
          <w:w w:val="105"/>
          <w:sz w:val="18"/>
        </w:rPr>
        <w:t>country-year</w:t>
      </w:r>
      <w:r>
        <w:rPr>
          <w:i/>
          <w:spacing w:val="-5"/>
          <w:w w:val="105"/>
          <w:sz w:val="18"/>
        </w:rPr>
        <w:t> </w:t>
      </w:r>
      <w:r>
        <w:rPr>
          <w:i/>
          <w:spacing w:val="-2"/>
          <w:w w:val="105"/>
          <w:sz w:val="18"/>
        </w:rPr>
        <w:t>indicates</w:t>
      </w:r>
      <w:r>
        <w:rPr>
          <w:i/>
          <w:spacing w:val="-5"/>
          <w:w w:val="105"/>
          <w:sz w:val="18"/>
        </w:rPr>
        <w:t> </w:t>
      </w:r>
      <w:r>
        <w:rPr>
          <w:i/>
          <w:spacing w:val="-2"/>
          <w:w w:val="105"/>
          <w:sz w:val="18"/>
        </w:rPr>
        <w:t>missing</w:t>
      </w:r>
      <w:r>
        <w:rPr>
          <w:i/>
          <w:spacing w:val="-5"/>
          <w:w w:val="105"/>
          <w:sz w:val="18"/>
        </w:rPr>
        <w:t> </w:t>
      </w:r>
      <w:r>
        <w:rPr>
          <w:i/>
          <w:spacing w:val="-2"/>
          <w:w w:val="105"/>
          <w:sz w:val="18"/>
        </w:rPr>
        <w:t>penalty</w:t>
      </w:r>
      <w:r>
        <w:rPr>
          <w:i/>
          <w:spacing w:val="-5"/>
          <w:w w:val="105"/>
          <w:sz w:val="18"/>
        </w:rPr>
        <w:t> </w:t>
      </w:r>
      <w:r>
        <w:rPr>
          <w:i/>
          <w:spacing w:val="-2"/>
          <w:w w:val="105"/>
          <w:sz w:val="18"/>
        </w:rPr>
        <w:t>interest</w:t>
      </w:r>
      <w:r>
        <w:rPr>
          <w:i/>
          <w:spacing w:val="-5"/>
          <w:w w:val="105"/>
          <w:sz w:val="18"/>
        </w:rPr>
        <w:t> </w:t>
      </w:r>
      <w:r>
        <w:rPr>
          <w:i/>
          <w:spacing w:val="-2"/>
          <w:w w:val="105"/>
          <w:sz w:val="18"/>
        </w:rPr>
        <w:t>rate</w:t>
      </w:r>
      <w:r>
        <w:rPr>
          <w:i/>
          <w:spacing w:val="-5"/>
          <w:w w:val="105"/>
          <w:sz w:val="18"/>
        </w:rPr>
        <w:t> </w:t>
      </w:r>
      <w:r>
        <w:rPr>
          <w:i/>
          <w:spacing w:val="-2"/>
          <w:w w:val="105"/>
          <w:sz w:val="18"/>
        </w:rPr>
        <w:t>data.</w:t>
      </w:r>
    </w:p>
    <w:p>
      <w:pPr>
        <w:spacing w:line="333" w:lineRule="auto" w:before="0"/>
        <w:ind w:left="760" w:right="898" w:firstLine="0"/>
        <w:jc w:val="left"/>
        <w:rPr>
          <w:i/>
          <w:sz w:val="18"/>
        </w:rPr>
      </w:pPr>
      <w:r>
        <w:rPr>
          <w:i/>
          <w:sz w:val="18"/>
        </w:rPr>
        <w:t>Observations are drawn from 2000-2021 GCDF (Version 3.0) data and preliminary 2022 GCDF data. In</w:t>
      </w:r>
      <w:r>
        <w:rPr>
          <w:i/>
          <w:sz w:val="18"/>
        </w:rPr>
        <w:t> addition to loan commitments, pledged loans and suspended/canceled loan commitments are </w:t>
      </w:r>
      <w:r>
        <w:rPr>
          <w:i/>
          <w:sz w:val="18"/>
        </w:rPr>
        <w:t>included since borrowers may be more likely to reject loan offers with high penalty interest rates and suspend or cancel loan commitments with terms that they perceive to be onerous.</w:t>
      </w:r>
    </w:p>
    <w:p>
      <w:pPr>
        <w:spacing w:after="0" w:line="333" w:lineRule="auto"/>
        <w:jc w:val="left"/>
        <w:rPr>
          <w:sz w:val="18"/>
        </w:rPr>
        <w:sectPr>
          <w:pgSz w:w="12240" w:h="15840"/>
          <w:pgMar w:header="0" w:footer="720" w:top="1560" w:bottom="920" w:left="1040" w:right="1040"/>
        </w:sectPr>
      </w:pPr>
    </w:p>
    <w:p>
      <w:pPr>
        <w:pStyle w:val="BodyText"/>
        <w:spacing w:line="333" w:lineRule="auto" w:before="27"/>
        <w:ind w:left="760" w:right="834"/>
      </w:pPr>
      <w:r>
        <w:rPr>
          <w:spacing w:val="-2"/>
          <w:w w:val="105"/>
        </w:rPr>
        <w:t>The</w:t>
      </w:r>
      <w:r>
        <w:rPr>
          <w:spacing w:val="-12"/>
          <w:w w:val="105"/>
        </w:rPr>
        <w:t> </w:t>
      </w:r>
      <w:r>
        <w:rPr>
          <w:spacing w:val="-2"/>
          <w:w w:val="105"/>
        </w:rPr>
        <w:t>3.0</w:t>
      </w:r>
      <w:r>
        <w:rPr>
          <w:spacing w:val="-12"/>
          <w:w w:val="105"/>
        </w:rPr>
        <w:t> </w:t>
      </w:r>
      <w:r>
        <w:rPr>
          <w:spacing w:val="-2"/>
          <w:w w:val="105"/>
        </w:rPr>
        <w:t>version</w:t>
      </w:r>
      <w:r>
        <w:rPr>
          <w:spacing w:val="-12"/>
          <w:w w:val="105"/>
        </w:rPr>
        <w:t> </w:t>
      </w:r>
      <w:r>
        <w:rPr>
          <w:spacing w:val="-2"/>
          <w:w w:val="105"/>
        </w:rPr>
        <w:t>of</w:t>
      </w:r>
      <w:r>
        <w:rPr>
          <w:spacing w:val="-12"/>
          <w:w w:val="105"/>
        </w:rPr>
        <w:t> </w:t>
      </w:r>
      <w:r>
        <w:rPr>
          <w:spacing w:val="-2"/>
          <w:w w:val="105"/>
        </w:rPr>
        <w:t>AidData’s</w:t>
      </w:r>
      <w:r>
        <w:rPr>
          <w:spacing w:val="-12"/>
          <w:w w:val="105"/>
        </w:rPr>
        <w:t> </w:t>
      </w:r>
      <w:r>
        <w:rPr>
          <w:spacing w:val="-2"/>
          <w:w w:val="105"/>
        </w:rPr>
        <w:t>GCDF</w:t>
      </w:r>
      <w:r>
        <w:rPr>
          <w:spacing w:val="-12"/>
          <w:w w:val="105"/>
        </w:rPr>
        <w:t> </w:t>
      </w:r>
      <w:r>
        <w:rPr>
          <w:spacing w:val="-2"/>
          <w:w w:val="105"/>
        </w:rPr>
        <w:t>dataset</w:t>
      </w:r>
      <w:r>
        <w:rPr>
          <w:spacing w:val="-12"/>
          <w:w w:val="105"/>
        </w:rPr>
        <w:t> </w:t>
      </w:r>
      <w:r>
        <w:rPr>
          <w:spacing w:val="-2"/>
          <w:w w:val="105"/>
        </w:rPr>
        <w:t>also</w:t>
      </w:r>
      <w:r>
        <w:rPr>
          <w:spacing w:val="-12"/>
          <w:w w:val="105"/>
        </w:rPr>
        <w:t> </w:t>
      </w:r>
      <w:r>
        <w:rPr>
          <w:spacing w:val="-2"/>
          <w:w w:val="105"/>
        </w:rPr>
        <w:t>provides</w:t>
      </w:r>
      <w:r>
        <w:rPr>
          <w:spacing w:val="-12"/>
          <w:w w:val="105"/>
        </w:rPr>
        <w:t> </w:t>
      </w:r>
      <w:r>
        <w:rPr>
          <w:spacing w:val="-2"/>
          <w:w w:val="105"/>
        </w:rPr>
        <w:t>evidence</w:t>
      </w:r>
      <w:r>
        <w:rPr>
          <w:spacing w:val="-12"/>
          <w:w w:val="105"/>
        </w:rPr>
        <w:t> </w:t>
      </w:r>
      <w:r>
        <w:rPr>
          <w:spacing w:val="-2"/>
          <w:w w:val="105"/>
        </w:rPr>
        <w:t>that</w:t>
      </w:r>
      <w:r>
        <w:rPr>
          <w:spacing w:val="-12"/>
          <w:w w:val="105"/>
        </w:rPr>
        <w:t> </w:t>
      </w:r>
      <w:r>
        <w:rPr>
          <w:spacing w:val="-2"/>
          <w:w w:val="105"/>
        </w:rPr>
        <w:t>when </w:t>
      </w:r>
      <w:r>
        <w:rPr/>
        <w:t>borrowers fail to honor their repayment obligations, Chinese lenders will seek </w:t>
      </w:r>
      <w:r>
        <w:rPr/>
        <w:t>to recover the penalty interest that they are owed by sweeping cash out of escrow accounts (when they have recourse to such collateral). By way of illustration, </w:t>
      </w:r>
      <w:r>
        <w:rPr>
          <w:w w:val="105"/>
        </w:rPr>
        <w:t>consider</w:t>
      </w:r>
      <w:r>
        <w:rPr>
          <w:spacing w:val="-15"/>
          <w:w w:val="105"/>
        </w:rPr>
        <w:t> </w:t>
      </w:r>
      <w:r>
        <w:rPr>
          <w:w w:val="105"/>
        </w:rPr>
        <w:t>how</w:t>
      </w:r>
      <w:r>
        <w:rPr>
          <w:spacing w:val="-15"/>
          <w:w w:val="105"/>
        </w:rPr>
        <w:t> </w:t>
      </w:r>
      <w:r>
        <w:rPr>
          <w:w w:val="105"/>
        </w:rPr>
        <w:t>China</w:t>
      </w:r>
      <w:r>
        <w:rPr>
          <w:spacing w:val="-15"/>
          <w:w w:val="105"/>
        </w:rPr>
        <w:t> </w:t>
      </w:r>
      <w:r>
        <w:rPr>
          <w:w w:val="105"/>
        </w:rPr>
        <w:t>Eximbank</w:t>
      </w:r>
      <w:r>
        <w:rPr>
          <w:spacing w:val="-15"/>
          <w:w w:val="105"/>
        </w:rPr>
        <w:t> </w:t>
      </w:r>
      <w:r>
        <w:rPr>
          <w:w w:val="105"/>
        </w:rPr>
        <w:t>responded</w:t>
      </w:r>
      <w:r>
        <w:rPr>
          <w:spacing w:val="-15"/>
          <w:w w:val="105"/>
        </w:rPr>
        <w:t> </w:t>
      </w:r>
      <w:r>
        <w:rPr>
          <w:w w:val="105"/>
        </w:rPr>
        <w:t>to</w:t>
      </w:r>
      <w:r>
        <w:rPr>
          <w:spacing w:val="-15"/>
          <w:w w:val="105"/>
        </w:rPr>
        <w:t> </w:t>
      </w:r>
      <w:r>
        <w:rPr>
          <w:w w:val="105"/>
        </w:rPr>
        <w:t>an</w:t>
      </w:r>
      <w:r>
        <w:rPr>
          <w:spacing w:val="-15"/>
          <w:w w:val="105"/>
        </w:rPr>
        <w:t> </w:t>
      </w:r>
      <w:r>
        <w:rPr>
          <w:w w:val="105"/>
        </w:rPr>
        <w:t>overdue</w:t>
      </w:r>
      <w:r>
        <w:rPr>
          <w:spacing w:val="-15"/>
          <w:w w:val="105"/>
        </w:rPr>
        <w:t> </w:t>
      </w:r>
      <w:r>
        <w:rPr>
          <w:w w:val="105"/>
        </w:rPr>
        <w:t>debt</w:t>
      </w:r>
      <w:r>
        <w:rPr>
          <w:spacing w:val="-15"/>
          <w:w w:val="105"/>
        </w:rPr>
        <w:t> </w:t>
      </w:r>
      <w:r>
        <w:rPr>
          <w:w w:val="105"/>
        </w:rPr>
        <w:t>repayment</w:t>
      </w:r>
      <w:r>
        <w:rPr>
          <w:spacing w:val="-15"/>
          <w:w w:val="105"/>
        </w:rPr>
        <w:t> </w:t>
      </w:r>
      <w:r>
        <w:rPr>
          <w:w w:val="105"/>
        </w:rPr>
        <w:t>from </w:t>
      </w:r>
      <w:r>
        <w:rPr/>
        <w:t>Tanzania Petroleum Development Corporation (TPDC)—a parastatal that is wholly-owned by the Government of Tanzania—for the Songo Songo to Dar Es Salaam</w:t>
      </w:r>
      <w:r>
        <w:rPr>
          <w:spacing w:val="-17"/>
        </w:rPr>
        <w:t> </w:t>
      </w:r>
      <w:r>
        <w:rPr/>
        <w:t>Gas</w:t>
      </w:r>
      <w:r>
        <w:rPr>
          <w:spacing w:val="-17"/>
        </w:rPr>
        <w:t> </w:t>
      </w:r>
      <w:r>
        <w:rPr/>
        <w:t>Pipeline</w:t>
      </w:r>
      <w:r>
        <w:rPr>
          <w:spacing w:val="-16"/>
        </w:rPr>
        <w:t> </w:t>
      </w:r>
      <w:r>
        <w:rPr/>
        <w:t>and</w:t>
      </w:r>
      <w:r>
        <w:rPr>
          <w:spacing w:val="-17"/>
        </w:rPr>
        <w:t> </w:t>
      </w:r>
      <w:r>
        <w:rPr/>
        <w:t>Natural</w:t>
      </w:r>
      <w:r>
        <w:rPr>
          <w:spacing w:val="-17"/>
        </w:rPr>
        <w:t> </w:t>
      </w:r>
      <w:r>
        <w:rPr/>
        <w:t>Gas</w:t>
      </w:r>
      <w:r>
        <w:rPr>
          <w:spacing w:val="-16"/>
        </w:rPr>
        <w:t> </w:t>
      </w:r>
      <w:r>
        <w:rPr/>
        <w:t>Processing</w:t>
      </w:r>
      <w:r>
        <w:rPr>
          <w:spacing w:val="-17"/>
        </w:rPr>
        <w:t> </w:t>
      </w:r>
      <w:r>
        <w:rPr/>
        <w:t>Plants</w:t>
      </w:r>
      <w:r>
        <w:rPr>
          <w:spacing w:val="-17"/>
        </w:rPr>
        <w:t> </w:t>
      </w:r>
      <w:r>
        <w:rPr/>
        <w:t>at</w:t>
      </w:r>
      <w:r>
        <w:rPr>
          <w:spacing w:val="-16"/>
        </w:rPr>
        <w:t> </w:t>
      </w:r>
      <w:r>
        <w:rPr/>
        <w:t>Mnazi</w:t>
      </w:r>
      <w:r>
        <w:rPr>
          <w:spacing w:val="-17"/>
        </w:rPr>
        <w:t> </w:t>
      </w:r>
      <w:r>
        <w:rPr/>
        <w:t>Bay</w:t>
      </w:r>
      <w:r>
        <w:rPr>
          <w:spacing w:val="-17"/>
        </w:rPr>
        <w:t> </w:t>
      </w:r>
      <w:r>
        <w:rPr/>
        <w:t>and</w:t>
      </w:r>
      <w:r>
        <w:rPr>
          <w:spacing w:val="-16"/>
        </w:rPr>
        <w:t> </w:t>
      </w:r>
      <w:r>
        <w:rPr/>
        <w:t>Songo </w:t>
      </w:r>
      <w:r>
        <w:rPr>
          <w:w w:val="105"/>
        </w:rPr>
        <w:t>Songo</w:t>
      </w:r>
      <w:r>
        <w:rPr>
          <w:spacing w:val="-16"/>
          <w:w w:val="105"/>
        </w:rPr>
        <w:t> </w:t>
      </w:r>
      <w:r>
        <w:rPr>
          <w:w w:val="105"/>
        </w:rPr>
        <w:t>Project.</w:t>
      </w:r>
      <w:r>
        <w:rPr>
          <w:spacing w:val="-16"/>
          <w:w w:val="105"/>
        </w:rPr>
        <w:t> </w:t>
      </w:r>
      <w:r>
        <w:rPr>
          <w:w w:val="105"/>
        </w:rPr>
        <w:t>As</w:t>
      </w:r>
      <w:r>
        <w:rPr>
          <w:spacing w:val="-16"/>
          <w:w w:val="105"/>
        </w:rPr>
        <w:t> </w:t>
      </w:r>
      <w:r>
        <w:rPr>
          <w:w w:val="105"/>
        </w:rPr>
        <w:t>a</w:t>
      </w:r>
      <w:r>
        <w:rPr>
          <w:spacing w:val="-16"/>
          <w:w w:val="105"/>
        </w:rPr>
        <w:t> </w:t>
      </w:r>
      <w:r>
        <w:rPr>
          <w:w w:val="105"/>
        </w:rPr>
        <w:t>source</w:t>
      </w:r>
      <w:r>
        <w:rPr>
          <w:spacing w:val="-16"/>
          <w:w w:val="105"/>
        </w:rPr>
        <w:t> </w:t>
      </w:r>
      <w:r>
        <w:rPr>
          <w:w w:val="105"/>
        </w:rPr>
        <w:t>of</w:t>
      </w:r>
      <w:r>
        <w:rPr>
          <w:spacing w:val="-16"/>
          <w:w w:val="105"/>
        </w:rPr>
        <w:t> </w:t>
      </w:r>
      <w:r>
        <w:rPr>
          <w:w w:val="105"/>
        </w:rPr>
        <w:t>collateral</w:t>
      </w:r>
      <w:r>
        <w:rPr>
          <w:spacing w:val="-16"/>
          <w:w w:val="105"/>
        </w:rPr>
        <w:t> </w:t>
      </w:r>
      <w:r>
        <w:rPr>
          <w:w w:val="105"/>
        </w:rPr>
        <w:t>for</w:t>
      </w:r>
      <w:r>
        <w:rPr>
          <w:spacing w:val="-16"/>
          <w:w w:val="105"/>
        </w:rPr>
        <w:t> </w:t>
      </w:r>
      <w:r>
        <w:rPr>
          <w:w w:val="105"/>
        </w:rPr>
        <w:t>a</w:t>
      </w:r>
      <w:r>
        <w:rPr>
          <w:spacing w:val="-16"/>
          <w:w w:val="105"/>
        </w:rPr>
        <w:t> </w:t>
      </w:r>
      <w:r>
        <w:rPr>
          <w:w w:val="105"/>
        </w:rPr>
        <w:t>$275</w:t>
      </w:r>
      <w:r>
        <w:rPr>
          <w:spacing w:val="-16"/>
          <w:w w:val="105"/>
        </w:rPr>
        <w:t> </w:t>
      </w:r>
      <w:r>
        <w:rPr>
          <w:w w:val="105"/>
        </w:rPr>
        <w:t>million</w:t>
      </w:r>
      <w:r>
        <w:rPr>
          <w:spacing w:val="-16"/>
          <w:w w:val="105"/>
        </w:rPr>
        <w:t> </w:t>
      </w:r>
      <w:r>
        <w:rPr>
          <w:w w:val="105"/>
        </w:rPr>
        <w:t>buyer's</w:t>
      </w:r>
      <w:r>
        <w:rPr>
          <w:spacing w:val="-16"/>
          <w:w w:val="105"/>
        </w:rPr>
        <w:t> </w:t>
      </w:r>
      <w:r>
        <w:rPr>
          <w:w w:val="105"/>
        </w:rPr>
        <w:t>credit</w:t>
      </w:r>
      <w:r>
        <w:rPr>
          <w:spacing w:val="-16"/>
          <w:w w:val="105"/>
        </w:rPr>
        <w:t> </w:t>
      </w:r>
      <w:r>
        <w:rPr>
          <w:w w:val="105"/>
        </w:rPr>
        <w:t>loan </w:t>
      </w:r>
      <w:r>
        <w:rPr/>
        <w:t>(BCL) that China Eximbank issued in 2012, TPDC deposited approximately $60 million in escrow accounts accessible to the lender.</w:t>
      </w:r>
      <w:r>
        <w:rPr>
          <w:vertAlign w:val="superscript"/>
        </w:rPr>
        <w:t>190</w:t>
      </w:r>
      <w:r>
        <w:rPr>
          <w:vertAlign w:val="baseline"/>
        </w:rPr>
        <w:t> However, by the ﬁrst half of 2017, TPDC had accumulated arrears to China Eximbank. The lender </w:t>
      </w:r>
      <w:r>
        <w:rPr>
          <w:w w:val="105"/>
          <w:vertAlign w:val="baseline"/>
        </w:rPr>
        <w:t>responded</w:t>
      </w:r>
      <w:r>
        <w:rPr>
          <w:spacing w:val="-15"/>
          <w:w w:val="105"/>
          <w:vertAlign w:val="baseline"/>
        </w:rPr>
        <w:t> </w:t>
      </w:r>
      <w:r>
        <w:rPr>
          <w:w w:val="105"/>
          <w:vertAlign w:val="baseline"/>
        </w:rPr>
        <w:t>by</w:t>
      </w:r>
      <w:r>
        <w:rPr>
          <w:spacing w:val="-15"/>
          <w:w w:val="105"/>
          <w:vertAlign w:val="baseline"/>
        </w:rPr>
        <w:t> </w:t>
      </w:r>
      <w:r>
        <w:rPr>
          <w:w w:val="105"/>
          <w:vertAlign w:val="baseline"/>
        </w:rPr>
        <w:t>sweeping</w:t>
      </w:r>
      <w:r>
        <w:rPr>
          <w:spacing w:val="-15"/>
          <w:w w:val="105"/>
          <w:vertAlign w:val="baseline"/>
        </w:rPr>
        <w:t> </w:t>
      </w:r>
      <w:r>
        <w:rPr>
          <w:w w:val="105"/>
          <w:vertAlign w:val="baseline"/>
        </w:rPr>
        <w:t>cash</w:t>
      </w:r>
      <w:r>
        <w:rPr>
          <w:spacing w:val="-15"/>
          <w:w w:val="105"/>
          <w:vertAlign w:val="baseline"/>
        </w:rPr>
        <w:t> </w:t>
      </w:r>
      <w:r>
        <w:rPr>
          <w:w w:val="105"/>
          <w:vertAlign w:val="baseline"/>
        </w:rPr>
        <w:t>out</w:t>
      </w:r>
      <w:r>
        <w:rPr>
          <w:spacing w:val="-15"/>
          <w:w w:val="105"/>
          <w:vertAlign w:val="baseline"/>
        </w:rPr>
        <w:t> </w:t>
      </w:r>
      <w:r>
        <w:rPr>
          <w:w w:val="105"/>
          <w:vertAlign w:val="baseline"/>
        </w:rPr>
        <w:t>of</w:t>
      </w:r>
      <w:r>
        <w:rPr>
          <w:spacing w:val="-15"/>
          <w:w w:val="105"/>
          <w:vertAlign w:val="baseline"/>
        </w:rPr>
        <w:t> </w:t>
      </w:r>
      <w:r>
        <w:rPr>
          <w:w w:val="105"/>
          <w:vertAlign w:val="baseline"/>
        </w:rPr>
        <w:t>one</w:t>
      </w:r>
      <w:r>
        <w:rPr>
          <w:spacing w:val="-15"/>
          <w:w w:val="105"/>
          <w:vertAlign w:val="baseline"/>
        </w:rPr>
        <w:t> </w:t>
      </w:r>
      <w:r>
        <w:rPr>
          <w:w w:val="105"/>
          <w:vertAlign w:val="baseline"/>
        </w:rPr>
        <w:t>of</w:t>
      </w:r>
      <w:r>
        <w:rPr>
          <w:spacing w:val="-15"/>
          <w:w w:val="105"/>
          <w:vertAlign w:val="baseline"/>
        </w:rPr>
        <w:t> </w:t>
      </w:r>
      <w:r>
        <w:rPr>
          <w:w w:val="105"/>
          <w:vertAlign w:val="baseline"/>
        </w:rPr>
        <w:t>the</w:t>
      </w:r>
      <w:r>
        <w:rPr>
          <w:spacing w:val="-15"/>
          <w:w w:val="105"/>
          <w:vertAlign w:val="baseline"/>
        </w:rPr>
        <w:t> </w:t>
      </w:r>
      <w:r>
        <w:rPr>
          <w:w w:val="105"/>
          <w:vertAlign w:val="baseline"/>
        </w:rPr>
        <w:t>escrow</w:t>
      </w:r>
      <w:r>
        <w:rPr>
          <w:spacing w:val="-15"/>
          <w:w w:val="105"/>
          <w:vertAlign w:val="baseline"/>
        </w:rPr>
        <w:t> </w:t>
      </w:r>
      <w:r>
        <w:rPr>
          <w:w w:val="105"/>
          <w:vertAlign w:val="baseline"/>
        </w:rPr>
        <w:t>accounts</w:t>
      </w:r>
      <w:r>
        <w:rPr>
          <w:spacing w:val="-15"/>
          <w:w w:val="105"/>
          <w:vertAlign w:val="baseline"/>
        </w:rPr>
        <w:t> </w:t>
      </w:r>
      <w:r>
        <w:rPr>
          <w:w w:val="105"/>
          <w:vertAlign w:val="baseline"/>
        </w:rPr>
        <w:t>between</w:t>
      </w:r>
      <w:r>
        <w:rPr>
          <w:spacing w:val="-15"/>
          <w:w w:val="105"/>
          <w:vertAlign w:val="baseline"/>
        </w:rPr>
        <w:t> </w:t>
      </w:r>
      <w:r>
        <w:rPr>
          <w:w w:val="105"/>
          <w:vertAlign w:val="baseline"/>
        </w:rPr>
        <w:t>July 2017</w:t>
      </w:r>
      <w:r>
        <w:rPr>
          <w:spacing w:val="-18"/>
          <w:w w:val="105"/>
          <w:vertAlign w:val="baseline"/>
        </w:rPr>
        <w:t> </w:t>
      </w:r>
      <w:r>
        <w:rPr>
          <w:w w:val="105"/>
          <w:vertAlign w:val="baseline"/>
        </w:rPr>
        <w:t>and</w:t>
      </w:r>
      <w:r>
        <w:rPr>
          <w:spacing w:val="-17"/>
          <w:w w:val="105"/>
          <w:vertAlign w:val="baseline"/>
        </w:rPr>
        <w:t> </w:t>
      </w:r>
      <w:r>
        <w:rPr>
          <w:w w:val="105"/>
          <w:vertAlign w:val="baseline"/>
        </w:rPr>
        <w:t>June</w:t>
      </w:r>
      <w:r>
        <w:rPr>
          <w:spacing w:val="-18"/>
          <w:w w:val="105"/>
          <w:vertAlign w:val="baseline"/>
        </w:rPr>
        <w:t> </w:t>
      </w:r>
      <w:r>
        <w:rPr>
          <w:w w:val="105"/>
          <w:vertAlign w:val="baseline"/>
        </w:rPr>
        <w:t>2018.</w:t>
      </w:r>
      <w:r>
        <w:rPr>
          <w:spacing w:val="-18"/>
          <w:w w:val="105"/>
          <w:vertAlign w:val="baseline"/>
        </w:rPr>
        <w:t> </w:t>
      </w:r>
      <w:r>
        <w:rPr>
          <w:w w:val="105"/>
          <w:vertAlign w:val="baseline"/>
        </w:rPr>
        <w:t>According</w:t>
      </w:r>
      <w:r>
        <w:rPr>
          <w:spacing w:val="-17"/>
          <w:w w:val="105"/>
          <w:vertAlign w:val="baseline"/>
        </w:rPr>
        <w:t> </w:t>
      </w:r>
      <w:r>
        <w:rPr>
          <w:w w:val="105"/>
          <w:vertAlign w:val="baseline"/>
        </w:rPr>
        <w:t>to</w:t>
      </w:r>
      <w:r>
        <w:rPr>
          <w:spacing w:val="-18"/>
          <w:w w:val="105"/>
          <w:vertAlign w:val="baseline"/>
        </w:rPr>
        <w:t> </w:t>
      </w:r>
      <w:r>
        <w:rPr>
          <w:w w:val="105"/>
          <w:vertAlign w:val="baseline"/>
        </w:rPr>
        <w:t>TPDC’s</w:t>
      </w:r>
      <w:r>
        <w:rPr>
          <w:spacing w:val="-17"/>
          <w:w w:val="105"/>
          <w:vertAlign w:val="baseline"/>
        </w:rPr>
        <w:t> </w:t>
      </w:r>
      <w:r>
        <w:rPr>
          <w:w w:val="105"/>
          <w:vertAlign w:val="baseline"/>
        </w:rPr>
        <w:t>audited</w:t>
      </w:r>
      <w:r>
        <w:rPr>
          <w:spacing w:val="-18"/>
          <w:w w:val="105"/>
          <w:vertAlign w:val="baseline"/>
        </w:rPr>
        <w:t> </w:t>
      </w:r>
      <w:r>
        <w:rPr>
          <w:w w:val="105"/>
          <w:vertAlign w:val="baseline"/>
        </w:rPr>
        <w:t>ﬁnancial</w:t>
      </w:r>
      <w:r>
        <w:rPr>
          <w:spacing w:val="-17"/>
          <w:w w:val="105"/>
          <w:vertAlign w:val="baseline"/>
        </w:rPr>
        <w:t> </w:t>
      </w:r>
      <w:r>
        <w:rPr>
          <w:w w:val="105"/>
          <w:vertAlign w:val="baseline"/>
        </w:rPr>
        <w:t>statements,</w:t>
      </w:r>
      <w:r>
        <w:rPr>
          <w:spacing w:val="-18"/>
          <w:w w:val="105"/>
          <w:vertAlign w:val="baseline"/>
        </w:rPr>
        <w:t> </w:t>
      </w:r>
      <w:r>
        <w:rPr>
          <w:w w:val="105"/>
          <w:vertAlign w:val="baseline"/>
        </w:rPr>
        <w:t>it withdrew</w:t>
      </w:r>
      <w:r>
        <w:rPr>
          <w:spacing w:val="-10"/>
          <w:w w:val="105"/>
          <w:vertAlign w:val="baseline"/>
        </w:rPr>
        <w:t> </w:t>
      </w:r>
      <w:r>
        <w:rPr>
          <w:w w:val="105"/>
          <w:vertAlign w:val="baseline"/>
        </w:rPr>
        <w:t>the</w:t>
      </w:r>
      <w:r>
        <w:rPr>
          <w:spacing w:val="-10"/>
          <w:w w:val="105"/>
          <w:vertAlign w:val="baseline"/>
        </w:rPr>
        <w:t> </w:t>
      </w:r>
      <w:r>
        <w:rPr>
          <w:w w:val="105"/>
          <w:vertAlign w:val="baseline"/>
        </w:rPr>
        <w:t>funds</w:t>
      </w:r>
      <w:r>
        <w:rPr>
          <w:spacing w:val="-10"/>
          <w:w w:val="105"/>
          <w:vertAlign w:val="baseline"/>
        </w:rPr>
        <w:t> </w:t>
      </w:r>
      <w:r>
        <w:rPr>
          <w:w w:val="105"/>
          <w:vertAlign w:val="baseline"/>
        </w:rPr>
        <w:t>“as</w:t>
      </w:r>
      <w:r>
        <w:rPr>
          <w:spacing w:val="-10"/>
          <w:w w:val="105"/>
          <w:vertAlign w:val="baseline"/>
        </w:rPr>
        <w:t> </w:t>
      </w:r>
      <w:r>
        <w:rPr>
          <w:w w:val="105"/>
          <w:vertAlign w:val="baseline"/>
        </w:rPr>
        <w:t>a</w:t>
      </w:r>
      <w:r>
        <w:rPr>
          <w:spacing w:val="-10"/>
          <w:w w:val="105"/>
          <w:vertAlign w:val="baseline"/>
        </w:rPr>
        <w:t> </w:t>
      </w:r>
      <w:r>
        <w:rPr>
          <w:w w:val="105"/>
          <w:vertAlign w:val="baseline"/>
        </w:rPr>
        <w:t>penalty</w:t>
      </w:r>
      <w:r>
        <w:rPr>
          <w:spacing w:val="-10"/>
          <w:w w:val="105"/>
          <w:vertAlign w:val="baseline"/>
        </w:rPr>
        <w:t> </w:t>
      </w:r>
      <w:r>
        <w:rPr>
          <w:w w:val="105"/>
          <w:vertAlign w:val="baseline"/>
        </w:rPr>
        <w:t>for</w:t>
      </w:r>
      <w:r>
        <w:rPr>
          <w:spacing w:val="-10"/>
          <w:w w:val="105"/>
          <w:vertAlign w:val="baseline"/>
        </w:rPr>
        <w:t> </w:t>
      </w:r>
      <w:r>
        <w:rPr>
          <w:w w:val="105"/>
          <w:vertAlign w:val="baseline"/>
        </w:rPr>
        <w:t>[the</w:t>
      </w:r>
      <w:r>
        <w:rPr>
          <w:spacing w:val="-10"/>
          <w:w w:val="105"/>
          <w:vertAlign w:val="baseline"/>
        </w:rPr>
        <w:t> </w:t>
      </w:r>
      <w:r>
        <w:rPr>
          <w:w w:val="105"/>
          <w:vertAlign w:val="baseline"/>
        </w:rPr>
        <w:t>borrower’s]</w:t>
      </w:r>
      <w:r>
        <w:rPr>
          <w:spacing w:val="-10"/>
          <w:w w:val="105"/>
          <w:vertAlign w:val="baseline"/>
        </w:rPr>
        <w:t> </w:t>
      </w:r>
      <w:r>
        <w:rPr>
          <w:w w:val="105"/>
          <w:vertAlign w:val="baseline"/>
        </w:rPr>
        <w:t>late</w:t>
      </w:r>
      <w:r>
        <w:rPr>
          <w:spacing w:val="-10"/>
          <w:w w:val="105"/>
          <w:vertAlign w:val="baseline"/>
        </w:rPr>
        <w:t> </w:t>
      </w:r>
      <w:r>
        <w:rPr>
          <w:w w:val="105"/>
          <w:vertAlign w:val="baseline"/>
        </w:rPr>
        <w:t>repayment</w:t>
      </w:r>
      <w:r>
        <w:rPr>
          <w:spacing w:val="-10"/>
          <w:w w:val="105"/>
          <w:vertAlign w:val="baseline"/>
        </w:rPr>
        <w:t> </w:t>
      </w:r>
      <w:r>
        <w:rPr>
          <w:w w:val="105"/>
          <w:vertAlign w:val="baseline"/>
        </w:rPr>
        <w:t>of</w:t>
      </w:r>
      <w:r>
        <w:rPr>
          <w:spacing w:val="-10"/>
          <w:w w:val="105"/>
          <w:vertAlign w:val="baseline"/>
        </w:rPr>
        <w:t> </w:t>
      </w:r>
      <w:r>
        <w:rPr>
          <w:w w:val="105"/>
          <w:vertAlign w:val="baseline"/>
        </w:rPr>
        <w:t>due installment”</w:t>
      </w:r>
      <w:r>
        <w:rPr>
          <w:spacing w:val="-17"/>
          <w:w w:val="105"/>
          <w:vertAlign w:val="baseline"/>
        </w:rPr>
        <w:t> </w:t>
      </w:r>
      <w:r>
        <w:rPr>
          <w:w w:val="105"/>
          <w:vertAlign w:val="baseline"/>
        </w:rPr>
        <w:t>(The</w:t>
      </w:r>
      <w:r>
        <w:rPr>
          <w:spacing w:val="-17"/>
          <w:w w:val="105"/>
          <w:vertAlign w:val="baseline"/>
        </w:rPr>
        <w:t> </w:t>
      </w:r>
      <w:r>
        <w:rPr>
          <w:w w:val="105"/>
          <w:vertAlign w:val="baseline"/>
        </w:rPr>
        <w:t>Controller</w:t>
      </w:r>
      <w:r>
        <w:rPr>
          <w:spacing w:val="-17"/>
          <w:w w:val="105"/>
          <w:vertAlign w:val="baseline"/>
        </w:rPr>
        <w:t> </w:t>
      </w:r>
      <w:r>
        <w:rPr>
          <w:w w:val="105"/>
          <w:vertAlign w:val="baseline"/>
        </w:rPr>
        <w:t>and</w:t>
      </w:r>
      <w:r>
        <w:rPr>
          <w:spacing w:val="-17"/>
          <w:w w:val="105"/>
          <w:vertAlign w:val="baseline"/>
        </w:rPr>
        <w:t> </w:t>
      </w:r>
      <w:r>
        <w:rPr>
          <w:w w:val="105"/>
          <w:vertAlign w:val="baseline"/>
        </w:rPr>
        <w:t>Auditor</w:t>
      </w:r>
      <w:r>
        <w:rPr>
          <w:spacing w:val="-17"/>
          <w:w w:val="105"/>
          <w:vertAlign w:val="baseline"/>
        </w:rPr>
        <w:t> </w:t>
      </w:r>
      <w:r>
        <w:rPr>
          <w:w w:val="105"/>
          <w:vertAlign w:val="baseline"/>
        </w:rPr>
        <w:t>General</w:t>
      </w:r>
      <w:r>
        <w:rPr>
          <w:spacing w:val="-17"/>
          <w:w w:val="105"/>
          <w:vertAlign w:val="baseline"/>
        </w:rPr>
        <w:t> </w:t>
      </w:r>
      <w:r>
        <w:rPr>
          <w:w w:val="105"/>
          <w:vertAlign w:val="baseline"/>
        </w:rPr>
        <w:t>of</w:t>
      </w:r>
      <w:r>
        <w:rPr>
          <w:spacing w:val="-17"/>
          <w:w w:val="105"/>
          <w:vertAlign w:val="baseline"/>
        </w:rPr>
        <w:t> </w:t>
      </w:r>
      <w:r>
        <w:rPr>
          <w:w w:val="105"/>
          <w:vertAlign w:val="baseline"/>
        </w:rPr>
        <w:t>the</w:t>
      </w:r>
      <w:r>
        <w:rPr>
          <w:spacing w:val="-17"/>
          <w:w w:val="105"/>
          <w:vertAlign w:val="baseline"/>
        </w:rPr>
        <w:t> </w:t>
      </w:r>
      <w:r>
        <w:rPr>
          <w:w w:val="105"/>
          <w:vertAlign w:val="baseline"/>
        </w:rPr>
        <w:t>National</w:t>
      </w:r>
      <w:r>
        <w:rPr>
          <w:spacing w:val="-17"/>
          <w:w w:val="105"/>
          <w:vertAlign w:val="baseline"/>
        </w:rPr>
        <w:t> </w:t>
      </w:r>
      <w:r>
        <w:rPr>
          <w:w w:val="105"/>
          <w:vertAlign w:val="baseline"/>
        </w:rPr>
        <w:t>Audit</w:t>
      </w:r>
      <w:r>
        <w:rPr>
          <w:spacing w:val="-17"/>
          <w:w w:val="105"/>
          <w:vertAlign w:val="baseline"/>
        </w:rPr>
        <w:t> </w:t>
      </w:r>
      <w:r>
        <w:rPr>
          <w:w w:val="105"/>
          <w:vertAlign w:val="baseline"/>
        </w:rPr>
        <w:t>Ofﬁce</w:t>
      </w:r>
      <w:r>
        <w:rPr>
          <w:spacing w:val="-17"/>
          <w:w w:val="105"/>
          <w:vertAlign w:val="baseline"/>
        </w:rPr>
        <w:t> </w:t>
      </w:r>
      <w:r>
        <w:rPr>
          <w:w w:val="105"/>
          <w:vertAlign w:val="baseline"/>
        </w:rPr>
        <w:t>of </w:t>
      </w:r>
      <w:r>
        <w:rPr>
          <w:spacing w:val="-2"/>
          <w:w w:val="105"/>
          <w:vertAlign w:val="baseline"/>
        </w:rPr>
        <w:t>Tanzania</w:t>
      </w:r>
      <w:r>
        <w:rPr>
          <w:spacing w:val="-18"/>
          <w:w w:val="105"/>
          <w:vertAlign w:val="baseline"/>
        </w:rPr>
        <w:t> </w:t>
      </w:r>
      <w:r>
        <w:rPr>
          <w:spacing w:val="-2"/>
          <w:w w:val="105"/>
          <w:vertAlign w:val="baseline"/>
        </w:rPr>
        <w:t>2018:</w:t>
      </w:r>
      <w:r>
        <w:rPr>
          <w:spacing w:val="-15"/>
          <w:w w:val="105"/>
          <w:vertAlign w:val="baseline"/>
        </w:rPr>
        <w:t> </w:t>
      </w:r>
      <w:r>
        <w:rPr>
          <w:spacing w:val="-2"/>
          <w:w w:val="105"/>
          <w:vertAlign w:val="baseline"/>
        </w:rPr>
        <w:t>76).</w:t>
      </w:r>
      <w:r>
        <w:rPr>
          <w:spacing w:val="-2"/>
          <w:w w:val="105"/>
          <w:vertAlign w:val="superscript"/>
        </w:rPr>
        <w:t>191</w:t>
      </w:r>
    </w:p>
    <w:p>
      <w:pPr>
        <w:pStyle w:val="BodyText"/>
        <w:rPr>
          <w:sz w:val="27"/>
        </w:rPr>
      </w:pPr>
    </w:p>
    <w:p>
      <w:pPr>
        <w:pStyle w:val="Heading4"/>
        <w:spacing w:line="357" w:lineRule="auto" w:before="1"/>
      </w:pPr>
      <w:r>
        <w:rPr>
          <w:spacing w:val="-8"/>
        </w:rPr>
        <w:t>Risk</w:t>
      </w:r>
      <w:r>
        <w:rPr>
          <w:spacing w:val="-12"/>
        </w:rPr>
        <w:t> </w:t>
      </w:r>
      <w:r>
        <w:rPr>
          <w:spacing w:val="-8"/>
        </w:rPr>
        <w:t>mitigation</w:t>
      </w:r>
      <w:r>
        <w:rPr>
          <w:spacing w:val="-11"/>
        </w:rPr>
        <w:t> </w:t>
      </w:r>
      <w:r>
        <w:rPr>
          <w:spacing w:val="-8"/>
        </w:rPr>
        <w:t>strategy</w:t>
      </w:r>
      <w:r>
        <w:rPr>
          <w:spacing w:val="-12"/>
        </w:rPr>
        <w:t> </w:t>
      </w:r>
      <w:r>
        <w:rPr>
          <w:spacing w:val="-8"/>
        </w:rPr>
        <w:t>#4:</w:t>
      </w:r>
      <w:r>
        <w:rPr>
          <w:spacing w:val="-11"/>
        </w:rPr>
        <w:t> </w:t>
      </w:r>
      <w:r>
        <w:rPr>
          <w:spacing w:val="-8"/>
        </w:rPr>
        <w:t>Taking</w:t>
      </w:r>
      <w:r>
        <w:rPr>
          <w:spacing w:val="-12"/>
        </w:rPr>
        <w:t> </w:t>
      </w:r>
      <w:r>
        <w:rPr>
          <w:spacing w:val="-8"/>
        </w:rPr>
        <w:t>a</w:t>
      </w:r>
      <w:r>
        <w:rPr>
          <w:spacing w:val="-11"/>
        </w:rPr>
        <w:t> </w:t>
      </w:r>
      <w:r>
        <w:rPr>
          <w:spacing w:val="-8"/>
        </w:rPr>
        <w:t>differentiated</w:t>
      </w:r>
      <w:r>
        <w:rPr>
          <w:spacing w:val="-12"/>
        </w:rPr>
        <w:t> </w:t>
      </w:r>
      <w:r>
        <w:rPr>
          <w:spacing w:val="-8"/>
        </w:rPr>
        <w:t>approach</w:t>
      </w:r>
      <w:r>
        <w:rPr>
          <w:spacing w:val="-11"/>
        </w:rPr>
        <w:t> </w:t>
      </w:r>
      <w:r>
        <w:rPr>
          <w:spacing w:val="-8"/>
        </w:rPr>
        <w:t>with </w:t>
      </w:r>
      <w:r>
        <w:rPr>
          <w:spacing w:val="-6"/>
        </w:rPr>
        <w:t>borrowers</w:t>
      </w:r>
      <w:r>
        <w:rPr>
          <w:spacing w:val="-9"/>
        </w:rPr>
        <w:t> </w:t>
      </w:r>
      <w:r>
        <w:rPr>
          <w:spacing w:val="-6"/>
        </w:rPr>
        <w:t>that</w:t>
      </w:r>
      <w:r>
        <w:rPr>
          <w:spacing w:val="-9"/>
        </w:rPr>
        <w:t> </w:t>
      </w:r>
      <w:r>
        <w:rPr>
          <w:spacing w:val="-6"/>
        </w:rPr>
        <w:t>present</w:t>
      </w:r>
      <w:r>
        <w:rPr>
          <w:spacing w:val="-9"/>
        </w:rPr>
        <w:t> </w:t>
      </w:r>
      <w:r>
        <w:rPr>
          <w:spacing w:val="-6"/>
        </w:rPr>
        <w:t>high</w:t>
      </w:r>
      <w:r>
        <w:rPr>
          <w:spacing w:val="-9"/>
        </w:rPr>
        <w:t> </w:t>
      </w:r>
      <w:r>
        <w:rPr>
          <w:spacing w:val="-6"/>
        </w:rPr>
        <w:t>and</w:t>
      </w:r>
      <w:r>
        <w:rPr>
          <w:spacing w:val="-9"/>
        </w:rPr>
        <w:t> </w:t>
      </w:r>
      <w:r>
        <w:rPr>
          <w:spacing w:val="-6"/>
        </w:rPr>
        <w:t>low</w:t>
      </w:r>
      <w:r>
        <w:rPr>
          <w:spacing w:val="-9"/>
        </w:rPr>
        <w:t> </w:t>
      </w:r>
      <w:r>
        <w:rPr>
          <w:spacing w:val="-6"/>
        </w:rPr>
        <w:t>levels</w:t>
      </w:r>
      <w:r>
        <w:rPr>
          <w:spacing w:val="-9"/>
        </w:rPr>
        <w:t> </w:t>
      </w:r>
      <w:r>
        <w:rPr>
          <w:spacing w:val="-6"/>
        </w:rPr>
        <w:t>of</w:t>
      </w:r>
      <w:r>
        <w:rPr>
          <w:spacing w:val="-9"/>
        </w:rPr>
        <w:t> </w:t>
      </w:r>
      <w:r>
        <w:rPr>
          <w:spacing w:val="-6"/>
        </w:rPr>
        <w:t>repayment</w:t>
      </w:r>
      <w:r>
        <w:rPr>
          <w:spacing w:val="-9"/>
        </w:rPr>
        <w:t> </w:t>
      </w:r>
      <w:r>
        <w:rPr>
          <w:spacing w:val="-6"/>
        </w:rPr>
        <w:t>risk</w:t>
      </w:r>
    </w:p>
    <w:p>
      <w:pPr>
        <w:pStyle w:val="BodyText"/>
        <w:spacing w:line="333" w:lineRule="auto" w:before="80"/>
        <w:ind w:left="760" w:right="794"/>
      </w:pPr>
      <w:r>
        <w:rPr/>
        <w:t>Previous research indicates that when creditors are confronted with a sudden wave of defaults or a sharp increase in non-performing loans, they may seek to </w:t>
      </w:r>
      <w:r>
        <w:rPr>
          <w:w w:val="105"/>
        </w:rPr>
        <w:t>rebalance</w:t>
      </w:r>
      <w:r>
        <w:rPr>
          <w:spacing w:val="-16"/>
          <w:w w:val="105"/>
        </w:rPr>
        <w:t> </w:t>
      </w:r>
      <w:r>
        <w:rPr>
          <w:w w:val="105"/>
        </w:rPr>
        <w:t>the</w:t>
      </w:r>
      <w:r>
        <w:rPr>
          <w:spacing w:val="-16"/>
          <w:w w:val="105"/>
        </w:rPr>
        <w:t> </w:t>
      </w:r>
      <w:r>
        <w:rPr>
          <w:w w:val="105"/>
        </w:rPr>
        <w:t>risk</w:t>
      </w:r>
      <w:r>
        <w:rPr>
          <w:spacing w:val="-16"/>
          <w:w w:val="105"/>
        </w:rPr>
        <w:t> </w:t>
      </w:r>
      <w:r>
        <w:rPr>
          <w:w w:val="105"/>
        </w:rPr>
        <w:t>proﬁles</w:t>
      </w:r>
      <w:r>
        <w:rPr>
          <w:spacing w:val="-16"/>
          <w:w w:val="105"/>
        </w:rPr>
        <w:t> </w:t>
      </w:r>
      <w:r>
        <w:rPr>
          <w:w w:val="105"/>
        </w:rPr>
        <w:t>of</w:t>
      </w:r>
      <w:r>
        <w:rPr>
          <w:spacing w:val="-16"/>
          <w:w w:val="105"/>
        </w:rPr>
        <w:t> </w:t>
      </w:r>
      <w:r>
        <w:rPr>
          <w:w w:val="105"/>
        </w:rPr>
        <w:t>their</w:t>
      </w:r>
      <w:r>
        <w:rPr>
          <w:spacing w:val="-16"/>
          <w:w w:val="105"/>
        </w:rPr>
        <w:t> </w:t>
      </w:r>
      <w:r>
        <w:rPr>
          <w:w w:val="105"/>
        </w:rPr>
        <w:t>asset</w:t>
      </w:r>
      <w:r>
        <w:rPr>
          <w:spacing w:val="-16"/>
          <w:w w:val="105"/>
        </w:rPr>
        <w:t> </w:t>
      </w:r>
      <w:r>
        <w:rPr>
          <w:w w:val="105"/>
        </w:rPr>
        <w:t>portfolios</w:t>
      </w:r>
      <w:r>
        <w:rPr>
          <w:spacing w:val="-16"/>
          <w:w w:val="105"/>
        </w:rPr>
        <w:t> </w:t>
      </w:r>
      <w:r>
        <w:rPr>
          <w:w w:val="105"/>
        </w:rPr>
        <w:t>by</w:t>
      </w:r>
      <w:r>
        <w:rPr>
          <w:spacing w:val="-16"/>
          <w:w w:val="105"/>
        </w:rPr>
        <w:t> </w:t>
      </w:r>
      <w:r>
        <w:rPr>
          <w:w w:val="105"/>
        </w:rPr>
        <w:t>issuing</w:t>
      </w:r>
      <w:r>
        <w:rPr>
          <w:spacing w:val="-16"/>
          <w:w w:val="105"/>
        </w:rPr>
        <w:t> </w:t>
      </w:r>
      <w:r>
        <w:rPr>
          <w:w w:val="105"/>
        </w:rPr>
        <w:t>fewer</w:t>
      </w:r>
      <w:r>
        <w:rPr>
          <w:spacing w:val="-16"/>
          <w:w w:val="105"/>
        </w:rPr>
        <w:t> </w:t>
      </w:r>
      <w:r>
        <w:rPr>
          <w:w w:val="105"/>
        </w:rPr>
        <w:t>loans</w:t>
      </w:r>
      <w:r>
        <w:rPr>
          <w:spacing w:val="-16"/>
          <w:w w:val="105"/>
        </w:rPr>
        <w:t> </w:t>
      </w:r>
      <w:r>
        <w:rPr>
          <w:w w:val="105"/>
        </w:rPr>
        <w:t>to </w:t>
      </w:r>
      <w:r>
        <w:rPr/>
        <w:t>potentially risky borrowers—or by pulling back from an entire asset class with a new</w:t>
      </w:r>
      <w:r>
        <w:rPr>
          <w:spacing w:val="-8"/>
        </w:rPr>
        <w:t> </w:t>
      </w:r>
      <w:r>
        <w:rPr/>
        <w:t>risk</w:t>
      </w:r>
      <w:r>
        <w:rPr>
          <w:spacing w:val="-8"/>
        </w:rPr>
        <w:t> </w:t>
      </w:r>
      <w:r>
        <w:rPr/>
        <w:t>proﬁle</w:t>
      </w:r>
      <w:r>
        <w:rPr>
          <w:spacing w:val="-8"/>
        </w:rPr>
        <w:t> </w:t>
      </w:r>
      <w:r>
        <w:rPr/>
        <w:t>(Kaminsky</w:t>
      </w:r>
      <w:r>
        <w:rPr>
          <w:spacing w:val="-8"/>
        </w:rPr>
        <w:t> </w:t>
      </w:r>
      <w:r>
        <w:rPr/>
        <w:t>and</w:t>
      </w:r>
      <w:r>
        <w:rPr>
          <w:spacing w:val="-8"/>
        </w:rPr>
        <w:t> </w:t>
      </w:r>
      <w:r>
        <w:rPr/>
        <w:t>Reinhart</w:t>
      </w:r>
      <w:r>
        <w:rPr>
          <w:spacing w:val="-8"/>
        </w:rPr>
        <w:t> </w:t>
      </w:r>
      <w:r>
        <w:rPr/>
        <w:t>2000;</w:t>
      </w:r>
      <w:r>
        <w:rPr>
          <w:spacing w:val="-8"/>
        </w:rPr>
        <w:t> </w:t>
      </w:r>
      <w:r>
        <w:rPr/>
        <w:t>Longstaff</w:t>
      </w:r>
      <w:r>
        <w:rPr>
          <w:spacing w:val="-8"/>
        </w:rPr>
        <w:t> </w:t>
      </w:r>
      <w:r>
        <w:rPr/>
        <w:t>et</w:t>
      </w:r>
      <w:r>
        <w:rPr>
          <w:spacing w:val="-8"/>
        </w:rPr>
        <w:t> </w:t>
      </w:r>
      <w:r>
        <w:rPr/>
        <w:t>al.</w:t>
      </w:r>
      <w:r>
        <w:rPr>
          <w:spacing w:val="-8"/>
        </w:rPr>
        <w:t> </w:t>
      </w:r>
      <w:r>
        <w:rPr/>
        <w:t>2011;</w:t>
      </w:r>
      <w:r>
        <w:rPr>
          <w:spacing w:val="-8"/>
        </w:rPr>
        <w:t> </w:t>
      </w:r>
      <w:r>
        <w:rPr/>
        <w:t>Brooks</w:t>
      </w:r>
      <w:r>
        <w:rPr>
          <w:spacing w:val="-8"/>
        </w:rPr>
        <w:t> </w:t>
      </w:r>
      <w:r>
        <w:rPr/>
        <w:t>et</w:t>
      </w:r>
      <w:r>
        <w:rPr>
          <w:spacing w:val="-8"/>
        </w:rPr>
        <w:t> </w:t>
      </w:r>
      <w:r>
        <w:rPr/>
        <w:t>al. </w:t>
      </w:r>
      <w:r>
        <w:rPr>
          <w:w w:val="105"/>
        </w:rPr>
        <w:t>2015;</w:t>
      </w:r>
      <w:r>
        <w:rPr>
          <w:spacing w:val="-17"/>
          <w:w w:val="105"/>
        </w:rPr>
        <w:t> </w:t>
      </w:r>
      <w:r>
        <w:rPr>
          <w:w w:val="105"/>
        </w:rPr>
        <w:t>Gilchrist</w:t>
      </w:r>
      <w:r>
        <w:rPr>
          <w:spacing w:val="-17"/>
          <w:w w:val="105"/>
        </w:rPr>
        <w:t> </w:t>
      </w:r>
      <w:r>
        <w:rPr>
          <w:w w:val="105"/>
        </w:rPr>
        <w:t>et</w:t>
      </w:r>
      <w:r>
        <w:rPr>
          <w:spacing w:val="-17"/>
          <w:w w:val="105"/>
        </w:rPr>
        <w:t> </w:t>
      </w:r>
      <w:r>
        <w:rPr>
          <w:w w:val="105"/>
        </w:rPr>
        <w:t>al.</w:t>
      </w:r>
      <w:r>
        <w:rPr>
          <w:spacing w:val="-17"/>
          <w:w w:val="105"/>
        </w:rPr>
        <w:t> </w:t>
      </w:r>
      <w:r>
        <w:rPr>
          <w:w w:val="105"/>
        </w:rPr>
        <w:t>2022).</w:t>
      </w:r>
      <w:r>
        <w:rPr>
          <w:spacing w:val="-17"/>
          <w:w w:val="105"/>
        </w:rPr>
        <w:t> </w:t>
      </w:r>
      <w:r>
        <w:rPr>
          <w:w w:val="105"/>
        </w:rPr>
        <w:t>Consistent</w:t>
      </w:r>
      <w:r>
        <w:rPr>
          <w:spacing w:val="-17"/>
          <w:w w:val="105"/>
        </w:rPr>
        <w:t> </w:t>
      </w:r>
      <w:r>
        <w:rPr>
          <w:w w:val="105"/>
        </w:rPr>
        <w:t>with</w:t>
      </w:r>
      <w:r>
        <w:rPr>
          <w:spacing w:val="-17"/>
          <w:w w:val="105"/>
        </w:rPr>
        <w:t> </w:t>
      </w:r>
      <w:r>
        <w:rPr>
          <w:w w:val="105"/>
        </w:rPr>
        <w:t>this</w:t>
      </w:r>
      <w:r>
        <w:rPr>
          <w:spacing w:val="-17"/>
          <w:w w:val="105"/>
        </w:rPr>
        <w:t> </w:t>
      </w:r>
      <w:r>
        <w:rPr>
          <w:w w:val="105"/>
        </w:rPr>
        <w:t>expectation,</w:t>
      </w:r>
      <w:r>
        <w:rPr>
          <w:spacing w:val="-17"/>
          <w:w w:val="105"/>
        </w:rPr>
        <w:t> </w:t>
      </w:r>
      <w:r>
        <w:rPr>
          <w:w w:val="105"/>
        </w:rPr>
        <w:t>the</w:t>
      </w:r>
      <w:r>
        <w:rPr>
          <w:spacing w:val="-17"/>
          <w:w w:val="105"/>
        </w:rPr>
        <w:t> </w:t>
      </w:r>
      <w:r>
        <w:rPr>
          <w:w w:val="105"/>
        </w:rPr>
        <w:t>3.0</w:t>
      </w:r>
      <w:r>
        <w:rPr>
          <w:spacing w:val="-17"/>
          <w:w w:val="105"/>
        </w:rPr>
        <w:t> </w:t>
      </w:r>
      <w:r>
        <w:rPr>
          <w:w w:val="105"/>
        </w:rPr>
        <w:t>version</w:t>
      </w:r>
      <w:r>
        <w:rPr>
          <w:spacing w:val="-17"/>
          <w:w w:val="105"/>
        </w:rPr>
        <w:t> </w:t>
      </w:r>
      <w:r>
        <w:rPr>
          <w:w w:val="105"/>
        </w:rPr>
        <w:t>of AidData’s</w:t>
      </w:r>
      <w:r>
        <w:rPr>
          <w:spacing w:val="-18"/>
          <w:w w:val="105"/>
        </w:rPr>
        <w:t> </w:t>
      </w:r>
      <w:r>
        <w:rPr>
          <w:w w:val="105"/>
        </w:rPr>
        <w:t>GCDF</w:t>
      </w:r>
      <w:r>
        <w:rPr>
          <w:spacing w:val="-17"/>
          <w:w w:val="105"/>
        </w:rPr>
        <w:t> </w:t>
      </w:r>
      <w:r>
        <w:rPr>
          <w:w w:val="105"/>
        </w:rPr>
        <w:t>dataset</w:t>
      </w:r>
      <w:r>
        <w:rPr>
          <w:spacing w:val="-18"/>
          <w:w w:val="105"/>
        </w:rPr>
        <w:t> </w:t>
      </w:r>
      <w:r>
        <w:rPr>
          <w:w w:val="105"/>
        </w:rPr>
        <w:t>provides</w:t>
      </w:r>
      <w:r>
        <w:rPr>
          <w:spacing w:val="-18"/>
          <w:w w:val="105"/>
        </w:rPr>
        <w:t> </w:t>
      </w:r>
      <w:r>
        <w:rPr>
          <w:w w:val="105"/>
        </w:rPr>
        <w:t>evidence</w:t>
      </w:r>
      <w:r>
        <w:rPr>
          <w:spacing w:val="-17"/>
          <w:w w:val="105"/>
        </w:rPr>
        <w:t> </w:t>
      </w:r>
      <w:r>
        <w:rPr>
          <w:w w:val="105"/>
        </w:rPr>
        <w:t>of</w:t>
      </w:r>
      <w:r>
        <w:rPr>
          <w:spacing w:val="-18"/>
          <w:w w:val="105"/>
        </w:rPr>
        <w:t> </w:t>
      </w:r>
      <w:r>
        <w:rPr>
          <w:w w:val="105"/>
        </w:rPr>
        <w:t>a</w:t>
      </w:r>
      <w:r>
        <w:rPr>
          <w:spacing w:val="-17"/>
          <w:w w:val="105"/>
        </w:rPr>
        <w:t> </w:t>
      </w:r>
      <w:r>
        <w:rPr>
          <w:w w:val="105"/>
        </w:rPr>
        <w:t>compositional</w:t>
      </w:r>
      <w:r>
        <w:rPr>
          <w:spacing w:val="-18"/>
          <w:w w:val="105"/>
        </w:rPr>
        <w:t> </w:t>
      </w:r>
      <w:r>
        <w:rPr>
          <w:w w:val="105"/>
        </w:rPr>
        <w:t>shift</w:t>
      </w:r>
      <w:r>
        <w:rPr>
          <w:spacing w:val="-17"/>
          <w:w w:val="105"/>
        </w:rPr>
        <w:t> </w:t>
      </w:r>
      <w:r>
        <w:rPr>
          <w:w w:val="105"/>
        </w:rPr>
        <w:t>in</w:t>
      </w:r>
    </w:p>
    <w:p>
      <w:pPr>
        <w:pStyle w:val="BodyText"/>
        <w:spacing w:before="2"/>
        <w:rPr>
          <w:sz w:val="23"/>
        </w:rPr>
      </w:pPr>
      <w:r>
        <w:rPr/>
        <w:pict>
          <v:shape style="position:absolute;margin-left:90pt;margin-top:14.546925pt;width:144pt;height:.1pt;mso-position-horizontal-relative:page;mso-position-vertical-relative:paragraph;z-index:-15681024;mso-wrap-distance-left:0;mso-wrap-distance-right:0" id="docshape82" coordorigin="1800,291" coordsize="2880,0" path="m1800,291l4680,291e" filled="false" stroked="true" strokeweight=".75pt" strokecolor="#000000">
            <v:path arrowok="t"/>
            <v:stroke dashstyle="solid"/>
            <w10:wrap type="topAndBottom"/>
          </v:shape>
        </w:pict>
      </w:r>
    </w:p>
    <w:p>
      <w:pPr>
        <w:spacing w:line="249" w:lineRule="auto" w:before="104"/>
        <w:ind w:left="760" w:right="1222" w:firstLine="0"/>
        <w:jc w:val="left"/>
        <w:rPr>
          <w:sz w:val="18"/>
        </w:rPr>
      </w:pPr>
      <w:r>
        <w:rPr>
          <w:sz w:val="18"/>
          <w:vertAlign w:val="superscript"/>
        </w:rPr>
        <w:t>190</w:t>
      </w:r>
      <w:r>
        <w:rPr>
          <w:sz w:val="18"/>
          <w:vertAlign w:val="baseline"/>
        </w:rPr>
        <w:t> According to TPDC’s audited ﬁnancial statements, the escrow accounts “were opened to secure repayment of principal and payment of interest and fees under the loan agreements” and the </w:t>
      </w:r>
      <w:r>
        <w:rPr>
          <w:sz w:val="18"/>
          <w:vertAlign w:val="baseline"/>
        </w:rPr>
        <w:t>minimum cash balances in these accounts functioned as sources of “collateral.”</w:t>
      </w:r>
    </w:p>
    <w:p>
      <w:pPr>
        <w:spacing w:line="249" w:lineRule="auto" w:before="2"/>
        <w:ind w:left="760" w:right="767" w:firstLine="0"/>
        <w:jc w:val="left"/>
        <w:rPr>
          <w:sz w:val="18"/>
        </w:rPr>
      </w:pPr>
      <w:r>
        <w:rPr>
          <w:sz w:val="18"/>
          <w:vertAlign w:val="superscript"/>
        </w:rPr>
        <w:t>191</w:t>
      </w:r>
      <w:r>
        <w:rPr>
          <w:spacing w:val="-7"/>
          <w:sz w:val="18"/>
          <w:vertAlign w:val="baseline"/>
        </w:rPr>
        <w:t> </w:t>
      </w:r>
      <w:r>
        <w:rPr>
          <w:sz w:val="18"/>
          <w:vertAlign w:val="baseline"/>
        </w:rPr>
        <w:t>In</w:t>
      </w:r>
      <w:r>
        <w:rPr>
          <w:spacing w:val="-6"/>
          <w:sz w:val="18"/>
          <w:vertAlign w:val="baseline"/>
        </w:rPr>
        <w:t> </w:t>
      </w:r>
      <w:r>
        <w:rPr>
          <w:sz w:val="18"/>
          <w:vertAlign w:val="baseline"/>
        </w:rPr>
        <w:t>June</w:t>
      </w:r>
      <w:r>
        <w:rPr>
          <w:spacing w:val="-6"/>
          <w:sz w:val="18"/>
          <w:vertAlign w:val="baseline"/>
        </w:rPr>
        <w:t> </w:t>
      </w:r>
      <w:r>
        <w:rPr>
          <w:sz w:val="18"/>
          <w:vertAlign w:val="baseline"/>
        </w:rPr>
        <w:t>20,</w:t>
      </w:r>
      <w:r>
        <w:rPr>
          <w:spacing w:val="-6"/>
          <w:sz w:val="18"/>
          <w:vertAlign w:val="baseline"/>
        </w:rPr>
        <w:t> </w:t>
      </w:r>
      <w:r>
        <w:rPr>
          <w:sz w:val="18"/>
          <w:vertAlign w:val="baseline"/>
        </w:rPr>
        <w:t>2012,</w:t>
      </w:r>
      <w:r>
        <w:rPr>
          <w:spacing w:val="-6"/>
          <w:sz w:val="18"/>
          <w:vertAlign w:val="baseline"/>
        </w:rPr>
        <w:t> </w:t>
      </w:r>
      <w:r>
        <w:rPr>
          <w:sz w:val="18"/>
          <w:vertAlign w:val="baseline"/>
        </w:rPr>
        <w:t>China</w:t>
      </w:r>
      <w:r>
        <w:rPr>
          <w:spacing w:val="-6"/>
          <w:sz w:val="18"/>
          <w:vertAlign w:val="baseline"/>
        </w:rPr>
        <w:t> </w:t>
      </w:r>
      <w:r>
        <w:rPr>
          <w:sz w:val="18"/>
          <w:vertAlign w:val="baseline"/>
        </w:rPr>
        <w:t>Eximbank</w:t>
      </w:r>
      <w:r>
        <w:rPr>
          <w:spacing w:val="-6"/>
          <w:sz w:val="18"/>
          <w:vertAlign w:val="baseline"/>
        </w:rPr>
        <w:t> </w:t>
      </w:r>
      <w:r>
        <w:rPr>
          <w:sz w:val="18"/>
          <w:vertAlign w:val="baseline"/>
        </w:rPr>
        <w:t>and</w:t>
      </w:r>
      <w:r>
        <w:rPr>
          <w:spacing w:val="-6"/>
          <w:sz w:val="18"/>
          <w:vertAlign w:val="baseline"/>
        </w:rPr>
        <w:t> </w:t>
      </w:r>
      <w:r>
        <w:rPr>
          <w:sz w:val="18"/>
          <w:vertAlign w:val="baseline"/>
        </w:rPr>
        <w:t>Tanzania’s</w:t>
      </w:r>
      <w:r>
        <w:rPr>
          <w:spacing w:val="-6"/>
          <w:sz w:val="18"/>
          <w:vertAlign w:val="baseline"/>
        </w:rPr>
        <w:t> </w:t>
      </w:r>
      <w:r>
        <w:rPr>
          <w:sz w:val="18"/>
          <w:vertAlign w:val="baseline"/>
        </w:rPr>
        <w:t>Ministry</w:t>
      </w:r>
      <w:r>
        <w:rPr>
          <w:spacing w:val="-6"/>
          <w:sz w:val="18"/>
          <w:vertAlign w:val="baseline"/>
        </w:rPr>
        <w:t> </w:t>
      </w:r>
      <w:r>
        <w:rPr>
          <w:sz w:val="18"/>
          <w:vertAlign w:val="baseline"/>
        </w:rPr>
        <w:t>of</w:t>
      </w:r>
      <w:r>
        <w:rPr>
          <w:spacing w:val="-6"/>
          <w:sz w:val="18"/>
          <w:vertAlign w:val="baseline"/>
        </w:rPr>
        <w:t> </w:t>
      </w:r>
      <w:r>
        <w:rPr>
          <w:sz w:val="18"/>
          <w:vertAlign w:val="baseline"/>
        </w:rPr>
        <w:t>Finance</w:t>
      </w:r>
      <w:r>
        <w:rPr>
          <w:spacing w:val="-6"/>
          <w:sz w:val="18"/>
          <w:vertAlign w:val="baseline"/>
        </w:rPr>
        <w:t> </w:t>
      </w:r>
      <w:r>
        <w:rPr>
          <w:sz w:val="18"/>
          <w:vertAlign w:val="baseline"/>
        </w:rPr>
        <w:t>signed</w:t>
      </w:r>
      <w:r>
        <w:rPr>
          <w:spacing w:val="-6"/>
          <w:sz w:val="18"/>
          <w:vertAlign w:val="baseline"/>
        </w:rPr>
        <w:t> </w:t>
      </w:r>
      <w:r>
        <w:rPr>
          <w:sz w:val="18"/>
          <w:vertAlign w:val="baseline"/>
        </w:rPr>
        <w:t>a</w:t>
      </w:r>
      <w:r>
        <w:rPr>
          <w:spacing w:val="-6"/>
          <w:sz w:val="18"/>
          <w:vertAlign w:val="baseline"/>
        </w:rPr>
        <w:t> </w:t>
      </w:r>
      <w:r>
        <w:rPr>
          <w:sz w:val="18"/>
          <w:vertAlign w:val="baseline"/>
        </w:rPr>
        <w:t>$1,225,327,000</w:t>
      </w:r>
      <w:r>
        <w:rPr>
          <w:spacing w:val="-6"/>
          <w:sz w:val="18"/>
          <w:vertAlign w:val="baseline"/>
        </w:rPr>
        <w:t> </w:t>
      </w:r>
      <w:r>
        <w:rPr>
          <w:sz w:val="18"/>
          <w:vertAlign w:val="baseline"/>
        </w:rPr>
        <w:t>ﬁnancing agreement</w:t>
      </w:r>
      <w:r>
        <w:rPr>
          <w:spacing w:val="-8"/>
          <w:sz w:val="18"/>
          <w:vertAlign w:val="baseline"/>
        </w:rPr>
        <w:t> </w:t>
      </w:r>
      <w:r>
        <w:rPr>
          <w:sz w:val="18"/>
          <w:vertAlign w:val="baseline"/>
        </w:rPr>
        <w:t>for</w:t>
      </w:r>
      <w:r>
        <w:rPr>
          <w:spacing w:val="-8"/>
          <w:sz w:val="18"/>
          <w:vertAlign w:val="baseline"/>
        </w:rPr>
        <w:t> </w:t>
      </w:r>
      <w:r>
        <w:rPr>
          <w:sz w:val="18"/>
          <w:vertAlign w:val="baseline"/>
        </w:rPr>
        <w:t>the</w:t>
      </w:r>
      <w:r>
        <w:rPr>
          <w:spacing w:val="-8"/>
          <w:sz w:val="18"/>
          <w:vertAlign w:val="baseline"/>
        </w:rPr>
        <w:t> </w:t>
      </w:r>
      <w:r>
        <w:rPr>
          <w:sz w:val="18"/>
          <w:vertAlign w:val="baseline"/>
        </w:rPr>
        <w:t>Songo</w:t>
      </w:r>
      <w:r>
        <w:rPr>
          <w:spacing w:val="-8"/>
          <w:sz w:val="18"/>
          <w:vertAlign w:val="baseline"/>
        </w:rPr>
        <w:t> </w:t>
      </w:r>
      <w:r>
        <w:rPr>
          <w:sz w:val="18"/>
          <w:vertAlign w:val="baseline"/>
        </w:rPr>
        <w:t>Songo</w:t>
      </w:r>
      <w:r>
        <w:rPr>
          <w:spacing w:val="-8"/>
          <w:sz w:val="18"/>
          <w:vertAlign w:val="baseline"/>
        </w:rPr>
        <w:t> </w:t>
      </w:r>
      <w:r>
        <w:rPr>
          <w:sz w:val="18"/>
          <w:vertAlign w:val="baseline"/>
        </w:rPr>
        <w:t>to</w:t>
      </w:r>
      <w:r>
        <w:rPr>
          <w:spacing w:val="-8"/>
          <w:sz w:val="18"/>
          <w:vertAlign w:val="baseline"/>
        </w:rPr>
        <w:t> </w:t>
      </w:r>
      <w:r>
        <w:rPr>
          <w:sz w:val="18"/>
          <w:vertAlign w:val="baseline"/>
        </w:rPr>
        <w:t>Dar</w:t>
      </w:r>
      <w:r>
        <w:rPr>
          <w:spacing w:val="-8"/>
          <w:sz w:val="18"/>
          <w:vertAlign w:val="baseline"/>
        </w:rPr>
        <w:t> </w:t>
      </w:r>
      <w:r>
        <w:rPr>
          <w:sz w:val="18"/>
          <w:vertAlign w:val="baseline"/>
        </w:rPr>
        <w:t>Es</w:t>
      </w:r>
      <w:r>
        <w:rPr>
          <w:spacing w:val="-8"/>
          <w:sz w:val="18"/>
          <w:vertAlign w:val="baseline"/>
        </w:rPr>
        <w:t> </w:t>
      </w:r>
      <w:r>
        <w:rPr>
          <w:sz w:val="18"/>
          <w:vertAlign w:val="baseline"/>
        </w:rPr>
        <w:t>Salaam</w:t>
      </w:r>
      <w:r>
        <w:rPr>
          <w:spacing w:val="-8"/>
          <w:sz w:val="18"/>
          <w:vertAlign w:val="baseline"/>
        </w:rPr>
        <w:t> </w:t>
      </w:r>
      <w:r>
        <w:rPr>
          <w:sz w:val="18"/>
          <w:vertAlign w:val="baseline"/>
        </w:rPr>
        <w:t>Gas</w:t>
      </w:r>
      <w:r>
        <w:rPr>
          <w:spacing w:val="-8"/>
          <w:sz w:val="18"/>
          <w:vertAlign w:val="baseline"/>
        </w:rPr>
        <w:t> </w:t>
      </w:r>
      <w:r>
        <w:rPr>
          <w:sz w:val="18"/>
          <w:vertAlign w:val="baseline"/>
        </w:rPr>
        <w:t>Pipeline</w:t>
      </w:r>
      <w:r>
        <w:rPr>
          <w:spacing w:val="-8"/>
          <w:sz w:val="18"/>
          <w:vertAlign w:val="baseline"/>
        </w:rPr>
        <w:t> </w:t>
      </w:r>
      <w:r>
        <w:rPr>
          <w:sz w:val="18"/>
          <w:vertAlign w:val="baseline"/>
        </w:rPr>
        <w:t>and</w:t>
      </w:r>
      <w:r>
        <w:rPr>
          <w:spacing w:val="-8"/>
          <w:sz w:val="18"/>
          <w:vertAlign w:val="baseline"/>
        </w:rPr>
        <w:t> </w:t>
      </w:r>
      <w:r>
        <w:rPr>
          <w:sz w:val="18"/>
          <w:vertAlign w:val="baseline"/>
        </w:rPr>
        <w:t>Natural</w:t>
      </w:r>
      <w:r>
        <w:rPr>
          <w:spacing w:val="-8"/>
          <w:sz w:val="18"/>
          <w:vertAlign w:val="baseline"/>
        </w:rPr>
        <w:t> </w:t>
      </w:r>
      <w:r>
        <w:rPr>
          <w:sz w:val="18"/>
          <w:vertAlign w:val="baseline"/>
        </w:rPr>
        <w:t>Gas</w:t>
      </w:r>
      <w:r>
        <w:rPr>
          <w:spacing w:val="-8"/>
          <w:sz w:val="18"/>
          <w:vertAlign w:val="baseline"/>
        </w:rPr>
        <w:t> </w:t>
      </w:r>
      <w:r>
        <w:rPr>
          <w:sz w:val="18"/>
          <w:vertAlign w:val="baseline"/>
        </w:rPr>
        <w:t>Processing</w:t>
      </w:r>
      <w:r>
        <w:rPr>
          <w:spacing w:val="-8"/>
          <w:sz w:val="18"/>
          <w:vertAlign w:val="baseline"/>
        </w:rPr>
        <w:t> </w:t>
      </w:r>
      <w:r>
        <w:rPr>
          <w:sz w:val="18"/>
          <w:vertAlign w:val="baseline"/>
        </w:rPr>
        <w:t>Plants</w:t>
      </w:r>
      <w:r>
        <w:rPr>
          <w:spacing w:val="-8"/>
          <w:sz w:val="18"/>
          <w:vertAlign w:val="baseline"/>
        </w:rPr>
        <w:t> </w:t>
      </w:r>
      <w:r>
        <w:rPr>
          <w:sz w:val="18"/>
          <w:vertAlign w:val="baseline"/>
        </w:rPr>
        <w:t>at</w:t>
      </w:r>
      <w:r>
        <w:rPr>
          <w:spacing w:val="-8"/>
          <w:sz w:val="18"/>
          <w:vertAlign w:val="baseline"/>
        </w:rPr>
        <w:t> </w:t>
      </w:r>
      <w:r>
        <w:rPr>
          <w:sz w:val="18"/>
          <w:vertAlign w:val="baseline"/>
        </w:rPr>
        <w:t>Mnazi Bay and Songo Songo Project. Two loans were issued to Tanzania’s Ministry of Finance: (1) a $275 million buyer’s credit loan (BCL) with an interest rate of 6-month LIBOR plus 430 basis points, a 1.83-year</w:t>
      </w:r>
    </w:p>
    <w:p>
      <w:pPr>
        <w:spacing w:line="249" w:lineRule="auto" w:before="3"/>
        <w:ind w:left="760" w:right="767" w:firstLine="0"/>
        <w:jc w:val="left"/>
        <w:rPr>
          <w:sz w:val="18"/>
        </w:rPr>
      </w:pPr>
      <w:r>
        <w:rPr>
          <w:sz w:val="18"/>
        </w:rPr>
        <w:t>(22-month)</w:t>
      </w:r>
      <w:r>
        <w:rPr>
          <w:spacing w:val="-3"/>
          <w:sz w:val="18"/>
        </w:rPr>
        <w:t> </w:t>
      </w:r>
      <w:r>
        <w:rPr>
          <w:sz w:val="18"/>
        </w:rPr>
        <w:t>grace</w:t>
      </w:r>
      <w:r>
        <w:rPr>
          <w:spacing w:val="-3"/>
          <w:sz w:val="18"/>
        </w:rPr>
        <w:t> </w:t>
      </w:r>
      <w:r>
        <w:rPr>
          <w:sz w:val="18"/>
        </w:rPr>
        <w:t>period,</w:t>
      </w:r>
      <w:r>
        <w:rPr>
          <w:spacing w:val="-3"/>
          <w:sz w:val="18"/>
        </w:rPr>
        <w:t> </w:t>
      </w:r>
      <w:r>
        <w:rPr>
          <w:sz w:val="18"/>
        </w:rPr>
        <w:t>and</w:t>
      </w:r>
      <w:r>
        <w:rPr>
          <w:spacing w:val="-3"/>
          <w:sz w:val="18"/>
        </w:rPr>
        <w:t> </w:t>
      </w:r>
      <w:r>
        <w:rPr>
          <w:sz w:val="18"/>
        </w:rPr>
        <w:t>a</w:t>
      </w:r>
      <w:r>
        <w:rPr>
          <w:spacing w:val="-3"/>
          <w:sz w:val="18"/>
        </w:rPr>
        <w:t> </w:t>
      </w:r>
      <w:r>
        <w:rPr>
          <w:sz w:val="18"/>
        </w:rPr>
        <w:t>12.83-year</w:t>
      </w:r>
      <w:r>
        <w:rPr>
          <w:spacing w:val="-3"/>
          <w:sz w:val="18"/>
        </w:rPr>
        <w:t> </w:t>
      </w:r>
      <w:r>
        <w:rPr>
          <w:sz w:val="18"/>
        </w:rPr>
        <w:t>(154-month)</w:t>
      </w:r>
      <w:r>
        <w:rPr>
          <w:spacing w:val="-3"/>
          <w:sz w:val="18"/>
        </w:rPr>
        <w:t> </w:t>
      </w:r>
      <w:r>
        <w:rPr>
          <w:sz w:val="18"/>
        </w:rPr>
        <w:t>maturity,</w:t>
      </w:r>
      <w:r>
        <w:rPr>
          <w:spacing w:val="-3"/>
          <w:sz w:val="18"/>
        </w:rPr>
        <w:t> </w:t>
      </w:r>
      <w:r>
        <w:rPr>
          <w:sz w:val="18"/>
        </w:rPr>
        <w:t>and</w:t>
      </w:r>
      <w:r>
        <w:rPr>
          <w:spacing w:val="-3"/>
          <w:sz w:val="18"/>
        </w:rPr>
        <w:t> </w:t>
      </w:r>
      <w:r>
        <w:rPr>
          <w:sz w:val="18"/>
        </w:rPr>
        <w:t>(2)</w:t>
      </w:r>
      <w:r>
        <w:rPr>
          <w:spacing w:val="-3"/>
          <w:sz w:val="18"/>
        </w:rPr>
        <w:t> </w:t>
      </w:r>
      <w:r>
        <w:rPr>
          <w:sz w:val="18"/>
        </w:rPr>
        <w:t>a</w:t>
      </w:r>
      <w:r>
        <w:rPr>
          <w:spacing w:val="-3"/>
          <w:sz w:val="18"/>
        </w:rPr>
        <w:t> </w:t>
      </w:r>
      <w:r>
        <w:rPr>
          <w:sz w:val="18"/>
        </w:rPr>
        <w:t>$920</w:t>
      </w:r>
      <w:r>
        <w:rPr>
          <w:spacing w:val="-3"/>
          <w:sz w:val="18"/>
        </w:rPr>
        <w:t> </w:t>
      </w:r>
      <w:r>
        <w:rPr>
          <w:sz w:val="18"/>
        </w:rPr>
        <w:t>million</w:t>
      </w:r>
      <w:r>
        <w:rPr>
          <w:spacing w:val="-3"/>
          <w:sz w:val="18"/>
        </w:rPr>
        <w:t> </w:t>
      </w:r>
      <w:r>
        <w:rPr>
          <w:sz w:val="18"/>
        </w:rPr>
        <w:t>preferential</w:t>
      </w:r>
      <w:r>
        <w:rPr>
          <w:spacing w:val="-3"/>
          <w:sz w:val="18"/>
        </w:rPr>
        <w:t> </w:t>
      </w:r>
      <w:r>
        <w:rPr>
          <w:sz w:val="18"/>
        </w:rPr>
        <w:t>buyer’s credit (PBC) with a 20-year maturity, a 7-year grace period, and a 2% interest rate. The BCL and PBC proceeds were then on-lent from Tanzania’s Ministry of Finance to the Tanzania Petroleum Development Corporation (TPDC). See ID#59733 and 59752 in the 3.0 version of AidData’s GCDF dataset.</w:t>
      </w:r>
    </w:p>
    <w:p>
      <w:pPr>
        <w:spacing w:after="0" w:line="249" w:lineRule="auto"/>
        <w:jc w:val="left"/>
        <w:rPr>
          <w:sz w:val="18"/>
        </w:rPr>
        <w:sectPr>
          <w:pgSz w:w="12240" w:h="15840"/>
          <w:pgMar w:header="0" w:footer="720" w:top="1400" w:bottom="920" w:left="1040" w:right="1040"/>
        </w:sectPr>
      </w:pPr>
    </w:p>
    <w:p>
      <w:pPr>
        <w:pStyle w:val="BodyText"/>
        <w:spacing w:line="333" w:lineRule="auto" w:before="27"/>
        <w:ind w:left="760" w:right="838"/>
      </w:pPr>
      <w:r>
        <w:rPr>
          <w:w w:val="105"/>
        </w:rPr>
        <w:t>non-emergency</w:t>
      </w:r>
      <w:r>
        <w:rPr>
          <w:spacing w:val="-14"/>
          <w:w w:val="105"/>
        </w:rPr>
        <w:t> </w:t>
      </w:r>
      <w:r>
        <w:rPr>
          <w:w w:val="105"/>
        </w:rPr>
        <w:t>lending</w:t>
      </w:r>
      <w:r>
        <w:rPr>
          <w:spacing w:val="-14"/>
          <w:w w:val="105"/>
        </w:rPr>
        <w:t> </w:t>
      </w:r>
      <w:r>
        <w:rPr>
          <w:w w:val="105"/>
        </w:rPr>
        <w:t>from</w:t>
      </w:r>
      <w:r>
        <w:rPr>
          <w:spacing w:val="-14"/>
          <w:w w:val="105"/>
        </w:rPr>
        <w:t> </w:t>
      </w:r>
      <w:r>
        <w:rPr>
          <w:w w:val="105"/>
        </w:rPr>
        <w:t>public</w:t>
      </w:r>
      <w:r>
        <w:rPr>
          <w:spacing w:val="-14"/>
          <w:w w:val="105"/>
        </w:rPr>
        <w:t> </w:t>
      </w:r>
      <w:r>
        <w:rPr>
          <w:w w:val="105"/>
        </w:rPr>
        <w:t>sector</w:t>
      </w:r>
      <w:r>
        <w:rPr>
          <w:spacing w:val="-14"/>
          <w:w w:val="105"/>
        </w:rPr>
        <w:t> </w:t>
      </w:r>
      <w:r>
        <w:rPr>
          <w:w w:val="105"/>
        </w:rPr>
        <w:t>to</w:t>
      </w:r>
      <w:r>
        <w:rPr>
          <w:spacing w:val="-14"/>
          <w:w w:val="105"/>
        </w:rPr>
        <w:t> </w:t>
      </w:r>
      <w:r>
        <w:rPr>
          <w:w w:val="105"/>
        </w:rPr>
        <w:t>private</w:t>
      </w:r>
      <w:r>
        <w:rPr>
          <w:spacing w:val="-14"/>
          <w:w w:val="105"/>
        </w:rPr>
        <w:t> </w:t>
      </w:r>
      <w:r>
        <w:rPr>
          <w:w w:val="105"/>
        </w:rPr>
        <w:t>sector</w:t>
      </w:r>
      <w:r>
        <w:rPr>
          <w:spacing w:val="-14"/>
          <w:w w:val="105"/>
        </w:rPr>
        <w:t> </w:t>
      </w:r>
      <w:r>
        <w:rPr>
          <w:w w:val="105"/>
        </w:rPr>
        <w:t>borrowers.</w:t>
      </w:r>
      <w:r>
        <w:rPr>
          <w:spacing w:val="-14"/>
          <w:w w:val="105"/>
        </w:rPr>
        <w:t> </w:t>
      </w:r>
      <w:r>
        <w:rPr>
          <w:w w:val="105"/>
        </w:rPr>
        <w:t>This move</w:t>
      </w:r>
      <w:r>
        <w:rPr>
          <w:spacing w:val="-14"/>
          <w:w w:val="105"/>
        </w:rPr>
        <w:t> </w:t>
      </w:r>
      <w:r>
        <w:rPr>
          <w:w w:val="105"/>
        </w:rPr>
        <w:t>away</w:t>
      </w:r>
      <w:r>
        <w:rPr>
          <w:spacing w:val="-14"/>
          <w:w w:val="105"/>
        </w:rPr>
        <w:t> </w:t>
      </w:r>
      <w:r>
        <w:rPr>
          <w:w w:val="105"/>
        </w:rPr>
        <w:t>from</w:t>
      </w:r>
      <w:r>
        <w:rPr>
          <w:spacing w:val="-14"/>
          <w:w w:val="105"/>
        </w:rPr>
        <w:t> </w:t>
      </w:r>
      <w:r>
        <w:rPr>
          <w:w w:val="105"/>
        </w:rPr>
        <w:t>the</w:t>
      </w:r>
      <w:r>
        <w:rPr>
          <w:spacing w:val="-14"/>
          <w:w w:val="105"/>
        </w:rPr>
        <w:t> </w:t>
      </w:r>
      <w:r>
        <w:rPr>
          <w:w w:val="105"/>
        </w:rPr>
        <w:t>sovereign</w:t>
      </w:r>
      <w:r>
        <w:rPr>
          <w:spacing w:val="-14"/>
          <w:w w:val="105"/>
        </w:rPr>
        <w:t> </w:t>
      </w:r>
      <w:r>
        <w:rPr>
          <w:w w:val="105"/>
        </w:rPr>
        <w:t>debt</w:t>
      </w:r>
      <w:r>
        <w:rPr>
          <w:spacing w:val="-14"/>
          <w:w w:val="105"/>
        </w:rPr>
        <w:t> </w:t>
      </w:r>
      <w:r>
        <w:rPr>
          <w:w w:val="105"/>
        </w:rPr>
        <w:t>“asset</w:t>
      </w:r>
      <w:r>
        <w:rPr>
          <w:spacing w:val="-14"/>
          <w:w w:val="105"/>
        </w:rPr>
        <w:t> </w:t>
      </w:r>
      <w:r>
        <w:rPr>
          <w:w w:val="105"/>
        </w:rPr>
        <w:t>class”</w:t>
      </w:r>
      <w:r>
        <w:rPr>
          <w:spacing w:val="-14"/>
          <w:w w:val="105"/>
        </w:rPr>
        <w:t> </w:t>
      </w:r>
      <w:r>
        <w:rPr>
          <w:w w:val="105"/>
        </w:rPr>
        <w:t>is</w:t>
      </w:r>
      <w:r>
        <w:rPr>
          <w:spacing w:val="-14"/>
          <w:w w:val="105"/>
        </w:rPr>
        <w:t> </w:t>
      </w:r>
      <w:r>
        <w:rPr>
          <w:w w:val="105"/>
        </w:rPr>
        <w:t>particularly</w:t>
      </w:r>
      <w:r>
        <w:rPr>
          <w:spacing w:val="-14"/>
          <w:w w:val="105"/>
        </w:rPr>
        <w:t> </w:t>
      </w:r>
      <w:r>
        <w:rPr>
          <w:w w:val="105"/>
        </w:rPr>
        <w:t>noticeable </w:t>
      </w:r>
      <w:r>
        <w:rPr/>
        <w:t>between 2020 and 2021—when the effects of the COVID-19 pandemic were </w:t>
      </w:r>
      <w:r>
        <w:rPr>
          <w:spacing w:val="-2"/>
          <w:w w:val="105"/>
        </w:rPr>
        <w:t>most</w:t>
      </w:r>
      <w:r>
        <w:rPr>
          <w:spacing w:val="-9"/>
          <w:w w:val="105"/>
        </w:rPr>
        <w:t> </w:t>
      </w:r>
      <w:r>
        <w:rPr>
          <w:spacing w:val="-2"/>
          <w:w w:val="105"/>
        </w:rPr>
        <w:t>acute.</w:t>
      </w:r>
      <w:r>
        <w:rPr>
          <w:spacing w:val="-9"/>
          <w:w w:val="105"/>
        </w:rPr>
        <w:t> </w:t>
      </w:r>
      <w:r>
        <w:rPr>
          <w:spacing w:val="-2"/>
          <w:w w:val="105"/>
        </w:rPr>
        <w:t>The</w:t>
      </w:r>
      <w:r>
        <w:rPr>
          <w:spacing w:val="-9"/>
          <w:w w:val="105"/>
        </w:rPr>
        <w:t> </w:t>
      </w:r>
      <w:r>
        <w:rPr>
          <w:spacing w:val="-2"/>
          <w:w w:val="105"/>
        </w:rPr>
        <w:t>share</w:t>
      </w:r>
      <w:r>
        <w:rPr>
          <w:spacing w:val="-9"/>
          <w:w w:val="105"/>
        </w:rPr>
        <w:t> </w:t>
      </w:r>
      <w:r>
        <w:rPr>
          <w:spacing w:val="-2"/>
          <w:w w:val="105"/>
        </w:rPr>
        <w:t>of</w:t>
      </w:r>
      <w:r>
        <w:rPr>
          <w:spacing w:val="-9"/>
          <w:w w:val="105"/>
        </w:rPr>
        <w:t> </w:t>
      </w:r>
      <w:r>
        <w:rPr>
          <w:spacing w:val="-2"/>
          <w:w w:val="105"/>
        </w:rPr>
        <w:t>China’s</w:t>
      </w:r>
      <w:r>
        <w:rPr>
          <w:spacing w:val="-9"/>
          <w:w w:val="105"/>
        </w:rPr>
        <w:t> </w:t>
      </w:r>
      <w:r>
        <w:rPr>
          <w:spacing w:val="-2"/>
          <w:w w:val="105"/>
        </w:rPr>
        <w:t>non-emergency</w:t>
      </w:r>
      <w:r>
        <w:rPr>
          <w:spacing w:val="-9"/>
          <w:w w:val="105"/>
        </w:rPr>
        <w:t> </w:t>
      </w:r>
      <w:r>
        <w:rPr>
          <w:spacing w:val="-2"/>
          <w:w w:val="105"/>
        </w:rPr>
        <w:t>lending</w:t>
      </w:r>
      <w:r>
        <w:rPr>
          <w:spacing w:val="-9"/>
          <w:w w:val="105"/>
        </w:rPr>
        <w:t> </w:t>
      </w:r>
      <w:r>
        <w:rPr>
          <w:spacing w:val="-2"/>
          <w:w w:val="105"/>
        </w:rPr>
        <w:t>commitments</w:t>
      </w:r>
      <w:r>
        <w:rPr>
          <w:spacing w:val="-9"/>
          <w:w w:val="105"/>
        </w:rPr>
        <w:t> </w:t>
      </w:r>
      <w:r>
        <w:rPr>
          <w:spacing w:val="-2"/>
          <w:w w:val="105"/>
        </w:rPr>
        <w:t>to </w:t>
      </w:r>
      <w:r>
        <w:rPr/>
        <w:t>private</w:t>
      </w:r>
      <w:r>
        <w:rPr>
          <w:spacing w:val="-4"/>
        </w:rPr>
        <w:t> </w:t>
      </w:r>
      <w:r>
        <w:rPr/>
        <w:t>sector</w:t>
      </w:r>
      <w:r>
        <w:rPr>
          <w:spacing w:val="-4"/>
        </w:rPr>
        <w:t> </w:t>
      </w:r>
      <w:r>
        <w:rPr/>
        <w:t>borrowers</w:t>
      </w:r>
      <w:r>
        <w:rPr>
          <w:spacing w:val="-4"/>
        </w:rPr>
        <w:t> </w:t>
      </w:r>
      <w:r>
        <w:rPr/>
        <w:t>in</w:t>
      </w:r>
      <w:r>
        <w:rPr>
          <w:spacing w:val="-4"/>
        </w:rPr>
        <w:t> </w:t>
      </w:r>
      <w:r>
        <w:rPr/>
        <w:t>LICs</w:t>
      </w:r>
      <w:r>
        <w:rPr>
          <w:spacing w:val="-4"/>
        </w:rPr>
        <w:t> </w:t>
      </w:r>
      <w:r>
        <w:rPr/>
        <w:t>and</w:t>
      </w:r>
      <w:r>
        <w:rPr>
          <w:spacing w:val="-4"/>
        </w:rPr>
        <w:t> </w:t>
      </w:r>
      <w:r>
        <w:rPr/>
        <w:t>MICs</w:t>
      </w:r>
      <w:r>
        <w:rPr>
          <w:spacing w:val="-4"/>
        </w:rPr>
        <w:t> </w:t>
      </w:r>
      <w:r>
        <w:rPr/>
        <w:t>soared</w:t>
      </w:r>
      <w:r>
        <w:rPr>
          <w:spacing w:val="-4"/>
        </w:rPr>
        <w:t> </w:t>
      </w:r>
      <w:r>
        <w:rPr/>
        <w:t>from</w:t>
      </w:r>
      <w:r>
        <w:rPr>
          <w:spacing w:val="-4"/>
        </w:rPr>
        <w:t> </w:t>
      </w:r>
      <w:r>
        <w:rPr/>
        <w:t>21%</w:t>
      </w:r>
      <w:r>
        <w:rPr>
          <w:spacing w:val="-4"/>
        </w:rPr>
        <w:t> </w:t>
      </w:r>
      <w:r>
        <w:rPr/>
        <w:t>in</w:t>
      </w:r>
      <w:r>
        <w:rPr>
          <w:spacing w:val="-4"/>
        </w:rPr>
        <w:t> </w:t>
      </w:r>
      <w:r>
        <w:rPr/>
        <w:t>2020</w:t>
      </w:r>
      <w:r>
        <w:rPr>
          <w:spacing w:val="-4"/>
        </w:rPr>
        <w:t> </w:t>
      </w:r>
      <w:r>
        <w:rPr/>
        <w:t>to</w:t>
      </w:r>
      <w:r>
        <w:rPr>
          <w:spacing w:val="-4"/>
        </w:rPr>
        <w:t> </w:t>
      </w:r>
      <w:r>
        <w:rPr/>
        <w:t>54%</w:t>
      </w:r>
      <w:r>
        <w:rPr>
          <w:spacing w:val="-4"/>
        </w:rPr>
        <w:t> </w:t>
      </w:r>
      <w:r>
        <w:rPr/>
        <w:t>in 2021, while the share devoted to public sector borrowers shrank from 67% in </w:t>
      </w:r>
      <w:r>
        <w:rPr>
          <w:w w:val="105"/>
        </w:rPr>
        <w:t>2020</w:t>
      </w:r>
      <w:r>
        <w:rPr>
          <w:spacing w:val="-18"/>
          <w:w w:val="105"/>
        </w:rPr>
        <w:t> </w:t>
      </w:r>
      <w:r>
        <w:rPr>
          <w:w w:val="105"/>
        </w:rPr>
        <w:t>to</w:t>
      </w:r>
      <w:r>
        <w:rPr>
          <w:spacing w:val="-17"/>
          <w:w w:val="105"/>
        </w:rPr>
        <w:t> </w:t>
      </w:r>
      <w:r>
        <w:rPr>
          <w:w w:val="105"/>
        </w:rPr>
        <w:t>43%</w:t>
      </w:r>
      <w:r>
        <w:rPr>
          <w:spacing w:val="-18"/>
          <w:w w:val="105"/>
        </w:rPr>
        <w:t> </w:t>
      </w:r>
      <w:r>
        <w:rPr>
          <w:w w:val="105"/>
        </w:rPr>
        <w:t>in</w:t>
      </w:r>
      <w:r>
        <w:rPr>
          <w:spacing w:val="-18"/>
          <w:w w:val="105"/>
        </w:rPr>
        <w:t> </w:t>
      </w:r>
      <w:r>
        <w:rPr>
          <w:w w:val="105"/>
        </w:rPr>
        <w:t>2021</w:t>
      </w:r>
      <w:r>
        <w:rPr>
          <w:spacing w:val="-17"/>
          <w:w w:val="105"/>
        </w:rPr>
        <w:t> </w:t>
      </w:r>
      <w:r>
        <w:rPr>
          <w:w w:val="105"/>
        </w:rPr>
        <w:t>(see</w:t>
      </w:r>
      <w:r>
        <w:rPr>
          <w:spacing w:val="-18"/>
          <w:w w:val="105"/>
        </w:rPr>
        <w:t> </w:t>
      </w:r>
      <w:r>
        <w:rPr>
          <w:w w:val="105"/>
        </w:rPr>
        <w:t>Figure</w:t>
      </w:r>
      <w:r>
        <w:rPr>
          <w:spacing w:val="-17"/>
          <w:w w:val="105"/>
        </w:rPr>
        <w:t> </w:t>
      </w:r>
      <w:r>
        <w:rPr>
          <w:w w:val="105"/>
        </w:rPr>
        <w:t>2.18).</w:t>
      </w:r>
      <w:r>
        <w:rPr>
          <w:w w:val="105"/>
          <w:vertAlign w:val="superscript"/>
        </w:rPr>
        <w:t>192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r>
        <w:rPr/>
        <w:pict>
          <v:shape style="position:absolute;margin-left:90pt;margin-top:17.196974pt;width:144pt;height:.1pt;mso-position-horizontal-relative:page;mso-position-vertical-relative:paragraph;z-index:-15680512;mso-wrap-distance-left:0;mso-wrap-distance-right:0" id="docshape83" coordorigin="1800,344" coordsize="2880,0" path="m1800,344l4680,344e" filled="false" stroked="true" strokeweight=".75pt" strokecolor="#000000">
            <v:path arrowok="t"/>
            <v:stroke dashstyle="solid"/>
            <w10:wrap type="topAndBottom"/>
          </v:shape>
        </w:pict>
      </w:r>
    </w:p>
    <w:p>
      <w:pPr>
        <w:spacing w:line="249" w:lineRule="auto" w:before="110"/>
        <w:ind w:left="760" w:right="783" w:firstLine="0"/>
        <w:jc w:val="left"/>
        <w:rPr>
          <w:sz w:val="20"/>
        </w:rPr>
      </w:pPr>
      <w:r>
        <w:rPr>
          <w:w w:val="105"/>
          <w:sz w:val="20"/>
          <w:vertAlign w:val="superscript"/>
        </w:rPr>
        <w:t>192</w:t>
      </w:r>
      <w:r>
        <w:rPr>
          <w:spacing w:val="-15"/>
          <w:w w:val="105"/>
          <w:sz w:val="20"/>
          <w:vertAlign w:val="baseline"/>
        </w:rPr>
        <w:t> </w:t>
      </w:r>
      <w:r>
        <w:rPr>
          <w:w w:val="105"/>
          <w:sz w:val="20"/>
          <w:vertAlign w:val="baseline"/>
        </w:rPr>
        <w:t>Here</w:t>
      </w:r>
      <w:r>
        <w:rPr>
          <w:spacing w:val="-15"/>
          <w:w w:val="105"/>
          <w:sz w:val="20"/>
          <w:vertAlign w:val="baseline"/>
        </w:rPr>
        <w:t> </w:t>
      </w:r>
      <w:r>
        <w:rPr>
          <w:w w:val="105"/>
          <w:sz w:val="20"/>
          <w:vertAlign w:val="baseline"/>
        </w:rPr>
        <w:t>we</w:t>
      </w:r>
      <w:r>
        <w:rPr>
          <w:spacing w:val="-14"/>
          <w:w w:val="105"/>
          <w:sz w:val="20"/>
          <w:vertAlign w:val="baseline"/>
        </w:rPr>
        <w:t> </w:t>
      </w:r>
      <w:r>
        <w:rPr>
          <w:w w:val="105"/>
          <w:sz w:val="20"/>
          <w:vertAlign w:val="baseline"/>
        </w:rPr>
        <w:t>deﬁne</w:t>
      </w:r>
      <w:r>
        <w:rPr>
          <w:spacing w:val="-15"/>
          <w:w w:val="105"/>
          <w:sz w:val="20"/>
          <w:vertAlign w:val="baseline"/>
        </w:rPr>
        <w:t> </w:t>
      </w:r>
      <w:r>
        <w:rPr>
          <w:w w:val="105"/>
          <w:sz w:val="20"/>
          <w:vertAlign w:val="baseline"/>
        </w:rPr>
        <w:t>public</w:t>
      </w:r>
      <w:r>
        <w:rPr>
          <w:spacing w:val="-14"/>
          <w:w w:val="105"/>
          <w:sz w:val="20"/>
          <w:vertAlign w:val="baseline"/>
        </w:rPr>
        <w:t> </w:t>
      </w:r>
      <w:r>
        <w:rPr>
          <w:w w:val="105"/>
          <w:sz w:val="20"/>
          <w:vertAlign w:val="baseline"/>
        </w:rPr>
        <w:t>sector</w:t>
      </w:r>
      <w:r>
        <w:rPr>
          <w:spacing w:val="-15"/>
          <w:w w:val="105"/>
          <w:sz w:val="20"/>
          <w:vertAlign w:val="baseline"/>
        </w:rPr>
        <w:t> </w:t>
      </w:r>
      <w:r>
        <w:rPr>
          <w:w w:val="105"/>
          <w:sz w:val="20"/>
          <w:vertAlign w:val="baseline"/>
        </w:rPr>
        <w:t>loans</w:t>
      </w:r>
      <w:r>
        <w:rPr>
          <w:spacing w:val="-15"/>
          <w:w w:val="105"/>
          <w:sz w:val="20"/>
          <w:vertAlign w:val="baseline"/>
        </w:rPr>
        <w:t> </w:t>
      </w:r>
      <w:r>
        <w:rPr>
          <w:w w:val="105"/>
          <w:sz w:val="20"/>
          <w:vertAlign w:val="baseline"/>
        </w:rPr>
        <w:t>as</w:t>
      </w:r>
      <w:r>
        <w:rPr>
          <w:spacing w:val="-14"/>
          <w:w w:val="105"/>
          <w:sz w:val="20"/>
          <w:vertAlign w:val="baseline"/>
        </w:rPr>
        <w:t> </w:t>
      </w:r>
      <w:r>
        <w:rPr>
          <w:w w:val="105"/>
          <w:sz w:val="20"/>
          <w:vertAlign w:val="baseline"/>
        </w:rPr>
        <w:t>the</w:t>
      </w:r>
      <w:r>
        <w:rPr>
          <w:spacing w:val="-15"/>
          <w:w w:val="105"/>
          <w:sz w:val="20"/>
          <w:vertAlign w:val="baseline"/>
        </w:rPr>
        <w:t> </w:t>
      </w:r>
      <w:r>
        <w:rPr>
          <w:w w:val="105"/>
          <w:sz w:val="20"/>
          <w:vertAlign w:val="baseline"/>
        </w:rPr>
        <w:t>sum</w:t>
      </w:r>
      <w:r>
        <w:rPr>
          <w:spacing w:val="-14"/>
          <w:w w:val="105"/>
          <w:sz w:val="20"/>
          <w:vertAlign w:val="baseline"/>
        </w:rPr>
        <w:t> </w:t>
      </w:r>
      <w:r>
        <w:rPr>
          <w:w w:val="105"/>
          <w:sz w:val="20"/>
          <w:vertAlign w:val="baseline"/>
        </w:rPr>
        <w:t>of</w:t>
      </w:r>
      <w:r>
        <w:rPr>
          <w:spacing w:val="-15"/>
          <w:w w:val="105"/>
          <w:sz w:val="20"/>
          <w:vertAlign w:val="baseline"/>
        </w:rPr>
        <w:t> </w:t>
      </w:r>
      <w:r>
        <w:rPr>
          <w:w w:val="105"/>
          <w:sz w:val="20"/>
          <w:vertAlign w:val="baseline"/>
        </w:rPr>
        <w:t>central</w:t>
      </w:r>
      <w:r>
        <w:rPr>
          <w:spacing w:val="-15"/>
          <w:w w:val="105"/>
          <w:sz w:val="20"/>
          <w:vertAlign w:val="baseline"/>
        </w:rPr>
        <w:t> </w:t>
      </w:r>
      <w:r>
        <w:rPr>
          <w:w w:val="105"/>
          <w:sz w:val="20"/>
          <w:vertAlign w:val="baseline"/>
        </w:rPr>
        <w:t>government</w:t>
      </w:r>
      <w:r>
        <w:rPr>
          <w:spacing w:val="-14"/>
          <w:w w:val="105"/>
          <w:sz w:val="20"/>
          <w:vertAlign w:val="baseline"/>
        </w:rPr>
        <w:t> </w:t>
      </w:r>
      <w:r>
        <w:rPr>
          <w:w w:val="105"/>
          <w:sz w:val="20"/>
          <w:vertAlign w:val="baseline"/>
        </w:rPr>
        <w:t>debt,</w:t>
      </w:r>
      <w:r>
        <w:rPr>
          <w:spacing w:val="-15"/>
          <w:w w:val="105"/>
          <w:sz w:val="20"/>
          <w:vertAlign w:val="baseline"/>
        </w:rPr>
        <w:t> </w:t>
      </w:r>
      <w:r>
        <w:rPr>
          <w:w w:val="105"/>
          <w:sz w:val="20"/>
          <w:vertAlign w:val="baseline"/>
        </w:rPr>
        <w:t>central government-guaranteed</w:t>
      </w:r>
      <w:r>
        <w:rPr>
          <w:spacing w:val="-13"/>
          <w:w w:val="105"/>
          <w:sz w:val="20"/>
          <w:vertAlign w:val="baseline"/>
        </w:rPr>
        <w:t> </w:t>
      </w:r>
      <w:r>
        <w:rPr>
          <w:w w:val="105"/>
          <w:sz w:val="20"/>
          <w:vertAlign w:val="baseline"/>
        </w:rPr>
        <w:t>debt,</w:t>
      </w:r>
      <w:r>
        <w:rPr>
          <w:spacing w:val="-13"/>
          <w:w w:val="105"/>
          <w:sz w:val="20"/>
          <w:vertAlign w:val="baseline"/>
        </w:rPr>
        <w:t> </w:t>
      </w:r>
      <w:r>
        <w:rPr>
          <w:w w:val="105"/>
          <w:sz w:val="20"/>
          <w:vertAlign w:val="baseline"/>
        </w:rPr>
        <w:t>and</w:t>
      </w:r>
      <w:r>
        <w:rPr>
          <w:spacing w:val="-13"/>
          <w:w w:val="105"/>
          <w:sz w:val="20"/>
          <w:vertAlign w:val="baseline"/>
        </w:rPr>
        <w:t> </w:t>
      </w:r>
      <w:r>
        <w:rPr>
          <w:w w:val="105"/>
          <w:sz w:val="20"/>
          <w:vertAlign w:val="baseline"/>
        </w:rPr>
        <w:t>other</w:t>
      </w:r>
      <w:r>
        <w:rPr>
          <w:spacing w:val="-13"/>
          <w:w w:val="105"/>
          <w:sz w:val="20"/>
          <w:vertAlign w:val="baseline"/>
        </w:rPr>
        <w:t> </w:t>
      </w:r>
      <w:r>
        <w:rPr>
          <w:w w:val="105"/>
          <w:sz w:val="20"/>
          <w:vertAlign w:val="baseline"/>
        </w:rPr>
        <w:t>public</w:t>
      </w:r>
      <w:r>
        <w:rPr>
          <w:spacing w:val="-13"/>
          <w:w w:val="105"/>
          <w:sz w:val="20"/>
          <w:vertAlign w:val="baseline"/>
        </w:rPr>
        <w:t> </w:t>
      </w:r>
      <w:r>
        <w:rPr>
          <w:w w:val="105"/>
          <w:sz w:val="20"/>
          <w:vertAlign w:val="baseline"/>
        </w:rPr>
        <w:t>sector</w:t>
      </w:r>
      <w:r>
        <w:rPr>
          <w:spacing w:val="-13"/>
          <w:w w:val="105"/>
          <w:sz w:val="20"/>
          <w:vertAlign w:val="baseline"/>
        </w:rPr>
        <w:t> </w:t>
      </w:r>
      <w:r>
        <w:rPr>
          <w:w w:val="105"/>
          <w:sz w:val="20"/>
          <w:vertAlign w:val="baseline"/>
        </w:rPr>
        <w:t>debt</w:t>
      </w:r>
      <w:r>
        <w:rPr>
          <w:spacing w:val="-13"/>
          <w:w w:val="105"/>
          <w:sz w:val="20"/>
          <w:vertAlign w:val="baseline"/>
        </w:rPr>
        <w:t> </w:t>
      </w:r>
      <w:r>
        <w:rPr>
          <w:w w:val="105"/>
          <w:sz w:val="20"/>
          <w:vertAlign w:val="baseline"/>
        </w:rPr>
        <w:t>(as</w:t>
      </w:r>
      <w:r>
        <w:rPr>
          <w:spacing w:val="-13"/>
          <w:w w:val="105"/>
          <w:sz w:val="20"/>
          <w:vertAlign w:val="baseline"/>
        </w:rPr>
        <w:t> </w:t>
      </w:r>
      <w:r>
        <w:rPr>
          <w:w w:val="105"/>
          <w:sz w:val="20"/>
          <w:vertAlign w:val="baseline"/>
        </w:rPr>
        <w:t>described</w:t>
      </w:r>
      <w:r>
        <w:rPr>
          <w:spacing w:val="-13"/>
          <w:w w:val="105"/>
          <w:sz w:val="20"/>
          <w:vertAlign w:val="baseline"/>
        </w:rPr>
        <w:t> </w:t>
      </w:r>
      <w:r>
        <w:rPr>
          <w:w w:val="105"/>
          <w:sz w:val="20"/>
          <w:vertAlign w:val="baseline"/>
        </w:rPr>
        <w:t>in</w:t>
      </w:r>
      <w:r>
        <w:rPr>
          <w:spacing w:val="-13"/>
          <w:w w:val="105"/>
          <w:sz w:val="20"/>
          <w:vertAlign w:val="baseline"/>
        </w:rPr>
        <w:t> </w:t>
      </w:r>
      <w:r>
        <w:rPr>
          <w:w w:val="105"/>
          <w:sz w:val="20"/>
          <w:vertAlign w:val="baseline"/>
        </w:rPr>
        <w:t>Section</w:t>
      </w:r>
      <w:r>
        <w:rPr>
          <w:spacing w:val="-13"/>
          <w:w w:val="105"/>
          <w:sz w:val="20"/>
          <w:vertAlign w:val="baseline"/>
        </w:rPr>
        <w:t> </w:t>
      </w:r>
      <w:r>
        <w:rPr>
          <w:w w:val="105"/>
          <w:sz w:val="20"/>
          <w:vertAlign w:val="baseline"/>
        </w:rPr>
        <w:t>A-5</w:t>
      </w:r>
      <w:r>
        <w:rPr>
          <w:spacing w:val="-13"/>
          <w:w w:val="105"/>
          <w:sz w:val="20"/>
          <w:vertAlign w:val="baseline"/>
        </w:rPr>
        <w:t> </w:t>
      </w:r>
      <w:r>
        <w:rPr>
          <w:w w:val="105"/>
          <w:sz w:val="20"/>
          <w:vertAlign w:val="baseline"/>
        </w:rPr>
        <w:t>in</w:t>
      </w:r>
      <w:r>
        <w:rPr>
          <w:spacing w:val="-13"/>
          <w:w w:val="105"/>
          <w:sz w:val="20"/>
          <w:vertAlign w:val="baseline"/>
        </w:rPr>
        <w:t> </w:t>
      </w:r>
      <w:r>
        <w:rPr>
          <w:w w:val="105"/>
          <w:sz w:val="20"/>
          <w:vertAlign w:val="baseline"/>
        </w:rPr>
        <w:t>the </w:t>
      </w:r>
      <w:r>
        <w:rPr>
          <w:sz w:val="20"/>
          <w:vertAlign w:val="baseline"/>
        </w:rPr>
        <w:t>Appendix), which is consistent with the IDS deﬁnition of PPG debt. In the Appendix, we replicate this graph for China’s total (emergency and non-emergency) lending commitments to borrowers in</w:t>
      </w:r>
      <w:r>
        <w:rPr>
          <w:spacing w:val="-1"/>
          <w:sz w:val="20"/>
          <w:vertAlign w:val="baseline"/>
        </w:rPr>
        <w:t> </w:t>
      </w:r>
      <w:r>
        <w:rPr>
          <w:sz w:val="20"/>
          <w:vertAlign w:val="baseline"/>
        </w:rPr>
        <w:t>LIC</w:t>
      </w:r>
      <w:r>
        <w:rPr>
          <w:spacing w:val="-1"/>
          <w:sz w:val="20"/>
          <w:vertAlign w:val="baseline"/>
        </w:rPr>
        <w:t> </w:t>
      </w:r>
      <w:r>
        <w:rPr>
          <w:sz w:val="20"/>
          <w:vertAlign w:val="baseline"/>
        </w:rPr>
        <w:t>and</w:t>
      </w:r>
      <w:r>
        <w:rPr>
          <w:spacing w:val="-1"/>
          <w:sz w:val="20"/>
          <w:vertAlign w:val="baseline"/>
        </w:rPr>
        <w:t> </w:t>
      </w:r>
      <w:r>
        <w:rPr>
          <w:sz w:val="20"/>
          <w:vertAlign w:val="baseline"/>
        </w:rPr>
        <w:t>MICs</w:t>
      </w:r>
      <w:r>
        <w:rPr>
          <w:spacing w:val="-1"/>
          <w:sz w:val="20"/>
          <w:vertAlign w:val="baseline"/>
        </w:rPr>
        <w:t> </w:t>
      </w:r>
      <w:r>
        <w:rPr>
          <w:sz w:val="20"/>
          <w:vertAlign w:val="baseline"/>
        </w:rPr>
        <w:t>(see</w:t>
      </w:r>
      <w:r>
        <w:rPr>
          <w:spacing w:val="-1"/>
          <w:sz w:val="20"/>
          <w:vertAlign w:val="baseline"/>
        </w:rPr>
        <w:t> </w:t>
      </w:r>
      <w:r>
        <w:rPr>
          <w:sz w:val="20"/>
          <w:vertAlign w:val="baseline"/>
        </w:rPr>
        <w:t>Figure</w:t>
      </w:r>
      <w:r>
        <w:rPr>
          <w:spacing w:val="-1"/>
          <w:sz w:val="20"/>
          <w:vertAlign w:val="baseline"/>
        </w:rPr>
        <w:t> </w:t>
      </w:r>
      <w:r>
        <w:rPr>
          <w:sz w:val="20"/>
          <w:vertAlign w:val="baseline"/>
        </w:rPr>
        <w:t>A10).</w:t>
      </w:r>
      <w:r>
        <w:rPr>
          <w:spacing w:val="-1"/>
          <w:sz w:val="20"/>
          <w:vertAlign w:val="baseline"/>
        </w:rPr>
        <w:t> </w:t>
      </w:r>
      <w:r>
        <w:rPr>
          <w:sz w:val="20"/>
          <w:vertAlign w:val="baseline"/>
        </w:rPr>
        <w:t>The</w:t>
      </w:r>
      <w:r>
        <w:rPr>
          <w:spacing w:val="-1"/>
          <w:sz w:val="20"/>
          <w:vertAlign w:val="baseline"/>
        </w:rPr>
        <w:t> </w:t>
      </w:r>
      <w:r>
        <w:rPr>
          <w:sz w:val="20"/>
          <w:vertAlign w:val="baseline"/>
        </w:rPr>
        <w:t>incorporation</w:t>
      </w:r>
      <w:r>
        <w:rPr>
          <w:spacing w:val="-1"/>
          <w:sz w:val="20"/>
          <w:vertAlign w:val="baseline"/>
        </w:rPr>
        <w:t> </w:t>
      </w:r>
      <w:r>
        <w:rPr>
          <w:sz w:val="20"/>
          <w:vertAlign w:val="baseline"/>
        </w:rPr>
        <w:t>of</w:t>
      </w:r>
      <w:r>
        <w:rPr>
          <w:spacing w:val="-1"/>
          <w:sz w:val="20"/>
          <w:vertAlign w:val="baseline"/>
        </w:rPr>
        <w:t> </w:t>
      </w:r>
      <w:r>
        <w:rPr>
          <w:sz w:val="20"/>
          <w:vertAlign w:val="baseline"/>
        </w:rPr>
        <w:t>China’s</w:t>
      </w:r>
      <w:r>
        <w:rPr>
          <w:spacing w:val="-1"/>
          <w:sz w:val="20"/>
          <w:vertAlign w:val="baseline"/>
        </w:rPr>
        <w:t> </w:t>
      </w:r>
      <w:r>
        <w:rPr>
          <w:sz w:val="20"/>
          <w:vertAlign w:val="baseline"/>
        </w:rPr>
        <w:t>emergency</w:t>
      </w:r>
      <w:r>
        <w:rPr>
          <w:spacing w:val="-1"/>
          <w:sz w:val="20"/>
          <w:vertAlign w:val="baseline"/>
        </w:rPr>
        <w:t> </w:t>
      </w:r>
      <w:r>
        <w:rPr>
          <w:sz w:val="20"/>
          <w:vertAlign w:val="baseline"/>
        </w:rPr>
        <w:t>lending</w:t>
      </w:r>
      <w:r>
        <w:rPr>
          <w:spacing w:val="-1"/>
          <w:sz w:val="20"/>
          <w:vertAlign w:val="baseline"/>
        </w:rPr>
        <w:t> </w:t>
      </w:r>
      <w:r>
        <w:rPr>
          <w:sz w:val="20"/>
          <w:vertAlign w:val="baseline"/>
        </w:rPr>
        <w:t>commitments </w:t>
      </w:r>
      <w:r>
        <w:rPr>
          <w:w w:val="105"/>
          <w:sz w:val="20"/>
          <w:vertAlign w:val="baseline"/>
        </w:rPr>
        <w:t>disguises</w:t>
      </w:r>
      <w:r>
        <w:rPr>
          <w:spacing w:val="-15"/>
          <w:w w:val="105"/>
          <w:sz w:val="20"/>
          <w:vertAlign w:val="baseline"/>
        </w:rPr>
        <w:t> </w:t>
      </w:r>
      <w:r>
        <w:rPr>
          <w:w w:val="105"/>
          <w:sz w:val="20"/>
          <w:vertAlign w:val="baseline"/>
        </w:rPr>
        <w:t>the</w:t>
      </w:r>
      <w:r>
        <w:rPr>
          <w:spacing w:val="-15"/>
          <w:w w:val="105"/>
          <w:sz w:val="20"/>
          <w:vertAlign w:val="baseline"/>
        </w:rPr>
        <w:t> </w:t>
      </w:r>
      <w:r>
        <w:rPr>
          <w:w w:val="105"/>
          <w:sz w:val="20"/>
          <w:vertAlign w:val="baseline"/>
        </w:rPr>
        <w:t>pivot</w:t>
      </w:r>
      <w:r>
        <w:rPr>
          <w:spacing w:val="-14"/>
          <w:w w:val="105"/>
          <w:sz w:val="20"/>
          <w:vertAlign w:val="baseline"/>
        </w:rPr>
        <w:t> </w:t>
      </w:r>
      <w:r>
        <w:rPr>
          <w:w w:val="105"/>
          <w:sz w:val="20"/>
          <w:vertAlign w:val="baseline"/>
        </w:rPr>
        <w:t>away</w:t>
      </w:r>
      <w:r>
        <w:rPr>
          <w:spacing w:val="-15"/>
          <w:w w:val="105"/>
          <w:sz w:val="20"/>
          <w:vertAlign w:val="baseline"/>
        </w:rPr>
        <w:t> </w:t>
      </w:r>
      <w:r>
        <w:rPr>
          <w:w w:val="105"/>
          <w:sz w:val="20"/>
          <w:vertAlign w:val="baseline"/>
        </w:rPr>
        <w:t>from</w:t>
      </w:r>
      <w:r>
        <w:rPr>
          <w:spacing w:val="-14"/>
          <w:w w:val="105"/>
          <w:sz w:val="20"/>
          <w:vertAlign w:val="baseline"/>
        </w:rPr>
        <w:t> </w:t>
      </w:r>
      <w:r>
        <w:rPr>
          <w:w w:val="105"/>
          <w:sz w:val="20"/>
          <w:vertAlign w:val="baseline"/>
        </w:rPr>
        <w:t>public</w:t>
      </w:r>
      <w:r>
        <w:rPr>
          <w:spacing w:val="-15"/>
          <w:w w:val="105"/>
          <w:sz w:val="20"/>
          <w:vertAlign w:val="baseline"/>
        </w:rPr>
        <w:t> </w:t>
      </w:r>
      <w:r>
        <w:rPr>
          <w:w w:val="105"/>
          <w:sz w:val="20"/>
          <w:vertAlign w:val="baseline"/>
        </w:rPr>
        <w:t>sector</w:t>
      </w:r>
      <w:r>
        <w:rPr>
          <w:spacing w:val="-15"/>
          <w:w w:val="105"/>
          <w:sz w:val="20"/>
          <w:vertAlign w:val="baseline"/>
        </w:rPr>
        <w:t> </w:t>
      </w:r>
      <w:r>
        <w:rPr>
          <w:w w:val="105"/>
          <w:sz w:val="20"/>
          <w:vertAlign w:val="baseline"/>
        </w:rPr>
        <w:t>lending</w:t>
      </w:r>
      <w:r>
        <w:rPr>
          <w:spacing w:val="-14"/>
          <w:w w:val="105"/>
          <w:sz w:val="20"/>
          <w:vertAlign w:val="baseline"/>
        </w:rPr>
        <w:t> </w:t>
      </w:r>
      <w:r>
        <w:rPr>
          <w:w w:val="105"/>
          <w:sz w:val="20"/>
          <w:vertAlign w:val="baseline"/>
        </w:rPr>
        <w:t>and</w:t>
      </w:r>
      <w:r>
        <w:rPr>
          <w:spacing w:val="-15"/>
          <w:w w:val="105"/>
          <w:sz w:val="20"/>
          <w:vertAlign w:val="baseline"/>
        </w:rPr>
        <w:t> </w:t>
      </w:r>
      <w:r>
        <w:rPr>
          <w:w w:val="105"/>
          <w:sz w:val="20"/>
          <w:vertAlign w:val="baseline"/>
        </w:rPr>
        <w:t>toward</w:t>
      </w:r>
      <w:r>
        <w:rPr>
          <w:spacing w:val="-14"/>
          <w:w w:val="105"/>
          <w:sz w:val="20"/>
          <w:vertAlign w:val="baseline"/>
        </w:rPr>
        <w:t> </w:t>
      </w:r>
      <w:r>
        <w:rPr>
          <w:w w:val="105"/>
          <w:sz w:val="20"/>
          <w:vertAlign w:val="baseline"/>
        </w:rPr>
        <w:t>private</w:t>
      </w:r>
      <w:r>
        <w:rPr>
          <w:spacing w:val="-15"/>
          <w:w w:val="105"/>
          <w:sz w:val="20"/>
          <w:vertAlign w:val="baseline"/>
        </w:rPr>
        <w:t> </w:t>
      </w:r>
      <w:r>
        <w:rPr>
          <w:w w:val="105"/>
          <w:sz w:val="20"/>
          <w:vertAlign w:val="baseline"/>
        </w:rPr>
        <w:t>sector</w:t>
      </w:r>
      <w:r>
        <w:rPr>
          <w:spacing w:val="-15"/>
          <w:w w:val="105"/>
          <w:sz w:val="20"/>
          <w:vertAlign w:val="baseline"/>
        </w:rPr>
        <w:t> </w:t>
      </w:r>
      <w:r>
        <w:rPr>
          <w:w w:val="105"/>
          <w:sz w:val="20"/>
          <w:vertAlign w:val="baseline"/>
        </w:rPr>
        <w:t>lending</w:t>
      </w:r>
      <w:r>
        <w:rPr>
          <w:spacing w:val="-14"/>
          <w:w w:val="105"/>
          <w:sz w:val="20"/>
          <w:vertAlign w:val="baseline"/>
        </w:rPr>
        <w:t> </w:t>
      </w:r>
      <w:r>
        <w:rPr>
          <w:w w:val="105"/>
          <w:sz w:val="20"/>
          <w:vertAlign w:val="baseline"/>
        </w:rPr>
        <w:t>(as </w:t>
      </w:r>
      <w:r>
        <w:rPr>
          <w:sz w:val="20"/>
          <w:vertAlign w:val="baseline"/>
        </w:rPr>
        <w:t>emergency lending commitments are large and exclusively channeled to sovereign borrowers).</w:t>
      </w:r>
    </w:p>
    <w:p>
      <w:pPr>
        <w:spacing w:after="0" w:line="249" w:lineRule="auto"/>
        <w:jc w:val="left"/>
        <w:rPr>
          <w:sz w:val="20"/>
        </w:rPr>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84"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2.18</w:t>
                  </w:r>
                </w:p>
              </w:txbxContent>
            </v:textbox>
            <v:fill type="solid"/>
          </v:shape>
        </w:pict>
      </w:r>
      <w:r>
        <w:rPr>
          <w:sz w:val="20"/>
        </w:rPr>
      </w:r>
    </w:p>
    <w:p>
      <w:pPr>
        <w:pStyle w:val="BodyText"/>
        <w:spacing w:before="9"/>
        <w:rPr>
          <w:sz w:val="13"/>
        </w:rPr>
      </w:pPr>
      <w:r>
        <w:rPr/>
        <w:drawing>
          <wp:anchor distT="0" distB="0" distL="0" distR="0" allowOverlap="1" layoutInCell="1" locked="0" behindDoc="0" simplePos="0" relativeHeight="96">
            <wp:simplePos x="0" y="0"/>
            <wp:positionH relativeFrom="page">
              <wp:posOffset>1250540</wp:posOffset>
            </wp:positionH>
            <wp:positionV relativeFrom="paragraph">
              <wp:posOffset>116075</wp:posOffset>
            </wp:positionV>
            <wp:extent cx="5246193" cy="4692586"/>
            <wp:effectExtent l="0" t="0" r="0" b="0"/>
            <wp:wrapTopAndBottom/>
            <wp:docPr id="35" name="image19.jpeg"/>
            <wp:cNvGraphicFramePr>
              <a:graphicFrameLocks noChangeAspect="1"/>
            </wp:cNvGraphicFramePr>
            <a:graphic>
              <a:graphicData uri="http://schemas.openxmlformats.org/drawingml/2006/picture">
                <pic:pic>
                  <pic:nvPicPr>
                    <pic:cNvPr id="36" name="image19.jpeg"/>
                    <pic:cNvPicPr/>
                  </pic:nvPicPr>
                  <pic:blipFill>
                    <a:blip r:embed="rId30" cstate="print"/>
                    <a:stretch>
                      <a:fillRect/>
                    </a:stretch>
                  </pic:blipFill>
                  <pic:spPr>
                    <a:xfrm>
                      <a:off x="0" y="0"/>
                      <a:ext cx="5246193" cy="4692586"/>
                    </a:xfrm>
                    <a:prstGeom prst="rect">
                      <a:avLst/>
                    </a:prstGeom>
                  </pic:spPr>
                </pic:pic>
              </a:graphicData>
            </a:graphic>
          </wp:anchor>
        </w:drawing>
      </w:r>
    </w:p>
    <w:p>
      <w:pPr>
        <w:pStyle w:val="BodyText"/>
        <w:rPr>
          <w:sz w:val="20"/>
        </w:rPr>
      </w:pPr>
    </w:p>
    <w:p>
      <w:pPr>
        <w:pStyle w:val="BodyText"/>
        <w:spacing w:before="9"/>
        <w:rPr>
          <w:sz w:val="17"/>
        </w:rPr>
      </w:pPr>
    </w:p>
    <w:p>
      <w:pPr>
        <w:spacing w:line="333" w:lineRule="auto" w:before="72"/>
        <w:ind w:left="760" w:right="825" w:firstLine="0"/>
        <w:jc w:val="left"/>
        <w:rPr>
          <w:i/>
          <w:sz w:val="18"/>
        </w:rPr>
      </w:pPr>
      <w:r>
        <w:rPr>
          <w:i/>
          <w:sz w:val="18"/>
        </w:rPr>
        <w:t>Notes: This graph shows the composition of China’s non-emergency lending portfolio (as measured in </w:t>
      </w:r>
      <w:r>
        <w:rPr>
          <w:i/>
          <w:sz w:val="18"/>
        </w:rPr>
        <w:t>2021</w:t>
      </w:r>
      <w:r>
        <w:rPr>
          <w:i/>
          <w:sz w:val="18"/>
        </w:rPr>
        <w:t> constant USD) in LICs and MICs according to the extent to which host governments may eventually be</w:t>
      </w:r>
      <w:r>
        <w:rPr>
          <w:i/>
          <w:spacing w:val="40"/>
          <w:sz w:val="18"/>
        </w:rPr>
        <w:t> </w:t>
      </w:r>
      <w:r>
        <w:rPr>
          <w:i/>
          <w:sz w:val="18"/>
        </w:rPr>
        <w:t>liable</w:t>
      </w:r>
      <w:r>
        <w:rPr>
          <w:i/>
          <w:spacing w:val="24"/>
          <w:sz w:val="18"/>
        </w:rPr>
        <w:t> </w:t>
      </w:r>
      <w:r>
        <w:rPr>
          <w:i/>
          <w:sz w:val="18"/>
        </w:rPr>
        <w:t>for</w:t>
      </w:r>
      <w:r>
        <w:rPr>
          <w:i/>
          <w:spacing w:val="24"/>
          <w:sz w:val="18"/>
        </w:rPr>
        <w:t> </w:t>
      </w:r>
      <w:r>
        <w:rPr>
          <w:i/>
          <w:sz w:val="18"/>
        </w:rPr>
        <w:t>debt</w:t>
      </w:r>
      <w:r>
        <w:rPr>
          <w:i/>
          <w:spacing w:val="24"/>
          <w:sz w:val="18"/>
        </w:rPr>
        <w:t> </w:t>
      </w:r>
      <w:r>
        <w:rPr>
          <w:i/>
          <w:sz w:val="18"/>
        </w:rPr>
        <w:t>repayment.</w:t>
      </w:r>
      <w:r>
        <w:rPr>
          <w:i/>
          <w:spacing w:val="24"/>
          <w:sz w:val="18"/>
        </w:rPr>
        <w:t> </w:t>
      </w:r>
      <w:r>
        <w:rPr>
          <w:i/>
          <w:sz w:val="18"/>
        </w:rPr>
        <w:t>Central</w:t>
      </w:r>
      <w:r>
        <w:rPr>
          <w:i/>
          <w:spacing w:val="24"/>
          <w:sz w:val="18"/>
        </w:rPr>
        <w:t> </w:t>
      </w:r>
      <w:r>
        <w:rPr>
          <w:i/>
          <w:sz w:val="18"/>
        </w:rPr>
        <w:t>government</w:t>
      </w:r>
      <w:r>
        <w:rPr>
          <w:i/>
          <w:spacing w:val="24"/>
          <w:sz w:val="18"/>
        </w:rPr>
        <w:t> </w:t>
      </w:r>
      <w:r>
        <w:rPr>
          <w:i/>
          <w:sz w:val="18"/>
        </w:rPr>
        <w:t>debt</w:t>
      </w:r>
      <w:r>
        <w:rPr>
          <w:i/>
          <w:spacing w:val="24"/>
          <w:sz w:val="18"/>
        </w:rPr>
        <w:t> </w:t>
      </w:r>
      <w:r>
        <w:rPr>
          <w:i/>
          <w:sz w:val="18"/>
        </w:rPr>
        <w:t>and</w:t>
      </w:r>
      <w:r>
        <w:rPr>
          <w:i/>
          <w:spacing w:val="24"/>
          <w:sz w:val="18"/>
        </w:rPr>
        <w:t> </w:t>
      </w:r>
      <w:r>
        <w:rPr>
          <w:i/>
          <w:sz w:val="18"/>
        </w:rPr>
        <w:t>other</w:t>
      </w:r>
      <w:r>
        <w:rPr>
          <w:i/>
          <w:spacing w:val="24"/>
          <w:sz w:val="18"/>
        </w:rPr>
        <w:t> </w:t>
      </w:r>
      <w:r>
        <w:rPr>
          <w:i/>
          <w:sz w:val="18"/>
        </w:rPr>
        <w:t>public</w:t>
      </w:r>
      <w:r>
        <w:rPr>
          <w:i/>
          <w:spacing w:val="24"/>
          <w:sz w:val="18"/>
        </w:rPr>
        <w:t> </w:t>
      </w:r>
      <w:r>
        <w:rPr>
          <w:i/>
          <w:sz w:val="18"/>
        </w:rPr>
        <w:t>sector</w:t>
      </w:r>
      <w:r>
        <w:rPr>
          <w:i/>
          <w:spacing w:val="24"/>
          <w:sz w:val="18"/>
        </w:rPr>
        <w:t> </w:t>
      </w:r>
      <w:r>
        <w:rPr>
          <w:i/>
          <w:sz w:val="18"/>
        </w:rPr>
        <w:t>debt</w:t>
      </w:r>
      <w:r>
        <w:rPr>
          <w:i/>
          <w:spacing w:val="24"/>
          <w:sz w:val="18"/>
        </w:rPr>
        <w:t> </w:t>
      </w:r>
      <w:r>
        <w:rPr>
          <w:i/>
          <w:sz w:val="18"/>
        </w:rPr>
        <w:t>represent</w:t>
      </w:r>
      <w:r>
        <w:rPr>
          <w:i/>
          <w:spacing w:val="24"/>
          <w:sz w:val="18"/>
        </w:rPr>
        <w:t> </w:t>
      </w:r>
      <w:r>
        <w:rPr>
          <w:i/>
          <w:sz w:val="18"/>
        </w:rPr>
        <w:t>loans</w:t>
      </w:r>
      <w:r>
        <w:rPr>
          <w:i/>
          <w:spacing w:val="24"/>
          <w:sz w:val="18"/>
        </w:rPr>
        <w:t> </w:t>
      </w:r>
      <w:r>
        <w:rPr>
          <w:i/>
          <w:sz w:val="18"/>
        </w:rPr>
        <w:t>where the borrower is a government agency or a wholly- or majority-owned state entity. Central government debt represents loans that have a sovereign guarantee from the host government. Potential public debt represents loans to entities (including special purpose vehicles or joint ventures) where the host</w:t>
      </w:r>
      <w:r>
        <w:rPr>
          <w:i/>
          <w:spacing w:val="80"/>
          <w:sz w:val="18"/>
        </w:rPr>
        <w:t> </w:t>
      </w:r>
      <w:r>
        <w:rPr>
          <w:i/>
          <w:sz w:val="18"/>
        </w:rPr>
        <w:t>government has a minority stake. Private debt captures loans to private entities.</w:t>
      </w:r>
    </w:p>
    <w:p>
      <w:pPr>
        <w:pStyle w:val="BodyText"/>
        <w:rPr>
          <w:i/>
          <w:sz w:val="18"/>
        </w:rPr>
      </w:pPr>
    </w:p>
    <w:p>
      <w:pPr>
        <w:pStyle w:val="BodyText"/>
        <w:spacing w:line="333" w:lineRule="auto" w:before="110"/>
        <w:ind w:left="760" w:right="767"/>
      </w:pPr>
      <w:r>
        <w:rPr/>
        <w:t>Another potential de-risking strategy is to take a differentiated approach across </w:t>
      </w:r>
      <w:r>
        <w:rPr>
          <w:spacing w:val="-2"/>
          <w:w w:val="105"/>
        </w:rPr>
        <w:t>borrower</w:t>
      </w:r>
      <w:r>
        <w:rPr>
          <w:spacing w:val="-9"/>
          <w:w w:val="105"/>
        </w:rPr>
        <w:t> </w:t>
      </w:r>
      <w:r>
        <w:rPr>
          <w:spacing w:val="-2"/>
          <w:w w:val="105"/>
        </w:rPr>
        <w:t>countries</w:t>
      </w:r>
      <w:r>
        <w:rPr>
          <w:spacing w:val="-9"/>
          <w:w w:val="105"/>
        </w:rPr>
        <w:t> </w:t>
      </w:r>
      <w:r>
        <w:rPr>
          <w:spacing w:val="-2"/>
          <w:w w:val="105"/>
        </w:rPr>
        <w:t>that</w:t>
      </w:r>
      <w:r>
        <w:rPr>
          <w:spacing w:val="-9"/>
          <w:w w:val="105"/>
        </w:rPr>
        <w:t> </w:t>
      </w:r>
      <w:r>
        <w:rPr>
          <w:spacing w:val="-2"/>
          <w:w w:val="105"/>
        </w:rPr>
        <w:t>present</w:t>
      </w:r>
      <w:r>
        <w:rPr>
          <w:spacing w:val="-9"/>
          <w:w w:val="105"/>
        </w:rPr>
        <w:t> </w:t>
      </w:r>
      <w:r>
        <w:rPr>
          <w:spacing w:val="-2"/>
          <w:w w:val="105"/>
        </w:rPr>
        <w:t>varying</w:t>
      </w:r>
      <w:r>
        <w:rPr>
          <w:spacing w:val="-9"/>
          <w:w w:val="105"/>
        </w:rPr>
        <w:t> </w:t>
      </w:r>
      <w:r>
        <w:rPr>
          <w:spacing w:val="-2"/>
          <w:w w:val="105"/>
        </w:rPr>
        <w:t>levels</w:t>
      </w:r>
      <w:r>
        <w:rPr>
          <w:spacing w:val="-9"/>
          <w:w w:val="105"/>
        </w:rPr>
        <w:t> </w:t>
      </w:r>
      <w:r>
        <w:rPr>
          <w:spacing w:val="-2"/>
          <w:w w:val="105"/>
        </w:rPr>
        <w:t>of</w:t>
      </w:r>
      <w:r>
        <w:rPr>
          <w:spacing w:val="-9"/>
          <w:w w:val="105"/>
        </w:rPr>
        <w:t> </w:t>
      </w:r>
      <w:r>
        <w:rPr>
          <w:spacing w:val="-2"/>
          <w:w w:val="105"/>
        </w:rPr>
        <w:t>repayment</w:t>
      </w:r>
      <w:r>
        <w:rPr>
          <w:spacing w:val="-9"/>
          <w:w w:val="105"/>
        </w:rPr>
        <w:t> </w:t>
      </w:r>
      <w:r>
        <w:rPr>
          <w:spacing w:val="-2"/>
          <w:w w:val="105"/>
        </w:rPr>
        <w:t>risk.</w:t>
      </w:r>
      <w:r>
        <w:rPr>
          <w:spacing w:val="-9"/>
          <w:w w:val="105"/>
        </w:rPr>
        <w:t> </w:t>
      </w:r>
      <w:r>
        <w:rPr>
          <w:spacing w:val="-2"/>
          <w:w w:val="105"/>
        </w:rPr>
        <w:t>Figures</w:t>
      </w:r>
      <w:r>
        <w:rPr>
          <w:spacing w:val="-9"/>
          <w:w w:val="105"/>
        </w:rPr>
        <w:t> </w:t>
      </w:r>
      <w:r>
        <w:rPr>
          <w:spacing w:val="-2"/>
          <w:w w:val="105"/>
        </w:rPr>
        <w:t>A22 </w:t>
      </w:r>
      <w:r>
        <w:rPr>
          <w:w w:val="105"/>
        </w:rPr>
        <w:t>and</w:t>
      </w:r>
      <w:r>
        <w:rPr>
          <w:spacing w:val="-12"/>
          <w:w w:val="105"/>
        </w:rPr>
        <w:t> </w:t>
      </w:r>
      <w:r>
        <w:rPr>
          <w:w w:val="105"/>
        </w:rPr>
        <w:t>A23</w:t>
      </w:r>
      <w:r>
        <w:rPr>
          <w:spacing w:val="-12"/>
          <w:w w:val="105"/>
        </w:rPr>
        <w:t> </w:t>
      </w:r>
      <w:r>
        <w:rPr>
          <w:w w:val="105"/>
        </w:rPr>
        <w:t>provide</w:t>
      </w:r>
      <w:r>
        <w:rPr>
          <w:spacing w:val="-12"/>
          <w:w w:val="105"/>
        </w:rPr>
        <w:t> </w:t>
      </w:r>
      <w:r>
        <w:rPr>
          <w:w w:val="105"/>
        </w:rPr>
        <w:t>evidence</w:t>
      </w:r>
      <w:r>
        <w:rPr>
          <w:spacing w:val="-12"/>
          <w:w w:val="105"/>
        </w:rPr>
        <w:t> </w:t>
      </w:r>
      <w:r>
        <w:rPr>
          <w:w w:val="105"/>
        </w:rPr>
        <w:t>that</w:t>
      </w:r>
      <w:r>
        <w:rPr>
          <w:spacing w:val="-12"/>
          <w:w w:val="105"/>
        </w:rPr>
        <w:t> </w:t>
      </w:r>
      <w:r>
        <w:rPr>
          <w:w w:val="105"/>
        </w:rPr>
        <w:t>suggests</w:t>
      </w:r>
      <w:r>
        <w:rPr>
          <w:spacing w:val="-12"/>
          <w:w w:val="105"/>
        </w:rPr>
        <w:t> </w:t>
      </w:r>
      <w:r>
        <w:rPr>
          <w:w w:val="105"/>
        </w:rPr>
        <w:t>Beijing</w:t>
      </w:r>
      <w:r>
        <w:rPr>
          <w:spacing w:val="-12"/>
          <w:w w:val="105"/>
        </w:rPr>
        <w:t> </w:t>
      </w:r>
      <w:r>
        <w:rPr>
          <w:w w:val="105"/>
        </w:rPr>
        <w:t>is</w:t>
      </w:r>
      <w:r>
        <w:rPr>
          <w:spacing w:val="-12"/>
          <w:w w:val="105"/>
        </w:rPr>
        <w:t> </w:t>
      </w:r>
      <w:r>
        <w:rPr>
          <w:w w:val="105"/>
        </w:rPr>
        <w:t>adopting</w:t>
      </w:r>
      <w:r>
        <w:rPr>
          <w:spacing w:val="-12"/>
          <w:w w:val="105"/>
        </w:rPr>
        <w:t> </w:t>
      </w:r>
      <w:r>
        <w:rPr>
          <w:w w:val="105"/>
        </w:rPr>
        <w:t>this</w:t>
      </w:r>
      <w:r>
        <w:rPr>
          <w:spacing w:val="-12"/>
          <w:w w:val="105"/>
        </w:rPr>
        <w:t> </w:t>
      </w:r>
      <w:r>
        <w:rPr>
          <w:w w:val="105"/>
        </w:rPr>
        <w:t>approach: </w:t>
      </w:r>
      <w:r>
        <w:rPr/>
        <w:t>Chinese state-owned creditors have lent to ﬁnancially distressed countries at higher interest rates and with shorter repayment periods than countries that </w:t>
      </w:r>
      <w:r>
        <w:rPr/>
        <w:t>are</w:t>
      </w:r>
    </w:p>
    <w:p>
      <w:pPr>
        <w:spacing w:after="0" w:line="333" w:lineRule="auto"/>
        <w:sectPr>
          <w:pgSz w:w="12240" w:h="15840"/>
          <w:pgMar w:header="0" w:footer="720" w:top="1560" w:bottom="920" w:left="1040" w:right="1040"/>
        </w:sectPr>
      </w:pPr>
    </w:p>
    <w:p>
      <w:pPr>
        <w:pStyle w:val="BodyText"/>
        <w:spacing w:line="333" w:lineRule="auto" w:before="27"/>
        <w:ind w:left="760" w:right="794"/>
      </w:pPr>
      <w:r>
        <w:rPr/>
        <w:t>not in ﬁnancial distress. Consequently, the concessionality level (weighted average grant element) of ofﬁcial sector lending from China is consistently </w:t>
      </w:r>
      <w:r>
        <w:rPr/>
        <w:t>lower in countries experiencing ﬁnancial distress than in countries not experiencing ﬁnancial distress (see Figure A24).</w:t>
      </w:r>
      <w:r>
        <w:rPr>
          <w:vertAlign w:val="superscript"/>
        </w:rPr>
        <w:t>193</w:t>
      </w:r>
    </w:p>
    <w:p>
      <w:pPr>
        <w:pStyle w:val="BodyText"/>
        <w:rPr>
          <w:sz w:val="20"/>
        </w:rPr>
      </w:pPr>
    </w:p>
    <w:p>
      <w:pPr>
        <w:pStyle w:val="BodyText"/>
        <w:spacing w:before="9"/>
        <w:rPr>
          <w:sz w:val="17"/>
        </w:rPr>
      </w:pPr>
      <w:r>
        <w:rPr/>
        <w:pict>
          <v:shape style="position:absolute;margin-left:84pt;margin-top:11.424619pt;width:444pt;height:38pt;mso-position-horizontal-relative:page;mso-position-vertical-relative:paragraph;z-index:-15678976;mso-wrap-distance-left:0;mso-wrap-distance-right:0" type="#_x0000_t202" id="docshape85" filled="true" fillcolor="#5b666f" stroked="false">
            <v:textbox inset="0,0,0,0">
              <w:txbxContent>
                <w:p>
                  <w:pPr>
                    <w:spacing w:before="119"/>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2.19</w:t>
                  </w:r>
                </w:p>
              </w:txbxContent>
            </v:textbox>
            <v:fill type="solid"/>
            <w10:wrap type="topAndBottom"/>
          </v:shape>
        </w:pict>
      </w:r>
      <w:r>
        <w:rPr/>
        <w:drawing>
          <wp:anchor distT="0" distB="0" distL="0" distR="0" allowOverlap="1" layoutInCell="1" locked="0" behindDoc="0" simplePos="0" relativeHeight="98">
            <wp:simplePos x="0" y="0"/>
            <wp:positionH relativeFrom="page">
              <wp:posOffset>1250453</wp:posOffset>
            </wp:positionH>
            <wp:positionV relativeFrom="paragraph">
              <wp:posOffset>752178</wp:posOffset>
            </wp:positionV>
            <wp:extent cx="5137458" cy="3184398"/>
            <wp:effectExtent l="0" t="0" r="0" b="0"/>
            <wp:wrapTopAndBottom/>
            <wp:docPr id="37" name="image20.png"/>
            <wp:cNvGraphicFramePr>
              <a:graphicFrameLocks noChangeAspect="1"/>
            </wp:cNvGraphicFramePr>
            <a:graphic>
              <a:graphicData uri="http://schemas.openxmlformats.org/drawingml/2006/picture">
                <pic:pic>
                  <pic:nvPicPr>
                    <pic:cNvPr id="38" name="image20.png"/>
                    <pic:cNvPicPr/>
                  </pic:nvPicPr>
                  <pic:blipFill>
                    <a:blip r:embed="rId31" cstate="print"/>
                    <a:stretch>
                      <a:fillRect/>
                    </a:stretch>
                  </pic:blipFill>
                  <pic:spPr>
                    <a:xfrm>
                      <a:off x="0" y="0"/>
                      <a:ext cx="5137458" cy="3184398"/>
                    </a:xfrm>
                    <a:prstGeom prst="rect">
                      <a:avLst/>
                    </a:prstGeom>
                  </pic:spPr>
                </pic:pic>
              </a:graphicData>
            </a:graphic>
          </wp:anchor>
        </w:drawing>
      </w:r>
    </w:p>
    <w:p>
      <w:pPr>
        <w:pStyle w:val="BodyText"/>
        <w:spacing w:before="11"/>
        <w:rPr>
          <w:sz w:val="14"/>
        </w:rPr>
      </w:pPr>
    </w:p>
    <w:p>
      <w:pPr>
        <w:pStyle w:val="BodyText"/>
        <w:rPr>
          <w:sz w:val="20"/>
        </w:rPr>
      </w:pPr>
    </w:p>
    <w:p>
      <w:pPr>
        <w:pStyle w:val="BodyText"/>
        <w:spacing w:before="2"/>
        <w:rPr>
          <w:sz w:val="18"/>
        </w:rPr>
      </w:pPr>
    </w:p>
    <w:p>
      <w:pPr>
        <w:spacing w:line="333" w:lineRule="auto" w:before="71"/>
        <w:ind w:left="760" w:right="767" w:firstLine="0"/>
        <w:jc w:val="left"/>
        <w:rPr>
          <w:i/>
          <w:sz w:val="18"/>
        </w:rPr>
      </w:pPr>
      <w:r>
        <w:rPr>
          <w:i/>
          <w:spacing w:val="-4"/>
          <w:sz w:val="18"/>
        </w:rPr>
        <w:t>Notes: Variable interest rates include LIBOR, EURIBOR, SHIBOR, BADLAR, CIRR, JIBOR, LPR and </w:t>
      </w:r>
      <w:r>
        <w:rPr>
          <w:i/>
          <w:spacing w:val="-4"/>
          <w:sz w:val="18"/>
        </w:rPr>
        <w:t>BADCOR.</w:t>
      </w:r>
      <w:r>
        <w:rPr>
          <w:i/>
          <w:spacing w:val="-4"/>
          <w:sz w:val="18"/>
        </w:rPr>
        <w:t> </w:t>
      </w:r>
      <w:r>
        <w:rPr>
          <w:i/>
          <w:sz w:val="18"/>
        </w:rPr>
        <w:t>To determine if a country experienced ﬁnancial distress in a given year, we use the binary measure that is described in Box 1a.</w:t>
      </w:r>
    </w:p>
    <w:p>
      <w:pPr>
        <w:pStyle w:val="BodyText"/>
        <w:rPr>
          <w:i/>
          <w:sz w:val="18"/>
        </w:rPr>
      </w:pPr>
    </w:p>
    <w:p>
      <w:pPr>
        <w:pStyle w:val="BodyText"/>
        <w:spacing w:line="333" w:lineRule="auto" w:before="113"/>
        <w:ind w:left="760" w:right="794"/>
      </w:pPr>
      <w:r>
        <w:rPr/>
        <w:t>Chinese state-owned creditors have also changed the way that they lend to ﬁnancially distressed countries over time by shifting toward variable interest rate lending (see Figure 2.19). This approach to lending follows a risk-based pricing model by adding a borrower-speciﬁc margin—that accounts for the credit </w:t>
      </w:r>
      <w:r>
        <w:rPr/>
        <w:t>proﬁle characteristics of the borrower—to a market-based reference interest rate.</w:t>
      </w:r>
      <w:r>
        <w:rPr>
          <w:vertAlign w:val="superscript"/>
        </w:rPr>
        <w:t>194</w:t>
      </w:r>
      <w:r>
        <w:rPr>
          <w:vertAlign w:val="baseline"/>
        </w:rPr>
        <w:t> In</w:t>
      </w:r>
    </w:p>
    <w:p>
      <w:pPr>
        <w:pStyle w:val="BodyText"/>
        <w:spacing w:before="7"/>
        <w:rPr>
          <w:sz w:val="28"/>
        </w:rPr>
      </w:pPr>
      <w:r>
        <w:rPr/>
        <w:pict>
          <v:shape style="position:absolute;margin-left:90pt;margin-top:17.681341pt;width:144pt;height:.1pt;mso-position-horizontal-relative:page;mso-position-vertical-relative:paragraph;z-index:-15677952;mso-wrap-distance-left:0;mso-wrap-distance-right:0" id="docshape86" coordorigin="1800,354" coordsize="2880,0" path="m1800,354l4680,354e" filled="false" stroked="true" strokeweight=".75pt" strokecolor="#000000">
            <v:path arrowok="t"/>
            <v:stroke dashstyle="solid"/>
            <w10:wrap type="topAndBottom"/>
          </v:shape>
        </w:pict>
      </w:r>
    </w:p>
    <w:p>
      <w:pPr>
        <w:spacing w:line="249" w:lineRule="auto" w:before="104"/>
        <w:ind w:left="760" w:right="767" w:firstLine="0"/>
        <w:jc w:val="left"/>
        <w:rPr>
          <w:sz w:val="18"/>
        </w:rPr>
      </w:pPr>
      <w:r>
        <w:rPr>
          <w:sz w:val="18"/>
          <w:vertAlign w:val="superscript"/>
        </w:rPr>
        <w:t>193</w:t>
      </w:r>
      <w:r>
        <w:rPr>
          <w:sz w:val="18"/>
          <w:vertAlign w:val="baseline"/>
        </w:rPr>
        <w:t> Between 2000 and 2021, the weighted average grant element of ofﬁcial sector lending from China to countries experiencing ﬁnancial distress was ten percentage points lower than in countries not </w:t>
      </w:r>
      <w:r>
        <w:rPr>
          <w:sz w:val="18"/>
          <w:vertAlign w:val="baseline"/>
        </w:rPr>
        <w:t>experiencing ﬁnancial distress (see Figure A25 in the Appendix).</w:t>
      </w:r>
    </w:p>
    <w:p>
      <w:pPr>
        <w:spacing w:line="249" w:lineRule="auto" w:before="2"/>
        <w:ind w:left="760" w:right="767" w:firstLine="0"/>
        <w:jc w:val="left"/>
        <w:rPr>
          <w:sz w:val="18"/>
        </w:rPr>
      </w:pPr>
      <w:r>
        <w:rPr>
          <w:sz w:val="18"/>
          <w:vertAlign w:val="superscript"/>
        </w:rPr>
        <w:t>194</w:t>
      </w:r>
      <w:r>
        <w:rPr>
          <w:spacing w:val="-7"/>
          <w:sz w:val="18"/>
          <w:vertAlign w:val="baseline"/>
        </w:rPr>
        <w:t> </w:t>
      </w:r>
      <w:r>
        <w:rPr>
          <w:sz w:val="18"/>
          <w:vertAlign w:val="baseline"/>
        </w:rPr>
        <w:t>Risk-based</w:t>
      </w:r>
      <w:r>
        <w:rPr>
          <w:spacing w:val="-6"/>
          <w:sz w:val="18"/>
          <w:vertAlign w:val="baseline"/>
        </w:rPr>
        <w:t> </w:t>
      </w:r>
      <w:r>
        <w:rPr>
          <w:sz w:val="18"/>
          <w:vertAlign w:val="baseline"/>
        </w:rPr>
        <w:t>loan</w:t>
      </w:r>
      <w:r>
        <w:rPr>
          <w:spacing w:val="-6"/>
          <w:sz w:val="18"/>
          <w:vertAlign w:val="baseline"/>
        </w:rPr>
        <w:t> </w:t>
      </w:r>
      <w:r>
        <w:rPr>
          <w:sz w:val="18"/>
          <w:vertAlign w:val="baseline"/>
        </w:rPr>
        <w:t>pricing</w:t>
      </w:r>
      <w:r>
        <w:rPr>
          <w:spacing w:val="-6"/>
          <w:sz w:val="18"/>
          <w:vertAlign w:val="baseline"/>
        </w:rPr>
        <w:t> </w:t>
      </w:r>
      <w:r>
        <w:rPr>
          <w:sz w:val="18"/>
          <w:vertAlign w:val="baseline"/>
        </w:rPr>
        <w:t>models</w:t>
      </w:r>
      <w:r>
        <w:rPr>
          <w:spacing w:val="-6"/>
          <w:sz w:val="18"/>
          <w:vertAlign w:val="baseline"/>
        </w:rPr>
        <w:t> </w:t>
      </w:r>
      <w:r>
        <w:rPr>
          <w:sz w:val="18"/>
          <w:vertAlign w:val="baseline"/>
        </w:rPr>
        <w:t>(a)</w:t>
      </w:r>
      <w:r>
        <w:rPr>
          <w:spacing w:val="-6"/>
          <w:sz w:val="18"/>
          <w:vertAlign w:val="baseline"/>
        </w:rPr>
        <w:t> </w:t>
      </w:r>
      <w:r>
        <w:rPr>
          <w:sz w:val="18"/>
          <w:vertAlign w:val="baseline"/>
        </w:rPr>
        <w:t>charge</w:t>
      </w:r>
      <w:r>
        <w:rPr>
          <w:spacing w:val="-6"/>
          <w:sz w:val="18"/>
          <w:vertAlign w:val="baseline"/>
        </w:rPr>
        <w:t> </w:t>
      </w:r>
      <w:r>
        <w:rPr>
          <w:sz w:val="18"/>
          <w:vertAlign w:val="baseline"/>
        </w:rPr>
        <w:t>risky</w:t>
      </w:r>
      <w:r>
        <w:rPr>
          <w:spacing w:val="-6"/>
          <w:sz w:val="18"/>
          <w:vertAlign w:val="baseline"/>
        </w:rPr>
        <w:t> </w:t>
      </w:r>
      <w:r>
        <w:rPr>
          <w:sz w:val="18"/>
          <w:vertAlign w:val="baseline"/>
        </w:rPr>
        <w:t>borrowers</w:t>
      </w:r>
      <w:r>
        <w:rPr>
          <w:spacing w:val="-6"/>
          <w:sz w:val="18"/>
          <w:vertAlign w:val="baseline"/>
        </w:rPr>
        <w:t> </w:t>
      </w:r>
      <w:r>
        <w:rPr>
          <w:sz w:val="18"/>
          <w:vertAlign w:val="baseline"/>
        </w:rPr>
        <w:t>higher</w:t>
      </w:r>
      <w:r>
        <w:rPr>
          <w:spacing w:val="-6"/>
          <w:sz w:val="18"/>
          <w:vertAlign w:val="baseline"/>
        </w:rPr>
        <w:t> </w:t>
      </w:r>
      <w:r>
        <w:rPr>
          <w:sz w:val="18"/>
          <w:vertAlign w:val="baseline"/>
        </w:rPr>
        <w:t>prices</w:t>
      </w:r>
      <w:r>
        <w:rPr>
          <w:spacing w:val="-6"/>
          <w:sz w:val="18"/>
          <w:vertAlign w:val="baseline"/>
        </w:rPr>
        <w:t> </w:t>
      </w:r>
      <w:r>
        <w:rPr>
          <w:sz w:val="18"/>
          <w:vertAlign w:val="baseline"/>
        </w:rPr>
        <w:t>(i.e.,</w:t>
      </w:r>
      <w:r>
        <w:rPr>
          <w:spacing w:val="-6"/>
          <w:sz w:val="18"/>
          <w:vertAlign w:val="baseline"/>
        </w:rPr>
        <w:t> </w:t>
      </w:r>
      <w:r>
        <w:rPr>
          <w:sz w:val="18"/>
          <w:vertAlign w:val="baseline"/>
        </w:rPr>
        <w:t>attach</w:t>
      </w:r>
      <w:r>
        <w:rPr>
          <w:spacing w:val="-6"/>
          <w:sz w:val="18"/>
          <w:vertAlign w:val="baseline"/>
        </w:rPr>
        <w:t> </w:t>
      </w:r>
      <w:r>
        <w:rPr>
          <w:sz w:val="18"/>
          <w:vertAlign w:val="baseline"/>
        </w:rPr>
        <w:t>larger</w:t>
      </w:r>
      <w:r>
        <w:rPr>
          <w:spacing w:val="-6"/>
          <w:sz w:val="18"/>
          <w:vertAlign w:val="baseline"/>
        </w:rPr>
        <w:t> </w:t>
      </w:r>
      <w:r>
        <w:rPr>
          <w:sz w:val="18"/>
          <w:vertAlign w:val="baseline"/>
        </w:rPr>
        <w:t>risk</w:t>
      </w:r>
      <w:r>
        <w:rPr>
          <w:spacing w:val="-6"/>
          <w:sz w:val="18"/>
          <w:vertAlign w:val="baseline"/>
        </w:rPr>
        <w:t> </w:t>
      </w:r>
      <w:r>
        <w:rPr>
          <w:sz w:val="18"/>
          <w:vertAlign w:val="baseline"/>
        </w:rPr>
        <w:t>premia</w:t>
      </w:r>
      <w:r>
        <w:rPr>
          <w:spacing w:val="-6"/>
          <w:sz w:val="18"/>
          <w:vertAlign w:val="baseline"/>
        </w:rPr>
        <w:t> </w:t>
      </w:r>
      <w:r>
        <w:rPr>
          <w:sz w:val="18"/>
          <w:vertAlign w:val="baseline"/>
        </w:rPr>
        <w:t>to borrowers that present a high probability of default), and (b) account for the expected magnitude of</w:t>
      </w:r>
    </w:p>
    <w:p>
      <w:pPr>
        <w:spacing w:before="2"/>
        <w:ind w:left="760" w:right="0" w:firstLine="0"/>
        <w:jc w:val="left"/>
        <w:rPr>
          <w:sz w:val="18"/>
        </w:rPr>
      </w:pPr>
      <w:r>
        <w:rPr>
          <w:sz w:val="18"/>
        </w:rPr>
        <w:t>post-default</w:t>
      </w:r>
      <w:r>
        <w:rPr>
          <w:spacing w:val="3"/>
          <w:sz w:val="18"/>
        </w:rPr>
        <w:t> </w:t>
      </w:r>
      <w:r>
        <w:rPr>
          <w:sz w:val="18"/>
        </w:rPr>
        <w:t>losses</w:t>
      </w:r>
      <w:r>
        <w:rPr>
          <w:spacing w:val="3"/>
          <w:sz w:val="18"/>
        </w:rPr>
        <w:t> </w:t>
      </w:r>
      <w:r>
        <w:rPr>
          <w:sz w:val="18"/>
        </w:rPr>
        <w:t>(i.e.,</w:t>
      </w:r>
      <w:r>
        <w:rPr>
          <w:spacing w:val="3"/>
          <w:sz w:val="18"/>
        </w:rPr>
        <w:t> </w:t>
      </w:r>
      <w:r>
        <w:rPr>
          <w:sz w:val="18"/>
        </w:rPr>
        <w:t>how</w:t>
      </w:r>
      <w:r>
        <w:rPr>
          <w:spacing w:val="3"/>
          <w:sz w:val="18"/>
        </w:rPr>
        <w:t> </w:t>
      </w:r>
      <w:r>
        <w:rPr>
          <w:sz w:val="18"/>
        </w:rPr>
        <w:t>much</w:t>
      </w:r>
      <w:r>
        <w:rPr>
          <w:spacing w:val="4"/>
          <w:sz w:val="18"/>
        </w:rPr>
        <w:t> </w:t>
      </w:r>
      <w:r>
        <w:rPr>
          <w:sz w:val="18"/>
        </w:rPr>
        <w:t>money</w:t>
      </w:r>
      <w:r>
        <w:rPr>
          <w:spacing w:val="3"/>
          <w:sz w:val="18"/>
        </w:rPr>
        <w:t> </w:t>
      </w:r>
      <w:r>
        <w:rPr>
          <w:sz w:val="18"/>
        </w:rPr>
        <w:t>the</w:t>
      </w:r>
      <w:r>
        <w:rPr>
          <w:spacing w:val="3"/>
          <w:sz w:val="18"/>
        </w:rPr>
        <w:t> </w:t>
      </w:r>
      <w:r>
        <w:rPr>
          <w:sz w:val="18"/>
        </w:rPr>
        <w:t>creditor</w:t>
      </w:r>
      <w:r>
        <w:rPr>
          <w:spacing w:val="3"/>
          <w:sz w:val="18"/>
        </w:rPr>
        <w:t> </w:t>
      </w:r>
      <w:r>
        <w:rPr>
          <w:sz w:val="18"/>
        </w:rPr>
        <w:t>expects</w:t>
      </w:r>
      <w:r>
        <w:rPr>
          <w:spacing w:val="4"/>
          <w:sz w:val="18"/>
        </w:rPr>
        <w:t> </w:t>
      </w:r>
      <w:r>
        <w:rPr>
          <w:sz w:val="18"/>
        </w:rPr>
        <w:t>to</w:t>
      </w:r>
      <w:r>
        <w:rPr>
          <w:spacing w:val="3"/>
          <w:sz w:val="18"/>
        </w:rPr>
        <w:t> </w:t>
      </w:r>
      <w:r>
        <w:rPr>
          <w:sz w:val="18"/>
        </w:rPr>
        <w:t>lose</w:t>
      </w:r>
      <w:r>
        <w:rPr>
          <w:spacing w:val="3"/>
          <w:sz w:val="18"/>
        </w:rPr>
        <w:t> </w:t>
      </w:r>
      <w:r>
        <w:rPr>
          <w:sz w:val="18"/>
        </w:rPr>
        <w:t>if</w:t>
      </w:r>
      <w:r>
        <w:rPr>
          <w:spacing w:val="3"/>
          <w:sz w:val="18"/>
        </w:rPr>
        <w:t> </w:t>
      </w:r>
      <w:r>
        <w:rPr>
          <w:sz w:val="18"/>
        </w:rPr>
        <w:t>the</w:t>
      </w:r>
      <w:r>
        <w:rPr>
          <w:spacing w:val="4"/>
          <w:sz w:val="18"/>
        </w:rPr>
        <w:t> </w:t>
      </w:r>
      <w:r>
        <w:rPr>
          <w:sz w:val="18"/>
        </w:rPr>
        <w:t>borrower</w:t>
      </w:r>
      <w:r>
        <w:rPr>
          <w:spacing w:val="3"/>
          <w:sz w:val="18"/>
        </w:rPr>
        <w:t> </w:t>
      </w:r>
      <w:r>
        <w:rPr>
          <w:spacing w:val="-2"/>
          <w:sz w:val="18"/>
        </w:rPr>
        <w:t>defaults).</w:t>
      </w:r>
    </w:p>
    <w:p>
      <w:pPr>
        <w:spacing w:after="0"/>
        <w:jc w:val="left"/>
        <w:rPr>
          <w:sz w:val="18"/>
        </w:rPr>
        <w:sectPr>
          <w:pgSz w:w="12240" w:h="15840"/>
          <w:pgMar w:header="0" w:footer="720" w:top="1400" w:bottom="920" w:left="1040" w:right="1040"/>
        </w:sectPr>
      </w:pPr>
    </w:p>
    <w:p>
      <w:pPr>
        <w:pStyle w:val="BodyText"/>
        <w:spacing w:line="333" w:lineRule="auto" w:before="27"/>
        <w:ind w:left="760" w:right="767"/>
      </w:pPr>
      <w:r>
        <w:rPr/>
        <w:t>the</w:t>
      </w:r>
      <w:r>
        <w:rPr>
          <w:spacing w:val="-5"/>
        </w:rPr>
        <w:t> </w:t>
      </w:r>
      <w:r>
        <w:rPr/>
        <w:t>early</w:t>
      </w:r>
      <w:r>
        <w:rPr>
          <w:spacing w:val="-5"/>
        </w:rPr>
        <w:t> </w:t>
      </w:r>
      <w:r>
        <w:rPr/>
        <w:t>2000s,</w:t>
      </w:r>
      <w:r>
        <w:rPr>
          <w:spacing w:val="-5"/>
        </w:rPr>
        <w:t> </w:t>
      </w:r>
      <w:r>
        <w:rPr/>
        <w:t>there</w:t>
      </w:r>
      <w:r>
        <w:rPr>
          <w:spacing w:val="-5"/>
        </w:rPr>
        <w:t> </w:t>
      </w:r>
      <w:r>
        <w:rPr/>
        <w:t>was</w:t>
      </w:r>
      <w:r>
        <w:rPr>
          <w:spacing w:val="-5"/>
        </w:rPr>
        <w:t> </w:t>
      </w:r>
      <w:r>
        <w:rPr/>
        <w:t>no</w:t>
      </w:r>
      <w:r>
        <w:rPr>
          <w:spacing w:val="-5"/>
        </w:rPr>
        <w:t> </w:t>
      </w:r>
      <w:r>
        <w:rPr/>
        <w:t>evidence</w:t>
      </w:r>
      <w:r>
        <w:rPr>
          <w:spacing w:val="-5"/>
        </w:rPr>
        <w:t> </w:t>
      </w:r>
      <w:r>
        <w:rPr/>
        <w:t>whatsoever</w:t>
      </w:r>
      <w:r>
        <w:rPr>
          <w:spacing w:val="-5"/>
        </w:rPr>
        <w:t> </w:t>
      </w:r>
      <w:r>
        <w:rPr/>
        <w:t>of</w:t>
      </w:r>
      <w:r>
        <w:rPr>
          <w:spacing w:val="-5"/>
        </w:rPr>
        <w:t> </w:t>
      </w:r>
      <w:r>
        <w:rPr/>
        <w:t>any</w:t>
      </w:r>
      <w:r>
        <w:rPr>
          <w:spacing w:val="-5"/>
        </w:rPr>
        <w:t> </w:t>
      </w:r>
      <w:r>
        <w:rPr/>
        <w:t>variable</w:t>
      </w:r>
      <w:r>
        <w:rPr>
          <w:spacing w:val="-5"/>
        </w:rPr>
        <w:t> </w:t>
      </w:r>
      <w:r>
        <w:rPr/>
        <w:t>interest</w:t>
      </w:r>
      <w:r>
        <w:rPr>
          <w:spacing w:val="-5"/>
        </w:rPr>
        <w:t> </w:t>
      </w:r>
      <w:r>
        <w:rPr/>
        <w:t>rate lending by Chinese state-owned creditors to LICs or MICs in ﬁnancial distress. However,</w:t>
      </w:r>
      <w:r>
        <w:rPr>
          <w:spacing w:val="-2"/>
        </w:rPr>
        <w:t> </w:t>
      </w:r>
      <w:r>
        <w:rPr/>
        <w:t>by</w:t>
      </w:r>
      <w:r>
        <w:rPr>
          <w:spacing w:val="-2"/>
        </w:rPr>
        <w:t> </w:t>
      </w:r>
      <w:r>
        <w:rPr/>
        <w:t>2021,</w:t>
      </w:r>
      <w:r>
        <w:rPr>
          <w:spacing w:val="-2"/>
        </w:rPr>
        <w:t> </w:t>
      </w:r>
      <w:r>
        <w:rPr/>
        <w:t>more</w:t>
      </w:r>
      <w:r>
        <w:rPr>
          <w:spacing w:val="-2"/>
        </w:rPr>
        <w:t> </w:t>
      </w:r>
      <w:r>
        <w:rPr/>
        <w:t>than</w:t>
      </w:r>
      <w:r>
        <w:rPr>
          <w:spacing w:val="-2"/>
        </w:rPr>
        <w:t> </w:t>
      </w:r>
      <w:r>
        <w:rPr/>
        <w:t>80%</w:t>
      </w:r>
      <w:r>
        <w:rPr>
          <w:spacing w:val="-2"/>
        </w:rPr>
        <w:t> </w:t>
      </w:r>
      <w:r>
        <w:rPr/>
        <w:t>of</w:t>
      </w:r>
      <w:r>
        <w:rPr>
          <w:spacing w:val="-2"/>
        </w:rPr>
        <w:t> </w:t>
      </w:r>
      <w:r>
        <w:rPr/>
        <w:t>China’s</w:t>
      </w:r>
      <w:r>
        <w:rPr>
          <w:spacing w:val="-2"/>
        </w:rPr>
        <w:t> </w:t>
      </w:r>
      <w:r>
        <w:rPr/>
        <w:t>variable</w:t>
      </w:r>
      <w:r>
        <w:rPr>
          <w:spacing w:val="-2"/>
        </w:rPr>
        <w:t> </w:t>
      </w:r>
      <w:r>
        <w:rPr/>
        <w:t>interest</w:t>
      </w:r>
      <w:r>
        <w:rPr>
          <w:spacing w:val="-2"/>
        </w:rPr>
        <w:t> </w:t>
      </w:r>
      <w:r>
        <w:rPr/>
        <w:t>rate</w:t>
      </w:r>
      <w:r>
        <w:rPr>
          <w:spacing w:val="-2"/>
        </w:rPr>
        <w:t> </w:t>
      </w:r>
      <w:r>
        <w:rPr/>
        <w:t>lending</w:t>
      </w:r>
      <w:r>
        <w:rPr>
          <w:spacing w:val="-2"/>
        </w:rPr>
        <w:t> </w:t>
      </w:r>
      <w:r>
        <w:rPr/>
        <w:t>was directed to countries in ﬁnancial distress.</w:t>
      </w:r>
    </w:p>
    <w:p>
      <w:pPr>
        <w:pStyle w:val="BodyText"/>
        <w:spacing w:before="7"/>
        <w:rPr>
          <w:sz w:val="27"/>
        </w:rPr>
      </w:pPr>
    </w:p>
    <w:p>
      <w:pPr>
        <w:pStyle w:val="BodyText"/>
        <w:spacing w:line="333" w:lineRule="auto"/>
        <w:ind w:left="760" w:right="802"/>
      </w:pPr>
      <w:r>
        <w:rPr/>
        <w:t>The</w:t>
      </w:r>
      <w:r>
        <w:rPr>
          <w:spacing w:val="-10"/>
        </w:rPr>
        <w:t> </w:t>
      </w:r>
      <w:r>
        <w:rPr/>
        <w:t>3.0</w:t>
      </w:r>
      <w:r>
        <w:rPr>
          <w:spacing w:val="-10"/>
        </w:rPr>
        <w:t> </w:t>
      </w:r>
      <w:r>
        <w:rPr/>
        <w:t>version</w:t>
      </w:r>
      <w:r>
        <w:rPr>
          <w:spacing w:val="-10"/>
        </w:rPr>
        <w:t> </w:t>
      </w:r>
      <w:r>
        <w:rPr/>
        <w:t>of</w:t>
      </w:r>
      <w:r>
        <w:rPr>
          <w:spacing w:val="-10"/>
        </w:rPr>
        <w:t> </w:t>
      </w:r>
      <w:r>
        <w:rPr/>
        <w:t>AidData’s</w:t>
      </w:r>
      <w:r>
        <w:rPr>
          <w:spacing w:val="-10"/>
        </w:rPr>
        <w:t> </w:t>
      </w:r>
      <w:r>
        <w:rPr/>
        <w:t>GCDF</w:t>
      </w:r>
      <w:r>
        <w:rPr>
          <w:spacing w:val="-10"/>
        </w:rPr>
        <w:t> </w:t>
      </w:r>
      <w:r>
        <w:rPr/>
        <w:t>dataset</w:t>
      </w:r>
      <w:r>
        <w:rPr>
          <w:spacing w:val="-10"/>
        </w:rPr>
        <w:t> </w:t>
      </w:r>
      <w:r>
        <w:rPr/>
        <w:t>also</w:t>
      </w:r>
      <w:r>
        <w:rPr>
          <w:spacing w:val="-10"/>
        </w:rPr>
        <w:t> </w:t>
      </w:r>
      <w:r>
        <w:rPr/>
        <w:t>reveals</w:t>
      </w:r>
      <w:r>
        <w:rPr>
          <w:spacing w:val="-10"/>
        </w:rPr>
        <w:t> </w:t>
      </w:r>
      <w:r>
        <w:rPr/>
        <w:t>that</w:t>
      </w:r>
      <w:r>
        <w:rPr>
          <w:spacing w:val="-10"/>
        </w:rPr>
        <w:t> </w:t>
      </w:r>
      <w:r>
        <w:rPr/>
        <w:t>China</w:t>
      </w:r>
      <w:r>
        <w:rPr>
          <w:spacing w:val="-10"/>
        </w:rPr>
        <w:t> </w:t>
      </w:r>
      <w:r>
        <w:rPr/>
        <w:t>is</w:t>
      </w:r>
      <w:r>
        <w:rPr>
          <w:spacing w:val="-10"/>
        </w:rPr>
        <w:t> </w:t>
      </w:r>
      <w:r>
        <w:rPr/>
        <w:t>increasingly collateralizing loans to countries in dire ﬁnancial straits: the share of China’s collateralized lending portfolio directed to countries in ﬁnancial distress</w:t>
      </w:r>
      <w:r>
        <w:rPr>
          <w:spacing w:val="80"/>
        </w:rPr>
        <w:t> </w:t>
      </w:r>
      <w:r>
        <w:rPr/>
        <w:t>increased from zero at the turn of the century to 74% by 2021 (see Figure 2.20).</w:t>
      </w:r>
      <w:r>
        <w:rPr>
          <w:vertAlign w:val="superscript"/>
        </w:rPr>
        <w:t>195</w:t>
      </w:r>
      <w:r>
        <w:rPr>
          <w:vertAlign w:val="baseline"/>
        </w:rPr>
        <w:t> This change is part of a broader pattern in China’s use of credit enhancements, which AidData deﬁnes as lending backed by a credit insurance policy, a third-party repayment guarantee, and/or collateral. Figure A29 divides China’s LIC and MIC lending portfolio into three categories: (1) credit-enhanced lending to countries in ﬁnancial distress; (2) credit-enhanced lending to </w:t>
      </w:r>
      <w:r>
        <w:rPr>
          <w:vertAlign w:val="baseline"/>
        </w:rPr>
        <w:t>countries not in ﬁnancial distress; and (3) lending that is not credit-enhanced. It shows almost no proportional increase in credit-enhanced lending to countries that are not in ﬁnancial distress, but a large proportional increase in credit-enhanced lending to countries that are in ﬁnancial distress.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2"/>
        </w:rPr>
      </w:pPr>
      <w:r>
        <w:rPr/>
        <w:pict>
          <v:shape style="position:absolute;margin-left:90pt;margin-top:14.252003pt;width:144pt;height:.1pt;mso-position-horizontal-relative:page;mso-position-vertical-relative:paragraph;z-index:-15677440;mso-wrap-distance-left:0;mso-wrap-distance-right:0" id="docshape87" coordorigin="1800,285" coordsize="2880,0" path="m1800,285l4680,285e" filled="false" stroked="true" strokeweight=".75pt" strokecolor="#000000">
            <v:path arrowok="t"/>
            <v:stroke dashstyle="solid"/>
            <w10:wrap type="topAndBottom"/>
          </v:shape>
        </w:pict>
      </w:r>
    </w:p>
    <w:p>
      <w:pPr>
        <w:spacing w:line="249" w:lineRule="auto" w:before="107"/>
        <w:ind w:left="760" w:right="767" w:firstLine="0"/>
        <w:jc w:val="left"/>
        <w:rPr>
          <w:sz w:val="18"/>
        </w:rPr>
      </w:pPr>
      <w:r>
        <w:rPr>
          <w:sz w:val="18"/>
          <w:vertAlign w:val="superscript"/>
        </w:rPr>
        <w:t>195</w:t>
      </w:r>
      <w:r>
        <w:rPr>
          <w:sz w:val="18"/>
          <w:vertAlign w:val="baseline"/>
        </w:rPr>
        <w:t> Figure 2.20 shows the proportion of ofﬁcial sector lending commitments from China (in constant 2021 USD) to LICs and MICs that falls into three categories: (1) loans that are collateralized and are going to a borrowing country that is in distress at the time of the loan commitment, (2) loans that are collateralized but are going to a borrowing country that is not experiencing ﬁnancial distress at the time of the loan commitment, and (3) loans that are not collateralized at the time of commitment. The underlying data from Figure 2.20 demonstrate that, while 51% of China's collateralized lending commitments to LICs and MICs were directed to developing countries in ﬁnancial distress during the pre-BRI period (2000-2013), this </w:t>
      </w:r>
      <w:r>
        <w:rPr>
          <w:sz w:val="18"/>
          <w:vertAlign w:val="baseline"/>
        </w:rPr>
        <w:t>ﬁgure increased to 82% in the early and late BRI periods (2014-2021).</w:t>
      </w:r>
    </w:p>
    <w:p>
      <w:pPr>
        <w:spacing w:after="0" w:line="249" w:lineRule="auto"/>
        <w:jc w:val="left"/>
        <w:rPr>
          <w:sz w:val="18"/>
        </w:rPr>
        <w:sectPr>
          <w:pgSz w:w="12240" w:h="15840"/>
          <w:pgMar w:header="0" w:footer="720" w:top="1400" w:bottom="920" w:left="1040" w:right="1040"/>
        </w:sectPr>
      </w:pPr>
    </w:p>
    <w:p>
      <w:pPr>
        <w:pStyle w:val="BodyText"/>
        <w:ind w:left="640"/>
        <w:rPr>
          <w:sz w:val="20"/>
        </w:rPr>
      </w:pPr>
      <w:r>
        <w:rPr>
          <w:sz w:val="20"/>
        </w:rPr>
        <w:pict>
          <v:shape style="width:444pt;height:38pt;mso-position-horizontal-relative:char;mso-position-vertical-relative:line" type="#_x0000_t202" id="docshape88"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2.20</w:t>
                  </w:r>
                </w:p>
              </w:txbxContent>
            </v:textbox>
            <v:fill type="solid"/>
          </v:shape>
        </w:pict>
      </w:r>
      <w:r>
        <w:rPr>
          <w:sz w:val="20"/>
        </w:rPr>
      </w:r>
    </w:p>
    <w:p>
      <w:pPr>
        <w:pStyle w:val="BodyText"/>
        <w:spacing w:before="9"/>
        <w:rPr>
          <w:sz w:val="13"/>
        </w:rPr>
      </w:pPr>
      <w:r>
        <w:rPr/>
        <w:drawing>
          <wp:anchor distT="0" distB="0" distL="0" distR="0" allowOverlap="1" layoutInCell="1" locked="0" behindDoc="0" simplePos="0" relativeHeight="102">
            <wp:simplePos x="0" y="0"/>
            <wp:positionH relativeFrom="page">
              <wp:posOffset>1253132</wp:posOffset>
            </wp:positionH>
            <wp:positionV relativeFrom="paragraph">
              <wp:posOffset>116440</wp:posOffset>
            </wp:positionV>
            <wp:extent cx="5261958" cy="3184398"/>
            <wp:effectExtent l="0" t="0" r="0" b="0"/>
            <wp:wrapTopAndBottom/>
            <wp:docPr id="39" name="image21.png"/>
            <wp:cNvGraphicFramePr>
              <a:graphicFrameLocks noChangeAspect="1"/>
            </wp:cNvGraphicFramePr>
            <a:graphic>
              <a:graphicData uri="http://schemas.openxmlformats.org/drawingml/2006/picture">
                <pic:pic>
                  <pic:nvPicPr>
                    <pic:cNvPr id="40" name="image21.png"/>
                    <pic:cNvPicPr/>
                  </pic:nvPicPr>
                  <pic:blipFill>
                    <a:blip r:embed="rId32" cstate="print"/>
                    <a:stretch>
                      <a:fillRect/>
                    </a:stretch>
                  </pic:blipFill>
                  <pic:spPr>
                    <a:xfrm>
                      <a:off x="0" y="0"/>
                      <a:ext cx="5261958" cy="3184398"/>
                    </a:xfrm>
                    <a:prstGeom prst="rect">
                      <a:avLst/>
                    </a:prstGeom>
                  </pic:spPr>
                </pic:pic>
              </a:graphicData>
            </a:graphic>
          </wp:anchor>
        </w:drawing>
      </w:r>
    </w:p>
    <w:p>
      <w:pPr>
        <w:pStyle w:val="BodyText"/>
        <w:rPr>
          <w:sz w:val="20"/>
        </w:rPr>
      </w:pPr>
    </w:p>
    <w:p>
      <w:pPr>
        <w:pStyle w:val="BodyText"/>
        <w:spacing w:before="10"/>
        <w:rPr>
          <w:sz w:val="16"/>
        </w:rPr>
      </w:pPr>
    </w:p>
    <w:p>
      <w:pPr>
        <w:spacing w:line="333" w:lineRule="auto" w:before="72"/>
        <w:ind w:left="760" w:right="767" w:firstLine="0"/>
        <w:jc w:val="left"/>
        <w:rPr>
          <w:i/>
          <w:sz w:val="18"/>
        </w:rPr>
      </w:pPr>
      <w:r>
        <w:rPr>
          <w:i/>
          <w:sz w:val="18"/>
        </w:rPr>
        <w:t>Notes:</w:t>
      </w:r>
      <w:r>
        <w:rPr>
          <w:i/>
          <w:spacing w:val="-4"/>
          <w:sz w:val="18"/>
        </w:rPr>
        <w:t> </w:t>
      </w:r>
      <w:r>
        <w:rPr>
          <w:i/>
          <w:sz w:val="18"/>
        </w:rPr>
        <w:t>To</w:t>
      </w:r>
      <w:r>
        <w:rPr>
          <w:i/>
          <w:spacing w:val="-4"/>
          <w:sz w:val="18"/>
        </w:rPr>
        <w:t> </w:t>
      </w:r>
      <w:r>
        <w:rPr>
          <w:i/>
          <w:sz w:val="18"/>
        </w:rPr>
        <w:t>determine</w:t>
      </w:r>
      <w:r>
        <w:rPr>
          <w:i/>
          <w:spacing w:val="-4"/>
          <w:sz w:val="18"/>
        </w:rPr>
        <w:t> </w:t>
      </w:r>
      <w:r>
        <w:rPr>
          <w:i/>
          <w:sz w:val="18"/>
        </w:rPr>
        <w:t>if</w:t>
      </w:r>
      <w:r>
        <w:rPr>
          <w:i/>
          <w:spacing w:val="-4"/>
          <w:sz w:val="18"/>
        </w:rPr>
        <w:t> </w:t>
      </w:r>
      <w:r>
        <w:rPr>
          <w:i/>
          <w:sz w:val="18"/>
        </w:rPr>
        <w:t>a</w:t>
      </w:r>
      <w:r>
        <w:rPr>
          <w:i/>
          <w:spacing w:val="-4"/>
          <w:sz w:val="18"/>
        </w:rPr>
        <w:t> </w:t>
      </w:r>
      <w:r>
        <w:rPr>
          <w:i/>
          <w:sz w:val="18"/>
        </w:rPr>
        <w:t>country</w:t>
      </w:r>
      <w:r>
        <w:rPr>
          <w:i/>
          <w:spacing w:val="-4"/>
          <w:sz w:val="18"/>
        </w:rPr>
        <w:t> </w:t>
      </w:r>
      <w:r>
        <w:rPr>
          <w:i/>
          <w:sz w:val="18"/>
        </w:rPr>
        <w:t>experienced</w:t>
      </w:r>
      <w:r>
        <w:rPr>
          <w:i/>
          <w:spacing w:val="-4"/>
          <w:sz w:val="18"/>
        </w:rPr>
        <w:t> </w:t>
      </w:r>
      <w:r>
        <w:rPr>
          <w:i/>
          <w:sz w:val="18"/>
        </w:rPr>
        <w:t>ﬁnancial</w:t>
      </w:r>
      <w:r>
        <w:rPr>
          <w:i/>
          <w:spacing w:val="-4"/>
          <w:sz w:val="18"/>
        </w:rPr>
        <w:t> </w:t>
      </w:r>
      <w:r>
        <w:rPr>
          <w:i/>
          <w:sz w:val="18"/>
        </w:rPr>
        <w:t>distress</w:t>
      </w:r>
      <w:r>
        <w:rPr>
          <w:i/>
          <w:spacing w:val="-4"/>
          <w:sz w:val="18"/>
        </w:rPr>
        <w:t> </w:t>
      </w:r>
      <w:r>
        <w:rPr>
          <w:i/>
          <w:sz w:val="18"/>
        </w:rPr>
        <w:t>in</w:t>
      </w:r>
      <w:r>
        <w:rPr>
          <w:i/>
          <w:spacing w:val="-4"/>
          <w:sz w:val="18"/>
        </w:rPr>
        <w:t> </w:t>
      </w:r>
      <w:r>
        <w:rPr>
          <w:i/>
          <w:sz w:val="18"/>
        </w:rPr>
        <w:t>a</w:t>
      </w:r>
      <w:r>
        <w:rPr>
          <w:i/>
          <w:spacing w:val="-4"/>
          <w:sz w:val="18"/>
        </w:rPr>
        <w:t> </w:t>
      </w:r>
      <w:r>
        <w:rPr>
          <w:i/>
          <w:sz w:val="18"/>
        </w:rPr>
        <w:t>given</w:t>
      </w:r>
      <w:r>
        <w:rPr>
          <w:i/>
          <w:spacing w:val="-4"/>
          <w:sz w:val="18"/>
        </w:rPr>
        <w:t> </w:t>
      </w:r>
      <w:r>
        <w:rPr>
          <w:i/>
          <w:sz w:val="18"/>
        </w:rPr>
        <w:t>year,</w:t>
      </w:r>
      <w:r>
        <w:rPr>
          <w:i/>
          <w:spacing w:val="-4"/>
          <w:sz w:val="18"/>
        </w:rPr>
        <w:t> </w:t>
      </w:r>
      <w:r>
        <w:rPr>
          <w:i/>
          <w:sz w:val="18"/>
        </w:rPr>
        <w:t>we</w:t>
      </w:r>
      <w:r>
        <w:rPr>
          <w:i/>
          <w:spacing w:val="-4"/>
          <w:sz w:val="18"/>
        </w:rPr>
        <w:t> </w:t>
      </w:r>
      <w:r>
        <w:rPr>
          <w:i/>
          <w:sz w:val="18"/>
        </w:rPr>
        <w:t>use</w:t>
      </w:r>
      <w:r>
        <w:rPr>
          <w:i/>
          <w:spacing w:val="-4"/>
          <w:sz w:val="18"/>
        </w:rPr>
        <w:t> </w:t>
      </w:r>
      <w:r>
        <w:rPr>
          <w:i/>
          <w:sz w:val="18"/>
        </w:rPr>
        <w:t>the</w:t>
      </w:r>
      <w:r>
        <w:rPr>
          <w:i/>
          <w:spacing w:val="-4"/>
          <w:sz w:val="18"/>
        </w:rPr>
        <w:t> </w:t>
      </w:r>
      <w:r>
        <w:rPr>
          <w:i/>
          <w:sz w:val="18"/>
        </w:rPr>
        <w:t>binary</w:t>
      </w:r>
      <w:r>
        <w:rPr>
          <w:i/>
          <w:spacing w:val="-4"/>
          <w:sz w:val="18"/>
        </w:rPr>
        <w:t> </w:t>
      </w:r>
      <w:r>
        <w:rPr>
          <w:i/>
          <w:sz w:val="18"/>
        </w:rPr>
        <w:t>measure</w:t>
      </w:r>
      <w:r>
        <w:rPr>
          <w:i/>
          <w:sz w:val="18"/>
        </w:rPr>
        <w:t> that is described in Box 1a.</w:t>
      </w:r>
    </w:p>
    <w:p>
      <w:pPr>
        <w:pStyle w:val="BodyText"/>
        <w:rPr>
          <w:i/>
          <w:sz w:val="18"/>
        </w:rPr>
      </w:pPr>
    </w:p>
    <w:p>
      <w:pPr>
        <w:pStyle w:val="BodyText"/>
        <w:spacing w:line="333" w:lineRule="auto" w:before="112"/>
        <w:ind w:left="760" w:right="767"/>
      </w:pPr>
      <w:r>
        <w:rPr/>
        <w:t>Given that the large-scale provision of emergency rescue loans to ﬁnancially distressed borrowers has increased Chinese bank exposure to repayment risk, another potential portfolio rebalancing strategy is to direct project (or nonemergency) loans to less risky borrowers. As a preliminary test of whether Chinese state-owned creditors may be responding in this way, we ﬁrst measure the percentage of China’s emergency rescue loan portfolio supporting </w:t>
      </w:r>
      <w:r>
        <w:rPr/>
        <w:t>borrower countries with credit ratings in “C and D territory”—i.e., countries that Moody’s, Standard &amp; Poor’s, and Fitch identify as in default or presenting a high risk of default. We then measure the percentage of China’s project loan portfolio supporting borrower countries with credit ratings in C and D territory. Figure</w:t>
      </w:r>
    </w:p>
    <w:p>
      <w:pPr>
        <w:pStyle w:val="BodyText"/>
        <w:spacing w:line="333" w:lineRule="auto"/>
        <w:ind w:left="760" w:right="767"/>
      </w:pPr>
      <w:r>
        <w:rPr/>
        <w:t>2.21 provides these summary statistics, which demonstrate that the overall </w:t>
      </w:r>
      <w:r>
        <w:rPr/>
        <w:t>credit</w:t>
      </w:r>
      <w:r>
        <w:rPr/>
        <w:t> quality of China’s project loan portfolio is substantially better than that of its emergency rescue loan portfolio.</w:t>
      </w:r>
      <w:r>
        <w:rPr>
          <w:vertAlign w:val="superscript"/>
        </w:rPr>
        <w:t>1</w:t>
      </w:r>
      <w:r>
        <w:rPr>
          <w:vertAlign w:val="superscript"/>
        </w:rPr>
        <w:t>9</w:t>
      </w:r>
      <w:r>
        <w:rPr>
          <w:vertAlign w:val="superscript"/>
        </w:rPr>
        <w:t>6</w:t>
      </w:r>
    </w:p>
    <w:p>
      <w:pPr>
        <w:pStyle w:val="BodyText"/>
        <w:spacing w:before="6"/>
        <w:rPr>
          <w:sz w:val="23"/>
        </w:rPr>
      </w:pPr>
      <w:r>
        <w:rPr/>
        <w:pict>
          <v:shape style="position:absolute;margin-left:90pt;margin-top:14.750595pt;width:144pt;height:.1pt;mso-position-horizontal-relative:page;mso-position-vertical-relative:paragraph;z-index:-15675904;mso-wrap-distance-left:0;mso-wrap-distance-right:0" id="docshape89" coordorigin="1800,295" coordsize="2880,0" path="m1800,295l4680,295e" filled="false" stroked="true" strokeweight=".75pt" strokecolor="#000000">
            <v:path arrowok="t"/>
            <v:stroke dashstyle="solid"/>
            <w10:wrap type="topAndBottom"/>
          </v:shape>
        </w:pict>
      </w:r>
    </w:p>
    <w:p>
      <w:pPr>
        <w:spacing w:line="249" w:lineRule="auto" w:before="113"/>
        <w:ind w:left="760" w:right="767" w:firstLine="0"/>
        <w:jc w:val="left"/>
        <w:rPr>
          <w:sz w:val="18"/>
        </w:rPr>
      </w:pPr>
      <w:r>
        <w:rPr>
          <w:sz w:val="18"/>
          <w:vertAlign w:val="superscript"/>
        </w:rPr>
        <w:t>196</w:t>
      </w:r>
      <w:r>
        <w:rPr>
          <w:spacing w:val="-6"/>
          <w:sz w:val="18"/>
          <w:vertAlign w:val="baseline"/>
        </w:rPr>
        <w:t> </w:t>
      </w:r>
      <w:r>
        <w:rPr>
          <w:sz w:val="18"/>
          <w:vertAlign w:val="baseline"/>
        </w:rPr>
        <w:t>Project</w:t>
      </w:r>
      <w:r>
        <w:rPr>
          <w:spacing w:val="-5"/>
          <w:sz w:val="18"/>
          <w:vertAlign w:val="baseline"/>
        </w:rPr>
        <w:t> </w:t>
      </w:r>
      <w:r>
        <w:rPr>
          <w:sz w:val="18"/>
          <w:vertAlign w:val="baseline"/>
        </w:rPr>
        <w:t>loans</w:t>
      </w:r>
      <w:r>
        <w:rPr>
          <w:spacing w:val="-5"/>
          <w:sz w:val="18"/>
          <w:vertAlign w:val="baseline"/>
        </w:rPr>
        <w:t> </w:t>
      </w:r>
      <w:r>
        <w:rPr>
          <w:sz w:val="18"/>
          <w:vertAlign w:val="baseline"/>
        </w:rPr>
        <w:t>are</w:t>
      </w:r>
      <w:r>
        <w:rPr>
          <w:spacing w:val="-5"/>
          <w:sz w:val="18"/>
          <w:vertAlign w:val="baseline"/>
        </w:rPr>
        <w:t> </w:t>
      </w:r>
      <w:r>
        <w:rPr>
          <w:sz w:val="18"/>
          <w:vertAlign w:val="baseline"/>
        </w:rPr>
        <w:t>deﬁned</w:t>
      </w:r>
      <w:r>
        <w:rPr>
          <w:spacing w:val="-5"/>
          <w:sz w:val="18"/>
          <w:vertAlign w:val="baseline"/>
        </w:rPr>
        <w:t> </w:t>
      </w:r>
      <w:r>
        <w:rPr>
          <w:sz w:val="18"/>
          <w:vertAlign w:val="baseline"/>
        </w:rPr>
        <w:t>as</w:t>
      </w:r>
      <w:r>
        <w:rPr>
          <w:spacing w:val="-5"/>
          <w:sz w:val="18"/>
          <w:vertAlign w:val="baseline"/>
        </w:rPr>
        <w:t> </w:t>
      </w:r>
      <w:r>
        <w:rPr>
          <w:sz w:val="18"/>
          <w:vertAlign w:val="baseline"/>
        </w:rPr>
        <w:t>those</w:t>
      </w:r>
      <w:r>
        <w:rPr>
          <w:spacing w:val="-5"/>
          <w:sz w:val="18"/>
          <w:vertAlign w:val="baseline"/>
        </w:rPr>
        <w:t> </w:t>
      </w:r>
      <w:r>
        <w:rPr>
          <w:sz w:val="18"/>
          <w:vertAlign w:val="baseline"/>
        </w:rPr>
        <w:t>in</w:t>
      </w:r>
      <w:r>
        <w:rPr>
          <w:spacing w:val="-5"/>
          <w:sz w:val="18"/>
          <w:vertAlign w:val="baseline"/>
        </w:rPr>
        <w:t> </w:t>
      </w:r>
      <w:r>
        <w:rPr>
          <w:sz w:val="18"/>
          <w:vertAlign w:val="baseline"/>
        </w:rPr>
        <w:t>the</w:t>
      </w:r>
      <w:r>
        <w:rPr>
          <w:spacing w:val="-5"/>
          <w:sz w:val="18"/>
          <w:vertAlign w:val="baseline"/>
        </w:rPr>
        <w:t> </w:t>
      </w:r>
      <w:r>
        <w:rPr>
          <w:sz w:val="18"/>
          <w:vertAlign w:val="baseline"/>
        </w:rPr>
        <w:t>3.0</w:t>
      </w:r>
      <w:r>
        <w:rPr>
          <w:spacing w:val="-5"/>
          <w:sz w:val="18"/>
          <w:vertAlign w:val="baseline"/>
        </w:rPr>
        <w:t> </w:t>
      </w:r>
      <w:r>
        <w:rPr>
          <w:sz w:val="18"/>
          <w:vertAlign w:val="baseline"/>
        </w:rPr>
        <w:t>version</w:t>
      </w:r>
      <w:r>
        <w:rPr>
          <w:spacing w:val="-5"/>
          <w:sz w:val="18"/>
          <w:vertAlign w:val="baseline"/>
        </w:rPr>
        <w:t> </w:t>
      </w:r>
      <w:r>
        <w:rPr>
          <w:sz w:val="18"/>
          <w:vertAlign w:val="baseline"/>
        </w:rPr>
        <w:t>of</w:t>
      </w:r>
      <w:r>
        <w:rPr>
          <w:spacing w:val="-5"/>
          <w:sz w:val="18"/>
          <w:vertAlign w:val="baseline"/>
        </w:rPr>
        <w:t> </w:t>
      </w:r>
      <w:r>
        <w:rPr>
          <w:sz w:val="18"/>
          <w:vertAlign w:val="baseline"/>
        </w:rPr>
        <w:t>AidData’s</w:t>
      </w:r>
      <w:r>
        <w:rPr>
          <w:spacing w:val="-5"/>
          <w:sz w:val="18"/>
          <w:vertAlign w:val="baseline"/>
        </w:rPr>
        <w:t> </w:t>
      </w:r>
      <w:r>
        <w:rPr>
          <w:sz w:val="18"/>
          <w:vertAlign w:val="baseline"/>
        </w:rPr>
        <w:t>GCDF</w:t>
      </w:r>
      <w:r>
        <w:rPr>
          <w:spacing w:val="-5"/>
          <w:sz w:val="18"/>
          <w:vertAlign w:val="baseline"/>
        </w:rPr>
        <w:t> </w:t>
      </w:r>
      <w:r>
        <w:rPr>
          <w:sz w:val="18"/>
          <w:vertAlign w:val="baseline"/>
        </w:rPr>
        <w:t>dataset</w:t>
      </w:r>
      <w:r>
        <w:rPr>
          <w:spacing w:val="-5"/>
          <w:sz w:val="18"/>
          <w:vertAlign w:val="baseline"/>
        </w:rPr>
        <w:t> </w:t>
      </w:r>
      <w:r>
        <w:rPr>
          <w:sz w:val="18"/>
          <w:vertAlign w:val="baseline"/>
        </w:rPr>
        <w:t>that</w:t>
      </w:r>
      <w:r>
        <w:rPr>
          <w:spacing w:val="-5"/>
          <w:sz w:val="18"/>
          <w:vertAlign w:val="baseline"/>
        </w:rPr>
        <w:t> </w:t>
      </w:r>
      <w:r>
        <w:rPr>
          <w:sz w:val="18"/>
          <w:vertAlign w:val="baseline"/>
        </w:rPr>
        <w:t>are</w:t>
      </w:r>
      <w:r>
        <w:rPr>
          <w:spacing w:val="-5"/>
          <w:sz w:val="18"/>
          <w:vertAlign w:val="baseline"/>
        </w:rPr>
        <w:t> </w:t>
      </w:r>
      <w:r>
        <w:rPr>
          <w:sz w:val="18"/>
          <w:vertAlign w:val="baseline"/>
        </w:rPr>
        <w:t>categorized</w:t>
      </w:r>
      <w:r>
        <w:rPr>
          <w:spacing w:val="-5"/>
          <w:sz w:val="18"/>
          <w:vertAlign w:val="baseline"/>
        </w:rPr>
        <w:t> </w:t>
      </w:r>
      <w:r>
        <w:rPr>
          <w:sz w:val="18"/>
          <w:vertAlign w:val="baseline"/>
        </w:rPr>
        <w:t>as investment project loans (IPLs).</w:t>
      </w:r>
    </w:p>
    <w:p>
      <w:pPr>
        <w:spacing w:after="0" w:line="249" w:lineRule="auto"/>
        <w:jc w:val="left"/>
        <w:rPr>
          <w:sz w:val="18"/>
        </w:rPr>
        <w:sectPr>
          <w:pgSz w:w="12240" w:h="15840"/>
          <w:pgMar w:header="0" w:footer="720" w:top="1560" w:bottom="920" w:left="1040" w:right="1040"/>
        </w:sectPr>
      </w:pPr>
    </w:p>
    <w:p>
      <w:pPr>
        <w:pStyle w:val="BodyText"/>
        <w:ind w:left="640"/>
        <w:rPr>
          <w:sz w:val="20"/>
        </w:rPr>
      </w:pPr>
      <w:r>
        <w:rPr>
          <w:sz w:val="20"/>
        </w:rPr>
        <w:pict>
          <v:shape style="width:444pt;height:38pt;mso-position-horizontal-relative:char;mso-position-vertical-relative:line" type="#_x0000_t202" id="docshape90"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2.21</w:t>
                  </w:r>
                </w:p>
              </w:txbxContent>
            </v:textbox>
            <v:fill type="solid"/>
          </v:shape>
        </w:pict>
      </w:r>
      <w:r>
        <w:rPr>
          <w:sz w:val="20"/>
        </w:rPr>
      </w:r>
    </w:p>
    <w:p>
      <w:pPr>
        <w:pStyle w:val="BodyText"/>
        <w:spacing w:before="10"/>
        <w:rPr>
          <w:sz w:val="13"/>
        </w:rPr>
      </w:pPr>
      <w:r>
        <w:rPr/>
        <w:drawing>
          <wp:anchor distT="0" distB="0" distL="0" distR="0" allowOverlap="1" layoutInCell="1" locked="0" behindDoc="0" simplePos="0" relativeHeight="105">
            <wp:simplePos x="0" y="0"/>
            <wp:positionH relativeFrom="page">
              <wp:posOffset>1250453</wp:posOffset>
            </wp:positionH>
            <wp:positionV relativeFrom="paragraph">
              <wp:posOffset>116808</wp:posOffset>
            </wp:positionV>
            <wp:extent cx="5253210" cy="1533525"/>
            <wp:effectExtent l="0" t="0" r="0" b="0"/>
            <wp:wrapTopAndBottom/>
            <wp:docPr id="41" name="image22.jpeg"/>
            <wp:cNvGraphicFramePr>
              <a:graphicFrameLocks noChangeAspect="1"/>
            </wp:cNvGraphicFramePr>
            <a:graphic>
              <a:graphicData uri="http://schemas.openxmlformats.org/drawingml/2006/picture">
                <pic:pic>
                  <pic:nvPicPr>
                    <pic:cNvPr id="42" name="image22.jpeg"/>
                    <pic:cNvPicPr/>
                  </pic:nvPicPr>
                  <pic:blipFill>
                    <a:blip r:embed="rId33" cstate="print"/>
                    <a:stretch>
                      <a:fillRect/>
                    </a:stretch>
                  </pic:blipFill>
                  <pic:spPr>
                    <a:xfrm>
                      <a:off x="0" y="0"/>
                      <a:ext cx="5253210" cy="1533525"/>
                    </a:xfrm>
                    <a:prstGeom prst="rect">
                      <a:avLst/>
                    </a:prstGeom>
                  </pic:spPr>
                </pic:pic>
              </a:graphicData>
            </a:graphic>
          </wp:anchor>
        </w:drawing>
      </w:r>
    </w:p>
    <w:p>
      <w:pPr>
        <w:pStyle w:val="BodyText"/>
        <w:rPr>
          <w:sz w:val="20"/>
        </w:rPr>
      </w:pPr>
    </w:p>
    <w:p>
      <w:pPr>
        <w:pStyle w:val="BodyText"/>
        <w:spacing w:before="6"/>
        <w:rPr>
          <w:sz w:val="19"/>
        </w:rPr>
      </w:pPr>
    </w:p>
    <w:p>
      <w:pPr>
        <w:spacing w:line="333" w:lineRule="auto" w:before="0"/>
        <w:ind w:left="760" w:right="838" w:firstLine="0"/>
        <w:jc w:val="left"/>
        <w:rPr>
          <w:i/>
          <w:sz w:val="18"/>
        </w:rPr>
      </w:pPr>
      <w:r>
        <w:rPr>
          <w:i/>
          <w:sz w:val="18"/>
        </w:rPr>
        <w:t>Notes: Countries in default or at a high risk of default represent LICs and MICs with scores of 5 or less on</w:t>
      </w:r>
      <w:r>
        <w:rPr>
          <w:i/>
          <w:sz w:val="18"/>
        </w:rPr>
        <w:t> the</w:t>
      </w:r>
      <w:r>
        <w:rPr>
          <w:i/>
          <w:spacing w:val="-5"/>
          <w:sz w:val="18"/>
        </w:rPr>
        <w:t> </w:t>
      </w:r>
      <w:r>
        <w:rPr>
          <w:i/>
          <w:sz w:val="18"/>
        </w:rPr>
        <w:t>sovrate</w:t>
      </w:r>
      <w:r>
        <w:rPr>
          <w:i/>
          <w:spacing w:val="-5"/>
          <w:sz w:val="18"/>
        </w:rPr>
        <w:t> </w:t>
      </w:r>
      <w:r>
        <w:rPr>
          <w:i/>
          <w:sz w:val="18"/>
        </w:rPr>
        <w:t>index</w:t>
      </w:r>
      <w:r>
        <w:rPr>
          <w:i/>
          <w:spacing w:val="-5"/>
          <w:sz w:val="18"/>
        </w:rPr>
        <w:t> </w:t>
      </w:r>
      <w:r>
        <w:rPr>
          <w:i/>
          <w:sz w:val="18"/>
        </w:rPr>
        <w:t>(see</w:t>
      </w:r>
      <w:r>
        <w:rPr>
          <w:i/>
          <w:spacing w:val="-5"/>
          <w:sz w:val="18"/>
        </w:rPr>
        <w:t> </w:t>
      </w:r>
      <w:r>
        <w:rPr>
          <w:i/>
          <w:sz w:val="18"/>
        </w:rPr>
        <w:t>Box</w:t>
      </w:r>
      <w:r>
        <w:rPr>
          <w:i/>
          <w:spacing w:val="-5"/>
          <w:sz w:val="18"/>
        </w:rPr>
        <w:t> </w:t>
      </w:r>
      <w:r>
        <w:rPr>
          <w:i/>
          <w:sz w:val="18"/>
        </w:rPr>
        <w:t>1a).</w:t>
      </w:r>
      <w:r>
        <w:rPr>
          <w:i/>
          <w:spacing w:val="-5"/>
          <w:sz w:val="18"/>
        </w:rPr>
        <w:t> </w:t>
      </w:r>
      <w:r>
        <w:rPr>
          <w:i/>
          <w:sz w:val="18"/>
        </w:rPr>
        <w:t>Countries</w:t>
      </w:r>
      <w:r>
        <w:rPr>
          <w:i/>
          <w:spacing w:val="-5"/>
          <w:sz w:val="18"/>
        </w:rPr>
        <w:t> </w:t>
      </w:r>
      <w:r>
        <w:rPr>
          <w:i/>
          <w:sz w:val="18"/>
        </w:rPr>
        <w:t>not</w:t>
      </w:r>
      <w:r>
        <w:rPr>
          <w:i/>
          <w:spacing w:val="-5"/>
          <w:sz w:val="18"/>
        </w:rPr>
        <w:t> </w:t>
      </w:r>
      <w:r>
        <w:rPr>
          <w:i/>
          <w:sz w:val="18"/>
        </w:rPr>
        <w:t>at</w:t>
      </w:r>
      <w:r>
        <w:rPr>
          <w:i/>
          <w:spacing w:val="-5"/>
          <w:sz w:val="18"/>
        </w:rPr>
        <w:t> </w:t>
      </w:r>
      <w:r>
        <w:rPr>
          <w:i/>
          <w:sz w:val="18"/>
        </w:rPr>
        <w:t>a</w:t>
      </w:r>
      <w:r>
        <w:rPr>
          <w:i/>
          <w:spacing w:val="-5"/>
          <w:sz w:val="18"/>
        </w:rPr>
        <w:t> </w:t>
      </w:r>
      <w:r>
        <w:rPr>
          <w:i/>
          <w:sz w:val="18"/>
        </w:rPr>
        <w:t>high</w:t>
      </w:r>
      <w:r>
        <w:rPr>
          <w:i/>
          <w:spacing w:val="-5"/>
          <w:sz w:val="18"/>
        </w:rPr>
        <w:t> </w:t>
      </w:r>
      <w:r>
        <w:rPr>
          <w:i/>
          <w:sz w:val="18"/>
        </w:rPr>
        <w:t>risk</w:t>
      </w:r>
      <w:r>
        <w:rPr>
          <w:i/>
          <w:spacing w:val="-5"/>
          <w:sz w:val="18"/>
        </w:rPr>
        <w:t> </w:t>
      </w:r>
      <w:r>
        <w:rPr>
          <w:i/>
          <w:sz w:val="18"/>
        </w:rPr>
        <w:t>of</w:t>
      </w:r>
      <w:r>
        <w:rPr>
          <w:i/>
          <w:spacing w:val="-5"/>
          <w:sz w:val="18"/>
        </w:rPr>
        <w:t> </w:t>
      </w:r>
      <w:r>
        <w:rPr>
          <w:i/>
          <w:sz w:val="18"/>
        </w:rPr>
        <w:t>default</w:t>
      </w:r>
      <w:r>
        <w:rPr>
          <w:i/>
          <w:spacing w:val="-5"/>
          <w:sz w:val="18"/>
        </w:rPr>
        <w:t> </w:t>
      </w:r>
      <w:r>
        <w:rPr>
          <w:i/>
          <w:sz w:val="18"/>
        </w:rPr>
        <w:t>represent</w:t>
      </w:r>
      <w:r>
        <w:rPr>
          <w:i/>
          <w:spacing w:val="-5"/>
          <w:sz w:val="18"/>
        </w:rPr>
        <w:t> </w:t>
      </w:r>
      <w:r>
        <w:rPr>
          <w:i/>
          <w:sz w:val="18"/>
        </w:rPr>
        <w:t>LICs</w:t>
      </w:r>
      <w:r>
        <w:rPr>
          <w:i/>
          <w:spacing w:val="-5"/>
          <w:sz w:val="18"/>
        </w:rPr>
        <w:t> </w:t>
      </w:r>
      <w:r>
        <w:rPr>
          <w:i/>
          <w:sz w:val="18"/>
        </w:rPr>
        <w:t>and</w:t>
      </w:r>
      <w:r>
        <w:rPr>
          <w:i/>
          <w:spacing w:val="-5"/>
          <w:sz w:val="18"/>
        </w:rPr>
        <w:t> </w:t>
      </w:r>
      <w:r>
        <w:rPr>
          <w:i/>
          <w:sz w:val="18"/>
        </w:rPr>
        <w:t>MICs</w:t>
      </w:r>
      <w:r>
        <w:rPr>
          <w:i/>
          <w:spacing w:val="-5"/>
          <w:sz w:val="18"/>
        </w:rPr>
        <w:t> </w:t>
      </w:r>
      <w:r>
        <w:rPr>
          <w:i/>
          <w:sz w:val="18"/>
        </w:rPr>
        <w:t>with</w:t>
      </w:r>
      <w:r>
        <w:rPr>
          <w:i/>
          <w:spacing w:val="-5"/>
          <w:sz w:val="18"/>
        </w:rPr>
        <w:t> </w:t>
      </w:r>
      <w:r>
        <w:rPr>
          <w:i/>
          <w:sz w:val="18"/>
        </w:rPr>
        <w:t>scores above 5 on the sovrate index. The World Bank’s sovrate index is a measure of repayment risk that varies from 0 to 21, with higher scores indicating lower levels of sovereign credit risk (Kose et al. 2022).</w:t>
      </w:r>
    </w:p>
    <w:p>
      <w:pPr>
        <w:spacing w:line="333" w:lineRule="auto" w:before="0"/>
        <w:ind w:left="760" w:right="767" w:firstLine="0"/>
        <w:jc w:val="left"/>
        <w:rPr>
          <w:i/>
          <w:sz w:val="18"/>
        </w:rPr>
      </w:pPr>
      <w:r>
        <w:rPr>
          <w:i/>
          <w:sz w:val="18"/>
        </w:rPr>
        <w:t>Country-year observations without ofﬁcial sector Chinese lending commitments or sovrate scores are</w:t>
      </w:r>
      <w:r>
        <w:rPr>
          <w:i/>
          <w:sz w:val="18"/>
        </w:rPr>
        <w:t> excluded from the ﬁgure. MOFCOM interest-free loan commitments (which are typically issued without </w:t>
      </w:r>
      <w:r>
        <w:rPr>
          <w:i/>
          <w:sz w:val="18"/>
        </w:rPr>
        <w:t>a credible expectation of repayment) are excluded from the calculation.</w:t>
      </w:r>
    </w:p>
    <w:p>
      <w:pPr>
        <w:pStyle w:val="BodyText"/>
        <w:rPr>
          <w:i/>
          <w:sz w:val="18"/>
        </w:rPr>
      </w:pPr>
    </w:p>
    <w:p>
      <w:pPr>
        <w:pStyle w:val="BodyText"/>
        <w:spacing w:line="333" w:lineRule="auto" w:before="111"/>
        <w:ind w:left="760" w:right="767"/>
      </w:pPr>
      <w:r>
        <w:rPr>
          <w:w w:val="105"/>
        </w:rPr>
        <w:t>We</w:t>
      </w:r>
      <w:r>
        <w:rPr>
          <w:spacing w:val="-7"/>
          <w:w w:val="105"/>
        </w:rPr>
        <w:t> </w:t>
      </w:r>
      <w:r>
        <w:rPr>
          <w:w w:val="105"/>
        </w:rPr>
        <w:t>also</w:t>
      </w:r>
      <w:r>
        <w:rPr>
          <w:spacing w:val="-7"/>
          <w:w w:val="105"/>
        </w:rPr>
        <w:t> </w:t>
      </w:r>
      <w:r>
        <w:rPr>
          <w:w w:val="105"/>
        </w:rPr>
        <w:t>ﬁnd</w:t>
      </w:r>
      <w:r>
        <w:rPr>
          <w:spacing w:val="-7"/>
          <w:w w:val="105"/>
        </w:rPr>
        <w:t> </w:t>
      </w:r>
      <w:r>
        <w:rPr>
          <w:w w:val="105"/>
        </w:rPr>
        <w:t>evidence</w:t>
      </w:r>
      <w:r>
        <w:rPr>
          <w:spacing w:val="-7"/>
          <w:w w:val="105"/>
        </w:rPr>
        <w:t> </w:t>
      </w:r>
      <w:r>
        <w:rPr>
          <w:w w:val="105"/>
        </w:rPr>
        <w:t>of</w:t>
      </w:r>
      <w:r>
        <w:rPr>
          <w:spacing w:val="-7"/>
          <w:w w:val="105"/>
        </w:rPr>
        <w:t> </w:t>
      </w:r>
      <w:r>
        <w:rPr>
          <w:w w:val="105"/>
        </w:rPr>
        <w:t>portfolio</w:t>
      </w:r>
      <w:r>
        <w:rPr>
          <w:spacing w:val="-7"/>
          <w:w w:val="105"/>
        </w:rPr>
        <w:t> </w:t>
      </w:r>
      <w:r>
        <w:rPr>
          <w:w w:val="105"/>
        </w:rPr>
        <w:t>rebalancing</w:t>
      </w:r>
      <w:r>
        <w:rPr>
          <w:spacing w:val="-7"/>
          <w:w w:val="105"/>
        </w:rPr>
        <w:t> </w:t>
      </w:r>
      <w:r>
        <w:rPr>
          <w:w w:val="105"/>
        </w:rPr>
        <w:t>over</w:t>
      </w:r>
      <w:r>
        <w:rPr>
          <w:spacing w:val="-7"/>
          <w:w w:val="105"/>
        </w:rPr>
        <w:t> </w:t>
      </w:r>
      <w:r>
        <w:rPr>
          <w:w w:val="105"/>
        </w:rPr>
        <w:t>time.</w:t>
      </w:r>
      <w:r>
        <w:rPr>
          <w:spacing w:val="-7"/>
          <w:w w:val="105"/>
        </w:rPr>
        <w:t> </w:t>
      </w:r>
      <w:r>
        <w:rPr>
          <w:w w:val="105"/>
        </w:rPr>
        <w:t>According</w:t>
      </w:r>
      <w:r>
        <w:rPr>
          <w:spacing w:val="-7"/>
          <w:w w:val="105"/>
        </w:rPr>
        <w:t> </w:t>
      </w:r>
      <w:r>
        <w:rPr>
          <w:w w:val="105"/>
        </w:rPr>
        <w:t>to</w:t>
      </w:r>
      <w:r>
        <w:rPr>
          <w:spacing w:val="-7"/>
          <w:w w:val="105"/>
        </w:rPr>
        <w:t> </w:t>
      </w:r>
      <w:r>
        <w:rPr>
          <w:w w:val="105"/>
        </w:rPr>
        <w:t>Figure A30,</w:t>
      </w:r>
      <w:r>
        <w:rPr>
          <w:spacing w:val="-9"/>
          <w:w w:val="105"/>
        </w:rPr>
        <w:t> </w:t>
      </w:r>
      <w:r>
        <w:rPr>
          <w:w w:val="105"/>
        </w:rPr>
        <w:t>China</w:t>
      </w:r>
      <w:r>
        <w:rPr>
          <w:spacing w:val="-9"/>
          <w:w w:val="105"/>
        </w:rPr>
        <w:t> </w:t>
      </w:r>
      <w:r>
        <w:rPr>
          <w:w w:val="105"/>
        </w:rPr>
        <w:t>reduced</w:t>
      </w:r>
      <w:r>
        <w:rPr>
          <w:spacing w:val="-9"/>
          <w:w w:val="105"/>
        </w:rPr>
        <w:t> </w:t>
      </w:r>
      <w:r>
        <w:rPr>
          <w:w w:val="105"/>
        </w:rPr>
        <w:t>the</w:t>
      </w:r>
      <w:r>
        <w:rPr>
          <w:spacing w:val="-9"/>
          <w:w w:val="105"/>
        </w:rPr>
        <w:t> </w:t>
      </w:r>
      <w:r>
        <w:rPr>
          <w:w w:val="105"/>
        </w:rPr>
        <w:t>percentage</w:t>
      </w:r>
      <w:r>
        <w:rPr>
          <w:spacing w:val="-9"/>
          <w:w w:val="105"/>
        </w:rPr>
        <w:t> </w:t>
      </w:r>
      <w:r>
        <w:rPr>
          <w:w w:val="105"/>
        </w:rPr>
        <w:t>of</w:t>
      </w:r>
      <w:r>
        <w:rPr>
          <w:spacing w:val="-9"/>
          <w:w w:val="105"/>
        </w:rPr>
        <w:t> </w:t>
      </w:r>
      <w:r>
        <w:rPr>
          <w:w w:val="105"/>
        </w:rPr>
        <w:t>its</w:t>
      </w:r>
      <w:r>
        <w:rPr>
          <w:spacing w:val="-9"/>
          <w:w w:val="105"/>
        </w:rPr>
        <w:t> </w:t>
      </w:r>
      <w:r>
        <w:rPr>
          <w:w w:val="105"/>
        </w:rPr>
        <w:t>non-emergency</w:t>
      </w:r>
      <w:r>
        <w:rPr>
          <w:spacing w:val="-9"/>
          <w:w w:val="105"/>
        </w:rPr>
        <w:t> </w:t>
      </w:r>
      <w:r>
        <w:rPr>
          <w:w w:val="105"/>
        </w:rPr>
        <w:t>loan</w:t>
      </w:r>
      <w:r>
        <w:rPr>
          <w:spacing w:val="-9"/>
          <w:w w:val="105"/>
        </w:rPr>
        <w:t> </w:t>
      </w:r>
      <w:r>
        <w:rPr>
          <w:w w:val="105"/>
        </w:rPr>
        <w:t>portfolio supporting</w:t>
      </w:r>
      <w:r>
        <w:rPr>
          <w:spacing w:val="-7"/>
          <w:w w:val="105"/>
        </w:rPr>
        <w:t> </w:t>
      </w:r>
      <w:r>
        <w:rPr>
          <w:w w:val="105"/>
        </w:rPr>
        <w:t>borrower</w:t>
      </w:r>
      <w:r>
        <w:rPr>
          <w:spacing w:val="-7"/>
          <w:w w:val="105"/>
        </w:rPr>
        <w:t> </w:t>
      </w:r>
      <w:r>
        <w:rPr>
          <w:w w:val="105"/>
        </w:rPr>
        <w:t>countries</w:t>
      </w:r>
      <w:r>
        <w:rPr>
          <w:spacing w:val="-7"/>
          <w:w w:val="105"/>
        </w:rPr>
        <w:t> </w:t>
      </w:r>
      <w:r>
        <w:rPr>
          <w:w w:val="105"/>
        </w:rPr>
        <w:t>with</w:t>
      </w:r>
      <w:r>
        <w:rPr>
          <w:spacing w:val="-7"/>
          <w:w w:val="105"/>
        </w:rPr>
        <w:t> </w:t>
      </w:r>
      <w:r>
        <w:rPr>
          <w:w w:val="105"/>
        </w:rPr>
        <w:t>credit</w:t>
      </w:r>
      <w:r>
        <w:rPr>
          <w:spacing w:val="-7"/>
          <w:w w:val="105"/>
        </w:rPr>
        <w:t> </w:t>
      </w:r>
      <w:r>
        <w:rPr>
          <w:w w:val="105"/>
        </w:rPr>
        <w:t>ratings</w:t>
      </w:r>
      <w:r>
        <w:rPr>
          <w:spacing w:val="-7"/>
          <w:w w:val="105"/>
        </w:rPr>
        <w:t> </w:t>
      </w:r>
      <w:r>
        <w:rPr>
          <w:w w:val="105"/>
        </w:rPr>
        <w:t>in</w:t>
      </w:r>
      <w:r>
        <w:rPr>
          <w:spacing w:val="-7"/>
          <w:w w:val="105"/>
        </w:rPr>
        <w:t> </w:t>
      </w:r>
      <w:r>
        <w:rPr>
          <w:w w:val="105"/>
        </w:rPr>
        <w:t>C</w:t>
      </w:r>
      <w:r>
        <w:rPr>
          <w:spacing w:val="-7"/>
          <w:w w:val="105"/>
        </w:rPr>
        <w:t> </w:t>
      </w:r>
      <w:r>
        <w:rPr>
          <w:w w:val="105"/>
        </w:rPr>
        <w:t>and</w:t>
      </w:r>
      <w:r>
        <w:rPr>
          <w:spacing w:val="-7"/>
          <w:w w:val="105"/>
        </w:rPr>
        <w:t> </w:t>
      </w:r>
      <w:r>
        <w:rPr>
          <w:w w:val="105"/>
        </w:rPr>
        <w:t>D</w:t>
      </w:r>
      <w:r>
        <w:rPr>
          <w:spacing w:val="-7"/>
          <w:w w:val="105"/>
        </w:rPr>
        <w:t> </w:t>
      </w:r>
      <w:r>
        <w:rPr>
          <w:w w:val="105"/>
        </w:rPr>
        <w:t>territory—from 7.9%</w:t>
      </w:r>
      <w:r>
        <w:rPr>
          <w:spacing w:val="-11"/>
          <w:w w:val="105"/>
        </w:rPr>
        <w:t> </w:t>
      </w:r>
      <w:r>
        <w:rPr>
          <w:w w:val="105"/>
        </w:rPr>
        <w:t>during</w:t>
      </w:r>
      <w:r>
        <w:rPr>
          <w:spacing w:val="-11"/>
          <w:w w:val="105"/>
        </w:rPr>
        <w:t> </w:t>
      </w:r>
      <w:r>
        <w:rPr>
          <w:w w:val="105"/>
        </w:rPr>
        <w:t>the</w:t>
      </w:r>
      <w:r>
        <w:rPr>
          <w:spacing w:val="-11"/>
          <w:w w:val="105"/>
        </w:rPr>
        <w:t> </w:t>
      </w:r>
      <w:r>
        <w:rPr>
          <w:w w:val="105"/>
        </w:rPr>
        <w:t>early</w:t>
      </w:r>
      <w:r>
        <w:rPr>
          <w:spacing w:val="-11"/>
          <w:w w:val="105"/>
        </w:rPr>
        <w:t> </w:t>
      </w:r>
      <w:r>
        <w:rPr>
          <w:w w:val="105"/>
        </w:rPr>
        <w:t>BRI</w:t>
      </w:r>
      <w:r>
        <w:rPr>
          <w:spacing w:val="-11"/>
          <w:w w:val="105"/>
        </w:rPr>
        <w:t> </w:t>
      </w:r>
      <w:r>
        <w:rPr>
          <w:w w:val="105"/>
        </w:rPr>
        <w:t>period</w:t>
      </w:r>
      <w:r>
        <w:rPr>
          <w:spacing w:val="-11"/>
          <w:w w:val="105"/>
        </w:rPr>
        <w:t> </w:t>
      </w:r>
      <w:r>
        <w:rPr>
          <w:w w:val="105"/>
        </w:rPr>
        <w:t>to</w:t>
      </w:r>
      <w:r>
        <w:rPr>
          <w:spacing w:val="-11"/>
          <w:w w:val="105"/>
        </w:rPr>
        <w:t> </w:t>
      </w:r>
      <w:r>
        <w:rPr>
          <w:w w:val="105"/>
        </w:rPr>
        <w:t>0.8%</w:t>
      </w:r>
      <w:r>
        <w:rPr>
          <w:spacing w:val="-11"/>
          <w:w w:val="105"/>
        </w:rPr>
        <w:t> </w:t>
      </w:r>
      <w:r>
        <w:rPr>
          <w:w w:val="105"/>
        </w:rPr>
        <w:t>during</w:t>
      </w:r>
      <w:r>
        <w:rPr>
          <w:spacing w:val="-11"/>
          <w:w w:val="105"/>
        </w:rPr>
        <w:t> </w:t>
      </w:r>
      <w:r>
        <w:rPr>
          <w:w w:val="105"/>
        </w:rPr>
        <w:t>the</w:t>
      </w:r>
      <w:r>
        <w:rPr>
          <w:spacing w:val="-11"/>
          <w:w w:val="105"/>
        </w:rPr>
        <w:t> </w:t>
      </w:r>
      <w:r>
        <w:rPr>
          <w:w w:val="105"/>
        </w:rPr>
        <w:t>late</w:t>
      </w:r>
      <w:r>
        <w:rPr>
          <w:spacing w:val="-11"/>
          <w:w w:val="105"/>
        </w:rPr>
        <w:t> </w:t>
      </w:r>
      <w:r>
        <w:rPr>
          <w:w w:val="105"/>
        </w:rPr>
        <w:t>BRI</w:t>
      </w:r>
      <w:r>
        <w:rPr>
          <w:spacing w:val="-11"/>
          <w:w w:val="105"/>
        </w:rPr>
        <w:t> </w:t>
      </w:r>
      <w:r>
        <w:rPr>
          <w:w w:val="105"/>
        </w:rPr>
        <w:t>period.</w:t>
      </w:r>
      <w:r>
        <w:rPr>
          <w:spacing w:val="-11"/>
          <w:w w:val="105"/>
        </w:rPr>
        <w:t> </w:t>
      </w:r>
      <w:r>
        <w:rPr>
          <w:w w:val="105"/>
        </w:rPr>
        <w:t>One </w:t>
      </w:r>
      <w:r>
        <w:rPr/>
        <w:t>potential way of shifting the non-emergency (and project) lending portfolio </w:t>
      </w:r>
      <w:r>
        <w:rPr/>
        <w:t>away </w:t>
      </w:r>
      <w:r>
        <w:rPr>
          <w:w w:val="105"/>
        </w:rPr>
        <w:t>from</w:t>
      </w:r>
      <w:r>
        <w:rPr>
          <w:spacing w:val="-18"/>
          <w:w w:val="105"/>
        </w:rPr>
        <w:t> </w:t>
      </w:r>
      <w:r>
        <w:rPr>
          <w:w w:val="105"/>
        </w:rPr>
        <w:t>countries</w:t>
      </w:r>
      <w:r>
        <w:rPr>
          <w:spacing w:val="-17"/>
          <w:w w:val="105"/>
        </w:rPr>
        <w:t> </w:t>
      </w:r>
      <w:r>
        <w:rPr>
          <w:w w:val="105"/>
        </w:rPr>
        <w:t>that</w:t>
      </w:r>
      <w:r>
        <w:rPr>
          <w:spacing w:val="-18"/>
          <w:w w:val="105"/>
        </w:rPr>
        <w:t> </w:t>
      </w:r>
      <w:r>
        <w:rPr>
          <w:w w:val="105"/>
        </w:rPr>
        <w:t>present</w:t>
      </w:r>
      <w:r>
        <w:rPr>
          <w:spacing w:val="-18"/>
          <w:w w:val="105"/>
        </w:rPr>
        <w:t> </w:t>
      </w:r>
      <w:r>
        <w:rPr>
          <w:w w:val="105"/>
        </w:rPr>
        <w:t>high</w:t>
      </w:r>
      <w:r>
        <w:rPr>
          <w:spacing w:val="-17"/>
          <w:w w:val="105"/>
        </w:rPr>
        <w:t> </w:t>
      </w:r>
      <w:r>
        <w:rPr>
          <w:w w:val="105"/>
        </w:rPr>
        <w:t>levels</w:t>
      </w:r>
      <w:r>
        <w:rPr>
          <w:spacing w:val="-18"/>
          <w:w w:val="105"/>
        </w:rPr>
        <w:t> </w:t>
      </w:r>
      <w:r>
        <w:rPr>
          <w:w w:val="105"/>
        </w:rPr>
        <w:t>of</w:t>
      </w:r>
      <w:r>
        <w:rPr>
          <w:spacing w:val="-17"/>
          <w:w w:val="105"/>
        </w:rPr>
        <w:t> </w:t>
      </w:r>
      <w:r>
        <w:rPr>
          <w:w w:val="105"/>
        </w:rPr>
        <w:t>repayment</w:t>
      </w:r>
      <w:r>
        <w:rPr>
          <w:spacing w:val="-18"/>
          <w:w w:val="105"/>
        </w:rPr>
        <w:t> </w:t>
      </w:r>
      <w:r>
        <w:rPr>
          <w:w w:val="105"/>
        </w:rPr>
        <w:t>risk</w:t>
      </w:r>
      <w:r>
        <w:rPr>
          <w:spacing w:val="-17"/>
          <w:w w:val="105"/>
        </w:rPr>
        <w:t> </w:t>
      </w:r>
      <w:r>
        <w:rPr>
          <w:w w:val="105"/>
        </w:rPr>
        <w:t>is</w:t>
      </w:r>
      <w:r>
        <w:rPr>
          <w:spacing w:val="-18"/>
          <w:w w:val="105"/>
        </w:rPr>
        <w:t> </w:t>
      </w:r>
      <w:r>
        <w:rPr>
          <w:w w:val="105"/>
        </w:rPr>
        <w:t>via</w:t>
      </w:r>
      <w:r>
        <w:rPr>
          <w:spacing w:val="-17"/>
          <w:w w:val="105"/>
        </w:rPr>
        <w:t> </w:t>
      </w:r>
      <w:r>
        <w:rPr>
          <w:w w:val="105"/>
        </w:rPr>
        <w:t>syndication</w:t>
      </w:r>
      <w:r>
        <w:rPr>
          <w:spacing w:val="-18"/>
          <w:w w:val="105"/>
        </w:rPr>
        <w:t> </w:t>
      </w:r>
      <w:r>
        <w:rPr>
          <w:w w:val="105"/>
        </w:rPr>
        <w:t>and </w:t>
      </w:r>
      <w:r>
        <w:rPr/>
        <w:t>multilateralization. Figure 2.22 demonstrates that when Beijing outsources risk management (including the loan origination process), less credit is channeled to </w:t>
      </w:r>
      <w:r>
        <w:rPr>
          <w:w w:val="105"/>
        </w:rPr>
        <w:t>countries</w:t>
      </w:r>
      <w:r>
        <w:rPr>
          <w:spacing w:val="-17"/>
          <w:w w:val="105"/>
        </w:rPr>
        <w:t> </w:t>
      </w:r>
      <w:r>
        <w:rPr>
          <w:w w:val="105"/>
        </w:rPr>
        <w:t>that</w:t>
      </w:r>
      <w:r>
        <w:rPr>
          <w:spacing w:val="-17"/>
          <w:w w:val="105"/>
        </w:rPr>
        <w:t> </w:t>
      </w:r>
      <w:r>
        <w:rPr>
          <w:w w:val="105"/>
        </w:rPr>
        <w:t>are</w:t>
      </w:r>
      <w:r>
        <w:rPr>
          <w:spacing w:val="-17"/>
          <w:w w:val="105"/>
        </w:rPr>
        <w:t> </w:t>
      </w:r>
      <w:r>
        <w:rPr>
          <w:w w:val="105"/>
        </w:rPr>
        <w:t>in</w:t>
      </w:r>
      <w:r>
        <w:rPr>
          <w:spacing w:val="-17"/>
          <w:w w:val="105"/>
        </w:rPr>
        <w:t> </w:t>
      </w:r>
      <w:r>
        <w:rPr>
          <w:w w:val="105"/>
        </w:rPr>
        <w:t>default</w:t>
      </w:r>
      <w:r>
        <w:rPr>
          <w:spacing w:val="-17"/>
          <w:w w:val="105"/>
        </w:rPr>
        <w:t> </w:t>
      </w:r>
      <w:r>
        <w:rPr>
          <w:w w:val="105"/>
        </w:rPr>
        <w:t>or</w:t>
      </w:r>
      <w:r>
        <w:rPr>
          <w:spacing w:val="-17"/>
          <w:w w:val="105"/>
        </w:rPr>
        <w:t> </w:t>
      </w:r>
      <w:r>
        <w:rPr>
          <w:w w:val="105"/>
        </w:rPr>
        <w:t>present</w:t>
      </w:r>
      <w:r>
        <w:rPr>
          <w:spacing w:val="-17"/>
          <w:w w:val="105"/>
        </w:rPr>
        <w:t> </w:t>
      </w:r>
      <w:r>
        <w:rPr>
          <w:w w:val="105"/>
        </w:rPr>
        <w:t>a</w:t>
      </w:r>
      <w:r>
        <w:rPr>
          <w:spacing w:val="-17"/>
          <w:w w:val="105"/>
        </w:rPr>
        <w:t> </w:t>
      </w:r>
      <w:r>
        <w:rPr>
          <w:w w:val="105"/>
        </w:rPr>
        <w:t>high</w:t>
      </w:r>
      <w:r>
        <w:rPr>
          <w:spacing w:val="-17"/>
          <w:w w:val="105"/>
        </w:rPr>
        <w:t> </w:t>
      </w:r>
      <w:r>
        <w:rPr>
          <w:w w:val="105"/>
        </w:rPr>
        <w:t>probability</w:t>
      </w:r>
      <w:r>
        <w:rPr>
          <w:spacing w:val="-17"/>
          <w:w w:val="105"/>
        </w:rPr>
        <w:t> </w:t>
      </w:r>
      <w:r>
        <w:rPr>
          <w:w w:val="105"/>
        </w:rPr>
        <w:t>of</w:t>
      </w:r>
      <w:r>
        <w:rPr>
          <w:spacing w:val="-17"/>
          <w:w w:val="105"/>
        </w:rPr>
        <w:t> </w:t>
      </w:r>
      <w:r>
        <w:rPr>
          <w:w w:val="105"/>
        </w:rPr>
        <w:t>default.</w:t>
      </w:r>
      <w:r>
        <w:rPr>
          <w:spacing w:val="-17"/>
          <w:w w:val="105"/>
        </w:rPr>
        <w:t> </w:t>
      </w:r>
      <w:r>
        <w:rPr>
          <w:w w:val="105"/>
        </w:rPr>
        <w:t>However,</w:t>
      </w:r>
      <w:r>
        <w:rPr>
          <w:spacing w:val="-17"/>
          <w:w w:val="105"/>
        </w:rPr>
        <w:t> </w:t>
      </w:r>
      <w:r>
        <w:rPr>
          <w:w w:val="105"/>
        </w:rPr>
        <w:t>is there</w:t>
      </w:r>
      <w:r>
        <w:rPr>
          <w:spacing w:val="-13"/>
          <w:w w:val="105"/>
        </w:rPr>
        <w:t> </w:t>
      </w:r>
      <w:r>
        <w:rPr>
          <w:w w:val="105"/>
        </w:rPr>
        <w:t>any</w:t>
      </w:r>
      <w:r>
        <w:rPr>
          <w:spacing w:val="-13"/>
          <w:w w:val="105"/>
        </w:rPr>
        <w:t> </w:t>
      </w:r>
      <w:r>
        <w:rPr>
          <w:w w:val="105"/>
        </w:rPr>
        <w:t>evidence</w:t>
      </w:r>
      <w:r>
        <w:rPr>
          <w:spacing w:val="-13"/>
          <w:w w:val="105"/>
        </w:rPr>
        <w:t> </w:t>
      </w:r>
      <w:r>
        <w:rPr>
          <w:w w:val="105"/>
        </w:rPr>
        <w:t>that</w:t>
      </w:r>
      <w:r>
        <w:rPr>
          <w:spacing w:val="-13"/>
          <w:w w:val="105"/>
        </w:rPr>
        <w:t> </w:t>
      </w:r>
      <w:r>
        <w:rPr>
          <w:w w:val="105"/>
        </w:rPr>
        <w:t>Beijing</w:t>
      </w:r>
      <w:r>
        <w:rPr>
          <w:spacing w:val="-13"/>
          <w:w w:val="105"/>
        </w:rPr>
        <w:t> </w:t>
      </w:r>
      <w:r>
        <w:rPr>
          <w:w w:val="105"/>
        </w:rPr>
        <w:t>is</w:t>
      </w:r>
      <w:r>
        <w:rPr>
          <w:spacing w:val="-13"/>
          <w:w w:val="105"/>
        </w:rPr>
        <w:t> </w:t>
      </w:r>
      <w:r>
        <w:rPr>
          <w:w w:val="105"/>
        </w:rPr>
        <w:t>actually</w:t>
      </w:r>
      <w:r>
        <w:rPr>
          <w:spacing w:val="-13"/>
          <w:w w:val="105"/>
        </w:rPr>
        <w:t> </w:t>
      </w:r>
      <w:r>
        <w:rPr>
          <w:w w:val="105"/>
        </w:rPr>
        <w:t>pivoting</w:t>
      </w:r>
      <w:r>
        <w:rPr>
          <w:spacing w:val="-13"/>
          <w:w w:val="105"/>
        </w:rPr>
        <w:t> </w:t>
      </w:r>
      <w:r>
        <w:rPr>
          <w:w w:val="105"/>
        </w:rPr>
        <w:t>away</w:t>
      </w:r>
      <w:r>
        <w:rPr>
          <w:spacing w:val="-13"/>
          <w:w w:val="105"/>
        </w:rPr>
        <w:t> </w:t>
      </w:r>
      <w:r>
        <w:rPr>
          <w:w w:val="105"/>
        </w:rPr>
        <w:t>from</w:t>
      </w:r>
      <w:r>
        <w:rPr>
          <w:spacing w:val="-13"/>
          <w:w w:val="105"/>
        </w:rPr>
        <w:t> </w:t>
      </w:r>
      <w:r>
        <w:rPr>
          <w:w w:val="105"/>
        </w:rPr>
        <w:t>its</w:t>
      </w:r>
      <w:r>
        <w:rPr>
          <w:spacing w:val="-13"/>
          <w:w w:val="105"/>
        </w:rPr>
        <w:t> </w:t>
      </w:r>
      <w:r>
        <w:rPr>
          <w:w w:val="105"/>
        </w:rPr>
        <w:t>bilateral lending</w:t>
      </w:r>
      <w:r>
        <w:rPr>
          <w:spacing w:val="-8"/>
          <w:w w:val="105"/>
        </w:rPr>
        <w:t> </w:t>
      </w:r>
      <w:r>
        <w:rPr>
          <w:w w:val="105"/>
        </w:rPr>
        <w:t>institutions</w:t>
      </w:r>
      <w:r>
        <w:rPr>
          <w:spacing w:val="-8"/>
          <w:w w:val="105"/>
        </w:rPr>
        <w:t> </w:t>
      </w:r>
      <w:r>
        <w:rPr>
          <w:w w:val="105"/>
        </w:rPr>
        <w:t>and</w:t>
      </w:r>
      <w:r>
        <w:rPr>
          <w:spacing w:val="-8"/>
          <w:w w:val="105"/>
        </w:rPr>
        <w:t> </w:t>
      </w:r>
      <w:r>
        <w:rPr>
          <w:w w:val="105"/>
        </w:rPr>
        <w:t>toward</w:t>
      </w:r>
      <w:r>
        <w:rPr>
          <w:spacing w:val="-8"/>
          <w:w w:val="105"/>
        </w:rPr>
        <w:t> </w:t>
      </w:r>
      <w:r>
        <w:rPr>
          <w:w w:val="105"/>
        </w:rPr>
        <w:t>multilateral</w:t>
      </w:r>
      <w:r>
        <w:rPr>
          <w:spacing w:val="-8"/>
          <w:w w:val="105"/>
        </w:rPr>
        <w:t> </w:t>
      </w:r>
      <w:r>
        <w:rPr>
          <w:w w:val="105"/>
        </w:rPr>
        <w:t>lending</w:t>
      </w:r>
      <w:r>
        <w:rPr>
          <w:spacing w:val="-8"/>
          <w:w w:val="105"/>
        </w:rPr>
        <w:t> </w:t>
      </w:r>
      <w:r>
        <w:rPr>
          <w:w w:val="105"/>
        </w:rPr>
        <w:t>institutions</w:t>
      </w:r>
      <w:r>
        <w:rPr>
          <w:spacing w:val="-8"/>
          <w:w w:val="105"/>
        </w:rPr>
        <w:t> </w:t>
      </w:r>
      <w:r>
        <w:rPr>
          <w:w w:val="105"/>
        </w:rPr>
        <w:t>and</w:t>
      </w:r>
      <w:r>
        <w:rPr>
          <w:spacing w:val="-8"/>
          <w:w w:val="105"/>
        </w:rPr>
        <w:t> </w:t>
      </w:r>
      <w:r>
        <w:rPr>
          <w:w w:val="105"/>
        </w:rPr>
        <w:t>syndicated loan</w:t>
      </w:r>
      <w:r>
        <w:rPr>
          <w:spacing w:val="-18"/>
          <w:w w:val="105"/>
        </w:rPr>
        <w:t> </w:t>
      </w:r>
      <w:r>
        <w:rPr>
          <w:w w:val="105"/>
        </w:rPr>
        <w:t>arrangements?</w:t>
      </w:r>
      <w:r>
        <w:rPr>
          <w:spacing w:val="-17"/>
          <w:w w:val="105"/>
        </w:rPr>
        <w:t> </w:t>
      </w:r>
      <w:r>
        <w:rPr>
          <w:w w:val="105"/>
        </w:rPr>
        <w:t>This</w:t>
      </w:r>
      <w:r>
        <w:rPr>
          <w:spacing w:val="-18"/>
          <w:w w:val="105"/>
        </w:rPr>
        <w:t> </w:t>
      </w:r>
      <w:r>
        <w:rPr>
          <w:w w:val="105"/>
        </w:rPr>
        <w:t>is</w:t>
      </w:r>
      <w:r>
        <w:rPr>
          <w:spacing w:val="-18"/>
          <w:w w:val="105"/>
        </w:rPr>
        <w:t> </w:t>
      </w:r>
      <w:r>
        <w:rPr>
          <w:w w:val="105"/>
        </w:rPr>
        <w:t>the</w:t>
      </w:r>
      <w:r>
        <w:rPr>
          <w:spacing w:val="-17"/>
          <w:w w:val="105"/>
        </w:rPr>
        <w:t> </w:t>
      </w:r>
      <w:r>
        <w:rPr>
          <w:w w:val="105"/>
        </w:rPr>
        <w:t>next</w:t>
      </w:r>
      <w:r>
        <w:rPr>
          <w:spacing w:val="-18"/>
          <w:w w:val="105"/>
        </w:rPr>
        <w:t> </w:t>
      </w:r>
      <w:r>
        <w:rPr>
          <w:w w:val="105"/>
        </w:rPr>
        <w:t>question</w:t>
      </w:r>
      <w:r>
        <w:rPr>
          <w:spacing w:val="-17"/>
          <w:w w:val="105"/>
        </w:rPr>
        <w:t> </w:t>
      </w:r>
      <w:r>
        <w:rPr>
          <w:w w:val="105"/>
        </w:rPr>
        <w:t>that</w:t>
      </w:r>
      <w:r>
        <w:rPr>
          <w:spacing w:val="-18"/>
          <w:w w:val="105"/>
        </w:rPr>
        <w:t> </w:t>
      </w:r>
      <w:r>
        <w:rPr>
          <w:w w:val="105"/>
        </w:rPr>
        <w:t>we</w:t>
      </w:r>
      <w:r>
        <w:rPr>
          <w:spacing w:val="-17"/>
          <w:w w:val="105"/>
        </w:rPr>
        <w:t> </w:t>
      </w:r>
      <w:r>
        <w:rPr>
          <w:w w:val="105"/>
        </w:rPr>
        <w:t>attempt</w:t>
      </w:r>
      <w:r>
        <w:rPr>
          <w:spacing w:val="-18"/>
          <w:w w:val="105"/>
        </w:rPr>
        <w:t> </w:t>
      </w:r>
      <w:r>
        <w:rPr>
          <w:w w:val="105"/>
        </w:rPr>
        <w:t>to</w:t>
      </w:r>
      <w:r>
        <w:rPr>
          <w:spacing w:val="-17"/>
          <w:w w:val="105"/>
        </w:rPr>
        <w:t> </w:t>
      </w:r>
      <w:r>
        <w:rPr>
          <w:w w:val="105"/>
        </w:rPr>
        <w:t>answer.</w:t>
      </w:r>
    </w:p>
    <w:p>
      <w:pPr>
        <w:spacing w:after="0" w:line="333" w:lineRule="auto"/>
        <w:sectPr>
          <w:pgSz w:w="12240" w:h="15840"/>
          <w:pgMar w:header="0" w:footer="720" w:top="1560" w:bottom="920" w:left="1040" w:right="1040"/>
        </w:sectPr>
      </w:pPr>
    </w:p>
    <w:p>
      <w:pPr>
        <w:pStyle w:val="BodyText"/>
        <w:ind w:left="640"/>
        <w:rPr>
          <w:sz w:val="20"/>
        </w:rPr>
      </w:pPr>
      <w:r>
        <w:rPr>
          <w:sz w:val="20"/>
        </w:rPr>
        <w:pict>
          <v:shape style="width:444pt;height:38pt;mso-position-horizontal-relative:char;mso-position-vertical-relative:line" type="#_x0000_t202" id="docshape91" filled="true" fillcolor="#5b666f" stroked="false">
            <w10:anchorlock/>
            <v:textbox inset="0,0,0,0">
              <w:txbxContent>
                <w:p>
                  <w:pPr>
                    <w:spacing w:before="127"/>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2.22</w:t>
                  </w:r>
                </w:p>
              </w:txbxContent>
            </v:textbox>
            <v:fill type="solid"/>
          </v:shape>
        </w:pict>
      </w:r>
      <w:r>
        <w:rPr>
          <w:sz w:val="20"/>
        </w:rPr>
      </w:r>
    </w:p>
    <w:p>
      <w:pPr>
        <w:pStyle w:val="BodyText"/>
        <w:spacing w:before="2"/>
        <w:rPr>
          <w:sz w:val="14"/>
        </w:rPr>
      </w:pPr>
      <w:r>
        <w:rPr/>
        <w:drawing>
          <wp:anchor distT="0" distB="0" distL="0" distR="0" allowOverlap="1" layoutInCell="1" locked="0" behindDoc="0" simplePos="0" relativeHeight="107">
            <wp:simplePos x="0" y="0"/>
            <wp:positionH relativeFrom="page">
              <wp:posOffset>1250453</wp:posOffset>
            </wp:positionH>
            <wp:positionV relativeFrom="paragraph">
              <wp:posOffset>119065</wp:posOffset>
            </wp:positionV>
            <wp:extent cx="5272546" cy="1741551"/>
            <wp:effectExtent l="0" t="0" r="0" b="0"/>
            <wp:wrapTopAndBottom/>
            <wp:docPr id="43" name="image23.jpeg"/>
            <wp:cNvGraphicFramePr>
              <a:graphicFrameLocks noChangeAspect="1"/>
            </wp:cNvGraphicFramePr>
            <a:graphic>
              <a:graphicData uri="http://schemas.openxmlformats.org/drawingml/2006/picture">
                <pic:pic>
                  <pic:nvPicPr>
                    <pic:cNvPr id="44" name="image23.jpeg"/>
                    <pic:cNvPicPr/>
                  </pic:nvPicPr>
                  <pic:blipFill>
                    <a:blip r:embed="rId34" cstate="print"/>
                    <a:stretch>
                      <a:fillRect/>
                    </a:stretch>
                  </pic:blipFill>
                  <pic:spPr>
                    <a:xfrm>
                      <a:off x="0" y="0"/>
                      <a:ext cx="5272546" cy="1741551"/>
                    </a:xfrm>
                    <a:prstGeom prst="rect">
                      <a:avLst/>
                    </a:prstGeom>
                  </pic:spPr>
                </pic:pic>
              </a:graphicData>
            </a:graphic>
          </wp:anchor>
        </w:drawing>
      </w:r>
    </w:p>
    <w:p>
      <w:pPr>
        <w:pStyle w:val="BodyText"/>
        <w:spacing w:before="4"/>
        <w:rPr>
          <w:sz w:val="29"/>
        </w:rPr>
      </w:pPr>
    </w:p>
    <w:p>
      <w:pPr>
        <w:spacing w:line="333" w:lineRule="auto" w:before="71"/>
        <w:ind w:left="760" w:right="838" w:firstLine="0"/>
        <w:jc w:val="left"/>
        <w:rPr>
          <w:i/>
          <w:sz w:val="18"/>
        </w:rPr>
      </w:pPr>
      <w:r>
        <w:rPr>
          <w:i/>
          <w:sz w:val="18"/>
        </w:rPr>
        <w:t>Notes: Countries in default or at a high risk of default represent LICs and MICs with scores of 5 or less on</w:t>
      </w:r>
      <w:r>
        <w:rPr>
          <w:i/>
          <w:sz w:val="18"/>
        </w:rPr>
        <w:t> the</w:t>
      </w:r>
      <w:r>
        <w:rPr>
          <w:i/>
          <w:spacing w:val="-5"/>
          <w:sz w:val="18"/>
        </w:rPr>
        <w:t> </w:t>
      </w:r>
      <w:r>
        <w:rPr>
          <w:i/>
          <w:sz w:val="18"/>
        </w:rPr>
        <w:t>sovrate</w:t>
      </w:r>
      <w:r>
        <w:rPr>
          <w:i/>
          <w:spacing w:val="-5"/>
          <w:sz w:val="18"/>
        </w:rPr>
        <w:t> </w:t>
      </w:r>
      <w:r>
        <w:rPr>
          <w:i/>
          <w:sz w:val="18"/>
        </w:rPr>
        <w:t>index</w:t>
      </w:r>
      <w:r>
        <w:rPr>
          <w:i/>
          <w:spacing w:val="-5"/>
          <w:sz w:val="18"/>
        </w:rPr>
        <w:t> </w:t>
      </w:r>
      <w:r>
        <w:rPr>
          <w:i/>
          <w:sz w:val="18"/>
        </w:rPr>
        <w:t>(see</w:t>
      </w:r>
      <w:r>
        <w:rPr>
          <w:i/>
          <w:spacing w:val="-5"/>
          <w:sz w:val="18"/>
        </w:rPr>
        <w:t> </w:t>
      </w:r>
      <w:r>
        <w:rPr>
          <w:i/>
          <w:sz w:val="18"/>
        </w:rPr>
        <w:t>Box</w:t>
      </w:r>
      <w:r>
        <w:rPr>
          <w:i/>
          <w:spacing w:val="-5"/>
          <w:sz w:val="18"/>
        </w:rPr>
        <w:t> </w:t>
      </w:r>
      <w:r>
        <w:rPr>
          <w:i/>
          <w:sz w:val="18"/>
        </w:rPr>
        <w:t>1a).</w:t>
      </w:r>
      <w:r>
        <w:rPr>
          <w:i/>
          <w:spacing w:val="-5"/>
          <w:sz w:val="18"/>
        </w:rPr>
        <w:t> </w:t>
      </w:r>
      <w:r>
        <w:rPr>
          <w:i/>
          <w:sz w:val="18"/>
        </w:rPr>
        <w:t>Countries</w:t>
      </w:r>
      <w:r>
        <w:rPr>
          <w:i/>
          <w:spacing w:val="-5"/>
          <w:sz w:val="18"/>
        </w:rPr>
        <w:t> </w:t>
      </w:r>
      <w:r>
        <w:rPr>
          <w:i/>
          <w:sz w:val="18"/>
        </w:rPr>
        <w:t>not</w:t>
      </w:r>
      <w:r>
        <w:rPr>
          <w:i/>
          <w:spacing w:val="-5"/>
          <w:sz w:val="18"/>
        </w:rPr>
        <w:t> </w:t>
      </w:r>
      <w:r>
        <w:rPr>
          <w:i/>
          <w:sz w:val="18"/>
        </w:rPr>
        <w:t>at</w:t>
      </w:r>
      <w:r>
        <w:rPr>
          <w:i/>
          <w:spacing w:val="-5"/>
          <w:sz w:val="18"/>
        </w:rPr>
        <w:t> </w:t>
      </w:r>
      <w:r>
        <w:rPr>
          <w:i/>
          <w:sz w:val="18"/>
        </w:rPr>
        <w:t>a</w:t>
      </w:r>
      <w:r>
        <w:rPr>
          <w:i/>
          <w:spacing w:val="-5"/>
          <w:sz w:val="18"/>
        </w:rPr>
        <w:t> </w:t>
      </w:r>
      <w:r>
        <w:rPr>
          <w:i/>
          <w:sz w:val="18"/>
        </w:rPr>
        <w:t>high</w:t>
      </w:r>
      <w:r>
        <w:rPr>
          <w:i/>
          <w:spacing w:val="-5"/>
          <w:sz w:val="18"/>
        </w:rPr>
        <w:t> </w:t>
      </w:r>
      <w:r>
        <w:rPr>
          <w:i/>
          <w:sz w:val="18"/>
        </w:rPr>
        <w:t>risk</w:t>
      </w:r>
      <w:r>
        <w:rPr>
          <w:i/>
          <w:spacing w:val="-5"/>
          <w:sz w:val="18"/>
        </w:rPr>
        <w:t> </w:t>
      </w:r>
      <w:r>
        <w:rPr>
          <w:i/>
          <w:sz w:val="18"/>
        </w:rPr>
        <w:t>of</w:t>
      </w:r>
      <w:r>
        <w:rPr>
          <w:i/>
          <w:spacing w:val="-5"/>
          <w:sz w:val="18"/>
        </w:rPr>
        <w:t> </w:t>
      </w:r>
      <w:r>
        <w:rPr>
          <w:i/>
          <w:sz w:val="18"/>
        </w:rPr>
        <w:t>default</w:t>
      </w:r>
      <w:r>
        <w:rPr>
          <w:i/>
          <w:spacing w:val="-5"/>
          <w:sz w:val="18"/>
        </w:rPr>
        <w:t> </w:t>
      </w:r>
      <w:r>
        <w:rPr>
          <w:i/>
          <w:sz w:val="18"/>
        </w:rPr>
        <w:t>represent</w:t>
      </w:r>
      <w:r>
        <w:rPr>
          <w:i/>
          <w:spacing w:val="-5"/>
          <w:sz w:val="18"/>
        </w:rPr>
        <w:t> </w:t>
      </w:r>
      <w:r>
        <w:rPr>
          <w:i/>
          <w:sz w:val="18"/>
        </w:rPr>
        <w:t>LICs</w:t>
      </w:r>
      <w:r>
        <w:rPr>
          <w:i/>
          <w:spacing w:val="-5"/>
          <w:sz w:val="18"/>
        </w:rPr>
        <w:t> </w:t>
      </w:r>
      <w:r>
        <w:rPr>
          <w:i/>
          <w:sz w:val="18"/>
        </w:rPr>
        <w:t>and</w:t>
      </w:r>
      <w:r>
        <w:rPr>
          <w:i/>
          <w:spacing w:val="-5"/>
          <w:sz w:val="18"/>
        </w:rPr>
        <w:t> </w:t>
      </w:r>
      <w:r>
        <w:rPr>
          <w:i/>
          <w:sz w:val="18"/>
        </w:rPr>
        <w:t>MICs</w:t>
      </w:r>
      <w:r>
        <w:rPr>
          <w:i/>
          <w:spacing w:val="-5"/>
          <w:sz w:val="18"/>
        </w:rPr>
        <w:t> </w:t>
      </w:r>
      <w:r>
        <w:rPr>
          <w:i/>
          <w:sz w:val="18"/>
        </w:rPr>
        <w:t>with</w:t>
      </w:r>
      <w:r>
        <w:rPr>
          <w:i/>
          <w:spacing w:val="-5"/>
          <w:sz w:val="18"/>
        </w:rPr>
        <w:t> </w:t>
      </w:r>
      <w:r>
        <w:rPr>
          <w:i/>
          <w:sz w:val="18"/>
        </w:rPr>
        <w:t>scores above 5 on the sovrate index. The World Bank’s sovrate index is a measure of repayment risk that varies from 0 to 21, with higher scores indicating lower levels of sovereign credit risk (Kose et al. 2022).</w:t>
      </w:r>
    </w:p>
    <w:p>
      <w:pPr>
        <w:spacing w:line="333" w:lineRule="auto" w:before="0"/>
        <w:ind w:left="760" w:right="767" w:firstLine="0"/>
        <w:jc w:val="left"/>
        <w:rPr>
          <w:i/>
          <w:sz w:val="18"/>
        </w:rPr>
      </w:pPr>
      <w:r>
        <w:rPr>
          <w:i/>
          <w:sz w:val="18"/>
        </w:rPr>
        <w:t>Country-year observations without ofﬁcial sector Chinese lending commitments or sovrate scores are</w:t>
      </w:r>
      <w:r>
        <w:rPr>
          <w:i/>
          <w:sz w:val="18"/>
        </w:rPr>
        <w:t> excluded from the ﬁgure. MOFCOM interest-free loan commitments (which are typically issued without </w:t>
      </w:r>
      <w:r>
        <w:rPr>
          <w:i/>
          <w:sz w:val="18"/>
        </w:rPr>
        <w:t>a credible expectation of repayment) are excluded from the calculation.</w:t>
      </w:r>
    </w:p>
    <w:p>
      <w:pPr>
        <w:pStyle w:val="BodyText"/>
        <w:rPr>
          <w:i/>
          <w:sz w:val="18"/>
        </w:rPr>
      </w:pPr>
    </w:p>
    <w:p>
      <w:pPr>
        <w:pStyle w:val="Heading4"/>
        <w:spacing w:line="357" w:lineRule="auto" w:before="111"/>
        <w:ind w:right="767"/>
      </w:pPr>
      <w:r>
        <w:rPr>
          <w:spacing w:val="-6"/>
        </w:rPr>
        <w:t>Risk</w:t>
      </w:r>
      <w:r>
        <w:rPr>
          <w:spacing w:val="-9"/>
        </w:rPr>
        <w:t> </w:t>
      </w:r>
      <w:r>
        <w:rPr>
          <w:spacing w:val="-6"/>
        </w:rPr>
        <w:t>mitigation</w:t>
      </w:r>
      <w:r>
        <w:rPr>
          <w:spacing w:val="-9"/>
        </w:rPr>
        <w:t> </w:t>
      </w:r>
      <w:r>
        <w:rPr>
          <w:spacing w:val="-6"/>
        </w:rPr>
        <w:t>strategy</w:t>
      </w:r>
      <w:r>
        <w:rPr>
          <w:spacing w:val="-9"/>
        </w:rPr>
        <w:t> </w:t>
      </w:r>
      <w:r>
        <w:rPr>
          <w:spacing w:val="-6"/>
        </w:rPr>
        <w:t>#5:</w:t>
      </w:r>
      <w:r>
        <w:rPr>
          <w:spacing w:val="-9"/>
        </w:rPr>
        <w:t> </w:t>
      </w:r>
      <w:r>
        <w:rPr>
          <w:spacing w:val="-6"/>
        </w:rPr>
        <w:t>Scaling</w:t>
      </w:r>
      <w:r>
        <w:rPr>
          <w:spacing w:val="-9"/>
        </w:rPr>
        <w:t> </w:t>
      </w:r>
      <w:r>
        <w:rPr>
          <w:spacing w:val="-6"/>
        </w:rPr>
        <w:t>down</w:t>
      </w:r>
      <w:r>
        <w:rPr>
          <w:spacing w:val="-9"/>
        </w:rPr>
        <w:t> </w:t>
      </w:r>
      <w:r>
        <w:rPr>
          <w:spacing w:val="-6"/>
        </w:rPr>
        <w:t>bilateral</w:t>
      </w:r>
      <w:r>
        <w:rPr>
          <w:spacing w:val="-9"/>
        </w:rPr>
        <w:t> </w:t>
      </w:r>
      <w:r>
        <w:rPr>
          <w:spacing w:val="-6"/>
        </w:rPr>
        <w:t>lending </w:t>
      </w:r>
      <w:r>
        <w:rPr>
          <w:spacing w:val="-10"/>
        </w:rPr>
        <w:t>operations</w:t>
      </w:r>
      <w:r>
        <w:rPr>
          <w:spacing w:val="-8"/>
        </w:rPr>
        <w:t> </w:t>
      </w:r>
      <w:r>
        <w:rPr>
          <w:spacing w:val="-10"/>
        </w:rPr>
        <w:t>and</w:t>
      </w:r>
      <w:r>
        <w:rPr>
          <w:spacing w:val="-8"/>
        </w:rPr>
        <w:t> </w:t>
      </w:r>
      <w:r>
        <w:rPr>
          <w:spacing w:val="-10"/>
        </w:rPr>
        <w:t>scaling</w:t>
      </w:r>
      <w:r>
        <w:rPr>
          <w:spacing w:val="-8"/>
        </w:rPr>
        <w:t> </w:t>
      </w:r>
      <w:r>
        <w:rPr>
          <w:spacing w:val="-10"/>
        </w:rPr>
        <w:t>up</w:t>
      </w:r>
      <w:r>
        <w:rPr>
          <w:spacing w:val="-8"/>
        </w:rPr>
        <w:t> </w:t>
      </w:r>
      <w:r>
        <w:rPr>
          <w:spacing w:val="-10"/>
        </w:rPr>
        <w:t>lending</w:t>
      </w:r>
      <w:r>
        <w:rPr>
          <w:spacing w:val="-8"/>
        </w:rPr>
        <w:t> </w:t>
      </w:r>
      <w:r>
        <w:rPr>
          <w:spacing w:val="-10"/>
        </w:rPr>
        <w:t>operations</w:t>
      </w:r>
      <w:r>
        <w:rPr>
          <w:spacing w:val="-8"/>
        </w:rPr>
        <w:t> </w:t>
      </w:r>
      <w:r>
        <w:rPr>
          <w:spacing w:val="-10"/>
        </w:rPr>
        <w:t>via</w:t>
      </w:r>
      <w:r>
        <w:rPr>
          <w:spacing w:val="-8"/>
        </w:rPr>
        <w:t> </w:t>
      </w:r>
      <w:r>
        <w:rPr>
          <w:spacing w:val="-10"/>
        </w:rPr>
        <w:t>syndication</w:t>
      </w:r>
      <w:r>
        <w:rPr>
          <w:spacing w:val="-8"/>
        </w:rPr>
        <w:t> </w:t>
      </w:r>
      <w:r>
        <w:rPr>
          <w:spacing w:val="-10"/>
        </w:rPr>
        <w:t>and </w:t>
      </w:r>
      <w:r>
        <w:rPr>
          <w:spacing w:val="-2"/>
        </w:rPr>
        <w:t>multilateralization</w:t>
      </w:r>
    </w:p>
    <w:p>
      <w:pPr>
        <w:pStyle w:val="BodyText"/>
        <w:spacing w:line="333" w:lineRule="auto" w:before="82"/>
        <w:ind w:left="760" w:right="767"/>
      </w:pPr>
      <w:r>
        <w:rPr>
          <w:w w:val="105"/>
        </w:rPr>
        <w:t>If</w:t>
      </w:r>
      <w:r>
        <w:rPr>
          <w:spacing w:val="-17"/>
          <w:w w:val="105"/>
        </w:rPr>
        <w:t> </w:t>
      </w:r>
      <w:r>
        <w:rPr>
          <w:w w:val="105"/>
        </w:rPr>
        <w:t>China’s</w:t>
      </w:r>
      <w:r>
        <w:rPr>
          <w:spacing w:val="-17"/>
          <w:w w:val="105"/>
        </w:rPr>
        <w:t> </w:t>
      </w:r>
      <w:r>
        <w:rPr>
          <w:w w:val="105"/>
        </w:rPr>
        <w:t>bilateral</w:t>
      </w:r>
      <w:r>
        <w:rPr>
          <w:spacing w:val="-17"/>
          <w:w w:val="105"/>
        </w:rPr>
        <w:t> </w:t>
      </w:r>
      <w:r>
        <w:rPr>
          <w:w w:val="105"/>
        </w:rPr>
        <w:t>development</w:t>
      </w:r>
      <w:r>
        <w:rPr>
          <w:spacing w:val="-17"/>
          <w:w w:val="105"/>
        </w:rPr>
        <w:t> </w:t>
      </w:r>
      <w:r>
        <w:rPr>
          <w:w w:val="105"/>
        </w:rPr>
        <w:t>ﬁnance</w:t>
      </w:r>
      <w:r>
        <w:rPr>
          <w:spacing w:val="-17"/>
          <w:w w:val="105"/>
        </w:rPr>
        <w:t> </w:t>
      </w:r>
      <w:r>
        <w:rPr>
          <w:w w:val="105"/>
        </w:rPr>
        <w:t>institutions</w:t>
      </w:r>
      <w:r>
        <w:rPr>
          <w:spacing w:val="-17"/>
          <w:w w:val="105"/>
        </w:rPr>
        <w:t> </w:t>
      </w:r>
      <w:r>
        <w:rPr>
          <w:w w:val="105"/>
        </w:rPr>
        <w:t>do</w:t>
      </w:r>
      <w:r>
        <w:rPr>
          <w:spacing w:val="-17"/>
          <w:w w:val="105"/>
        </w:rPr>
        <w:t> </w:t>
      </w:r>
      <w:r>
        <w:rPr>
          <w:w w:val="105"/>
        </w:rPr>
        <w:t>not</w:t>
      </w:r>
      <w:r>
        <w:rPr>
          <w:spacing w:val="-17"/>
          <w:w w:val="105"/>
        </w:rPr>
        <w:t> </w:t>
      </w:r>
      <w:r>
        <w:rPr>
          <w:w w:val="105"/>
        </w:rPr>
        <w:t>have</w:t>
      </w:r>
      <w:r>
        <w:rPr>
          <w:spacing w:val="-17"/>
          <w:w w:val="105"/>
        </w:rPr>
        <w:t> </w:t>
      </w:r>
      <w:r>
        <w:rPr>
          <w:w w:val="105"/>
        </w:rPr>
        <w:t>sufﬁciently strong</w:t>
      </w:r>
      <w:r>
        <w:rPr>
          <w:spacing w:val="-13"/>
          <w:w w:val="105"/>
        </w:rPr>
        <w:t> </w:t>
      </w:r>
      <w:r>
        <w:rPr>
          <w:w w:val="105"/>
        </w:rPr>
        <w:t>risk</w:t>
      </w:r>
      <w:r>
        <w:rPr>
          <w:spacing w:val="-13"/>
          <w:w w:val="105"/>
        </w:rPr>
        <w:t> </w:t>
      </w:r>
      <w:r>
        <w:rPr>
          <w:w w:val="105"/>
        </w:rPr>
        <w:t>management</w:t>
      </w:r>
      <w:r>
        <w:rPr>
          <w:spacing w:val="-13"/>
          <w:w w:val="105"/>
        </w:rPr>
        <w:t> </w:t>
      </w:r>
      <w:r>
        <w:rPr>
          <w:w w:val="105"/>
        </w:rPr>
        <w:t>guardrails</w:t>
      </w:r>
      <w:r>
        <w:rPr>
          <w:spacing w:val="-13"/>
          <w:w w:val="105"/>
        </w:rPr>
        <w:t> </w:t>
      </w:r>
      <w:r>
        <w:rPr>
          <w:w w:val="105"/>
        </w:rPr>
        <w:t>in</w:t>
      </w:r>
      <w:r>
        <w:rPr>
          <w:spacing w:val="-13"/>
          <w:w w:val="105"/>
        </w:rPr>
        <w:t> </w:t>
      </w:r>
      <w:r>
        <w:rPr>
          <w:w w:val="105"/>
        </w:rPr>
        <w:t>place,</w:t>
      </w:r>
      <w:r>
        <w:rPr>
          <w:spacing w:val="-13"/>
          <w:w w:val="105"/>
        </w:rPr>
        <w:t> </w:t>
      </w:r>
      <w:r>
        <w:rPr>
          <w:w w:val="105"/>
        </w:rPr>
        <w:t>one</w:t>
      </w:r>
      <w:r>
        <w:rPr>
          <w:spacing w:val="-13"/>
          <w:w w:val="105"/>
        </w:rPr>
        <w:t> </w:t>
      </w:r>
      <w:r>
        <w:rPr>
          <w:w w:val="105"/>
        </w:rPr>
        <w:t>option</w:t>
      </w:r>
      <w:r>
        <w:rPr>
          <w:spacing w:val="-13"/>
          <w:w w:val="105"/>
        </w:rPr>
        <w:t> </w:t>
      </w:r>
      <w:r>
        <w:rPr>
          <w:w w:val="105"/>
        </w:rPr>
        <w:t>is</w:t>
      </w:r>
      <w:r>
        <w:rPr>
          <w:spacing w:val="-13"/>
          <w:w w:val="105"/>
        </w:rPr>
        <w:t> </w:t>
      </w:r>
      <w:r>
        <w:rPr>
          <w:w w:val="105"/>
        </w:rPr>
        <w:t>to</w:t>
      </w:r>
      <w:r>
        <w:rPr>
          <w:spacing w:val="-13"/>
          <w:w w:val="105"/>
        </w:rPr>
        <w:t> </w:t>
      </w:r>
      <w:r>
        <w:rPr>
          <w:w w:val="105"/>
        </w:rPr>
        <w:t>reform</w:t>
      </w:r>
      <w:r>
        <w:rPr>
          <w:spacing w:val="-13"/>
          <w:w w:val="105"/>
        </w:rPr>
        <w:t> </w:t>
      </w:r>
      <w:r>
        <w:rPr>
          <w:w w:val="105"/>
        </w:rPr>
        <w:t>these institutions</w:t>
      </w:r>
      <w:r>
        <w:rPr>
          <w:spacing w:val="-15"/>
          <w:w w:val="105"/>
        </w:rPr>
        <w:t> </w:t>
      </w:r>
      <w:r>
        <w:rPr>
          <w:w w:val="105"/>
        </w:rPr>
        <w:t>from</w:t>
      </w:r>
      <w:r>
        <w:rPr>
          <w:spacing w:val="-15"/>
          <w:w w:val="105"/>
        </w:rPr>
        <w:t> </w:t>
      </w:r>
      <w:r>
        <w:rPr>
          <w:w w:val="105"/>
        </w:rPr>
        <w:t>within.</w:t>
      </w:r>
      <w:r>
        <w:rPr>
          <w:spacing w:val="-15"/>
          <w:w w:val="105"/>
        </w:rPr>
        <w:t> </w:t>
      </w:r>
      <w:r>
        <w:rPr>
          <w:w w:val="105"/>
        </w:rPr>
        <w:t>However,</w:t>
      </w:r>
      <w:r>
        <w:rPr>
          <w:spacing w:val="-15"/>
          <w:w w:val="105"/>
        </w:rPr>
        <w:t> </w:t>
      </w:r>
      <w:r>
        <w:rPr>
          <w:w w:val="105"/>
        </w:rPr>
        <w:t>these</w:t>
      </w:r>
      <w:r>
        <w:rPr>
          <w:spacing w:val="-15"/>
          <w:w w:val="105"/>
        </w:rPr>
        <w:t> </w:t>
      </w:r>
      <w:r>
        <w:rPr>
          <w:w w:val="105"/>
        </w:rPr>
        <w:t>institutions</w:t>
      </w:r>
      <w:r>
        <w:rPr>
          <w:spacing w:val="-15"/>
          <w:w w:val="105"/>
        </w:rPr>
        <w:t> </w:t>
      </w:r>
      <w:r>
        <w:rPr>
          <w:w w:val="105"/>
        </w:rPr>
        <w:t>are</w:t>
      </w:r>
      <w:r>
        <w:rPr>
          <w:spacing w:val="-15"/>
          <w:w w:val="105"/>
        </w:rPr>
        <w:t> </w:t>
      </w:r>
      <w:r>
        <w:rPr>
          <w:w w:val="105"/>
        </w:rPr>
        <w:t>politically</w:t>
      </w:r>
      <w:r>
        <w:rPr>
          <w:spacing w:val="-15"/>
          <w:w w:val="105"/>
        </w:rPr>
        <w:t> </w:t>
      </w:r>
      <w:r>
        <w:rPr>
          <w:w w:val="105"/>
        </w:rPr>
        <w:t>powerful</w:t>
      </w:r>
      <w:r>
        <w:rPr>
          <w:spacing w:val="-15"/>
          <w:w w:val="105"/>
        </w:rPr>
        <w:t> </w:t>
      </w:r>
      <w:r>
        <w:rPr>
          <w:w w:val="105"/>
        </w:rPr>
        <w:t>and slow</w:t>
      </w:r>
      <w:r>
        <w:rPr>
          <w:spacing w:val="-15"/>
          <w:w w:val="105"/>
        </w:rPr>
        <w:t> </w:t>
      </w:r>
      <w:r>
        <w:rPr>
          <w:w w:val="105"/>
        </w:rPr>
        <w:t>to</w:t>
      </w:r>
      <w:r>
        <w:rPr>
          <w:spacing w:val="-15"/>
          <w:w w:val="105"/>
        </w:rPr>
        <w:t> </w:t>
      </w:r>
      <w:r>
        <w:rPr>
          <w:w w:val="105"/>
        </w:rPr>
        <w:t>change</w:t>
      </w:r>
      <w:r>
        <w:rPr>
          <w:spacing w:val="-15"/>
          <w:w w:val="105"/>
        </w:rPr>
        <w:t> </w:t>
      </w:r>
      <w:r>
        <w:rPr>
          <w:w w:val="105"/>
        </w:rPr>
        <w:t>(Chen</w:t>
      </w:r>
      <w:r>
        <w:rPr>
          <w:spacing w:val="-15"/>
          <w:w w:val="105"/>
        </w:rPr>
        <w:t> </w:t>
      </w:r>
      <w:r>
        <w:rPr>
          <w:w w:val="105"/>
        </w:rPr>
        <w:t>2020a,</w:t>
      </w:r>
      <w:r>
        <w:rPr>
          <w:spacing w:val="-15"/>
          <w:w w:val="105"/>
        </w:rPr>
        <w:t> </w:t>
      </w:r>
      <w:r>
        <w:rPr>
          <w:w w:val="105"/>
        </w:rPr>
        <w:t>2020b,</w:t>
      </w:r>
      <w:r>
        <w:rPr>
          <w:spacing w:val="-15"/>
          <w:w w:val="105"/>
        </w:rPr>
        <w:t> </w:t>
      </w:r>
      <w:r>
        <w:rPr>
          <w:w w:val="105"/>
        </w:rPr>
        <w:t>2023).</w:t>
      </w:r>
      <w:r>
        <w:rPr>
          <w:spacing w:val="-15"/>
          <w:w w:val="105"/>
        </w:rPr>
        <w:t> </w:t>
      </w:r>
      <w:r>
        <w:rPr>
          <w:w w:val="105"/>
        </w:rPr>
        <w:t>Another</w:t>
      </w:r>
      <w:r>
        <w:rPr>
          <w:spacing w:val="-15"/>
          <w:w w:val="105"/>
        </w:rPr>
        <w:t> </w:t>
      </w:r>
      <w:r>
        <w:rPr>
          <w:w w:val="105"/>
        </w:rPr>
        <w:t>option</w:t>
      </w:r>
      <w:r>
        <w:rPr>
          <w:spacing w:val="-15"/>
          <w:w w:val="105"/>
        </w:rPr>
        <w:t> </w:t>
      </w:r>
      <w:r>
        <w:rPr>
          <w:w w:val="105"/>
        </w:rPr>
        <w:t>to</w:t>
      </w:r>
      <w:r>
        <w:rPr>
          <w:spacing w:val="-15"/>
          <w:w w:val="105"/>
        </w:rPr>
        <w:t> </w:t>
      </w:r>
      <w:r>
        <w:rPr>
          <w:w w:val="105"/>
        </w:rPr>
        <w:t>improve</w:t>
      </w:r>
      <w:r>
        <w:rPr>
          <w:spacing w:val="-15"/>
          <w:w w:val="105"/>
        </w:rPr>
        <w:t> </w:t>
      </w:r>
      <w:r>
        <w:rPr>
          <w:w w:val="105"/>
        </w:rPr>
        <w:t>the</w:t>
      </w:r>
      <w:r>
        <w:rPr>
          <w:spacing w:val="-15"/>
          <w:w w:val="105"/>
        </w:rPr>
        <w:t> </w:t>
      </w:r>
      <w:r>
        <w:rPr>
          <w:w w:val="105"/>
        </w:rPr>
        <w:t>risk </w:t>
      </w:r>
      <w:r>
        <w:rPr/>
        <w:t>proﬁle of the country’s overseas lending program is to dial down the provision </w:t>
      </w:r>
      <w:r>
        <w:rPr/>
        <w:t>of </w:t>
      </w:r>
      <w:r>
        <w:rPr>
          <w:w w:val="105"/>
        </w:rPr>
        <w:t>credit</w:t>
      </w:r>
      <w:r>
        <w:rPr>
          <w:spacing w:val="-7"/>
          <w:w w:val="105"/>
        </w:rPr>
        <w:t> </w:t>
      </w:r>
      <w:r>
        <w:rPr>
          <w:w w:val="105"/>
        </w:rPr>
        <w:t>through</w:t>
      </w:r>
      <w:r>
        <w:rPr>
          <w:spacing w:val="-7"/>
          <w:w w:val="105"/>
        </w:rPr>
        <w:t> </w:t>
      </w:r>
      <w:r>
        <w:rPr>
          <w:w w:val="105"/>
        </w:rPr>
        <w:t>bilateral</w:t>
      </w:r>
      <w:r>
        <w:rPr>
          <w:spacing w:val="-7"/>
          <w:w w:val="105"/>
        </w:rPr>
        <w:t> </w:t>
      </w:r>
      <w:r>
        <w:rPr>
          <w:w w:val="105"/>
        </w:rPr>
        <w:t>channels</w:t>
      </w:r>
      <w:r>
        <w:rPr>
          <w:spacing w:val="-7"/>
          <w:w w:val="105"/>
        </w:rPr>
        <w:t> </w:t>
      </w:r>
      <w:r>
        <w:rPr>
          <w:w w:val="105"/>
        </w:rPr>
        <w:t>and</w:t>
      </w:r>
      <w:r>
        <w:rPr>
          <w:spacing w:val="-7"/>
          <w:w w:val="105"/>
        </w:rPr>
        <w:t> </w:t>
      </w:r>
      <w:r>
        <w:rPr>
          <w:w w:val="105"/>
        </w:rPr>
        <w:t>dial</w:t>
      </w:r>
      <w:r>
        <w:rPr>
          <w:spacing w:val="-7"/>
          <w:w w:val="105"/>
        </w:rPr>
        <w:t> </w:t>
      </w:r>
      <w:r>
        <w:rPr>
          <w:w w:val="105"/>
        </w:rPr>
        <w:t>up</w:t>
      </w:r>
      <w:r>
        <w:rPr>
          <w:spacing w:val="-7"/>
          <w:w w:val="105"/>
        </w:rPr>
        <w:t> </w:t>
      </w:r>
      <w:r>
        <w:rPr>
          <w:w w:val="105"/>
        </w:rPr>
        <w:t>the</w:t>
      </w:r>
      <w:r>
        <w:rPr>
          <w:spacing w:val="-7"/>
          <w:w w:val="105"/>
        </w:rPr>
        <w:t> </w:t>
      </w:r>
      <w:r>
        <w:rPr>
          <w:w w:val="105"/>
        </w:rPr>
        <w:t>provision</w:t>
      </w:r>
      <w:r>
        <w:rPr>
          <w:spacing w:val="-7"/>
          <w:w w:val="105"/>
        </w:rPr>
        <w:t> </w:t>
      </w:r>
      <w:r>
        <w:rPr>
          <w:w w:val="105"/>
        </w:rPr>
        <w:t>of</w:t>
      </w:r>
      <w:r>
        <w:rPr>
          <w:spacing w:val="-7"/>
          <w:w w:val="105"/>
        </w:rPr>
        <w:t> </w:t>
      </w:r>
      <w:r>
        <w:rPr>
          <w:w w:val="105"/>
        </w:rPr>
        <w:t>credit</w:t>
      </w:r>
      <w:r>
        <w:rPr>
          <w:spacing w:val="-7"/>
          <w:w w:val="105"/>
        </w:rPr>
        <w:t> </w:t>
      </w:r>
      <w:r>
        <w:rPr>
          <w:w w:val="105"/>
        </w:rPr>
        <w:t>through syndicated</w:t>
      </w:r>
      <w:r>
        <w:rPr>
          <w:spacing w:val="-8"/>
          <w:w w:val="105"/>
        </w:rPr>
        <w:t> </w:t>
      </w:r>
      <w:r>
        <w:rPr>
          <w:w w:val="105"/>
        </w:rPr>
        <w:t>and</w:t>
      </w:r>
      <w:r>
        <w:rPr>
          <w:spacing w:val="-8"/>
          <w:w w:val="105"/>
        </w:rPr>
        <w:t> </w:t>
      </w:r>
      <w:r>
        <w:rPr>
          <w:w w:val="105"/>
        </w:rPr>
        <w:t>multilateral</w:t>
      </w:r>
      <w:r>
        <w:rPr>
          <w:spacing w:val="-8"/>
          <w:w w:val="105"/>
        </w:rPr>
        <w:t> </w:t>
      </w:r>
      <w:r>
        <w:rPr>
          <w:w w:val="105"/>
        </w:rPr>
        <w:t>lending</w:t>
      </w:r>
      <w:r>
        <w:rPr>
          <w:spacing w:val="-8"/>
          <w:w w:val="105"/>
        </w:rPr>
        <w:t> </w:t>
      </w:r>
      <w:r>
        <w:rPr>
          <w:w w:val="105"/>
        </w:rPr>
        <w:t>channels.</w:t>
      </w:r>
    </w:p>
    <w:p>
      <w:pPr>
        <w:pStyle w:val="BodyText"/>
        <w:spacing w:before="5"/>
        <w:rPr>
          <w:sz w:val="27"/>
        </w:rPr>
      </w:pPr>
    </w:p>
    <w:p>
      <w:pPr>
        <w:pStyle w:val="BodyText"/>
        <w:spacing w:line="333" w:lineRule="auto"/>
        <w:ind w:left="760" w:right="859"/>
      </w:pPr>
      <w:r>
        <w:rPr/>
        <w:t>Syndicated loans allow a group of lenders (a “syndicate”) to pool their funds </w:t>
      </w:r>
      <w:r>
        <w:rPr/>
        <w:t>and share credit risk. When a transaction is ﬁnanced through a syndicated arrangement, all members of the syndicate must agree to a common set of contractual terms and conditions, including the standards and safeguards that</w:t>
      </w:r>
      <w:r>
        <w:rPr>
          <w:spacing w:val="40"/>
        </w:rPr>
        <w:t> </w:t>
      </w:r>
      <w:r>
        <w:rPr/>
        <w:t>will govern the transaction. Given that each lender has its own standards and safeguards, the members of a syndicate can seek to reconcile (hybridize) their</w:t>
      </w:r>
    </w:p>
    <w:p>
      <w:pPr>
        <w:spacing w:after="0" w:line="333" w:lineRule="auto"/>
        <w:sectPr>
          <w:pgSz w:w="12240" w:h="15840"/>
          <w:pgMar w:header="0" w:footer="720" w:top="1560" w:bottom="920" w:left="1040" w:right="1040"/>
        </w:sectPr>
      </w:pPr>
    </w:p>
    <w:p>
      <w:pPr>
        <w:pStyle w:val="BodyText"/>
        <w:spacing w:line="333" w:lineRule="auto" w:before="27"/>
        <w:ind w:left="760" w:right="859"/>
      </w:pPr>
      <w:r>
        <w:rPr/>
        <w:t>respective standards and safeguards. However, it is more common for the members of the syndicate to defer to the standards and safeguards of one member of the syndicate. In most syndicated loan arrangements, a “lead arranger”—sometimes</w:t>
      </w:r>
      <w:r>
        <w:rPr>
          <w:spacing w:val="40"/>
        </w:rPr>
        <w:t> </w:t>
      </w:r>
      <w:r>
        <w:rPr/>
        <w:t>referred</w:t>
      </w:r>
      <w:r>
        <w:rPr>
          <w:spacing w:val="40"/>
        </w:rPr>
        <w:t> </w:t>
      </w:r>
      <w:r>
        <w:rPr/>
        <w:t>to</w:t>
      </w:r>
      <w:r>
        <w:rPr>
          <w:spacing w:val="40"/>
        </w:rPr>
        <w:t> </w:t>
      </w:r>
      <w:r>
        <w:rPr/>
        <w:t>as</w:t>
      </w:r>
      <w:r>
        <w:rPr>
          <w:spacing w:val="40"/>
        </w:rPr>
        <w:t> </w:t>
      </w:r>
      <w:r>
        <w:rPr/>
        <w:t>the</w:t>
      </w:r>
      <w:r>
        <w:rPr>
          <w:spacing w:val="40"/>
        </w:rPr>
        <w:t> </w:t>
      </w:r>
      <w:r>
        <w:rPr/>
        <w:t>“arranging</w:t>
      </w:r>
      <w:r>
        <w:rPr>
          <w:spacing w:val="40"/>
        </w:rPr>
        <w:t> </w:t>
      </w:r>
      <w:r>
        <w:rPr/>
        <w:t>lender”</w:t>
      </w:r>
      <w:r>
        <w:rPr>
          <w:spacing w:val="40"/>
        </w:rPr>
        <w:t> </w:t>
      </w:r>
      <w:r>
        <w:rPr/>
        <w:t>“lead</w:t>
      </w:r>
      <w:r>
        <w:rPr>
          <w:spacing w:val="40"/>
        </w:rPr>
        <w:t> </w:t>
      </w:r>
      <w:r>
        <w:rPr/>
        <w:t>lender,”</w:t>
      </w:r>
      <w:r>
        <w:rPr>
          <w:spacing w:val="40"/>
        </w:rPr>
        <w:t> </w:t>
      </w:r>
      <w:r>
        <w:rPr/>
        <w:t>“lead manager,” or “underwriter”—establishes the transaction’s key terms and conditions, which cannot be amended without the consent of all members of </w:t>
      </w:r>
      <w:r>
        <w:rPr/>
        <w:t>the syndicate.</w:t>
      </w:r>
      <w:r>
        <w:rPr>
          <w:vertAlign w:val="superscript"/>
        </w:rPr>
        <w:t>197</w:t>
      </w:r>
      <w:r>
        <w:rPr>
          <w:vertAlign w:val="baseline"/>
        </w:rPr>
        <w:t> It is also customary for all members of the syndicate to use a common set of due diligence standards to vet the borrowing institution and the proposed transaction.</w:t>
      </w:r>
      <w:r>
        <w:rPr>
          <w:vertAlign w:val="superscript"/>
        </w:rPr>
        <w:t>198</w:t>
      </w:r>
      <w:r>
        <w:rPr>
          <w:vertAlign w:val="baseline"/>
        </w:rPr>
        <w:t> Here again, the lead arranger is usually responsible for identifying and applying the due diligence standards (Dennis and Mullineaux 2000; Ivashina 2009).</w:t>
      </w:r>
    </w:p>
    <w:p>
      <w:pPr>
        <w:pStyle w:val="BodyText"/>
        <w:rPr>
          <w:sz w:val="20"/>
        </w:rPr>
      </w:pPr>
    </w:p>
    <w:p>
      <w:pPr>
        <w:pStyle w:val="BodyText"/>
        <w:spacing w:before="3"/>
        <w:rPr>
          <w:sz w:val="17"/>
        </w:rPr>
      </w:pPr>
      <w:r>
        <w:rPr/>
        <w:pict>
          <v:shape style="position:absolute;margin-left:84pt;margin-top:11.160522pt;width:444pt;height:38pt;mso-position-horizontal-relative:page;mso-position-vertical-relative:paragraph;z-index:-15673344;mso-wrap-distance-left:0;mso-wrap-distance-right:0" type="#_x0000_t202" id="docshape92" filled="true" fillcolor="#5b666f" stroked="false">
            <v:textbox inset="0,0,0,0">
              <w:txbxContent>
                <w:p>
                  <w:pPr>
                    <w:spacing w:before="120"/>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2.23</w:t>
                  </w:r>
                </w:p>
              </w:txbxContent>
            </v:textbox>
            <v:fill type="solid"/>
            <w10:wrap type="topAndBottom"/>
          </v:shape>
        </w:pict>
      </w:r>
      <w:r>
        <w:rPr/>
        <w:drawing>
          <wp:anchor distT="0" distB="0" distL="0" distR="0" allowOverlap="1" layoutInCell="1" locked="0" behindDoc="0" simplePos="0" relativeHeight="109">
            <wp:simplePos x="0" y="0"/>
            <wp:positionH relativeFrom="page">
              <wp:posOffset>1250453</wp:posOffset>
            </wp:positionH>
            <wp:positionV relativeFrom="paragraph">
              <wp:posOffset>749412</wp:posOffset>
            </wp:positionV>
            <wp:extent cx="5264621" cy="3184398"/>
            <wp:effectExtent l="0" t="0" r="0" b="0"/>
            <wp:wrapTopAndBottom/>
            <wp:docPr id="45" name="image24.jpeg"/>
            <wp:cNvGraphicFramePr>
              <a:graphicFrameLocks noChangeAspect="1"/>
            </wp:cNvGraphicFramePr>
            <a:graphic>
              <a:graphicData uri="http://schemas.openxmlformats.org/drawingml/2006/picture">
                <pic:pic>
                  <pic:nvPicPr>
                    <pic:cNvPr id="46" name="image24.jpeg"/>
                    <pic:cNvPicPr/>
                  </pic:nvPicPr>
                  <pic:blipFill>
                    <a:blip r:embed="rId35" cstate="print"/>
                    <a:stretch>
                      <a:fillRect/>
                    </a:stretch>
                  </pic:blipFill>
                  <pic:spPr>
                    <a:xfrm>
                      <a:off x="0" y="0"/>
                      <a:ext cx="5264621" cy="3184398"/>
                    </a:xfrm>
                    <a:prstGeom prst="rect">
                      <a:avLst/>
                    </a:prstGeom>
                  </pic:spPr>
                </pic:pic>
              </a:graphicData>
            </a:graphic>
          </wp:anchor>
        </w:drawing>
      </w:r>
    </w:p>
    <w:p>
      <w:pPr>
        <w:pStyle w:val="BodyText"/>
        <w:rPr>
          <w:sz w:val="15"/>
        </w:rPr>
      </w:pPr>
    </w:p>
    <w:p>
      <w:pPr>
        <w:pStyle w:val="BodyText"/>
        <w:rPr>
          <w:sz w:val="20"/>
        </w:rPr>
      </w:pPr>
    </w:p>
    <w:p>
      <w:pPr>
        <w:pStyle w:val="BodyText"/>
        <w:spacing w:before="10"/>
        <w:rPr>
          <w:sz w:val="16"/>
        </w:rPr>
      </w:pPr>
    </w:p>
    <w:p>
      <w:pPr>
        <w:spacing w:line="333" w:lineRule="auto" w:before="72"/>
        <w:ind w:left="760" w:right="876" w:firstLine="0"/>
        <w:jc w:val="left"/>
        <w:rPr>
          <w:i/>
          <w:sz w:val="18"/>
        </w:rPr>
      </w:pPr>
      <w:r>
        <w:rPr>
          <w:i/>
          <w:sz w:val="18"/>
        </w:rPr>
        <w:t>Notes: All emergency rescue loans are excluded. The “loans that involve multilateral institutions” </w:t>
      </w:r>
      <w:r>
        <w:rPr>
          <w:i/>
          <w:sz w:val="18"/>
        </w:rPr>
        <w:t>category</w:t>
      </w:r>
      <w:r>
        <w:rPr>
          <w:i/>
          <w:sz w:val="18"/>
        </w:rPr>
        <w:t> include loans where a multilateral agency has some formal role, such as an entrusted loan agreement or a co-ﬁnancing arrangement.</w:t>
      </w:r>
    </w:p>
    <w:p>
      <w:pPr>
        <w:pStyle w:val="BodyText"/>
        <w:spacing w:before="2"/>
        <w:rPr>
          <w:i/>
          <w:sz w:val="29"/>
        </w:rPr>
      </w:pPr>
      <w:r>
        <w:rPr/>
        <w:pict>
          <v:shape style="position:absolute;margin-left:90pt;margin-top:17.995203pt;width:144pt;height:.1pt;mso-position-horizontal-relative:page;mso-position-vertical-relative:paragraph;z-index:-15672320;mso-wrap-distance-left:0;mso-wrap-distance-right:0" id="docshape93" coordorigin="1800,360" coordsize="2880,0" path="m1800,360l4680,360e" filled="false" stroked="true" strokeweight=".75pt" strokecolor="#000000">
            <v:path arrowok="t"/>
            <v:stroke dashstyle="solid"/>
            <w10:wrap type="topAndBottom"/>
          </v:shape>
        </w:pict>
      </w:r>
    </w:p>
    <w:p>
      <w:pPr>
        <w:spacing w:line="249" w:lineRule="auto" w:before="101"/>
        <w:ind w:left="760" w:right="1222" w:firstLine="0"/>
        <w:jc w:val="left"/>
        <w:rPr>
          <w:sz w:val="18"/>
        </w:rPr>
      </w:pPr>
      <w:r>
        <w:rPr>
          <w:sz w:val="18"/>
          <w:vertAlign w:val="superscript"/>
        </w:rPr>
        <w:t>197</w:t>
      </w:r>
      <w:r>
        <w:rPr>
          <w:sz w:val="18"/>
          <w:vertAlign w:val="baseline"/>
        </w:rPr>
        <w:t> However, other terms and conditions can usually be amended with the consent of the </w:t>
      </w:r>
      <w:r>
        <w:rPr>
          <w:sz w:val="18"/>
          <w:vertAlign w:val="baseline"/>
        </w:rPr>
        <w:t>“majority </w:t>
      </w:r>
      <w:r>
        <w:rPr>
          <w:spacing w:val="-2"/>
          <w:w w:val="105"/>
          <w:sz w:val="18"/>
          <w:vertAlign w:val="baseline"/>
        </w:rPr>
        <w:t>lenders.”</w:t>
      </w:r>
    </w:p>
    <w:p>
      <w:pPr>
        <w:spacing w:line="249" w:lineRule="auto" w:before="1"/>
        <w:ind w:left="760" w:right="767" w:firstLine="0"/>
        <w:jc w:val="left"/>
        <w:rPr>
          <w:sz w:val="18"/>
        </w:rPr>
      </w:pPr>
      <w:r>
        <w:rPr>
          <w:sz w:val="18"/>
          <w:vertAlign w:val="superscript"/>
        </w:rPr>
        <w:t>198</w:t>
      </w:r>
      <w:r>
        <w:rPr>
          <w:spacing w:val="-3"/>
          <w:sz w:val="18"/>
          <w:vertAlign w:val="baseline"/>
        </w:rPr>
        <w:t> </w:t>
      </w:r>
      <w:r>
        <w:rPr>
          <w:sz w:val="18"/>
          <w:vertAlign w:val="baseline"/>
        </w:rPr>
        <w:t>Suﬁ</w:t>
      </w:r>
      <w:r>
        <w:rPr>
          <w:spacing w:val="-2"/>
          <w:sz w:val="18"/>
          <w:vertAlign w:val="baseline"/>
        </w:rPr>
        <w:t> </w:t>
      </w:r>
      <w:r>
        <w:rPr>
          <w:sz w:val="18"/>
          <w:vertAlign w:val="baseline"/>
        </w:rPr>
        <w:t>(2007)</w:t>
      </w:r>
      <w:r>
        <w:rPr>
          <w:spacing w:val="-2"/>
          <w:sz w:val="18"/>
          <w:vertAlign w:val="baseline"/>
        </w:rPr>
        <w:t> </w:t>
      </w:r>
      <w:r>
        <w:rPr>
          <w:sz w:val="18"/>
          <w:vertAlign w:val="baseline"/>
        </w:rPr>
        <w:t>demonstrates</w:t>
      </w:r>
      <w:r>
        <w:rPr>
          <w:spacing w:val="-2"/>
          <w:sz w:val="18"/>
          <w:vertAlign w:val="baseline"/>
        </w:rPr>
        <w:t> </w:t>
      </w:r>
      <w:r>
        <w:rPr>
          <w:sz w:val="18"/>
          <w:vertAlign w:val="baseline"/>
        </w:rPr>
        <w:t>that</w:t>
      </w:r>
      <w:r>
        <w:rPr>
          <w:spacing w:val="-2"/>
          <w:sz w:val="18"/>
          <w:vertAlign w:val="baseline"/>
        </w:rPr>
        <w:t> </w:t>
      </w:r>
      <w:r>
        <w:rPr>
          <w:sz w:val="18"/>
          <w:vertAlign w:val="baseline"/>
        </w:rPr>
        <w:t>lead</w:t>
      </w:r>
      <w:r>
        <w:rPr>
          <w:spacing w:val="-2"/>
          <w:sz w:val="18"/>
          <w:vertAlign w:val="baseline"/>
        </w:rPr>
        <w:t> </w:t>
      </w:r>
      <w:r>
        <w:rPr>
          <w:sz w:val="18"/>
          <w:vertAlign w:val="baseline"/>
        </w:rPr>
        <w:t>arrangers</w:t>
      </w:r>
      <w:r>
        <w:rPr>
          <w:spacing w:val="-2"/>
          <w:sz w:val="18"/>
          <w:vertAlign w:val="baseline"/>
        </w:rPr>
        <w:t> </w:t>
      </w:r>
      <w:r>
        <w:rPr>
          <w:sz w:val="18"/>
          <w:vertAlign w:val="baseline"/>
        </w:rPr>
        <w:t>reduce</w:t>
      </w:r>
      <w:r>
        <w:rPr>
          <w:spacing w:val="-2"/>
          <w:sz w:val="18"/>
          <w:vertAlign w:val="baseline"/>
        </w:rPr>
        <w:t> </w:t>
      </w:r>
      <w:r>
        <w:rPr>
          <w:sz w:val="18"/>
          <w:vertAlign w:val="baseline"/>
        </w:rPr>
        <w:t>the</w:t>
      </w:r>
      <w:r>
        <w:rPr>
          <w:spacing w:val="-2"/>
          <w:sz w:val="18"/>
          <w:vertAlign w:val="baseline"/>
        </w:rPr>
        <w:t> </w:t>
      </w:r>
      <w:r>
        <w:rPr>
          <w:sz w:val="18"/>
          <w:vertAlign w:val="baseline"/>
        </w:rPr>
        <w:t>costs</w:t>
      </w:r>
      <w:r>
        <w:rPr>
          <w:spacing w:val="-2"/>
          <w:sz w:val="18"/>
          <w:vertAlign w:val="baseline"/>
        </w:rPr>
        <w:t> </w:t>
      </w:r>
      <w:r>
        <w:rPr>
          <w:sz w:val="18"/>
          <w:vertAlign w:val="baseline"/>
        </w:rPr>
        <w:t>of</w:t>
      </w:r>
      <w:r>
        <w:rPr>
          <w:spacing w:val="-2"/>
          <w:sz w:val="18"/>
          <w:vertAlign w:val="baseline"/>
        </w:rPr>
        <w:t> </w:t>
      </w:r>
      <w:r>
        <w:rPr>
          <w:sz w:val="18"/>
          <w:vertAlign w:val="baseline"/>
        </w:rPr>
        <w:t>due</w:t>
      </w:r>
      <w:r>
        <w:rPr>
          <w:spacing w:val="-2"/>
          <w:sz w:val="18"/>
          <w:vertAlign w:val="baseline"/>
        </w:rPr>
        <w:t> </w:t>
      </w:r>
      <w:r>
        <w:rPr>
          <w:sz w:val="18"/>
          <w:vertAlign w:val="baseline"/>
        </w:rPr>
        <w:t>diligence</w:t>
      </w:r>
      <w:r>
        <w:rPr>
          <w:spacing w:val="-2"/>
          <w:sz w:val="18"/>
          <w:vertAlign w:val="baseline"/>
        </w:rPr>
        <w:t> </w:t>
      </w:r>
      <w:r>
        <w:rPr>
          <w:sz w:val="18"/>
          <w:vertAlign w:val="baseline"/>
        </w:rPr>
        <w:t>for</w:t>
      </w:r>
      <w:r>
        <w:rPr>
          <w:spacing w:val="-2"/>
          <w:sz w:val="18"/>
          <w:vertAlign w:val="baseline"/>
        </w:rPr>
        <w:t> </w:t>
      </w:r>
      <w:r>
        <w:rPr>
          <w:sz w:val="18"/>
          <w:vertAlign w:val="baseline"/>
        </w:rPr>
        <w:t>all</w:t>
      </w:r>
      <w:r>
        <w:rPr>
          <w:spacing w:val="-2"/>
          <w:sz w:val="18"/>
          <w:vertAlign w:val="baseline"/>
        </w:rPr>
        <w:t> </w:t>
      </w:r>
      <w:r>
        <w:rPr>
          <w:sz w:val="18"/>
          <w:vertAlign w:val="baseline"/>
        </w:rPr>
        <w:t>other</w:t>
      </w:r>
      <w:r>
        <w:rPr>
          <w:spacing w:val="-2"/>
          <w:sz w:val="18"/>
          <w:vertAlign w:val="baseline"/>
        </w:rPr>
        <w:t> </w:t>
      </w:r>
      <w:r>
        <w:rPr>
          <w:sz w:val="18"/>
          <w:vertAlign w:val="baseline"/>
        </w:rPr>
        <w:t>syndicate </w:t>
      </w:r>
      <w:r>
        <w:rPr>
          <w:spacing w:val="-2"/>
          <w:sz w:val="18"/>
          <w:vertAlign w:val="baseline"/>
        </w:rPr>
        <w:t>participants.</w:t>
      </w:r>
    </w:p>
    <w:p>
      <w:pPr>
        <w:spacing w:after="0" w:line="249" w:lineRule="auto"/>
        <w:jc w:val="left"/>
        <w:rPr>
          <w:sz w:val="18"/>
        </w:rPr>
        <w:sectPr>
          <w:pgSz w:w="12240" w:h="15840"/>
          <w:pgMar w:header="0" w:footer="720" w:top="1400" w:bottom="920" w:left="1040" w:right="1040"/>
        </w:sectPr>
      </w:pPr>
    </w:p>
    <w:p>
      <w:pPr>
        <w:pStyle w:val="BodyText"/>
        <w:spacing w:before="27"/>
        <w:ind w:left="760"/>
      </w:pPr>
      <w:r>
        <w:rPr/>
        <w:t>Figure</w:t>
      </w:r>
      <w:r>
        <w:rPr>
          <w:spacing w:val="5"/>
        </w:rPr>
        <w:t> </w:t>
      </w:r>
      <w:r>
        <w:rPr/>
        <w:t>2.23</w:t>
      </w:r>
      <w:r>
        <w:rPr>
          <w:spacing w:val="5"/>
        </w:rPr>
        <w:t> </w:t>
      </w:r>
      <w:r>
        <w:rPr/>
        <w:t>provides</w:t>
      </w:r>
      <w:r>
        <w:rPr>
          <w:spacing w:val="6"/>
        </w:rPr>
        <w:t> </w:t>
      </w:r>
      <w:r>
        <w:rPr/>
        <w:t>evidence</w:t>
      </w:r>
      <w:r>
        <w:rPr>
          <w:spacing w:val="5"/>
        </w:rPr>
        <w:t> </w:t>
      </w:r>
      <w:r>
        <w:rPr/>
        <w:t>that,</w:t>
      </w:r>
      <w:r>
        <w:rPr>
          <w:spacing w:val="6"/>
        </w:rPr>
        <w:t> </w:t>
      </w:r>
      <w:r>
        <w:rPr/>
        <w:t>at</w:t>
      </w:r>
      <w:r>
        <w:rPr>
          <w:spacing w:val="5"/>
        </w:rPr>
        <w:t> </w:t>
      </w:r>
      <w:r>
        <w:rPr/>
        <w:t>the</w:t>
      </w:r>
      <w:r>
        <w:rPr>
          <w:spacing w:val="6"/>
        </w:rPr>
        <w:t> </w:t>
      </w:r>
      <w:r>
        <w:rPr/>
        <w:t>turn</w:t>
      </w:r>
      <w:r>
        <w:rPr>
          <w:spacing w:val="5"/>
        </w:rPr>
        <w:t> </w:t>
      </w:r>
      <w:r>
        <w:rPr/>
        <w:t>of</w:t>
      </w:r>
      <w:r>
        <w:rPr>
          <w:spacing w:val="5"/>
        </w:rPr>
        <w:t> </w:t>
      </w:r>
      <w:r>
        <w:rPr/>
        <w:t>the</w:t>
      </w:r>
      <w:r>
        <w:rPr>
          <w:spacing w:val="6"/>
        </w:rPr>
        <w:t> </w:t>
      </w:r>
      <w:r>
        <w:rPr/>
        <w:t>century,</w:t>
      </w:r>
      <w:r>
        <w:rPr>
          <w:spacing w:val="5"/>
        </w:rPr>
        <w:t> </w:t>
      </w:r>
      <w:r>
        <w:rPr>
          <w:spacing w:val="-2"/>
        </w:rPr>
        <w:t>China’s</w:t>
      </w:r>
    </w:p>
    <w:p>
      <w:pPr>
        <w:pStyle w:val="BodyText"/>
        <w:spacing w:line="333" w:lineRule="auto" w:before="107"/>
        <w:ind w:left="760" w:right="767"/>
      </w:pPr>
      <w:r>
        <w:rPr/>
        <w:t>non-emergency</w:t>
      </w:r>
      <w:r>
        <w:rPr>
          <w:spacing w:val="-2"/>
        </w:rPr>
        <w:t> </w:t>
      </w:r>
      <w:r>
        <w:rPr/>
        <w:t>lending</w:t>
      </w:r>
      <w:r>
        <w:rPr>
          <w:spacing w:val="-2"/>
        </w:rPr>
        <w:t> </w:t>
      </w:r>
      <w:r>
        <w:rPr/>
        <w:t>program</w:t>
      </w:r>
      <w:r>
        <w:rPr>
          <w:spacing w:val="-2"/>
        </w:rPr>
        <w:t> </w:t>
      </w:r>
      <w:r>
        <w:rPr/>
        <w:t>in</w:t>
      </w:r>
      <w:r>
        <w:rPr>
          <w:spacing w:val="-2"/>
        </w:rPr>
        <w:t> </w:t>
      </w:r>
      <w:r>
        <w:rPr/>
        <w:t>LICs</w:t>
      </w:r>
      <w:r>
        <w:rPr>
          <w:spacing w:val="-2"/>
        </w:rPr>
        <w:t> </w:t>
      </w:r>
      <w:r>
        <w:rPr/>
        <w:t>and</w:t>
      </w:r>
      <w:r>
        <w:rPr>
          <w:spacing w:val="-2"/>
        </w:rPr>
        <w:t> </w:t>
      </w:r>
      <w:r>
        <w:rPr/>
        <w:t>MICs</w:t>
      </w:r>
      <w:r>
        <w:rPr>
          <w:spacing w:val="-2"/>
        </w:rPr>
        <w:t> </w:t>
      </w:r>
      <w:r>
        <w:rPr/>
        <w:t>exclusively</w:t>
      </w:r>
      <w:r>
        <w:rPr>
          <w:spacing w:val="-2"/>
        </w:rPr>
        <w:t> </w:t>
      </w:r>
      <w:r>
        <w:rPr/>
        <w:t>consisted</w:t>
      </w:r>
      <w:r>
        <w:rPr>
          <w:spacing w:val="-2"/>
        </w:rPr>
        <w:t> </w:t>
      </w:r>
      <w:r>
        <w:rPr/>
        <w:t>of bilateral loans—i.e., loans issued by a single lender to a single borrower.</w:t>
      </w:r>
    </w:p>
    <w:p>
      <w:pPr>
        <w:pStyle w:val="BodyText"/>
        <w:spacing w:line="333" w:lineRule="auto"/>
        <w:ind w:left="760" w:right="859"/>
      </w:pPr>
      <w:r>
        <w:rPr/>
        <w:t>However, over time, Beijing has moved away from this approach, ramping up </w:t>
      </w:r>
      <w:r>
        <w:rPr/>
        <w:t>its use of syndicated loan arrangements. It began experimenting with this more collaborative way of issuing credit during the pre-BRI period and early BRI period, but made syndication central to the country’s overseas lending strategy during the late BRI period. By 2021, 50% of China’s non-emergency lending program in LICs and MICs consisted of syndicated loan commitments.</w:t>
      </w:r>
      <w:r>
        <w:rPr>
          <w:vertAlign w:val="superscript"/>
        </w:rPr>
        <w:t>199</w:t>
      </w:r>
    </w:p>
    <w:p>
      <w:pPr>
        <w:pStyle w:val="BodyText"/>
        <w:spacing w:before="5"/>
        <w:rPr>
          <w:sz w:val="27"/>
        </w:rPr>
      </w:pPr>
    </w:p>
    <w:p>
      <w:pPr>
        <w:pStyle w:val="BodyText"/>
        <w:spacing w:line="333" w:lineRule="auto"/>
        <w:ind w:left="760" w:right="813"/>
      </w:pPr>
      <w:r>
        <w:rPr/>
        <w:t>This empirical pattern ﬂies in the face of the conventional wisdom that “[e]merging economies’ debt to China is [...] non-marketable” (Kondo et al. 2022).</w:t>
      </w:r>
      <w:r>
        <w:rPr>
          <w:vertAlign w:val="superscript"/>
        </w:rPr>
        <w:t>200</w:t>
      </w:r>
      <w:r>
        <w:rPr>
          <w:spacing w:val="-5"/>
          <w:vertAlign w:val="baseline"/>
        </w:rPr>
        <w:t> </w:t>
      </w:r>
      <w:r>
        <w:rPr>
          <w:vertAlign w:val="baseline"/>
        </w:rPr>
        <w:t>That</w:t>
      </w:r>
      <w:r>
        <w:rPr>
          <w:spacing w:val="-4"/>
          <w:vertAlign w:val="baseline"/>
        </w:rPr>
        <w:t> </w:t>
      </w:r>
      <w:r>
        <w:rPr>
          <w:vertAlign w:val="baseline"/>
        </w:rPr>
        <w:t>was</w:t>
      </w:r>
      <w:r>
        <w:rPr>
          <w:spacing w:val="-4"/>
          <w:vertAlign w:val="baseline"/>
        </w:rPr>
        <w:t> </w:t>
      </w:r>
      <w:r>
        <w:rPr>
          <w:vertAlign w:val="baseline"/>
        </w:rPr>
        <w:t>certainly</w:t>
      </w:r>
      <w:r>
        <w:rPr>
          <w:spacing w:val="-4"/>
          <w:vertAlign w:val="baseline"/>
        </w:rPr>
        <w:t> </w:t>
      </w:r>
      <w:r>
        <w:rPr>
          <w:vertAlign w:val="baseline"/>
        </w:rPr>
        <w:t>true</w:t>
      </w:r>
      <w:r>
        <w:rPr>
          <w:spacing w:val="-4"/>
          <w:vertAlign w:val="baseline"/>
        </w:rPr>
        <w:t> </w:t>
      </w:r>
      <w:r>
        <w:rPr>
          <w:vertAlign w:val="baseline"/>
        </w:rPr>
        <w:t>25</w:t>
      </w:r>
      <w:r>
        <w:rPr>
          <w:spacing w:val="-4"/>
          <w:vertAlign w:val="baseline"/>
        </w:rPr>
        <w:t> </w:t>
      </w:r>
      <w:r>
        <w:rPr>
          <w:vertAlign w:val="baseline"/>
        </w:rPr>
        <w:t>years</w:t>
      </w:r>
      <w:r>
        <w:rPr>
          <w:spacing w:val="-4"/>
          <w:vertAlign w:val="baseline"/>
        </w:rPr>
        <w:t> </w:t>
      </w:r>
      <w:r>
        <w:rPr>
          <w:vertAlign w:val="baseline"/>
        </w:rPr>
        <w:t>ago,</w:t>
      </w:r>
      <w:r>
        <w:rPr>
          <w:spacing w:val="-4"/>
          <w:vertAlign w:val="baseline"/>
        </w:rPr>
        <w:t> </w:t>
      </w:r>
      <w:r>
        <w:rPr>
          <w:vertAlign w:val="baseline"/>
        </w:rPr>
        <w:t>but</w:t>
      </w:r>
      <w:r>
        <w:rPr>
          <w:spacing w:val="-4"/>
          <w:vertAlign w:val="baseline"/>
        </w:rPr>
        <w:t> </w:t>
      </w:r>
      <w:r>
        <w:rPr>
          <w:vertAlign w:val="baseline"/>
        </w:rPr>
        <w:t>it</w:t>
      </w:r>
      <w:r>
        <w:rPr>
          <w:spacing w:val="-4"/>
          <w:vertAlign w:val="baseline"/>
        </w:rPr>
        <w:t> </w:t>
      </w:r>
      <w:r>
        <w:rPr>
          <w:vertAlign w:val="baseline"/>
        </w:rPr>
        <w:t>is</w:t>
      </w:r>
      <w:r>
        <w:rPr>
          <w:spacing w:val="-4"/>
          <w:vertAlign w:val="baseline"/>
        </w:rPr>
        <w:t> </w:t>
      </w:r>
      <w:r>
        <w:rPr>
          <w:vertAlign w:val="baseline"/>
        </w:rPr>
        <w:t>no</w:t>
      </w:r>
      <w:r>
        <w:rPr>
          <w:spacing w:val="-4"/>
          <w:vertAlign w:val="baseline"/>
        </w:rPr>
        <w:t> </w:t>
      </w:r>
      <w:r>
        <w:rPr>
          <w:vertAlign w:val="baseline"/>
        </w:rPr>
        <w:t>longer</w:t>
      </w:r>
      <w:r>
        <w:rPr>
          <w:spacing w:val="-4"/>
          <w:vertAlign w:val="baseline"/>
        </w:rPr>
        <w:t> </w:t>
      </w:r>
      <w:r>
        <w:rPr>
          <w:vertAlign w:val="baseline"/>
        </w:rPr>
        <w:t>the</w:t>
      </w:r>
      <w:r>
        <w:rPr>
          <w:spacing w:val="-4"/>
          <w:vertAlign w:val="baseline"/>
        </w:rPr>
        <w:t> </w:t>
      </w:r>
      <w:r>
        <w:rPr>
          <w:vertAlign w:val="baseline"/>
        </w:rPr>
        <w:t>case:</w:t>
      </w:r>
      <w:r>
        <w:rPr>
          <w:spacing w:val="-4"/>
          <w:vertAlign w:val="baseline"/>
        </w:rPr>
        <w:t> </w:t>
      </w:r>
      <w:r>
        <w:rPr>
          <w:vertAlign w:val="baseline"/>
        </w:rPr>
        <w:t>half</w:t>
      </w:r>
      <w:r>
        <w:rPr>
          <w:spacing w:val="-4"/>
          <w:vertAlign w:val="baseline"/>
        </w:rPr>
        <w:t> </w:t>
      </w:r>
      <w:r>
        <w:rPr>
          <w:vertAlign w:val="baseline"/>
        </w:rPr>
        <w:t>of China’s</w:t>
      </w:r>
      <w:r>
        <w:rPr>
          <w:spacing w:val="32"/>
          <w:vertAlign w:val="baseline"/>
        </w:rPr>
        <w:t> </w:t>
      </w:r>
      <w:r>
        <w:rPr>
          <w:vertAlign w:val="baseline"/>
        </w:rPr>
        <w:t>non-emergency</w:t>
      </w:r>
      <w:r>
        <w:rPr>
          <w:spacing w:val="32"/>
          <w:vertAlign w:val="baseline"/>
        </w:rPr>
        <w:t> </w:t>
      </w:r>
      <w:r>
        <w:rPr>
          <w:vertAlign w:val="baseline"/>
        </w:rPr>
        <w:t>lending</w:t>
      </w:r>
      <w:r>
        <w:rPr>
          <w:spacing w:val="32"/>
          <w:vertAlign w:val="baseline"/>
        </w:rPr>
        <w:t> </w:t>
      </w:r>
      <w:r>
        <w:rPr>
          <w:vertAlign w:val="baseline"/>
        </w:rPr>
        <w:t>portfolio</w:t>
      </w:r>
      <w:r>
        <w:rPr>
          <w:spacing w:val="32"/>
          <w:vertAlign w:val="baseline"/>
        </w:rPr>
        <w:t> </w:t>
      </w:r>
      <w:r>
        <w:rPr>
          <w:vertAlign w:val="baseline"/>
        </w:rPr>
        <w:t>in</w:t>
      </w:r>
      <w:r>
        <w:rPr>
          <w:spacing w:val="32"/>
          <w:vertAlign w:val="baseline"/>
        </w:rPr>
        <w:t> </w:t>
      </w:r>
      <w:r>
        <w:rPr>
          <w:vertAlign w:val="baseline"/>
        </w:rPr>
        <w:t>the</w:t>
      </w:r>
      <w:r>
        <w:rPr>
          <w:spacing w:val="32"/>
          <w:vertAlign w:val="baseline"/>
        </w:rPr>
        <w:t> </w:t>
      </w:r>
      <w:r>
        <w:rPr>
          <w:vertAlign w:val="baseline"/>
        </w:rPr>
        <w:t>developing</w:t>
      </w:r>
      <w:r>
        <w:rPr>
          <w:spacing w:val="32"/>
          <w:vertAlign w:val="baseline"/>
        </w:rPr>
        <w:t> </w:t>
      </w:r>
      <w:r>
        <w:rPr>
          <w:vertAlign w:val="baseline"/>
        </w:rPr>
        <w:t>world</w:t>
      </w:r>
      <w:r>
        <w:rPr>
          <w:spacing w:val="32"/>
          <w:vertAlign w:val="baseline"/>
        </w:rPr>
        <w:t> </w:t>
      </w:r>
      <w:r>
        <w:rPr>
          <w:vertAlign w:val="baseline"/>
        </w:rPr>
        <w:t>now</w:t>
      </w:r>
      <w:r>
        <w:rPr>
          <w:spacing w:val="32"/>
          <w:vertAlign w:val="baseline"/>
        </w:rPr>
        <w:t> </w:t>
      </w:r>
      <w:r>
        <w:rPr>
          <w:vertAlign w:val="baseline"/>
        </w:rPr>
        <w:t>consists of syndicated loans (Figure 2.23).</w:t>
      </w:r>
    </w:p>
    <w:p>
      <w:pPr>
        <w:pStyle w:val="BodyText"/>
        <w:spacing w:before="7"/>
        <w:rPr>
          <w:sz w:val="27"/>
        </w:rPr>
      </w:pPr>
    </w:p>
    <w:p>
      <w:pPr>
        <w:pStyle w:val="BodyText"/>
        <w:spacing w:line="333" w:lineRule="auto"/>
        <w:ind w:left="760" w:right="830"/>
      </w:pPr>
      <w:r>
        <w:rPr/>
        <w:t>China's</w:t>
      </w:r>
      <w:r>
        <w:rPr>
          <w:spacing w:val="-3"/>
        </w:rPr>
        <w:t> </w:t>
      </w:r>
      <w:r>
        <w:rPr/>
        <w:t>state-owned</w:t>
      </w:r>
      <w:r>
        <w:rPr>
          <w:spacing w:val="-3"/>
        </w:rPr>
        <w:t> </w:t>
      </w:r>
      <w:r>
        <w:rPr/>
        <w:t>commercial</w:t>
      </w:r>
      <w:r>
        <w:rPr>
          <w:spacing w:val="-3"/>
        </w:rPr>
        <w:t> </w:t>
      </w:r>
      <w:r>
        <w:rPr/>
        <w:t>banks</w:t>
      </w:r>
      <w:r>
        <w:rPr>
          <w:spacing w:val="-3"/>
        </w:rPr>
        <w:t> </w:t>
      </w:r>
      <w:r>
        <w:rPr/>
        <w:t>are</w:t>
      </w:r>
      <w:r>
        <w:rPr>
          <w:spacing w:val="-3"/>
        </w:rPr>
        <w:t> </w:t>
      </w:r>
      <w:r>
        <w:rPr/>
        <w:t>particularly</w:t>
      </w:r>
      <w:r>
        <w:rPr>
          <w:spacing w:val="-3"/>
        </w:rPr>
        <w:t> </w:t>
      </w:r>
      <w:r>
        <w:rPr/>
        <w:t>focused</w:t>
      </w:r>
      <w:r>
        <w:rPr>
          <w:spacing w:val="-3"/>
        </w:rPr>
        <w:t> </w:t>
      </w:r>
      <w:r>
        <w:rPr/>
        <w:t>on</w:t>
      </w:r>
      <w:r>
        <w:rPr>
          <w:spacing w:val="-3"/>
        </w:rPr>
        <w:t> </w:t>
      </w:r>
      <w:r>
        <w:rPr/>
        <w:t>this</w:t>
      </w:r>
      <w:r>
        <w:rPr>
          <w:spacing w:val="-3"/>
        </w:rPr>
        <w:t> </w:t>
      </w:r>
      <w:r>
        <w:rPr/>
        <w:t>approach to cross-border lending. The 3.0 version of AidData’s GCDF dataset demonstrates that they are more heavily engaged than the country’s policy banks in syndicated lending to LICs and MICs. In 2021, 84% of China’s</w:t>
      </w:r>
    </w:p>
    <w:p>
      <w:pPr>
        <w:pStyle w:val="BodyText"/>
        <w:spacing w:line="333" w:lineRule="auto"/>
        <w:ind w:left="760" w:right="838"/>
      </w:pPr>
      <w:r>
        <w:rPr/>
        <w:t>state-owned commercial bank lending to LICs and MICs relied on syndicated loan instruments and the remaining 16% relied on bilateral loan instruments. By comparison,</w:t>
      </w:r>
      <w:r>
        <w:rPr>
          <w:spacing w:val="-1"/>
        </w:rPr>
        <w:t> </w:t>
      </w:r>
      <w:r>
        <w:rPr/>
        <w:t>only</w:t>
      </w:r>
      <w:r>
        <w:rPr>
          <w:spacing w:val="-1"/>
        </w:rPr>
        <w:t> </w:t>
      </w:r>
      <w:r>
        <w:rPr/>
        <w:t>36%</w:t>
      </w:r>
      <w:r>
        <w:rPr>
          <w:spacing w:val="-1"/>
        </w:rPr>
        <w:t> </w:t>
      </w:r>
      <w:r>
        <w:rPr/>
        <w:t>of</w:t>
      </w:r>
      <w:r>
        <w:rPr>
          <w:spacing w:val="-1"/>
        </w:rPr>
        <w:t> </w:t>
      </w:r>
      <w:r>
        <w:rPr/>
        <w:t>China’s</w:t>
      </w:r>
      <w:r>
        <w:rPr>
          <w:spacing w:val="-1"/>
        </w:rPr>
        <w:t> </w:t>
      </w:r>
      <w:r>
        <w:rPr/>
        <w:t>policy</w:t>
      </w:r>
      <w:r>
        <w:rPr>
          <w:spacing w:val="-1"/>
        </w:rPr>
        <w:t> </w:t>
      </w:r>
      <w:r>
        <w:rPr/>
        <w:t>bank</w:t>
      </w:r>
      <w:r>
        <w:rPr>
          <w:spacing w:val="-1"/>
        </w:rPr>
        <w:t> </w:t>
      </w:r>
      <w:r>
        <w:rPr/>
        <w:t>lending</w:t>
      </w:r>
      <w:r>
        <w:rPr>
          <w:spacing w:val="-1"/>
        </w:rPr>
        <w:t> </w:t>
      </w:r>
      <w:r>
        <w:rPr/>
        <w:t>to</w:t>
      </w:r>
      <w:r>
        <w:rPr>
          <w:spacing w:val="-1"/>
        </w:rPr>
        <w:t> </w:t>
      </w:r>
      <w:r>
        <w:rPr/>
        <w:t>LICs</w:t>
      </w:r>
      <w:r>
        <w:rPr>
          <w:spacing w:val="-1"/>
        </w:rPr>
        <w:t> </w:t>
      </w:r>
      <w:r>
        <w:rPr/>
        <w:t>and</w:t>
      </w:r>
      <w:r>
        <w:rPr>
          <w:spacing w:val="-1"/>
        </w:rPr>
        <w:t> </w:t>
      </w:r>
      <w:r>
        <w:rPr/>
        <w:t>MICs</w:t>
      </w:r>
      <w:r>
        <w:rPr>
          <w:spacing w:val="-1"/>
        </w:rPr>
        <w:t> </w:t>
      </w:r>
      <w:r>
        <w:rPr/>
        <w:t>relied</w:t>
      </w:r>
      <w:r>
        <w:rPr>
          <w:spacing w:val="-1"/>
        </w:rPr>
        <w:t> </w:t>
      </w:r>
      <w:r>
        <w:rPr/>
        <w:t>on syndicated loan instruments and the remaining 64% relied on bilateral loan </w:t>
      </w:r>
      <w:r>
        <w:rPr>
          <w:spacing w:val="-2"/>
        </w:rPr>
        <w:t>instruments.</w:t>
      </w:r>
    </w:p>
    <w:p>
      <w:pPr>
        <w:pStyle w:val="BodyText"/>
        <w:spacing w:before="4"/>
        <w:rPr>
          <w:sz w:val="27"/>
        </w:rPr>
      </w:pPr>
    </w:p>
    <w:p>
      <w:pPr>
        <w:pStyle w:val="BodyText"/>
        <w:spacing w:line="333" w:lineRule="auto"/>
        <w:ind w:left="760" w:right="767"/>
      </w:pPr>
      <w:r>
        <w:rPr/>
        <w:t>Another important aspect of the country’s pivot from bilateral lending to syndicated loans is the growing involvement of non-Chinese banks and multilateral institutions in the syndicates that are being established. Figure </w:t>
      </w:r>
      <w:r>
        <w:rPr/>
        <w:t>A32 demonstrates that roughly 80% of the syndicated loans from ofﬁcial sector</w:t>
      </w:r>
    </w:p>
    <w:p>
      <w:pPr>
        <w:pStyle w:val="BodyText"/>
        <w:rPr>
          <w:sz w:val="20"/>
        </w:rPr>
      </w:pPr>
    </w:p>
    <w:p>
      <w:pPr>
        <w:pStyle w:val="BodyText"/>
        <w:rPr>
          <w:sz w:val="20"/>
        </w:rPr>
      </w:pPr>
    </w:p>
    <w:p>
      <w:pPr>
        <w:pStyle w:val="BodyText"/>
        <w:spacing w:before="2"/>
        <w:rPr>
          <w:sz w:val="12"/>
        </w:rPr>
      </w:pPr>
      <w:r>
        <w:rPr/>
        <w:pict>
          <v:shape style="position:absolute;margin-left:90pt;margin-top:8.223681pt;width:144pt;height:.1pt;mso-position-horizontal-relative:page;mso-position-vertical-relative:paragraph;z-index:-15671808;mso-wrap-distance-left:0;mso-wrap-distance-right:0" id="docshape94" coordorigin="1800,164" coordsize="2880,0" path="m1800,164l4680,164e" filled="false" stroked="true" strokeweight=".75pt" strokecolor="#000000">
            <v:path arrowok="t"/>
            <v:stroke dashstyle="solid"/>
            <w10:wrap type="topAndBottom"/>
          </v:shape>
        </w:pict>
      </w:r>
    </w:p>
    <w:p>
      <w:pPr>
        <w:spacing w:line="249" w:lineRule="auto" w:before="104"/>
        <w:ind w:left="760" w:right="767" w:firstLine="0"/>
        <w:jc w:val="left"/>
        <w:rPr>
          <w:sz w:val="18"/>
        </w:rPr>
      </w:pPr>
      <w:r>
        <w:rPr>
          <w:sz w:val="18"/>
          <w:vertAlign w:val="superscript"/>
        </w:rPr>
        <w:t>199</w:t>
      </w:r>
      <w:r>
        <w:rPr>
          <w:sz w:val="18"/>
          <w:vertAlign w:val="baseline"/>
        </w:rPr>
        <w:t> 49% of China’s non-emergency lending program in LICs and MICs consisted of bilateral loan commitments in 2021. Beijing’s pivot toward lending via syndicated loans is especially noticeable in </w:t>
      </w:r>
      <w:r>
        <w:rPr>
          <w:sz w:val="18"/>
          <w:vertAlign w:val="baseline"/>
        </w:rPr>
        <w:t>the project lending portfolio (see Figure A36 for supplementary evidence).</w:t>
      </w:r>
    </w:p>
    <w:p>
      <w:pPr>
        <w:spacing w:line="249" w:lineRule="auto" w:before="2"/>
        <w:ind w:left="760" w:right="898" w:firstLine="0"/>
        <w:jc w:val="left"/>
        <w:rPr>
          <w:sz w:val="18"/>
        </w:rPr>
      </w:pPr>
      <w:r>
        <w:rPr>
          <w:sz w:val="18"/>
          <w:vertAlign w:val="superscript"/>
        </w:rPr>
        <w:t>200</w:t>
      </w:r>
      <w:r>
        <w:rPr>
          <w:sz w:val="18"/>
          <w:vertAlign w:val="baseline"/>
        </w:rPr>
        <w:t> A syndicated loan constitutes marketable debt in that the arranging lender responsible for originating and structuring the transaction can distribute/sell part of the loan to other banks and nonbank </w:t>
      </w:r>
      <w:r>
        <w:rPr>
          <w:sz w:val="18"/>
          <w:vertAlign w:val="baseline"/>
        </w:rPr>
        <w:t>institutions </w:t>
      </w:r>
      <w:r>
        <w:rPr>
          <w:w w:val="105"/>
          <w:sz w:val="18"/>
          <w:vertAlign w:val="baseline"/>
        </w:rPr>
        <w:t>through</w:t>
      </w:r>
      <w:r>
        <w:rPr>
          <w:spacing w:val="-13"/>
          <w:w w:val="105"/>
          <w:sz w:val="18"/>
          <w:vertAlign w:val="baseline"/>
        </w:rPr>
        <w:t> </w:t>
      </w:r>
      <w:r>
        <w:rPr>
          <w:w w:val="105"/>
          <w:sz w:val="18"/>
          <w:vertAlign w:val="baseline"/>
        </w:rPr>
        <w:t>a</w:t>
      </w:r>
      <w:r>
        <w:rPr>
          <w:spacing w:val="-13"/>
          <w:w w:val="105"/>
          <w:sz w:val="18"/>
          <w:vertAlign w:val="baseline"/>
        </w:rPr>
        <w:t> </w:t>
      </w:r>
      <w:r>
        <w:rPr>
          <w:w w:val="105"/>
          <w:sz w:val="18"/>
          <w:vertAlign w:val="baseline"/>
        </w:rPr>
        <w:t>marketing</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syndication</w:t>
      </w:r>
      <w:r>
        <w:rPr>
          <w:spacing w:val="-13"/>
          <w:w w:val="105"/>
          <w:sz w:val="18"/>
          <w:vertAlign w:val="baseline"/>
        </w:rPr>
        <w:t> </w:t>
      </w:r>
      <w:r>
        <w:rPr>
          <w:w w:val="105"/>
          <w:sz w:val="18"/>
          <w:vertAlign w:val="baseline"/>
        </w:rPr>
        <w:t>process</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loan</w:t>
      </w:r>
      <w:r>
        <w:rPr>
          <w:spacing w:val="-13"/>
          <w:w w:val="105"/>
          <w:sz w:val="18"/>
          <w:vertAlign w:val="baseline"/>
        </w:rPr>
        <w:t> </w:t>
      </w:r>
      <w:r>
        <w:rPr>
          <w:w w:val="105"/>
          <w:sz w:val="18"/>
          <w:vertAlign w:val="baseline"/>
        </w:rPr>
        <w:t>can</w:t>
      </w:r>
      <w:r>
        <w:rPr>
          <w:spacing w:val="-13"/>
          <w:w w:val="105"/>
          <w:sz w:val="18"/>
          <w:vertAlign w:val="baseline"/>
        </w:rPr>
        <w:t> </w:t>
      </w:r>
      <w:r>
        <w:rPr>
          <w:w w:val="105"/>
          <w:sz w:val="18"/>
          <w:vertAlign w:val="baseline"/>
        </w:rPr>
        <w:t>be</w:t>
      </w:r>
      <w:r>
        <w:rPr>
          <w:spacing w:val="-13"/>
          <w:w w:val="105"/>
          <w:sz w:val="18"/>
          <w:vertAlign w:val="baseline"/>
        </w:rPr>
        <w:t> </w:t>
      </w:r>
      <w:r>
        <w:rPr>
          <w:w w:val="105"/>
          <w:sz w:val="18"/>
          <w:vertAlign w:val="baseline"/>
        </w:rPr>
        <w:t>traded</w:t>
      </w:r>
      <w:r>
        <w:rPr>
          <w:spacing w:val="-13"/>
          <w:w w:val="105"/>
          <w:sz w:val="18"/>
          <w:vertAlign w:val="baseline"/>
        </w:rPr>
        <w:t> </w:t>
      </w:r>
      <w:r>
        <w:rPr>
          <w:w w:val="105"/>
          <w:sz w:val="18"/>
          <w:vertAlign w:val="baseline"/>
        </w:rPr>
        <w:t>on</w:t>
      </w:r>
      <w:r>
        <w:rPr>
          <w:spacing w:val="-13"/>
          <w:w w:val="105"/>
          <w:sz w:val="18"/>
          <w:vertAlign w:val="baseline"/>
        </w:rPr>
        <w:t> </w:t>
      </w:r>
      <w:r>
        <w:rPr>
          <w:w w:val="105"/>
          <w:sz w:val="18"/>
          <w:vertAlign w:val="baseline"/>
        </w:rPr>
        <w:t>secondary</w:t>
      </w:r>
      <w:r>
        <w:rPr>
          <w:spacing w:val="-13"/>
          <w:w w:val="105"/>
          <w:sz w:val="18"/>
          <w:vertAlign w:val="baseline"/>
        </w:rPr>
        <w:t> </w:t>
      </w:r>
      <w:r>
        <w:rPr>
          <w:w w:val="105"/>
          <w:sz w:val="18"/>
          <w:vertAlign w:val="baseline"/>
        </w:rPr>
        <w:t>markets.</w:t>
      </w:r>
    </w:p>
    <w:p>
      <w:pPr>
        <w:spacing w:after="0" w:line="249" w:lineRule="auto"/>
        <w:jc w:val="left"/>
        <w:rPr>
          <w:sz w:val="18"/>
        </w:rPr>
        <w:sectPr>
          <w:pgSz w:w="12240" w:h="15840"/>
          <w:pgMar w:header="0" w:footer="720" w:top="1400" w:bottom="920" w:left="1040" w:right="1040"/>
        </w:sectPr>
      </w:pPr>
    </w:p>
    <w:p>
      <w:pPr>
        <w:pStyle w:val="BodyText"/>
        <w:spacing w:line="333" w:lineRule="auto" w:before="67"/>
        <w:ind w:left="760" w:right="945"/>
      </w:pPr>
      <w:r>
        <w:rPr/>
        <w:t>creditors</w:t>
      </w:r>
      <w:r>
        <w:rPr>
          <w:spacing w:val="-6"/>
        </w:rPr>
        <w:t> </w:t>
      </w:r>
      <w:r>
        <w:rPr/>
        <w:t>in</w:t>
      </w:r>
      <w:r>
        <w:rPr>
          <w:spacing w:val="-6"/>
        </w:rPr>
        <w:t> </w:t>
      </w:r>
      <w:r>
        <w:rPr/>
        <w:t>China</w:t>
      </w:r>
      <w:r>
        <w:rPr>
          <w:spacing w:val="-6"/>
        </w:rPr>
        <w:t> </w:t>
      </w:r>
      <w:r>
        <w:rPr/>
        <w:t>to</w:t>
      </w:r>
      <w:r>
        <w:rPr>
          <w:spacing w:val="-6"/>
        </w:rPr>
        <w:t> </w:t>
      </w:r>
      <w:r>
        <w:rPr/>
        <w:t>LICs</w:t>
      </w:r>
      <w:r>
        <w:rPr>
          <w:spacing w:val="-6"/>
        </w:rPr>
        <w:t> </w:t>
      </w:r>
      <w:r>
        <w:rPr/>
        <w:t>and</w:t>
      </w:r>
      <w:r>
        <w:rPr>
          <w:spacing w:val="-6"/>
        </w:rPr>
        <w:t> </w:t>
      </w:r>
      <w:r>
        <w:rPr/>
        <w:t>MICs</w:t>
      </w:r>
      <w:r>
        <w:rPr>
          <w:spacing w:val="-6"/>
        </w:rPr>
        <w:t> </w:t>
      </w:r>
      <w:r>
        <w:rPr/>
        <w:t>involve</w:t>
      </w:r>
      <w:r>
        <w:rPr>
          <w:spacing w:val="-6"/>
        </w:rPr>
        <w:t> </w:t>
      </w:r>
      <w:r>
        <w:rPr/>
        <w:t>non-Chinese</w:t>
      </w:r>
      <w:r>
        <w:rPr>
          <w:spacing w:val="-6"/>
        </w:rPr>
        <w:t> </w:t>
      </w:r>
      <w:r>
        <w:rPr/>
        <w:t>bank</w:t>
      </w:r>
      <w:r>
        <w:rPr>
          <w:spacing w:val="-6"/>
        </w:rPr>
        <w:t> </w:t>
      </w:r>
      <w:r>
        <w:rPr/>
        <w:t>participants.</w:t>
      </w:r>
      <w:r>
        <w:rPr>
          <w:vertAlign w:val="superscript"/>
        </w:rPr>
        <w:t>201</w:t>
      </w:r>
      <w:r>
        <w:rPr>
          <w:spacing w:val="-6"/>
          <w:vertAlign w:val="baseline"/>
        </w:rPr>
        <w:t> </w:t>
      </w:r>
      <w:r>
        <w:rPr>
          <w:vertAlign w:val="baseline"/>
        </w:rPr>
        <w:t>A non-trivial percentage of these loans also involve multilateral institutions (see Figure A33).</w:t>
      </w:r>
      <w:r>
        <w:rPr>
          <w:vertAlign w:val="superscript"/>
        </w:rPr>
        <w:t>202</w:t>
      </w:r>
      <w:r>
        <w:rPr>
          <w:vertAlign w:val="baseline"/>
        </w:rPr>
        <w:t> Multilateral and non-Chinese bank participation could have</w:t>
      </w:r>
    </w:p>
    <w:p>
      <w:pPr>
        <w:pStyle w:val="BodyText"/>
        <w:spacing w:line="333" w:lineRule="auto"/>
        <w:ind w:left="760" w:right="793"/>
      </w:pPr>
      <w:r>
        <w:rPr/>
        <w:t>far-reaching consequences if their standards and safeguards prevail as the ones that all other syndicate members must follow.</w:t>
      </w:r>
      <w:r>
        <w:rPr>
          <w:vertAlign w:val="superscript"/>
        </w:rPr>
        <w:t>203</w:t>
      </w:r>
      <w:r>
        <w:rPr>
          <w:vertAlign w:val="baseline"/>
        </w:rPr>
        <w:t> In Table 2.4, we provide metadata for an illustrative set of syndicated loan agreements involving Chinese state-owned creditors and non-Chinese creditors. One can see that syndicated loans with Chinese and non-Chinese participants frequently rely on Western commercial banks and multilateral institutions to serve as lead arrangers, which is consistent with the notion that Beijing is de-risking its overseas loan portfolio</w:t>
      </w:r>
      <w:r>
        <w:rPr>
          <w:spacing w:val="40"/>
          <w:vertAlign w:val="baseline"/>
        </w:rPr>
        <w:t> </w:t>
      </w:r>
      <w:r>
        <w:rPr>
          <w:vertAlign w:val="baseline"/>
        </w:rPr>
        <w:t>by</w:t>
      </w:r>
      <w:r>
        <w:rPr>
          <w:spacing w:val="-4"/>
          <w:vertAlign w:val="baseline"/>
        </w:rPr>
        <w:t> </w:t>
      </w:r>
      <w:r>
        <w:rPr>
          <w:vertAlign w:val="baseline"/>
        </w:rPr>
        <w:t>outsourcing</w:t>
      </w:r>
      <w:r>
        <w:rPr>
          <w:spacing w:val="-4"/>
          <w:vertAlign w:val="baseline"/>
        </w:rPr>
        <w:t> </w:t>
      </w:r>
      <w:r>
        <w:rPr>
          <w:vertAlign w:val="baseline"/>
        </w:rPr>
        <w:t>risk</w:t>
      </w:r>
      <w:r>
        <w:rPr>
          <w:spacing w:val="-4"/>
          <w:vertAlign w:val="baseline"/>
        </w:rPr>
        <w:t> </w:t>
      </w:r>
      <w:r>
        <w:rPr>
          <w:vertAlign w:val="baseline"/>
        </w:rPr>
        <w:t>management.</w:t>
      </w:r>
      <w:r>
        <w:rPr>
          <w:vertAlign w:val="superscript"/>
        </w:rPr>
        <w:t>204</w:t>
      </w:r>
      <w:r>
        <w:rPr>
          <w:spacing w:val="-5"/>
          <w:vertAlign w:val="baseline"/>
        </w:rPr>
        <w:t> </w:t>
      </w:r>
      <w:r>
        <w:rPr>
          <w:vertAlign w:val="baseline"/>
        </w:rPr>
        <w:t>In</w:t>
      </w:r>
      <w:r>
        <w:rPr>
          <w:spacing w:val="-4"/>
          <w:vertAlign w:val="baseline"/>
        </w:rPr>
        <w:t> </w:t>
      </w:r>
      <w:r>
        <w:rPr>
          <w:vertAlign w:val="baseline"/>
        </w:rPr>
        <w:t>Chapter</w:t>
      </w:r>
      <w:r>
        <w:rPr>
          <w:spacing w:val="-4"/>
          <w:vertAlign w:val="baseline"/>
        </w:rPr>
        <w:t> </w:t>
      </w:r>
      <w:r>
        <w:rPr>
          <w:vertAlign w:val="baseline"/>
        </w:rPr>
        <w:t>4,</w:t>
      </w:r>
      <w:r>
        <w:rPr>
          <w:spacing w:val="-4"/>
          <w:vertAlign w:val="baseline"/>
        </w:rPr>
        <w:t> </w:t>
      </w:r>
      <w:r>
        <w:rPr>
          <w:vertAlign w:val="baseline"/>
        </w:rPr>
        <w:t>where</w:t>
      </w:r>
      <w:r>
        <w:rPr>
          <w:spacing w:val="-4"/>
          <w:vertAlign w:val="baseline"/>
        </w:rPr>
        <w:t> </w:t>
      </w:r>
      <w:r>
        <w:rPr>
          <w:vertAlign w:val="baseline"/>
        </w:rPr>
        <w:t>we</w:t>
      </w:r>
      <w:r>
        <w:rPr>
          <w:spacing w:val="-4"/>
          <w:vertAlign w:val="baseline"/>
        </w:rPr>
        <w:t> </w:t>
      </w:r>
      <w:r>
        <w:rPr>
          <w:vertAlign w:val="baseline"/>
        </w:rPr>
        <w:t>address</w:t>
      </w:r>
      <w:r>
        <w:rPr>
          <w:spacing w:val="-4"/>
          <w:vertAlign w:val="baseline"/>
        </w:rPr>
        <w:t> </w:t>
      </w:r>
      <w:r>
        <w:rPr>
          <w:vertAlign w:val="baseline"/>
        </w:rPr>
        <w:t>this</w:t>
      </w:r>
      <w:r>
        <w:rPr>
          <w:spacing w:val="-4"/>
          <w:vertAlign w:val="baseline"/>
        </w:rPr>
        <w:t> </w:t>
      </w:r>
      <w:r>
        <w:rPr>
          <w:vertAlign w:val="baseline"/>
        </w:rPr>
        <w:t>issue</w:t>
      </w:r>
      <w:r>
        <w:rPr>
          <w:spacing w:val="-4"/>
          <w:vertAlign w:val="baseline"/>
        </w:rPr>
        <w:t> </w:t>
      </w:r>
      <w:r>
        <w:rPr>
          <w:vertAlign w:val="baseline"/>
        </w:rPr>
        <w:t>at greater length, we ﬁnd that Chinese participation in syndicated loan </w:t>
      </w:r>
      <w:r>
        <w:rPr>
          <w:vertAlign w:val="baseline"/>
        </w:rPr>
        <w:t>agreements with non-Chinese banks and multilateral institutions consistently results in stronger rather than weaker risk management standards and safeguards.</w:t>
      </w:r>
    </w:p>
    <w:p>
      <w:pPr>
        <w:pStyle w:val="BodyText"/>
        <w:rPr>
          <w:sz w:val="20"/>
        </w:rPr>
      </w:pPr>
    </w:p>
    <w:p>
      <w:pPr>
        <w:pStyle w:val="BodyText"/>
        <w:spacing w:before="1"/>
        <w:rPr>
          <w:sz w:val="18"/>
        </w:rPr>
      </w:pPr>
      <w:r>
        <w:rPr/>
        <w:pict>
          <v:shape style="position:absolute;margin-left:84pt;margin-top:11.599121pt;width:444pt;height:38pt;mso-position-horizontal-relative:page;mso-position-vertical-relative:paragraph;z-index:-15671296;mso-wrap-distance-left:0;mso-wrap-distance-right:0" type="#_x0000_t202" id="docshape95" filled="true" fillcolor="#5b666f" stroked="false">
            <v:textbox inset="0,0,0,0">
              <w:txbxContent>
                <w:p>
                  <w:pPr>
                    <w:spacing w:before="131"/>
                    <w:ind w:left="120" w:right="0" w:firstLine="0"/>
                    <w:jc w:val="left"/>
                    <w:rPr>
                      <w:b/>
                      <w:color w:val="000000"/>
                      <w:sz w:val="32"/>
                    </w:rPr>
                  </w:pPr>
                  <w:r>
                    <w:rPr>
                      <w:b/>
                      <w:color w:val="FFFFFF"/>
                      <w:spacing w:val="-15"/>
                      <w:sz w:val="32"/>
                    </w:rPr>
                    <w:t>Table</w:t>
                  </w:r>
                  <w:r>
                    <w:rPr>
                      <w:b/>
                      <w:color w:val="FFFFFF"/>
                      <w:spacing w:val="-6"/>
                      <w:sz w:val="32"/>
                    </w:rPr>
                    <w:t> </w:t>
                  </w:r>
                  <w:r>
                    <w:rPr>
                      <w:b/>
                      <w:color w:val="FFFFFF"/>
                      <w:spacing w:val="-5"/>
                      <w:sz w:val="32"/>
                    </w:rPr>
                    <w:t>2.4</w:t>
                  </w:r>
                </w:p>
              </w:txbxContent>
            </v:textbox>
            <v:fill type="solid"/>
            <w10:wrap type="topAndBottom"/>
          </v:shape>
        </w:pict>
      </w:r>
    </w:p>
    <w:p>
      <w:pPr>
        <w:pStyle w:val="Heading2"/>
        <w:spacing w:line="331" w:lineRule="auto" w:before="0"/>
        <w:ind w:left="760" w:right="767"/>
      </w:pPr>
      <w:r>
        <w:rPr>
          <w:spacing w:val="-6"/>
        </w:rPr>
        <w:t>Illustrative</w:t>
      </w:r>
      <w:r>
        <w:rPr>
          <w:spacing w:val="-15"/>
        </w:rPr>
        <w:t> </w:t>
      </w:r>
      <w:r>
        <w:rPr>
          <w:spacing w:val="-6"/>
        </w:rPr>
        <w:t>set</w:t>
      </w:r>
      <w:r>
        <w:rPr>
          <w:spacing w:val="-15"/>
        </w:rPr>
        <w:t> </w:t>
      </w:r>
      <w:r>
        <w:rPr>
          <w:spacing w:val="-6"/>
        </w:rPr>
        <w:t>of</w:t>
      </w:r>
      <w:r>
        <w:rPr>
          <w:spacing w:val="-15"/>
        </w:rPr>
        <w:t> </w:t>
      </w:r>
      <w:r>
        <w:rPr>
          <w:spacing w:val="-6"/>
        </w:rPr>
        <w:t>syndicated</w:t>
      </w:r>
      <w:r>
        <w:rPr>
          <w:spacing w:val="-15"/>
        </w:rPr>
        <w:t> </w:t>
      </w:r>
      <w:r>
        <w:rPr>
          <w:spacing w:val="-6"/>
        </w:rPr>
        <w:t>loan</w:t>
      </w:r>
      <w:r>
        <w:rPr>
          <w:spacing w:val="-15"/>
        </w:rPr>
        <w:t> </w:t>
      </w:r>
      <w:r>
        <w:rPr>
          <w:spacing w:val="-6"/>
        </w:rPr>
        <w:t>agreements</w:t>
      </w:r>
      <w:r>
        <w:rPr>
          <w:spacing w:val="-15"/>
        </w:rPr>
        <w:t> </w:t>
      </w:r>
      <w:r>
        <w:rPr>
          <w:spacing w:val="-6"/>
        </w:rPr>
        <w:t>with</w:t>
      </w:r>
      <w:r>
        <w:rPr>
          <w:spacing w:val="-15"/>
        </w:rPr>
        <w:t> </w:t>
      </w:r>
      <w:r>
        <w:rPr>
          <w:spacing w:val="-6"/>
        </w:rPr>
        <w:t>Chinese </w:t>
      </w:r>
      <w:r>
        <w:rPr/>
        <w:t>and</w:t>
      </w:r>
      <w:r>
        <w:rPr>
          <w:spacing w:val="-13"/>
        </w:rPr>
        <w:t> </w:t>
      </w:r>
      <w:r>
        <w:rPr/>
        <w:t>non-Chinese</w:t>
      </w:r>
      <w:r>
        <w:rPr>
          <w:spacing w:val="-13"/>
        </w:rPr>
        <w:t> </w:t>
      </w:r>
      <w:r>
        <w:rPr/>
        <w:t>bank</w:t>
      </w:r>
      <w:r>
        <w:rPr>
          <w:spacing w:val="-13"/>
        </w:rPr>
        <w:t> </w:t>
      </w:r>
      <w:r>
        <w:rPr/>
        <w:t>participants</w:t>
      </w:r>
    </w:p>
    <w:p>
      <w:pPr>
        <w:pStyle w:val="BodyText"/>
        <w:spacing w:before="4"/>
        <w:rPr>
          <w:rFonts w:ascii="Trebuchet MS"/>
          <w:b/>
          <w:sz w:val="21"/>
        </w:rPr>
      </w:pPr>
    </w:p>
    <w:p>
      <w:pPr>
        <w:spacing w:after="0"/>
        <w:rPr>
          <w:rFonts w:ascii="Trebuchet MS"/>
          <w:sz w:val="21"/>
        </w:rPr>
        <w:sectPr>
          <w:pgSz w:w="12240" w:h="15840"/>
          <w:pgMar w:header="0" w:footer="720" w:top="1360" w:bottom="920" w:left="1040" w:right="1040"/>
        </w:sectPr>
      </w:pPr>
    </w:p>
    <w:p>
      <w:pPr>
        <w:pStyle w:val="BodyText"/>
        <w:spacing w:before="5"/>
        <w:rPr>
          <w:rFonts w:ascii="Trebuchet MS"/>
          <w:b/>
        </w:rPr>
      </w:pPr>
    </w:p>
    <w:p>
      <w:pPr>
        <w:tabs>
          <w:tab w:pos="1974" w:val="left" w:leader="none"/>
          <w:tab w:pos="3639" w:val="left" w:leader="none"/>
        </w:tabs>
        <w:spacing w:before="0"/>
        <w:ind w:left="820" w:right="0" w:firstLine="0"/>
        <w:jc w:val="left"/>
        <w:rPr>
          <w:b/>
          <w:sz w:val="18"/>
        </w:rPr>
      </w:pPr>
      <w:r>
        <w:rPr>
          <w:b/>
          <w:spacing w:val="-2"/>
          <w:sz w:val="18"/>
        </w:rPr>
        <w:t>Country</w:t>
      </w:r>
      <w:r>
        <w:rPr>
          <w:b/>
          <w:sz w:val="18"/>
        </w:rPr>
        <w:tab/>
      </w:r>
      <w:r>
        <w:rPr>
          <w:b/>
          <w:spacing w:val="-2"/>
          <w:sz w:val="18"/>
        </w:rPr>
        <w:t>Project</w:t>
      </w:r>
      <w:r>
        <w:rPr>
          <w:b/>
          <w:sz w:val="18"/>
        </w:rPr>
        <w:tab/>
      </w:r>
      <w:r>
        <w:rPr>
          <w:b/>
          <w:spacing w:val="-15"/>
          <w:sz w:val="18"/>
        </w:rPr>
        <w:t>Year</w:t>
      </w:r>
    </w:p>
    <w:p>
      <w:pPr>
        <w:spacing w:line="240" w:lineRule="auto" w:before="1"/>
        <w:rPr>
          <w:b/>
          <w:sz w:val="22"/>
        </w:rPr>
      </w:pPr>
      <w:r>
        <w:rPr/>
        <w:br w:type="column"/>
      </w:r>
      <w:r>
        <w:rPr>
          <w:b/>
          <w:sz w:val="22"/>
        </w:rPr>
      </w:r>
    </w:p>
    <w:p>
      <w:pPr>
        <w:tabs>
          <w:tab w:pos="1506" w:val="left" w:leader="none"/>
        </w:tabs>
        <w:spacing w:line="124" w:lineRule="auto" w:before="1"/>
        <w:ind w:left="561" w:right="0" w:firstLine="0"/>
        <w:jc w:val="left"/>
        <w:rPr>
          <w:b/>
          <w:sz w:val="18"/>
        </w:rPr>
      </w:pPr>
      <w:r>
        <w:rPr/>
        <w:pict>
          <v:line style="position:absolute;mso-position-horizontal-relative:page;mso-position-vertical-relative:paragraph;z-index:15787008" from="93pt,23.169104pt" to="519pt,23.169104pt" stroked="true" strokeweight="1.0pt" strokecolor="#000000">
            <v:stroke dashstyle="solid"/>
            <w10:wrap type="none"/>
          </v:line>
        </w:pict>
      </w:r>
      <w:r>
        <w:rPr>
          <w:b/>
          <w:position w:val="11"/>
          <w:sz w:val="18"/>
        </w:rPr>
        <w:t>Value of</w:t>
        <w:tab/>
      </w:r>
      <w:r>
        <w:rPr>
          <w:b/>
          <w:spacing w:val="-6"/>
          <w:sz w:val="18"/>
        </w:rPr>
        <w:t>Lead</w:t>
      </w:r>
      <w:r>
        <w:rPr>
          <w:b/>
          <w:spacing w:val="-7"/>
          <w:sz w:val="18"/>
        </w:rPr>
        <w:t> </w:t>
      </w:r>
      <w:r>
        <w:rPr>
          <w:b/>
          <w:spacing w:val="-6"/>
          <w:sz w:val="18"/>
        </w:rPr>
        <w:t>Arranger </w:t>
      </w:r>
      <w:r>
        <w:rPr>
          <w:b/>
          <w:spacing w:val="-4"/>
          <w:sz w:val="18"/>
        </w:rPr>
        <w:t>Loan</w:t>
      </w:r>
    </w:p>
    <w:p>
      <w:pPr>
        <w:spacing w:line="240" w:lineRule="auto" w:before="3"/>
        <w:rPr>
          <w:b/>
          <w:sz w:val="15"/>
        </w:rPr>
      </w:pPr>
      <w:r>
        <w:rPr/>
        <w:br w:type="column"/>
      </w:r>
      <w:r>
        <w:rPr>
          <w:b/>
          <w:sz w:val="15"/>
        </w:rPr>
      </w:r>
    </w:p>
    <w:p>
      <w:pPr>
        <w:spacing w:line="249" w:lineRule="auto" w:before="0"/>
        <w:ind w:left="416" w:right="0" w:firstLine="0"/>
        <w:jc w:val="left"/>
        <w:rPr>
          <w:b/>
          <w:sz w:val="18"/>
        </w:rPr>
      </w:pPr>
      <w:r>
        <w:rPr>
          <w:b/>
          <w:spacing w:val="-2"/>
          <w:sz w:val="18"/>
        </w:rPr>
        <w:t>Chinese </w:t>
      </w:r>
      <w:r>
        <w:rPr>
          <w:b/>
          <w:spacing w:val="-2"/>
          <w:w w:val="90"/>
          <w:sz w:val="18"/>
        </w:rPr>
        <w:t>Participants</w:t>
      </w:r>
    </w:p>
    <w:p>
      <w:pPr>
        <w:spacing w:line="249" w:lineRule="auto" w:before="68"/>
        <w:ind w:left="186" w:right="760" w:firstLine="0"/>
        <w:jc w:val="left"/>
        <w:rPr>
          <w:b/>
          <w:sz w:val="18"/>
        </w:rPr>
      </w:pPr>
      <w:r>
        <w:rPr/>
        <w:br w:type="column"/>
      </w:r>
      <w:r>
        <w:rPr>
          <w:b/>
          <w:spacing w:val="-2"/>
          <w:sz w:val="18"/>
        </w:rPr>
        <w:t>Total </w:t>
      </w:r>
      <w:r>
        <w:rPr>
          <w:b/>
          <w:sz w:val="18"/>
        </w:rPr>
        <w:t>Number of </w:t>
      </w:r>
      <w:r>
        <w:rPr>
          <w:b/>
          <w:spacing w:val="-2"/>
          <w:w w:val="90"/>
          <w:sz w:val="18"/>
        </w:rPr>
        <w:t>Participants</w:t>
      </w:r>
    </w:p>
    <w:p>
      <w:pPr>
        <w:spacing w:after="0" w:line="249" w:lineRule="auto"/>
        <w:jc w:val="left"/>
        <w:rPr>
          <w:sz w:val="18"/>
        </w:rPr>
        <w:sectPr>
          <w:type w:val="continuous"/>
          <w:pgSz w:w="12240" w:h="15840"/>
          <w:pgMar w:header="0" w:footer="720" w:top="1460" w:bottom="280" w:left="1040" w:right="1040"/>
          <w:cols w:num="4" w:equalWidth="0">
            <w:col w:w="3984" w:space="40"/>
            <w:col w:w="2671" w:space="39"/>
            <w:col w:w="1360" w:space="39"/>
            <w:col w:w="2027"/>
          </w:cols>
        </w:sectPr>
      </w:pPr>
    </w:p>
    <w:p>
      <w:pPr>
        <w:spacing w:before="17"/>
        <w:ind w:left="0" w:right="0" w:firstLine="0"/>
        <w:jc w:val="right"/>
        <w:rPr>
          <w:sz w:val="18"/>
        </w:rPr>
      </w:pPr>
      <w:r>
        <w:rPr>
          <w:sz w:val="18"/>
        </w:rPr>
        <w:t>Sierra</w:t>
      </w:r>
      <w:r>
        <w:rPr>
          <w:spacing w:val="-9"/>
          <w:sz w:val="18"/>
        </w:rPr>
        <w:t> </w:t>
      </w:r>
      <w:r>
        <w:rPr>
          <w:sz w:val="18"/>
        </w:rPr>
        <w:t>Leone</w:t>
      </w:r>
      <w:r>
        <w:rPr>
          <w:spacing w:val="77"/>
          <w:sz w:val="18"/>
        </w:rPr>
        <w:t> </w:t>
      </w:r>
      <w:r>
        <w:rPr>
          <w:sz w:val="18"/>
        </w:rPr>
        <w:t>Port</w:t>
      </w:r>
      <w:r>
        <w:rPr>
          <w:spacing w:val="-8"/>
          <w:sz w:val="18"/>
        </w:rPr>
        <w:t> </w:t>
      </w:r>
      <w:r>
        <w:rPr>
          <w:sz w:val="18"/>
        </w:rPr>
        <w:t>Elizabeth</w:t>
      </w:r>
      <w:r>
        <w:rPr>
          <w:spacing w:val="-8"/>
          <w:sz w:val="18"/>
        </w:rPr>
        <w:t> </w:t>
      </w:r>
      <w:r>
        <w:rPr>
          <w:spacing w:val="-5"/>
          <w:sz w:val="18"/>
        </w:rPr>
        <w:t>II</w:t>
      </w:r>
    </w:p>
    <w:p>
      <w:pPr>
        <w:spacing w:before="9"/>
        <w:ind w:left="0" w:right="42" w:firstLine="0"/>
        <w:jc w:val="right"/>
        <w:rPr>
          <w:sz w:val="18"/>
        </w:rPr>
      </w:pPr>
      <w:r>
        <w:rPr>
          <w:sz w:val="18"/>
        </w:rPr>
        <w:t>Upgrading</w:t>
      </w:r>
      <w:r>
        <w:rPr>
          <w:spacing w:val="22"/>
          <w:sz w:val="18"/>
        </w:rPr>
        <w:t> </w:t>
      </w:r>
      <w:r>
        <w:rPr>
          <w:spacing w:val="-5"/>
          <w:sz w:val="18"/>
        </w:rPr>
        <w:t>and</w:t>
      </w:r>
    </w:p>
    <w:p>
      <w:pPr>
        <w:tabs>
          <w:tab w:pos="1311" w:val="left" w:leader="none"/>
        </w:tabs>
        <w:spacing w:before="17"/>
        <w:ind w:left="366" w:right="0" w:firstLine="0"/>
        <w:jc w:val="left"/>
        <w:rPr>
          <w:sz w:val="18"/>
        </w:rPr>
      </w:pPr>
      <w:r>
        <w:rPr/>
        <w:br w:type="column"/>
      </w:r>
      <w:r>
        <w:rPr>
          <w:spacing w:val="-4"/>
          <w:sz w:val="18"/>
        </w:rPr>
        <w:t>2017</w:t>
      </w:r>
      <w:r>
        <w:rPr>
          <w:sz w:val="18"/>
        </w:rPr>
        <w:tab/>
      </w:r>
      <w:r>
        <w:rPr>
          <w:spacing w:val="-4"/>
          <w:sz w:val="18"/>
        </w:rPr>
        <w:t>$659</w:t>
      </w:r>
    </w:p>
    <w:p>
      <w:pPr>
        <w:spacing w:before="9"/>
        <w:ind w:left="1311" w:right="0" w:firstLine="0"/>
        <w:jc w:val="left"/>
        <w:rPr>
          <w:sz w:val="18"/>
        </w:rPr>
      </w:pPr>
      <w:r>
        <w:rPr>
          <w:spacing w:val="-2"/>
          <w:sz w:val="18"/>
        </w:rPr>
        <w:t>million</w:t>
      </w:r>
    </w:p>
    <w:p>
      <w:pPr>
        <w:tabs>
          <w:tab w:pos="1991" w:val="left" w:leader="none"/>
          <w:tab w:pos="3721" w:val="right" w:leader="none"/>
        </w:tabs>
        <w:spacing w:before="17"/>
        <w:ind w:left="371" w:right="0" w:firstLine="0"/>
        <w:jc w:val="left"/>
        <w:rPr>
          <w:sz w:val="18"/>
        </w:rPr>
      </w:pPr>
      <w:r>
        <w:rPr/>
        <w:br w:type="column"/>
      </w:r>
      <w:r>
        <w:rPr>
          <w:spacing w:val="-4"/>
          <w:sz w:val="18"/>
        </w:rPr>
        <w:t>ICBC</w:t>
      </w:r>
      <w:r>
        <w:rPr>
          <w:sz w:val="18"/>
        </w:rPr>
        <w:tab/>
      </w:r>
      <w:r>
        <w:rPr>
          <w:spacing w:val="-2"/>
          <w:sz w:val="18"/>
        </w:rPr>
        <w:t>ICBC,</w:t>
      </w:r>
      <w:r>
        <w:rPr>
          <w:spacing w:val="-8"/>
          <w:sz w:val="18"/>
        </w:rPr>
        <w:t> </w:t>
      </w:r>
      <w:r>
        <w:rPr>
          <w:spacing w:val="-4"/>
          <w:sz w:val="18"/>
        </w:rPr>
        <w:t>China</w:t>
      </w:r>
      <w:r>
        <w:rPr>
          <w:rFonts w:ascii="Times New Roman"/>
          <w:sz w:val="18"/>
        </w:rPr>
        <w:tab/>
      </w:r>
      <w:r>
        <w:rPr>
          <w:spacing w:val="-10"/>
          <w:sz w:val="18"/>
        </w:rPr>
        <w:t>2</w:t>
      </w:r>
    </w:p>
    <w:p>
      <w:pPr>
        <w:spacing w:before="9"/>
        <w:ind w:left="1975" w:right="2211" w:firstLine="0"/>
        <w:jc w:val="center"/>
        <w:rPr>
          <w:sz w:val="18"/>
        </w:rPr>
      </w:pPr>
      <w:r>
        <w:rPr>
          <w:spacing w:val="-2"/>
          <w:sz w:val="18"/>
        </w:rPr>
        <w:t>Eximbank</w:t>
      </w:r>
    </w:p>
    <w:p>
      <w:pPr>
        <w:spacing w:after="0"/>
        <w:jc w:val="center"/>
        <w:rPr>
          <w:sz w:val="18"/>
        </w:rPr>
        <w:sectPr>
          <w:type w:val="continuous"/>
          <w:pgSz w:w="12240" w:h="15840"/>
          <w:pgMar w:header="0" w:footer="720" w:top="1460" w:bottom="280" w:left="1040" w:right="1040"/>
          <w:cols w:num="3" w:equalWidth="0">
            <w:col w:w="3234" w:space="40"/>
            <w:col w:w="1846" w:space="39"/>
            <w:col w:w="5001"/>
          </w:cols>
        </w:sectPr>
      </w:pPr>
    </w:p>
    <w:p>
      <w:pPr>
        <w:tabs>
          <w:tab w:pos="1974" w:val="left" w:leader="none"/>
          <w:tab w:pos="9339" w:val="left" w:leader="none"/>
        </w:tabs>
        <w:spacing w:before="9"/>
        <w:ind w:left="820" w:right="0" w:firstLine="0"/>
        <w:jc w:val="left"/>
        <w:rPr>
          <w:sz w:val="18"/>
        </w:rPr>
      </w:pPr>
      <w:r>
        <w:rPr>
          <w:rFonts w:ascii="Times New Roman"/>
          <w:sz w:val="18"/>
          <w:u w:val="thick" w:color="CCCCCC"/>
        </w:rPr>
        <w:tab/>
      </w:r>
      <w:r>
        <w:rPr>
          <w:spacing w:val="-2"/>
          <w:sz w:val="18"/>
          <w:u w:val="thick" w:color="CCCCCC"/>
        </w:rPr>
        <w:t>Expansion</w:t>
      </w:r>
      <w:r>
        <w:rPr>
          <w:spacing w:val="-5"/>
          <w:sz w:val="18"/>
          <w:u w:val="thick" w:color="CCCCCC"/>
        </w:rPr>
        <w:t> </w:t>
      </w:r>
      <w:r>
        <w:rPr>
          <w:spacing w:val="-2"/>
          <w:sz w:val="18"/>
          <w:u w:val="thick" w:color="CCCCCC"/>
        </w:rPr>
        <w:t>Project</w:t>
      </w:r>
      <w:r>
        <w:rPr>
          <w:sz w:val="18"/>
          <w:u w:val="thick" w:color="CCCCCC"/>
        </w:rPr>
        <w:tab/>
      </w:r>
    </w:p>
    <w:p>
      <w:pPr>
        <w:pStyle w:val="BodyText"/>
        <w:rPr>
          <w:sz w:val="20"/>
        </w:rPr>
      </w:pPr>
    </w:p>
    <w:p>
      <w:pPr>
        <w:pStyle w:val="BodyText"/>
        <w:rPr>
          <w:sz w:val="20"/>
        </w:rPr>
      </w:pPr>
    </w:p>
    <w:p>
      <w:pPr>
        <w:pStyle w:val="BodyText"/>
        <w:spacing w:before="6"/>
        <w:rPr>
          <w:sz w:val="22"/>
        </w:rPr>
      </w:pPr>
      <w:r>
        <w:rPr/>
        <w:pict>
          <v:shape style="position:absolute;margin-left:90pt;margin-top:14.155722pt;width:144pt;height:.1pt;mso-position-horizontal-relative:page;mso-position-vertical-relative:paragraph;z-index:-15670784;mso-wrap-distance-left:0;mso-wrap-distance-right:0" id="docshape96" coordorigin="1800,283" coordsize="2880,0" path="m1800,283l4680,283e" filled="false" stroked="true" strokeweight=".75pt" strokecolor="#000000">
            <v:path arrowok="t"/>
            <v:stroke dashstyle="solid"/>
            <w10:wrap type="topAndBottom"/>
          </v:shape>
        </w:pict>
      </w:r>
    </w:p>
    <w:p>
      <w:pPr>
        <w:spacing w:line="249" w:lineRule="auto" w:before="109"/>
        <w:ind w:left="760" w:right="838" w:firstLine="0"/>
        <w:jc w:val="left"/>
        <w:rPr>
          <w:sz w:val="18"/>
        </w:rPr>
      </w:pPr>
      <w:r>
        <w:rPr>
          <w:sz w:val="18"/>
          <w:vertAlign w:val="superscript"/>
        </w:rPr>
        <w:t>201</w:t>
      </w:r>
      <w:r>
        <w:rPr>
          <w:spacing w:val="-4"/>
          <w:sz w:val="18"/>
          <w:vertAlign w:val="baseline"/>
        </w:rPr>
        <w:t> </w:t>
      </w:r>
      <w:r>
        <w:rPr>
          <w:sz w:val="18"/>
          <w:vertAlign w:val="baseline"/>
        </w:rPr>
        <w:t>Although</w:t>
      </w:r>
      <w:r>
        <w:rPr>
          <w:spacing w:val="-3"/>
          <w:sz w:val="18"/>
          <w:vertAlign w:val="baseline"/>
        </w:rPr>
        <w:t> </w:t>
      </w:r>
      <w:r>
        <w:rPr>
          <w:sz w:val="18"/>
          <w:vertAlign w:val="baseline"/>
        </w:rPr>
        <w:t>there</w:t>
      </w:r>
      <w:r>
        <w:rPr>
          <w:spacing w:val="-3"/>
          <w:sz w:val="18"/>
          <w:vertAlign w:val="baseline"/>
        </w:rPr>
        <w:t> </w:t>
      </w:r>
      <w:r>
        <w:rPr>
          <w:sz w:val="18"/>
          <w:vertAlign w:val="baseline"/>
        </w:rPr>
        <w:t>are</w:t>
      </w:r>
      <w:r>
        <w:rPr>
          <w:spacing w:val="-3"/>
          <w:sz w:val="18"/>
          <w:vertAlign w:val="baseline"/>
        </w:rPr>
        <w:t> </w:t>
      </w:r>
      <w:r>
        <w:rPr>
          <w:sz w:val="18"/>
          <w:vertAlign w:val="baseline"/>
        </w:rPr>
        <w:t>more</w:t>
      </w:r>
      <w:r>
        <w:rPr>
          <w:spacing w:val="-3"/>
          <w:sz w:val="18"/>
          <w:vertAlign w:val="baseline"/>
        </w:rPr>
        <w:t> </w:t>
      </w:r>
      <w:r>
        <w:rPr>
          <w:sz w:val="18"/>
          <w:vertAlign w:val="baseline"/>
        </w:rPr>
        <w:t>syndicated</w:t>
      </w:r>
      <w:r>
        <w:rPr>
          <w:spacing w:val="-3"/>
          <w:sz w:val="18"/>
          <w:vertAlign w:val="baseline"/>
        </w:rPr>
        <w:t> </w:t>
      </w:r>
      <w:r>
        <w:rPr>
          <w:sz w:val="18"/>
          <w:vertAlign w:val="baseline"/>
        </w:rPr>
        <w:t>loans</w:t>
      </w:r>
      <w:r>
        <w:rPr>
          <w:spacing w:val="-3"/>
          <w:sz w:val="18"/>
          <w:vertAlign w:val="baseline"/>
        </w:rPr>
        <w:t> </w:t>
      </w:r>
      <w:r>
        <w:rPr>
          <w:sz w:val="18"/>
          <w:vertAlign w:val="baseline"/>
        </w:rPr>
        <w:t>with</w:t>
      </w:r>
      <w:r>
        <w:rPr>
          <w:spacing w:val="-3"/>
          <w:sz w:val="18"/>
          <w:vertAlign w:val="baseline"/>
        </w:rPr>
        <w:t> </w:t>
      </w:r>
      <w:r>
        <w:rPr>
          <w:sz w:val="18"/>
          <w:vertAlign w:val="baseline"/>
        </w:rPr>
        <w:t>Chinese</w:t>
      </w:r>
      <w:r>
        <w:rPr>
          <w:spacing w:val="-3"/>
          <w:sz w:val="18"/>
          <w:vertAlign w:val="baseline"/>
        </w:rPr>
        <w:t> </w:t>
      </w:r>
      <w:r>
        <w:rPr>
          <w:sz w:val="18"/>
          <w:vertAlign w:val="baseline"/>
        </w:rPr>
        <w:t>and</w:t>
      </w:r>
      <w:r>
        <w:rPr>
          <w:spacing w:val="-3"/>
          <w:sz w:val="18"/>
          <w:vertAlign w:val="baseline"/>
        </w:rPr>
        <w:t> </w:t>
      </w:r>
      <w:r>
        <w:rPr>
          <w:sz w:val="18"/>
          <w:vertAlign w:val="baseline"/>
        </w:rPr>
        <w:t>non-Chinese</w:t>
      </w:r>
      <w:r>
        <w:rPr>
          <w:spacing w:val="-3"/>
          <w:sz w:val="18"/>
          <w:vertAlign w:val="baseline"/>
        </w:rPr>
        <w:t> </w:t>
      </w:r>
      <w:r>
        <w:rPr>
          <w:sz w:val="18"/>
          <w:vertAlign w:val="baseline"/>
        </w:rPr>
        <w:t>participants</w:t>
      </w:r>
      <w:r>
        <w:rPr>
          <w:spacing w:val="-3"/>
          <w:sz w:val="18"/>
          <w:vertAlign w:val="baseline"/>
        </w:rPr>
        <w:t> </w:t>
      </w:r>
      <w:r>
        <w:rPr>
          <w:sz w:val="18"/>
          <w:vertAlign w:val="baseline"/>
        </w:rPr>
        <w:t>(833)</w:t>
      </w:r>
      <w:r>
        <w:rPr>
          <w:spacing w:val="-3"/>
          <w:sz w:val="18"/>
          <w:vertAlign w:val="baseline"/>
        </w:rPr>
        <w:t> </w:t>
      </w:r>
      <w:r>
        <w:rPr>
          <w:sz w:val="18"/>
          <w:vertAlign w:val="baseline"/>
        </w:rPr>
        <w:t>than</w:t>
      </w:r>
      <w:r>
        <w:rPr>
          <w:spacing w:val="-3"/>
          <w:sz w:val="18"/>
          <w:vertAlign w:val="baseline"/>
        </w:rPr>
        <w:t> </w:t>
      </w:r>
      <w:r>
        <w:rPr>
          <w:sz w:val="18"/>
          <w:vertAlign w:val="baseline"/>
        </w:rPr>
        <w:t>there are syndicated loans with exclusively Chinese participants (312), syndicated loans with Chinese and</w:t>
      </w:r>
    </w:p>
    <w:p>
      <w:pPr>
        <w:spacing w:line="249" w:lineRule="auto" w:before="2"/>
        <w:ind w:left="760" w:right="767" w:firstLine="0"/>
        <w:jc w:val="left"/>
        <w:rPr>
          <w:sz w:val="18"/>
        </w:rPr>
      </w:pPr>
      <w:r>
        <w:rPr>
          <w:sz w:val="18"/>
        </w:rPr>
        <w:t>non-Chinese participants tend to be smaller ($138.8 million on average) than syndicated loans with exclusively</w:t>
      </w:r>
      <w:r>
        <w:rPr>
          <w:spacing w:val="-9"/>
          <w:sz w:val="18"/>
        </w:rPr>
        <w:t> </w:t>
      </w:r>
      <w:r>
        <w:rPr>
          <w:sz w:val="18"/>
        </w:rPr>
        <w:t>Chinese</w:t>
      </w:r>
      <w:r>
        <w:rPr>
          <w:spacing w:val="-9"/>
          <w:sz w:val="18"/>
        </w:rPr>
        <w:t> </w:t>
      </w:r>
      <w:r>
        <w:rPr>
          <w:sz w:val="18"/>
        </w:rPr>
        <w:t>participants</w:t>
      </w:r>
      <w:r>
        <w:rPr>
          <w:spacing w:val="-9"/>
          <w:sz w:val="18"/>
        </w:rPr>
        <w:t> </w:t>
      </w:r>
      <w:r>
        <w:rPr>
          <w:sz w:val="18"/>
        </w:rPr>
        <w:t>($545.5</w:t>
      </w:r>
      <w:r>
        <w:rPr>
          <w:spacing w:val="-9"/>
          <w:sz w:val="18"/>
        </w:rPr>
        <w:t> </w:t>
      </w:r>
      <w:r>
        <w:rPr>
          <w:sz w:val="18"/>
        </w:rPr>
        <w:t>million</w:t>
      </w:r>
      <w:r>
        <w:rPr>
          <w:spacing w:val="-9"/>
          <w:sz w:val="18"/>
        </w:rPr>
        <w:t> </w:t>
      </w:r>
      <w:r>
        <w:rPr>
          <w:sz w:val="18"/>
        </w:rPr>
        <w:t>on</w:t>
      </w:r>
      <w:r>
        <w:rPr>
          <w:spacing w:val="-9"/>
          <w:sz w:val="18"/>
        </w:rPr>
        <w:t> </w:t>
      </w:r>
      <w:r>
        <w:rPr>
          <w:sz w:val="18"/>
        </w:rPr>
        <w:t>average).</w:t>
      </w:r>
      <w:r>
        <w:rPr>
          <w:spacing w:val="-9"/>
          <w:sz w:val="18"/>
        </w:rPr>
        <w:t> </w:t>
      </w:r>
      <w:r>
        <w:rPr>
          <w:sz w:val="18"/>
        </w:rPr>
        <w:t>These</w:t>
      </w:r>
      <w:r>
        <w:rPr>
          <w:spacing w:val="-9"/>
          <w:sz w:val="18"/>
        </w:rPr>
        <w:t> </w:t>
      </w:r>
      <w:r>
        <w:rPr>
          <w:sz w:val="18"/>
        </w:rPr>
        <w:t>summary</w:t>
      </w:r>
      <w:r>
        <w:rPr>
          <w:spacing w:val="-9"/>
          <w:sz w:val="18"/>
        </w:rPr>
        <w:t> </w:t>
      </w:r>
      <w:r>
        <w:rPr>
          <w:sz w:val="18"/>
        </w:rPr>
        <w:t>statistics</w:t>
      </w:r>
      <w:r>
        <w:rPr>
          <w:spacing w:val="-9"/>
          <w:sz w:val="18"/>
        </w:rPr>
        <w:t> </w:t>
      </w:r>
      <w:r>
        <w:rPr>
          <w:sz w:val="18"/>
        </w:rPr>
        <w:t>are</w:t>
      </w:r>
      <w:r>
        <w:rPr>
          <w:spacing w:val="-9"/>
          <w:sz w:val="18"/>
        </w:rPr>
        <w:t> </w:t>
      </w:r>
      <w:r>
        <w:rPr>
          <w:sz w:val="18"/>
        </w:rPr>
        <w:t>drawn</w:t>
      </w:r>
      <w:r>
        <w:rPr>
          <w:spacing w:val="-9"/>
          <w:sz w:val="18"/>
        </w:rPr>
        <w:t> </w:t>
      </w:r>
      <w:r>
        <w:rPr>
          <w:sz w:val="18"/>
        </w:rPr>
        <w:t>from Figures A34 and A35.</w:t>
      </w:r>
    </w:p>
    <w:p>
      <w:pPr>
        <w:spacing w:line="249" w:lineRule="auto" w:before="3"/>
        <w:ind w:left="760" w:right="767" w:firstLine="0"/>
        <w:jc w:val="left"/>
        <w:rPr>
          <w:sz w:val="18"/>
        </w:rPr>
      </w:pPr>
      <w:r>
        <w:rPr>
          <w:sz w:val="18"/>
          <w:vertAlign w:val="superscript"/>
        </w:rPr>
        <w:t>202</w:t>
      </w:r>
      <w:r>
        <w:rPr>
          <w:sz w:val="18"/>
          <w:vertAlign w:val="baseline"/>
        </w:rPr>
        <w:t> When one accounts for multilateral participation in syndicated loans </w:t>
      </w:r>
      <w:r>
        <w:rPr>
          <w:i/>
          <w:sz w:val="18"/>
          <w:vertAlign w:val="baseline"/>
        </w:rPr>
        <w:t>and </w:t>
      </w:r>
      <w:r>
        <w:rPr>
          <w:sz w:val="18"/>
          <w:vertAlign w:val="baseline"/>
        </w:rPr>
        <w:t>entrusted loan agreements </w:t>
      </w:r>
      <w:r>
        <w:rPr>
          <w:sz w:val="18"/>
          <w:vertAlign w:val="baseline"/>
        </w:rPr>
        <w:t>with </w:t>
      </w:r>
      <w:r>
        <w:rPr>
          <w:spacing w:val="-2"/>
          <w:w w:val="105"/>
          <w:sz w:val="18"/>
          <w:vertAlign w:val="baseline"/>
        </w:rPr>
        <w:t>multilateral institutions, the multilateralization of China’s LIC and MIC lending portfolio comes into sharper </w:t>
      </w:r>
      <w:r>
        <w:rPr>
          <w:w w:val="105"/>
          <w:sz w:val="18"/>
          <w:vertAlign w:val="baseline"/>
        </w:rPr>
        <w:t>resolution (see Figure A28).</w:t>
      </w:r>
    </w:p>
    <w:p>
      <w:pPr>
        <w:spacing w:before="2"/>
        <w:ind w:left="760" w:right="0" w:firstLine="0"/>
        <w:jc w:val="left"/>
        <w:rPr>
          <w:sz w:val="18"/>
        </w:rPr>
      </w:pPr>
      <w:r>
        <w:rPr>
          <w:sz w:val="18"/>
          <w:vertAlign w:val="superscript"/>
        </w:rPr>
        <w:t>203</w:t>
      </w:r>
      <w:r>
        <w:rPr>
          <w:spacing w:val="-2"/>
          <w:sz w:val="18"/>
          <w:vertAlign w:val="baseline"/>
        </w:rPr>
        <w:t> </w:t>
      </w:r>
      <w:r>
        <w:rPr>
          <w:sz w:val="18"/>
          <w:vertAlign w:val="baseline"/>
        </w:rPr>
        <w:t>We provide evidence that suggests</w:t>
      </w:r>
      <w:r>
        <w:rPr>
          <w:spacing w:val="-1"/>
          <w:sz w:val="18"/>
          <w:vertAlign w:val="baseline"/>
        </w:rPr>
        <w:t> </w:t>
      </w:r>
      <w:r>
        <w:rPr>
          <w:sz w:val="18"/>
          <w:vertAlign w:val="baseline"/>
        </w:rPr>
        <w:t>this is indeed the case in</w:t>
      </w:r>
      <w:r>
        <w:rPr>
          <w:spacing w:val="-1"/>
          <w:sz w:val="18"/>
          <w:vertAlign w:val="baseline"/>
        </w:rPr>
        <w:t> </w:t>
      </w:r>
      <w:r>
        <w:rPr>
          <w:sz w:val="18"/>
          <w:vertAlign w:val="baseline"/>
        </w:rPr>
        <w:t>Chapter </w:t>
      </w:r>
      <w:r>
        <w:rPr>
          <w:spacing w:val="-5"/>
          <w:sz w:val="18"/>
          <w:vertAlign w:val="baseline"/>
        </w:rPr>
        <w:t>3.</w:t>
      </w:r>
    </w:p>
    <w:p>
      <w:pPr>
        <w:spacing w:line="249" w:lineRule="auto" w:before="9"/>
        <w:ind w:left="760" w:right="767" w:firstLine="0"/>
        <w:jc w:val="left"/>
        <w:rPr>
          <w:sz w:val="18"/>
        </w:rPr>
      </w:pPr>
      <w:r>
        <w:rPr>
          <w:sz w:val="18"/>
          <w:vertAlign w:val="superscript"/>
        </w:rPr>
        <w:t>204</w:t>
      </w:r>
      <w:r>
        <w:rPr>
          <w:spacing w:val="-1"/>
          <w:sz w:val="18"/>
          <w:vertAlign w:val="baseline"/>
        </w:rPr>
        <w:t> </w:t>
      </w:r>
      <w:r>
        <w:rPr>
          <w:sz w:val="18"/>
          <w:vertAlign w:val="baseline"/>
        </w:rPr>
        <w:t>With an earlier vintage of the GCDF dataset, Joosse et al. (2023) use social network analysis to map the </w:t>
      </w:r>
      <w:r>
        <w:rPr>
          <w:w w:val="105"/>
          <w:sz w:val="18"/>
          <w:vertAlign w:val="baseline"/>
        </w:rPr>
        <w:t>international</w:t>
      </w:r>
      <w:r>
        <w:rPr>
          <w:spacing w:val="-12"/>
          <w:w w:val="105"/>
          <w:sz w:val="18"/>
          <w:vertAlign w:val="baseline"/>
        </w:rPr>
        <w:t> </w:t>
      </w:r>
      <w:r>
        <w:rPr>
          <w:w w:val="105"/>
          <w:sz w:val="18"/>
          <w:vertAlign w:val="baseline"/>
        </w:rPr>
        <w:t>network</w:t>
      </w:r>
      <w:r>
        <w:rPr>
          <w:spacing w:val="-12"/>
          <w:w w:val="105"/>
          <w:sz w:val="18"/>
          <w:vertAlign w:val="baseline"/>
        </w:rPr>
        <w:t> </w:t>
      </w:r>
      <w:r>
        <w:rPr>
          <w:w w:val="105"/>
          <w:sz w:val="18"/>
          <w:vertAlign w:val="baseline"/>
        </w:rPr>
        <w:t>of</w:t>
      </w:r>
      <w:r>
        <w:rPr>
          <w:spacing w:val="-12"/>
          <w:w w:val="105"/>
          <w:sz w:val="18"/>
          <w:vertAlign w:val="baseline"/>
        </w:rPr>
        <w:t> </w:t>
      </w:r>
      <w:r>
        <w:rPr>
          <w:w w:val="105"/>
          <w:sz w:val="18"/>
          <w:vertAlign w:val="baseline"/>
        </w:rPr>
        <w:t>non-Chinese</w:t>
      </w:r>
      <w:r>
        <w:rPr>
          <w:spacing w:val="-12"/>
          <w:w w:val="105"/>
          <w:sz w:val="18"/>
          <w:vertAlign w:val="baseline"/>
        </w:rPr>
        <w:t> </w:t>
      </w:r>
      <w:r>
        <w:rPr>
          <w:w w:val="105"/>
          <w:sz w:val="18"/>
          <w:vertAlign w:val="baseline"/>
        </w:rPr>
        <w:t>ﬁnanciers</w:t>
      </w:r>
      <w:r>
        <w:rPr>
          <w:spacing w:val="-12"/>
          <w:w w:val="105"/>
          <w:sz w:val="18"/>
          <w:vertAlign w:val="baseline"/>
        </w:rPr>
        <w:t> </w:t>
      </w:r>
      <w:r>
        <w:rPr>
          <w:w w:val="105"/>
          <w:sz w:val="18"/>
          <w:vertAlign w:val="baseline"/>
        </w:rPr>
        <w:t>that</w:t>
      </w:r>
      <w:r>
        <w:rPr>
          <w:spacing w:val="-12"/>
          <w:w w:val="105"/>
          <w:sz w:val="18"/>
          <w:vertAlign w:val="baseline"/>
        </w:rPr>
        <w:t> </w:t>
      </w:r>
      <w:r>
        <w:rPr>
          <w:w w:val="105"/>
          <w:sz w:val="18"/>
          <w:vertAlign w:val="baseline"/>
        </w:rPr>
        <w:t>facilitate</w:t>
      </w:r>
      <w:r>
        <w:rPr>
          <w:spacing w:val="-12"/>
          <w:w w:val="105"/>
          <w:sz w:val="18"/>
          <w:vertAlign w:val="baseline"/>
        </w:rPr>
        <w:t> </w:t>
      </w:r>
      <w:r>
        <w:rPr>
          <w:w w:val="105"/>
          <w:sz w:val="18"/>
          <w:vertAlign w:val="baseline"/>
        </w:rPr>
        <w:t>the</w:t>
      </w:r>
      <w:r>
        <w:rPr>
          <w:spacing w:val="-12"/>
          <w:w w:val="105"/>
          <w:sz w:val="18"/>
          <w:vertAlign w:val="baseline"/>
        </w:rPr>
        <w:t> </w:t>
      </w:r>
      <w:r>
        <w:rPr>
          <w:w w:val="105"/>
          <w:sz w:val="18"/>
          <w:vertAlign w:val="baseline"/>
        </w:rPr>
        <w:t>participation</w:t>
      </w:r>
      <w:r>
        <w:rPr>
          <w:spacing w:val="-12"/>
          <w:w w:val="105"/>
          <w:sz w:val="18"/>
          <w:vertAlign w:val="baseline"/>
        </w:rPr>
        <w:t> </w:t>
      </w:r>
      <w:r>
        <w:rPr>
          <w:w w:val="105"/>
          <w:sz w:val="18"/>
          <w:vertAlign w:val="baseline"/>
        </w:rPr>
        <w:t>of</w:t>
      </w:r>
      <w:r>
        <w:rPr>
          <w:spacing w:val="-12"/>
          <w:w w:val="105"/>
          <w:sz w:val="18"/>
          <w:vertAlign w:val="baseline"/>
        </w:rPr>
        <w:t> </w:t>
      </w:r>
      <w:r>
        <w:rPr>
          <w:w w:val="105"/>
          <w:sz w:val="18"/>
          <w:vertAlign w:val="baseline"/>
        </w:rPr>
        <w:t>Chinese</w:t>
      </w:r>
      <w:r>
        <w:rPr>
          <w:spacing w:val="-12"/>
          <w:w w:val="105"/>
          <w:sz w:val="18"/>
          <w:vertAlign w:val="baseline"/>
        </w:rPr>
        <w:t> </w:t>
      </w:r>
      <w:r>
        <w:rPr>
          <w:w w:val="105"/>
          <w:sz w:val="18"/>
          <w:vertAlign w:val="baseline"/>
        </w:rPr>
        <w:t>state-owned creditors</w:t>
      </w:r>
      <w:r>
        <w:rPr>
          <w:spacing w:val="-6"/>
          <w:w w:val="105"/>
          <w:sz w:val="18"/>
          <w:vertAlign w:val="baseline"/>
        </w:rPr>
        <w:t> </w:t>
      </w:r>
      <w:r>
        <w:rPr>
          <w:w w:val="105"/>
          <w:sz w:val="18"/>
          <w:vertAlign w:val="baseline"/>
        </w:rPr>
        <w:t>in</w:t>
      </w:r>
      <w:r>
        <w:rPr>
          <w:spacing w:val="-6"/>
          <w:w w:val="105"/>
          <w:sz w:val="18"/>
          <w:vertAlign w:val="baseline"/>
        </w:rPr>
        <w:t> </w:t>
      </w:r>
      <w:r>
        <w:rPr>
          <w:w w:val="105"/>
          <w:sz w:val="18"/>
          <w:vertAlign w:val="baseline"/>
        </w:rPr>
        <w:t>syndicated</w:t>
      </w:r>
      <w:r>
        <w:rPr>
          <w:spacing w:val="-6"/>
          <w:w w:val="105"/>
          <w:sz w:val="18"/>
          <w:vertAlign w:val="baseline"/>
        </w:rPr>
        <w:t> </w:t>
      </w:r>
      <w:r>
        <w:rPr>
          <w:w w:val="105"/>
          <w:sz w:val="18"/>
          <w:vertAlign w:val="baseline"/>
        </w:rPr>
        <w:t>loan</w:t>
      </w:r>
      <w:r>
        <w:rPr>
          <w:spacing w:val="-6"/>
          <w:w w:val="105"/>
          <w:sz w:val="18"/>
          <w:vertAlign w:val="baseline"/>
        </w:rPr>
        <w:t> </w:t>
      </w:r>
      <w:r>
        <w:rPr>
          <w:w w:val="105"/>
          <w:sz w:val="18"/>
          <w:vertAlign w:val="baseline"/>
        </w:rPr>
        <w:t>agreements.</w:t>
      </w:r>
      <w:r>
        <w:rPr>
          <w:spacing w:val="-6"/>
          <w:w w:val="105"/>
          <w:sz w:val="18"/>
          <w:vertAlign w:val="baseline"/>
        </w:rPr>
        <w:t> </w:t>
      </w:r>
      <w:r>
        <w:rPr>
          <w:w w:val="105"/>
          <w:sz w:val="18"/>
          <w:vertAlign w:val="baseline"/>
        </w:rPr>
        <w:t>They</w:t>
      </w:r>
      <w:r>
        <w:rPr>
          <w:spacing w:val="-6"/>
          <w:w w:val="105"/>
          <w:sz w:val="18"/>
          <w:vertAlign w:val="baseline"/>
        </w:rPr>
        <w:t> </w:t>
      </w:r>
      <w:r>
        <w:rPr>
          <w:w w:val="105"/>
          <w:sz w:val="18"/>
          <w:vertAlign w:val="baseline"/>
        </w:rPr>
        <w:t>conclude</w:t>
      </w:r>
      <w:r>
        <w:rPr>
          <w:spacing w:val="-6"/>
          <w:w w:val="105"/>
          <w:sz w:val="18"/>
          <w:vertAlign w:val="baseline"/>
        </w:rPr>
        <w:t> </w:t>
      </w:r>
      <w:r>
        <w:rPr>
          <w:w w:val="105"/>
          <w:sz w:val="18"/>
          <w:vertAlign w:val="baseline"/>
        </w:rPr>
        <w:t>that</w:t>
      </w:r>
      <w:r>
        <w:rPr>
          <w:spacing w:val="-6"/>
          <w:w w:val="105"/>
          <w:sz w:val="18"/>
          <w:vertAlign w:val="baseline"/>
        </w:rPr>
        <w:t> </w:t>
      </w:r>
      <w:r>
        <w:rPr>
          <w:w w:val="105"/>
          <w:sz w:val="18"/>
          <w:vertAlign w:val="baseline"/>
        </w:rPr>
        <w:t>the</w:t>
      </w:r>
      <w:r>
        <w:rPr>
          <w:spacing w:val="-6"/>
          <w:w w:val="105"/>
          <w:sz w:val="18"/>
          <w:vertAlign w:val="baseline"/>
        </w:rPr>
        <w:t> </w:t>
      </w:r>
      <w:r>
        <w:rPr>
          <w:w w:val="105"/>
          <w:sz w:val="18"/>
          <w:vertAlign w:val="baseline"/>
        </w:rPr>
        <w:t>ten</w:t>
      </w:r>
      <w:r>
        <w:rPr>
          <w:spacing w:val="-6"/>
          <w:w w:val="105"/>
          <w:sz w:val="18"/>
          <w:vertAlign w:val="baseline"/>
        </w:rPr>
        <w:t> </w:t>
      </w:r>
      <w:r>
        <w:rPr>
          <w:w w:val="105"/>
          <w:sz w:val="18"/>
          <w:vertAlign w:val="baseline"/>
        </w:rPr>
        <w:t>most</w:t>
      </w:r>
      <w:r>
        <w:rPr>
          <w:spacing w:val="-6"/>
          <w:w w:val="105"/>
          <w:sz w:val="18"/>
          <w:vertAlign w:val="baseline"/>
        </w:rPr>
        <w:t> </w:t>
      </w:r>
      <w:r>
        <w:rPr>
          <w:w w:val="105"/>
          <w:sz w:val="18"/>
          <w:vertAlign w:val="baseline"/>
        </w:rPr>
        <w:t>important</w:t>
      </w:r>
      <w:r>
        <w:rPr>
          <w:spacing w:val="-6"/>
          <w:w w:val="105"/>
          <w:sz w:val="18"/>
          <w:vertAlign w:val="baseline"/>
        </w:rPr>
        <w:t> </w:t>
      </w:r>
      <w:r>
        <w:rPr>
          <w:w w:val="105"/>
          <w:sz w:val="18"/>
          <w:vertAlign w:val="baseline"/>
        </w:rPr>
        <w:t>network</w:t>
      </w:r>
      <w:r>
        <w:rPr>
          <w:spacing w:val="-6"/>
          <w:w w:val="105"/>
          <w:sz w:val="18"/>
          <w:vertAlign w:val="baseline"/>
        </w:rPr>
        <w:t> </w:t>
      </w:r>
      <w:r>
        <w:rPr>
          <w:w w:val="105"/>
          <w:sz w:val="18"/>
          <w:vertAlign w:val="baseline"/>
        </w:rPr>
        <w:t>“brokers” </w:t>
      </w:r>
      <w:r>
        <w:rPr>
          <w:sz w:val="18"/>
          <w:vertAlign w:val="baseline"/>
        </w:rPr>
        <w:t>include two multilateral institutions (Inter-American Development Bank and African Development Bank) </w:t>
      </w:r>
      <w:r>
        <w:rPr>
          <w:sz w:val="18"/>
          <w:vertAlign w:val="baseline"/>
        </w:rPr>
        <w:t>and eight Western commercial banks (BNP Paribas, Standard Chartered, Sumitomo Mitsui, MUFG, Citibank, </w:t>
      </w:r>
      <w:r>
        <w:rPr>
          <w:w w:val="105"/>
          <w:sz w:val="18"/>
          <w:vertAlign w:val="baseline"/>
        </w:rPr>
        <w:t>ING,</w:t>
      </w:r>
      <w:r>
        <w:rPr>
          <w:spacing w:val="-7"/>
          <w:w w:val="105"/>
          <w:sz w:val="18"/>
          <w:vertAlign w:val="baseline"/>
        </w:rPr>
        <w:t> </w:t>
      </w:r>
      <w:r>
        <w:rPr>
          <w:w w:val="105"/>
          <w:sz w:val="18"/>
          <w:vertAlign w:val="baseline"/>
        </w:rPr>
        <w:t>Deutsche</w:t>
      </w:r>
      <w:r>
        <w:rPr>
          <w:spacing w:val="-7"/>
          <w:w w:val="105"/>
          <w:sz w:val="18"/>
          <w:vertAlign w:val="baseline"/>
        </w:rPr>
        <w:t> </w:t>
      </w:r>
      <w:r>
        <w:rPr>
          <w:w w:val="105"/>
          <w:sz w:val="18"/>
          <w:vertAlign w:val="baseline"/>
        </w:rPr>
        <w:t>Bank,</w:t>
      </w:r>
      <w:r>
        <w:rPr>
          <w:spacing w:val="-7"/>
          <w:w w:val="105"/>
          <w:sz w:val="18"/>
          <w:vertAlign w:val="baseline"/>
        </w:rPr>
        <w:t> </w:t>
      </w:r>
      <w:r>
        <w:rPr>
          <w:w w:val="105"/>
          <w:sz w:val="18"/>
          <w:vertAlign w:val="baseline"/>
        </w:rPr>
        <w:t>and</w:t>
      </w:r>
      <w:r>
        <w:rPr>
          <w:spacing w:val="-7"/>
          <w:w w:val="105"/>
          <w:sz w:val="18"/>
          <w:vertAlign w:val="baseline"/>
        </w:rPr>
        <w:t> </w:t>
      </w:r>
      <w:r>
        <w:rPr>
          <w:w w:val="105"/>
          <w:sz w:val="18"/>
          <w:vertAlign w:val="baseline"/>
        </w:rPr>
        <w:t>HSBC).</w:t>
      </w:r>
    </w:p>
    <w:p>
      <w:pPr>
        <w:spacing w:after="0" w:line="249" w:lineRule="auto"/>
        <w:jc w:val="left"/>
        <w:rPr>
          <w:sz w:val="18"/>
        </w:rPr>
        <w:sectPr>
          <w:type w:val="continuous"/>
          <w:pgSz w:w="12240" w:h="15840"/>
          <w:pgMar w:header="0" w:footer="720" w:top="1460" w:bottom="280" w:left="1040" w:right="1040"/>
        </w:sectPr>
      </w:pPr>
    </w:p>
    <w:p>
      <w:pPr>
        <w:pStyle w:val="BodyText"/>
        <w:spacing w:before="9"/>
        <w:rPr>
          <w:sz w:val="22"/>
        </w:rPr>
      </w:pPr>
    </w:p>
    <w:p>
      <w:pPr>
        <w:tabs>
          <w:tab w:pos="1974" w:val="left" w:leader="none"/>
          <w:tab w:pos="3639" w:val="left" w:leader="none"/>
        </w:tabs>
        <w:spacing w:before="0"/>
        <w:ind w:left="820" w:right="0" w:firstLine="0"/>
        <w:jc w:val="left"/>
        <w:rPr>
          <w:b/>
          <w:sz w:val="18"/>
        </w:rPr>
      </w:pPr>
      <w:r>
        <w:rPr>
          <w:b/>
          <w:spacing w:val="-2"/>
          <w:sz w:val="18"/>
        </w:rPr>
        <w:t>Country</w:t>
      </w:r>
      <w:r>
        <w:rPr>
          <w:b/>
          <w:sz w:val="18"/>
        </w:rPr>
        <w:tab/>
      </w:r>
      <w:r>
        <w:rPr>
          <w:b/>
          <w:spacing w:val="-2"/>
          <w:sz w:val="18"/>
        </w:rPr>
        <w:t>Project</w:t>
      </w:r>
      <w:r>
        <w:rPr>
          <w:b/>
          <w:sz w:val="18"/>
        </w:rPr>
        <w:tab/>
      </w:r>
      <w:r>
        <w:rPr>
          <w:b/>
          <w:spacing w:val="-15"/>
          <w:sz w:val="18"/>
        </w:rPr>
        <w:t>Year</w:t>
      </w:r>
    </w:p>
    <w:p>
      <w:pPr>
        <w:spacing w:line="240" w:lineRule="auto" w:before="3"/>
        <w:rPr>
          <w:b/>
          <w:sz w:val="20"/>
        </w:rPr>
      </w:pPr>
      <w:r>
        <w:rPr/>
        <w:br w:type="column"/>
      </w:r>
      <w:r>
        <w:rPr>
          <w:b/>
          <w:sz w:val="20"/>
        </w:rPr>
      </w:r>
    </w:p>
    <w:p>
      <w:pPr>
        <w:tabs>
          <w:tab w:pos="1506" w:val="left" w:leader="none"/>
        </w:tabs>
        <w:spacing w:line="124" w:lineRule="auto" w:before="0"/>
        <w:ind w:left="561" w:right="0" w:firstLine="0"/>
        <w:jc w:val="left"/>
        <w:rPr>
          <w:b/>
          <w:sz w:val="18"/>
        </w:rPr>
      </w:pPr>
      <w:r>
        <w:rPr/>
        <w:pict>
          <v:line style="position:absolute;mso-position-horizontal-relative:page;mso-position-vertical-relative:paragraph;z-index:15788032" from="93pt,22.836905pt" to="519pt,22.836905pt" stroked="true" strokeweight="1.0pt" strokecolor="#000000">
            <v:stroke dashstyle="solid"/>
            <w10:wrap type="none"/>
          </v:line>
        </w:pict>
      </w:r>
      <w:r>
        <w:rPr>
          <w:b/>
          <w:position w:val="11"/>
          <w:sz w:val="18"/>
        </w:rPr>
        <w:t>Value of</w:t>
        <w:tab/>
      </w:r>
      <w:r>
        <w:rPr>
          <w:b/>
          <w:spacing w:val="-6"/>
          <w:sz w:val="18"/>
        </w:rPr>
        <w:t>Lead</w:t>
      </w:r>
      <w:r>
        <w:rPr>
          <w:b/>
          <w:spacing w:val="-7"/>
          <w:sz w:val="18"/>
        </w:rPr>
        <w:t> </w:t>
      </w:r>
      <w:r>
        <w:rPr>
          <w:b/>
          <w:spacing w:val="-6"/>
          <w:sz w:val="18"/>
        </w:rPr>
        <w:t>Arranger </w:t>
      </w:r>
      <w:r>
        <w:rPr>
          <w:b/>
          <w:spacing w:val="-4"/>
          <w:sz w:val="18"/>
        </w:rPr>
        <w:t>Loan</w:t>
      </w:r>
    </w:p>
    <w:p>
      <w:pPr>
        <w:spacing w:line="249" w:lineRule="auto" w:before="154"/>
        <w:ind w:left="416" w:right="0" w:firstLine="0"/>
        <w:jc w:val="left"/>
        <w:rPr>
          <w:b/>
          <w:sz w:val="18"/>
        </w:rPr>
      </w:pPr>
      <w:r>
        <w:rPr/>
        <w:br w:type="column"/>
      </w:r>
      <w:r>
        <w:rPr>
          <w:b/>
          <w:spacing w:val="-2"/>
          <w:sz w:val="18"/>
        </w:rPr>
        <w:t>Chinese </w:t>
      </w:r>
      <w:r>
        <w:rPr>
          <w:b/>
          <w:spacing w:val="-2"/>
          <w:w w:val="90"/>
          <w:sz w:val="18"/>
        </w:rPr>
        <w:t>Participants</w:t>
      </w:r>
    </w:p>
    <w:p>
      <w:pPr>
        <w:spacing w:line="249" w:lineRule="auto" w:before="46"/>
        <w:ind w:left="186" w:right="760" w:firstLine="0"/>
        <w:jc w:val="left"/>
        <w:rPr>
          <w:b/>
          <w:sz w:val="18"/>
        </w:rPr>
      </w:pPr>
      <w:r>
        <w:rPr/>
        <w:br w:type="column"/>
      </w:r>
      <w:r>
        <w:rPr>
          <w:b/>
          <w:spacing w:val="-2"/>
          <w:sz w:val="18"/>
        </w:rPr>
        <w:t>Total </w:t>
      </w:r>
      <w:r>
        <w:rPr>
          <w:b/>
          <w:sz w:val="18"/>
        </w:rPr>
        <w:t>Number of </w:t>
      </w:r>
      <w:r>
        <w:rPr>
          <w:b/>
          <w:spacing w:val="-2"/>
          <w:w w:val="90"/>
          <w:sz w:val="18"/>
        </w:rPr>
        <w:t>Participants</w:t>
      </w:r>
    </w:p>
    <w:p>
      <w:pPr>
        <w:spacing w:after="0" w:line="249" w:lineRule="auto"/>
        <w:jc w:val="left"/>
        <w:rPr>
          <w:sz w:val="18"/>
        </w:rPr>
        <w:sectPr>
          <w:pgSz w:w="12240" w:h="15840"/>
          <w:pgMar w:header="0" w:footer="720" w:top="1380" w:bottom="920" w:left="1040" w:right="1040"/>
          <w:cols w:num="4" w:equalWidth="0">
            <w:col w:w="3984" w:space="40"/>
            <w:col w:w="2671" w:space="39"/>
            <w:col w:w="1360" w:space="39"/>
            <w:col w:w="2027"/>
          </w:cols>
        </w:sectPr>
      </w:pPr>
    </w:p>
    <w:p>
      <w:pPr>
        <w:tabs>
          <w:tab w:pos="1974" w:val="left" w:leader="none"/>
        </w:tabs>
        <w:spacing w:line="249" w:lineRule="auto" w:before="17"/>
        <w:ind w:left="1975" w:right="0" w:hanging="1155"/>
        <w:jc w:val="left"/>
        <w:rPr>
          <w:sz w:val="18"/>
        </w:rPr>
      </w:pPr>
      <w:r>
        <w:rPr/>
        <w:pict>
          <v:line style="position:absolute;mso-position-horizontal-relative:page;mso-position-vertical-relative:paragraph;z-index:15788544" from="93pt,32.895267pt" to="519pt,32.895267pt" stroked="true" strokeweight="1.0pt" strokecolor="#cccccc">
            <v:stroke dashstyle="solid"/>
            <w10:wrap type="none"/>
          </v:line>
        </w:pict>
      </w:r>
      <w:r>
        <w:rPr>
          <w:spacing w:val="-4"/>
          <w:sz w:val="18"/>
        </w:rPr>
        <w:t>Iraq</w:t>
      </w:r>
      <w:r>
        <w:rPr>
          <w:sz w:val="18"/>
        </w:rPr>
        <w:tab/>
        <w:t>Basrah Natural Gas Liquids Facility Construction</w:t>
      </w:r>
      <w:r>
        <w:rPr>
          <w:spacing w:val="-13"/>
          <w:sz w:val="18"/>
        </w:rPr>
        <w:t> </w:t>
      </w:r>
      <w:r>
        <w:rPr>
          <w:sz w:val="18"/>
        </w:rPr>
        <w:t>Project</w:t>
      </w:r>
    </w:p>
    <w:p>
      <w:pPr>
        <w:tabs>
          <w:tab w:pos="936" w:val="left" w:leader="none"/>
        </w:tabs>
        <w:spacing w:before="17"/>
        <w:ind w:left="-8" w:right="0" w:firstLine="0"/>
        <w:jc w:val="left"/>
        <w:rPr>
          <w:sz w:val="18"/>
        </w:rPr>
      </w:pPr>
      <w:r>
        <w:rPr/>
        <w:br w:type="column"/>
      </w:r>
      <w:r>
        <w:rPr>
          <w:spacing w:val="-4"/>
          <w:sz w:val="18"/>
        </w:rPr>
        <w:t>2021</w:t>
      </w:r>
      <w:r>
        <w:rPr>
          <w:sz w:val="18"/>
        </w:rPr>
        <w:tab/>
      </w:r>
      <w:r>
        <w:rPr>
          <w:spacing w:val="-4"/>
          <w:sz w:val="18"/>
        </w:rPr>
        <w:t>$260</w:t>
      </w:r>
    </w:p>
    <w:p>
      <w:pPr>
        <w:spacing w:before="9"/>
        <w:ind w:left="937" w:right="0" w:firstLine="0"/>
        <w:jc w:val="left"/>
        <w:rPr>
          <w:sz w:val="18"/>
        </w:rPr>
      </w:pPr>
      <w:r>
        <w:rPr>
          <w:spacing w:val="-2"/>
          <w:sz w:val="18"/>
        </w:rPr>
        <w:t>million</w:t>
      </w:r>
    </w:p>
    <w:p>
      <w:pPr>
        <w:spacing w:line="249" w:lineRule="auto" w:before="17"/>
        <w:ind w:left="371" w:right="0" w:firstLine="0"/>
        <w:jc w:val="left"/>
        <w:rPr>
          <w:sz w:val="18"/>
        </w:rPr>
      </w:pPr>
      <w:r>
        <w:rPr/>
        <w:br w:type="column"/>
      </w:r>
      <w:r>
        <w:rPr>
          <w:spacing w:val="-2"/>
          <w:sz w:val="18"/>
        </w:rPr>
        <w:t>International Finance Corporation</w:t>
      </w:r>
      <w:r>
        <w:rPr>
          <w:spacing w:val="-11"/>
          <w:sz w:val="18"/>
        </w:rPr>
        <w:t> </w:t>
      </w:r>
      <w:r>
        <w:rPr>
          <w:spacing w:val="-2"/>
          <w:sz w:val="18"/>
        </w:rPr>
        <w:t>(IFC)</w:t>
      </w:r>
    </w:p>
    <w:p>
      <w:pPr>
        <w:tabs>
          <w:tab w:pos="1918" w:val="right" w:leader="none"/>
        </w:tabs>
        <w:spacing w:before="17"/>
        <w:ind w:left="188" w:right="0" w:firstLine="0"/>
        <w:jc w:val="left"/>
        <w:rPr>
          <w:sz w:val="18"/>
        </w:rPr>
      </w:pPr>
      <w:r>
        <w:rPr/>
        <w:br w:type="column"/>
      </w:r>
      <w:r>
        <w:rPr>
          <w:spacing w:val="-2"/>
          <w:sz w:val="18"/>
        </w:rPr>
        <w:t>ICBC,</w:t>
      </w:r>
      <w:r>
        <w:rPr>
          <w:spacing w:val="-10"/>
          <w:sz w:val="18"/>
        </w:rPr>
        <w:t> </w:t>
      </w:r>
      <w:r>
        <w:rPr>
          <w:spacing w:val="-2"/>
          <w:sz w:val="18"/>
        </w:rPr>
        <w:t>Bank</w:t>
      </w:r>
      <w:r>
        <w:rPr>
          <w:spacing w:val="-9"/>
          <w:sz w:val="18"/>
        </w:rPr>
        <w:t> </w:t>
      </w:r>
      <w:r>
        <w:rPr>
          <w:spacing w:val="-5"/>
          <w:sz w:val="18"/>
        </w:rPr>
        <w:t>of</w:t>
      </w:r>
      <w:r>
        <w:rPr>
          <w:rFonts w:ascii="Times New Roman"/>
          <w:sz w:val="18"/>
        </w:rPr>
        <w:tab/>
      </w:r>
      <w:r>
        <w:rPr>
          <w:spacing w:val="-10"/>
          <w:sz w:val="18"/>
        </w:rPr>
        <w:t>9</w:t>
      </w:r>
    </w:p>
    <w:p>
      <w:pPr>
        <w:spacing w:before="9"/>
        <w:ind w:left="188" w:right="0" w:firstLine="0"/>
        <w:jc w:val="left"/>
        <w:rPr>
          <w:sz w:val="18"/>
        </w:rPr>
      </w:pPr>
      <w:r>
        <w:rPr>
          <w:spacing w:val="-2"/>
          <w:sz w:val="18"/>
        </w:rPr>
        <w:t>China</w:t>
      </w:r>
    </w:p>
    <w:p>
      <w:pPr>
        <w:spacing w:after="0"/>
        <w:jc w:val="left"/>
        <w:rPr>
          <w:sz w:val="18"/>
        </w:rPr>
        <w:sectPr>
          <w:type w:val="continuous"/>
          <w:pgSz w:w="12240" w:h="15840"/>
          <w:pgMar w:header="0" w:footer="720" w:top="1460" w:bottom="280" w:left="1040" w:right="1040"/>
          <w:cols w:num="4" w:equalWidth="0">
            <w:col w:w="3608" w:space="40"/>
            <w:col w:w="1471" w:space="39"/>
            <w:col w:w="1763" w:space="40"/>
            <w:col w:w="3199"/>
          </w:cols>
        </w:sectPr>
      </w:pPr>
    </w:p>
    <w:p>
      <w:pPr>
        <w:tabs>
          <w:tab w:pos="1974" w:val="left" w:leader="none"/>
        </w:tabs>
        <w:spacing w:before="17"/>
        <w:ind w:left="820" w:right="0" w:firstLine="0"/>
        <w:jc w:val="left"/>
        <w:rPr>
          <w:sz w:val="18"/>
        </w:rPr>
      </w:pPr>
      <w:r>
        <w:rPr>
          <w:spacing w:val="-2"/>
          <w:sz w:val="18"/>
        </w:rPr>
        <w:t>Kazakhstan</w:t>
      </w:r>
      <w:r>
        <w:rPr>
          <w:sz w:val="18"/>
        </w:rPr>
        <w:tab/>
        <w:t>Almaty</w:t>
      </w:r>
      <w:r>
        <w:rPr>
          <w:spacing w:val="-3"/>
          <w:sz w:val="18"/>
        </w:rPr>
        <w:t> </w:t>
      </w:r>
      <w:r>
        <w:rPr>
          <w:sz w:val="18"/>
        </w:rPr>
        <w:t>Ring</w:t>
      </w:r>
      <w:r>
        <w:rPr>
          <w:spacing w:val="-2"/>
          <w:sz w:val="18"/>
        </w:rPr>
        <w:t> </w:t>
      </w:r>
      <w:r>
        <w:rPr>
          <w:spacing w:val="-6"/>
          <w:sz w:val="18"/>
        </w:rPr>
        <w:t>Road</w:t>
      </w:r>
    </w:p>
    <w:p>
      <w:pPr>
        <w:spacing w:before="9"/>
        <w:ind w:left="1975" w:right="0" w:firstLine="0"/>
        <w:jc w:val="left"/>
        <w:rPr>
          <w:sz w:val="18"/>
        </w:rPr>
      </w:pPr>
      <w:r>
        <w:rPr>
          <w:spacing w:val="-2"/>
          <w:sz w:val="18"/>
        </w:rPr>
        <w:t>Project</w:t>
      </w:r>
    </w:p>
    <w:p>
      <w:pPr>
        <w:tabs>
          <w:tab w:pos="1132" w:val="left" w:leader="none"/>
        </w:tabs>
        <w:spacing w:before="17"/>
        <w:ind w:left="188" w:right="0" w:firstLine="0"/>
        <w:jc w:val="left"/>
        <w:rPr>
          <w:sz w:val="18"/>
        </w:rPr>
      </w:pPr>
      <w:r>
        <w:rPr/>
        <w:br w:type="column"/>
      </w:r>
      <w:r>
        <w:rPr>
          <w:spacing w:val="-4"/>
          <w:sz w:val="18"/>
        </w:rPr>
        <w:t>2020</w:t>
      </w:r>
      <w:r>
        <w:rPr>
          <w:sz w:val="18"/>
        </w:rPr>
        <w:tab/>
      </w:r>
      <w:r>
        <w:rPr>
          <w:spacing w:val="-4"/>
          <w:sz w:val="18"/>
        </w:rPr>
        <w:t>$585</w:t>
      </w:r>
    </w:p>
    <w:p>
      <w:pPr>
        <w:spacing w:before="9"/>
        <w:ind w:left="1133" w:right="0" w:firstLine="0"/>
        <w:jc w:val="left"/>
        <w:rPr>
          <w:sz w:val="18"/>
        </w:rPr>
      </w:pPr>
      <w:r>
        <w:rPr>
          <w:spacing w:val="-2"/>
          <w:sz w:val="18"/>
        </w:rPr>
        <w:t>million</w:t>
      </w:r>
    </w:p>
    <w:p>
      <w:pPr>
        <w:spacing w:line="249" w:lineRule="auto" w:before="17"/>
        <w:ind w:left="371" w:right="0" w:firstLine="0"/>
        <w:jc w:val="left"/>
        <w:rPr>
          <w:sz w:val="18"/>
        </w:rPr>
      </w:pPr>
      <w:r>
        <w:rPr/>
        <w:br w:type="column"/>
      </w:r>
      <w:r>
        <w:rPr>
          <w:sz w:val="18"/>
        </w:rPr>
        <w:t>European Bank for </w:t>
      </w:r>
      <w:r>
        <w:rPr>
          <w:spacing w:val="-2"/>
          <w:sz w:val="18"/>
        </w:rPr>
        <w:t>Reconstruction</w:t>
      </w:r>
      <w:r>
        <w:rPr>
          <w:spacing w:val="-10"/>
          <w:sz w:val="18"/>
        </w:rPr>
        <w:t> </w:t>
      </w:r>
      <w:r>
        <w:rPr>
          <w:spacing w:val="-2"/>
          <w:sz w:val="18"/>
        </w:rPr>
        <w:t>and Development (EBRD)</w:t>
      </w:r>
    </w:p>
    <w:p>
      <w:pPr>
        <w:tabs>
          <w:tab w:pos="1763" w:val="right" w:leader="none"/>
        </w:tabs>
        <w:spacing w:before="17"/>
        <w:ind w:left="33" w:right="0" w:firstLine="0"/>
        <w:jc w:val="left"/>
        <w:rPr>
          <w:sz w:val="18"/>
        </w:rPr>
      </w:pPr>
      <w:r>
        <w:rPr/>
        <w:br w:type="column"/>
      </w:r>
      <w:r>
        <w:rPr>
          <w:sz w:val="18"/>
        </w:rPr>
        <w:t>Bank</w:t>
      </w:r>
      <w:r>
        <w:rPr>
          <w:spacing w:val="-5"/>
          <w:sz w:val="18"/>
        </w:rPr>
        <w:t> </w:t>
      </w:r>
      <w:r>
        <w:rPr>
          <w:sz w:val="18"/>
        </w:rPr>
        <w:t>of</w:t>
      </w:r>
      <w:r>
        <w:rPr>
          <w:spacing w:val="-5"/>
          <w:sz w:val="18"/>
        </w:rPr>
        <w:t> </w:t>
      </w:r>
      <w:r>
        <w:rPr>
          <w:spacing w:val="-2"/>
          <w:sz w:val="18"/>
        </w:rPr>
        <w:t>China</w:t>
      </w:r>
      <w:r>
        <w:rPr>
          <w:rFonts w:ascii="Times New Roman"/>
          <w:sz w:val="18"/>
        </w:rPr>
        <w:tab/>
      </w:r>
      <w:r>
        <w:rPr>
          <w:spacing w:val="-10"/>
          <w:sz w:val="18"/>
        </w:rPr>
        <w:t>5</w:t>
      </w:r>
    </w:p>
    <w:p>
      <w:pPr>
        <w:spacing w:after="0"/>
        <w:jc w:val="left"/>
        <w:rPr>
          <w:sz w:val="18"/>
        </w:rPr>
        <w:sectPr>
          <w:type w:val="continuous"/>
          <w:pgSz w:w="12240" w:h="15840"/>
          <w:pgMar w:header="0" w:footer="720" w:top="1460" w:bottom="280" w:left="1040" w:right="1040"/>
          <w:cols w:num="4" w:equalWidth="0">
            <w:col w:w="3412" w:space="40"/>
            <w:col w:w="1667" w:space="39"/>
            <w:col w:w="1919" w:space="40"/>
            <w:col w:w="3043"/>
          </w:cols>
        </w:sectPr>
      </w:pPr>
    </w:p>
    <w:p>
      <w:pPr>
        <w:tabs>
          <w:tab w:pos="1974" w:val="left" w:leader="none"/>
        </w:tabs>
        <w:spacing w:before="18"/>
        <w:ind w:left="820" w:right="0" w:firstLine="0"/>
        <w:jc w:val="left"/>
        <w:rPr>
          <w:sz w:val="18"/>
        </w:rPr>
      </w:pPr>
      <w:r>
        <w:rPr/>
        <w:pict>
          <v:line style="position:absolute;mso-position-horizontal-relative:page;mso-position-vertical-relative:paragraph;z-index:15789056" from="93pt,-.16411pt" to="519pt,-.16411pt" stroked="true" strokeweight="1.0pt" strokecolor="#cccccc">
            <v:stroke dashstyle="solid"/>
            <w10:wrap type="none"/>
          </v:line>
        </w:pict>
      </w:r>
      <w:r>
        <w:rPr>
          <w:spacing w:val="-2"/>
          <w:sz w:val="18"/>
        </w:rPr>
        <w:t>Argentina</w:t>
      </w:r>
      <w:r>
        <w:rPr>
          <w:sz w:val="18"/>
        </w:rPr>
        <w:tab/>
      </w:r>
      <w:r>
        <w:rPr>
          <w:spacing w:val="-2"/>
          <w:sz w:val="18"/>
        </w:rPr>
        <w:t>La</w:t>
      </w:r>
      <w:r>
        <w:rPr>
          <w:spacing w:val="-10"/>
          <w:sz w:val="18"/>
        </w:rPr>
        <w:t> </w:t>
      </w:r>
      <w:r>
        <w:rPr>
          <w:spacing w:val="-2"/>
          <w:sz w:val="18"/>
        </w:rPr>
        <w:t>Castellana</w:t>
      </w:r>
      <w:r>
        <w:rPr>
          <w:spacing w:val="-9"/>
          <w:sz w:val="18"/>
        </w:rPr>
        <w:t> </w:t>
      </w:r>
      <w:r>
        <w:rPr>
          <w:spacing w:val="-4"/>
          <w:sz w:val="18"/>
        </w:rPr>
        <w:t>Wind</w:t>
      </w:r>
    </w:p>
    <w:p>
      <w:pPr>
        <w:spacing w:before="9"/>
        <w:ind w:left="1975" w:right="0" w:firstLine="0"/>
        <w:jc w:val="left"/>
        <w:rPr>
          <w:sz w:val="18"/>
        </w:rPr>
      </w:pPr>
      <w:r>
        <w:rPr>
          <w:spacing w:val="-2"/>
          <w:sz w:val="18"/>
        </w:rPr>
        <w:t>Power</w:t>
      </w:r>
      <w:r>
        <w:rPr>
          <w:spacing w:val="-4"/>
          <w:sz w:val="18"/>
        </w:rPr>
        <w:t> </w:t>
      </w:r>
      <w:r>
        <w:rPr>
          <w:spacing w:val="-2"/>
          <w:sz w:val="18"/>
        </w:rPr>
        <w:t>Project</w:t>
      </w:r>
    </w:p>
    <w:p>
      <w:pPr>
        <w:tabs>
          <w:tab w:pos="944" w:val="left" w:leader="none"/>
        </w:tabs>
        <w:spacing w:before="18"/>
        <w:ind w:left="0" w:right="0" w:firstLine="0"/>
        <w:jc w:val="right"/>
        <w:rPr>
          <w:sz w:val="18"/>
        </w:rPr>
      </w:pPr>
      <w:r>
        <w:rPr/>
        <w:br w:type="column"/>
      </w:r>
      <w:r>
        <w:rPr>
          <w:spacing w:val="-4"/>
          <w:sz w:val="18"/>
        </w:rPr>
        <w:t>2017</w:t>
      </w:r>
      <w:r>
        <w:rPr>
          <w:sz w:val="18"/>
        </w:rPr>
        <w:tab/>
      </w:r>
      <w:r>
        <w:rPr>
          <w:spacing w:val="-2"/>
          <w:sz w:val="18"/>
        </w:rPr>
        <w:t>$64.05</w:t>
      </w:r>
    </w:p>
    <w:p>
      <w:pPr>
        <w:spacing w:before="9"/>
        <w:ind w:left="0" w:right="15" w:firstLine="0"/>
        <w:jc w:val="right"/>
        <w:rPr>
          <w:sz w:val="18"/>
        </w:rPr>
      </w:pPr>
      <w:r>
        <w:rPr>
          <w:spacing w:val="-2"/>
          <w:w w:val="105"/>
          <w:sz w:val="18"/>
        </w:rPr>
        <w:t>million</w:t>
      </w:r>
    </w:p>
    <w:p>
      <w:pPr>
        <w:spacing w:line="249" w:lineRule="auto" w:before="18"/>
        <w:ind w:left="354" w:right="0" w:firstLine="0"/>
        <w:jc w:val="left"/>
        <w:rPr>
          <w:sz w:val="18"/>
        </w:rPr>
      </w:pPr>
      <w:r>
        <w:rPr/>
        <w:br w:type="column"/>
      </w:r>
      <w:r>
        <w:rPr>
          <w:spacing w:val="-2"/>
          <w:sz w:val="18"/>
        </w:rPr>
        <w:t>International Finance Corporation</w:t>
      </w:r>
      <w:r>
        <w:rPr>
          <w:spacing w:val="-11"/>
          <w:sz w:val="18"/>
        </w:rPr>
        <w:t> </w:t>
      </w:r>
      <w:r>
        <w:rPr>
          <w:spacing w:val="-2"/>
          <w:sz w:val="18"/>
        </w:rPr>
        <w:t>(IFC)</w:t>
      </w:r>
    </w:p>
    <w:p>
      <w:pPr>
        <w:tabs>
          <w:tab w:pos="1918" w:val="right" w:leader="none"/>
        </w:tabs>
        <w:spacing w:before="18"/>
        <w:ind w:left="188" w:right="0" w:firstLine="0"/>
        <w:jc w:val="left"/>
        <w:rPr>
          <w:sz w:val="18"/>
        </w:rPr>
      </w:pPr>
      <w:r>
        <w:rPr/>
        <w:br w:type="column"/>
      </w:r>
      <w:r>
        <w:rPr>
          <w:w w:val="90"/>
          <w:sz w:val="18"/>
        </w:rPr>
        <w:t>SAFE</w:t>
      </w:r>
      <w:r>
        <w:rPr>
          <w:spacing w:val="4"/>
          <w:sz w:val="18"/>
        </w:rPr>
        <w:t> </w:t>
      </w:r>
      <w:r>
        <w:rPr>
          <w:spacing w:val="-2"/>
          <w:w w:val="95"/>
          <w:sz w:val="18"/>
        </w:rPr>
        <w:t>through</w:t>
      </w:r>
      <w:r>
        <w:rPr>
          <w:rFonts w:ascii="Times New Roman"/>
          <w:sz w:val="18"/>
        </w:rPr>
        <w:tab/>
      </w:r>
      <w:r>
        <w:rPr>
          <w:spacing w:val="-10"/>
          <w:sz w:val="18"/>
        </w:rPr>
        <w:t>2</w:t>
      </w:r>
    </w:p>
    <w:p>
      <w:pPr>
        <w:spacing w:line="249" w:lineRule="auto" w:before="9"/>
        <w:ind w:left="188" w:right="1930" w:firstLine="0"/>
        <w:jc w:val="left"/>
        <w:rPr>
          <w:sz w:val="18"/>
        </w:rPr>
      </w:pPr>
      <w:r>
        <w:rPr/>
        <w:pict>
          <v:line style="position:absolute;mso-position-horizontal-relative:page;mso-position-vertical-relative:paragraph;z-index:15789568" from="93pt,43.589012pt" to="519pt,43.589012pt" stroked="true" strokeweight="1.0pt" strokecolor="#cccccc">
            <v:stroke dashstyle="solid"/>
            <w10:wrap type="none"/>
          </v:line>
        </w:pict>
      </w:r>
      <w:r>
        <w:rPr>
          <w:spacing w:val="-4"/>
          <w:w w:val="105"/>
          <w:sz w:val="18"/>
        </w:rPr>
        <w:t>the</w:t>
      </w:r>
      <w:r>
        <w:rPr>
          <w:spacing w:val="-10"/>
          <w:w w:val="105"/>
          <w:sz w:val="18"/>
        </w:rPr>
        <w:t> </w:t>
      </w:r>
      <w:r>
        <w:rPr>
          <w:spacing w:val="-4"/>
          <w:w w:val="105"/>
          <w:sz w:val="18"/>
        </w:rPr>
        <w:t>Managed </w:t>
      </w:r>
      <w:r>
        <w:rPr>
          <w:spacing w:val="-2"/>
          <w:w w:val="105"/>
          <w:sz w:val="18"/>
        </w:rPr>
        <w:t>Co-lending Portfolio Program</w:t>
      </w:r>
    </w:p>
    <w:p>
      <w:pPr>
        <w:spacing w:after="0" w:line="249" w:lineRule="auto"/>
        <w:jc w:val="left"/>
        <w:rPr>
          <w:sz w:val="18"/>
        </w:rPr>
        <w:sectPr>
          <w:type w:val="continuous"/>
          <w:pgSz w:w="12240" w:h="15840"/>
          <w:pgMar w:header="0" w:footer="720" w:top="1460" w:bottom="280" w:left="1040" w:right="1040"/>
          <w:cols w:num="4" w:equalWidth="0">
            <w:col w:w="3517" w:space="40"/>
            <w:col w:w="1580" w:space="39"/>
            <w:col w:w="1746" w:space="39"/>
            <w:col w:w="3199"/>
          </w:cols>
        </w:sectPr>
      </w:pPr>
    </w:p>
    <w:p>
      <w:pPr>
        <w:tabs>
          <w:tab w:pos="1974" w:val="left" w:leader="none"/>
        </w:tabs>
        <w:spacing w:before="18"/>
        <w:ind w:left="820" w:right="0" w:firstLine="0"/>
        <w:jc w:val="left"/>
        <w:rPr>
          <w:sz w:val="18"/>
        </w:rPr>
      </w:pPr>
      <w:r>
        <w:rPr>
          <w:spacing w:val="-2"/>
          <w:sz w:val="18"/>
        </w:rPr>
        <w:t>Bangladesh</w:t>
      </w:r>
      <w:r>
        <w:rPr>
          <w:sz w:val="18"/>
        </w:rPr>
        <w:tab/>
        <w:t>Unit</w:t>
      </w:r>
      <w:r>
        <w:rPr>
          <w:spacing w:val="2"/>
          <w:sz w:val="18"/>
        </w:rPr>
        <w:t> </w:t>
      </w:r>
      <w:r>
        <w:rPr>
          <w:sz w:val="18"/>
        </w:rPr>
        <w:t>3</w:t>
      </w:r>
      <w:r>
        <w:rPr>
          <w:spacing w:val="2"/>
          <w:sz w:val="18"/>
        </w:rPr>
        <w:t> </w:t>
      </w:r>
      <w:r>
        <w:rPr>
          <w:sz w:val="18"/>
        </w:rPr>
        <w:t>of</w:t>
      </w:r>
      <w:r>
        <w:rPr>
          <w:spacing w:val="2"/>
          <w:sz w:val="18"/>
        </w:rPr>
        <w:t> </w:t>
      </w:r>
      <w:r>
        <w:rPr>
          <w:sz w:val="18"/>
        </w:rPr>
        <w:t>220</w:t>
      </w:r>
      <w:r>
        <w:rPr>
          <w:spacing w:val="2"/>
          <w:sz w:val="18"/>
        </w:rPr>
        <w:t> </w:t>
      </w:r>
      <w:r>
        <w:rPr>
          <w:spacing w:val="-7"/>
          <w:sz w:val="18"/>
        </w:rPr>
        <w:t>MW</w:t>
      </w:r>
    </w:p>
    <w:p>
      <w:pPr>
        <w:spacing w:line="249" w:lineRule="auto" w:before="9"/>
        <w:ind w:left="1975" w:right="0" w:firstLine="0"/>
        <w:jc w:val="left"/>
        <w:rPr>
          <w:sz w:val="18"/>
        </w:rPr>
      </w:pPr>
      <w:r>
        <w:rPr>
          <w:sz w:val="18"/>
        </w:rPr>
        <w:t>Sirajganj</w:t>
      </w:r>
      <w:r>
        <w:rPr>
          <w:spacing w:val="-13"/>
          <w:sz w:val="18"/>
        </w:rPr>
        <w:t> </w:t>
      </w:r>
      <w:r>
        <w:rPr>
          <w:sz w:val="18"/>
        </w:rPr>
        <w:t>Combined Cycle Power Plant </w:t>
      </w:r>
      <w:r>
        <w:rPr>
          <w:spacing w:val="-2"/>
          <w:sz w:val="18"/>
        </w:rPr>
        <w:t>Project</w:t>
      </w:r>
    </w:p>
    <w:p>
      <w:pPr>
        <w:tabs>
          <w:tab w:pos="944" w:val="left" w:leader="none"/>
        </w:tabs>
        <w:spacing w:before="18"/>
        <w:ind w:left="0" w:right="0" w:firstLine="0"/>
        <w:jc w:val="right"/>
        <w:rPr>
          <w:sz w:val="18"/>
        </w:rPr>
      </w:pPr>
      <w:r>
        <w:rPr/>
        <w:br w:type="column"/>
      </w:r>
      <w:r>
        <w:rPr>
          <w:spacing w:val="-4"/>
          <w:sz w:val="18"/>
        </w:rPr>
        <w:t>2017</w:t>
      </w:r>
      <w:r>
        <w:rPr>
          <w:sz w:val="18"/>
        </w:rPr>
        <w:tab/>
      </w:r>
      <w:r>
        <w:rPr>
          <w:spacing w:val="-2"/>
          <w:sz w:val="18"/>
        </w:rPr>
        <w:t>$196.7</w:t>
      </w:r>
    </w:p>
    <w:p>
      <w:pPr>
        <w:spacing w:before="9"/>
        <w:ind w:left="0" w:right="15" w:firstLine="0"/>
        <w:jc w:val="right"/>
        <w:rPr>
          <w:sz w:val="18"/>
        </w:rPr>
      </w:pPr>
      <w:r>
        <w:rPr>
          <w:spacing w:val="-2"/>
          <w:w w:val="105"/>
          <w:sz w:val="18"/>
        </w:rPr>
        <w:t>million</w:t>
      </w:r>
    </w:p>
    <w:p>
      <w:pPr>
        <w:tabs>
          <w:tab w:pos="3704" w:val="right" w:leader="none"/>
        </w:tabs>
        <w:spacing w:before="18"/>
        <w:ind w:left="354" w:right="0" w:firstLine="0"/>
        <w:jc w:val="left"/>
        <w:rPr>
          <w:sz w:val="18"/>
        </w:rPr>
      </w:pPr>
      <w:r>
        <w:rPr/>
        <w:br w:type="column"/>
      </w:r>
      <w:r>
        <w:rPr>
          <w:sz w:val="18"/>
        </w:rPr>
        <w:t>Standard</w:t>
      </w:r>
      <w:r>
        <w:rPr>
          <w:spacing w:val="-9"/>
          <w:sz w:val="18"/>
        </w:rPr>
        <w:t> </w:t>
      </w:r>
      <w:r>
        <w:rPr>
          <w:sz w:val="18"/>
        </w:rPr>
        <w:t>Chartered</w:t>
      </w:r>
      <w:r>
        <w:rPr>
          <w:spacing w:val="-12"/>
          <w:sz w:val="18"/>
        </w:rPr>
        <w:t> </w:t>
      </w:r>
      <w:r>
        <w:rPr>
          <w:sz w:val="18"/>
        </w:rPr>
        <w:t>Bank</w:t>
      </w:r>
      <w:r>
        <w:rPr>
          <w:spacing w:val="-6"/>
          <w:sz w:val="18"/>
        </w:rPr>
        <w:t> </w:t>
      </w:r>
      <w:r>
        <w:rPr>
          <w:sz w:val="18"/>
        </w:rPr>
        <w:t>of</w:t>
      </w:r>
      <w:r>
        <w:rPr>
          <w:spacing w:val="-6"/>
          <w:sz w:val="18"/>
        </w:rPr>
        <w:t> </w:t>
      </w:r>
      <w:r>
        <w:rPr>
          <w:spacing w:val="-4"/>
          <w:sz w:val="18"/>
        </w:rPr>
        <w:t>China</w:t>
      </w:r>
      <w:r>
        <w:rPr>
          <w:rFonts w:ascii="Times New Roman"/>
          <w:sz w:val="18"/>
        </w:rPr>
        <w:tab/>
      </w:r>
      <w:r>
        <w:rPr>
          <w:spacing w:val="-10"/>
          <w:sz w:val="18"/>
        </w:rPr>
        <w:t>4</w:t>
      </w:r>
    </w:p>
    <w:p>
      <w:pPr>
        <w:spacing w:before="9"/>
        <w:ind w:left="354" w:right="0" w:firstLine="0"/>
        <w:jc w:val="left"/>
        <w:rPr>
          <w:sz w:val="18"/>
        </w:rPr>
      </w:pPr>
      <w:r>
        <w:rPr>
          <w:spacing w:val="-4"/>
          <w:sz w:val="18"/>
        </w:rPr>
        <w:t>Bank</w:t>
      </w:r>
    </w:p>
    <w:p>
      <w:pPr>
        <w:spacing w:after="0"/>
        <w:jc w:val="left"/>
        <w:rPr>
          <w:sz w:val="18"/>
        </w:rPr>
        <w:sectPr>
          <w:type w:val="continuous"/>
          <w:pgSz w:w="12240" w:h="15840"/>
          <w:pgMar w:header="0" w:footer="720" w:top="1460" w:bottom="280" w:left="1040" w:right="1040"/>
          <w:cols w:num="3" w:equalWidth="0">
            <w:col w:w="3562" w:space="40"/>
            <w:col w:w="1534" w:space="39"/>
            <w:col w:w="4985"/>
          </w:cols>
        </w:sectPr>
      </w:pPr>
    </w:p>
    <w:p>
      <w:pPr>
        <w:spacing w:line="333" w:lineRule="auto" w:before="3"/>
        <w:ind w:left="760" w:right="767" w:firstLine="0"/>
        <w:jc w:val="left"/>
        <w:rPr>
          <w:i/>
          <w:sz w:val="18"/>
        </w:rPr>
      </w:pPr>
      <w:r>
        <w:rPr>
          <w:i/>
          <w:sz w:val="18"/>
        </w:rPr>
        <w:t>Notes: This table provides examples of syndicated loans with Chinese state-owned participants (ID#62223,</w:t>
      </w:r>
      <w:r>
        <w:rPr>
          <w:i/>
          <w:sz w:val="18"/>
        </w:rPr>
        <w:t> 62224,</w:t>
      </w:r>
      <w:r>
        <w:rPr>
          <w:i/>
          <w:spacing w:val="-2"/>
          <w:sz w:val="18"/>
        </w:rPr>
        <w:t> </w:t>
      </w:r>
      <w:r>
        <w:rPr>
          <w:i/>
          <w:sz w:val="18"/>
        </w:rPr>
        <w:t>95921,</w:t>
      </w:r>
      <w:r>
        <w:rPr>
          <w:i/>
          <w:spacing w:val="-2"/>
          <w:sz w:val="18"/>
        </w:rPr>
        <w:t> </w:t>
      </w:r>
      <w:r>
        <w:rPr>
          <w:i/>
          <w:sz w:val="18"/>
        </w:rPr>
        <w:t>92613,</w:t>
      </w:r>
      <w:r>
        <w:rPr>
          <w:i/>
          <w:spacing w:val="-2"/>
          <w:sz w:val="18"/>
        </w:rPr>
        <w:t> </w:t>
      </w:r>
      <w:r>
        <w:rPr>
          <w:i/>
          <w:sz w:val="18"/>
        </w:rPr>
        <w:t>98022,</w:t>
      </w:r>
      <w:r>
        <w:rPr>
          <w:i/>
          <w:spacing w:val="-2"/>
          <w:sz w:val="18"/>
        </w:rPr>
        <w:t> </w:t>
      </w:r>
      <w:r>
        <w:rPr>
          <w:i/>
          <w:sz w:val="18"/>
        </w:rPr>
        <w:t>and</w:t>
      </w:r>
      <w:r>
        <w:rPr>
          <w:i/>
          <w:spacing w:val="-2"/>
          <w:sz w:val="18"/>
        </w:rPr>
        <w:t> </w:t>
      </w:r>
      <w:r>
        <w:rPr>
          <w:i/>
          <w:sz w:val="18"/>
        </w:rPr>
        <w:t>69033</w:t>
      </w:r>
      <w:r>
        <w:rPr>
          <w:i/>
          <w:spacing w:val="-2"/>
          <w:sz w:val="18"/>
        </w:rPr>
        <w:t> </w:t>
      </w:r>
      <w:r>
        <w:rPr>
          <w:i/>
          <w:sz w:val="18"/>
        </w:rPr>
        <w:t>in</w:t>
      </w:r>
      <w:r>
        <w:rPr>
          <w:i/>
          <w:spacing w:val="-2"/>
          <w:sz w:val="18"/>
        </w:rPr>
        <w:t> </w:t>
      </w:r>
      <w:r>
        <w:rPr>
          <w:i/>
          <w:sz w:val="18"/>
        </w:rPr>
        <w:t>the</w:t>
      </w:r>
      <w:r>
        <w:rPr>
          <w:i/>
          <w:spacing w:val="-2"/>
          <w:sz w:val="18"/>
        </w:rPr>
        <w:t> </w:t>
      </w:r>
      <w:r>
        <w:rPr>
          <w:i/>
          <w:sz w:val="18"/>
        </w:rPr>
        <w:t>3.0</w:t>
      </w:r>
      <w:r>
        <w:rPr>
          <w:i/>
          <w:spacing w:val="-2"/>
          <w:sz w:val="18"/>
        </w:rPr>
        <w:t> </w:t>
      </w:r>
      <w:r>
        <w:rPr>
          <w:i/>
          <w:sz w:val="18"/>
        </w:rPr>
        <w:t>version</w:t>
      </w:r>
      <w:r>
        <w:rPr>
          <w:i/>
          <w:spacing w:val="-2"/>
          <w:sz w:val="18"/>
        </w:rPr>
        <w:t> </w:t>
      </w:r>
      <w:r>
        <w:rPr>
          <w:i/>
          <w:sz w:val="18"/>
        </w:rPr>
        <w:t>of</w:t>
      </w:r>
      <w:r>
        <w:rPr>
          <w:i/>
          <w:spacing w:val="-2"/>
          <w:sz w:val="18"/>
        </w:rPr>
        <w:t> </w:t>
      </w:r>
      <w:r>
        <w:rPr>
          <w:i/>
          <w:sz w:val="18"/>
        </w:rPr>
        <w:t>AidData’s</w:t>
      </w:r>
      <w:r>
        <w:rPr>
          <w:i/>
          <w:spacing w:val="-2"/>
          <w:sz w:val="18"/>
        </w:rPr>
        <w:t> </w:t>
      </w:r>
      <w:r>
        <w:rPr>
          <w:i/>
          <w:sz w:val="18"/>
        </w:rPr>
        <w:t>GCDF</w:t>
      </w:r>
      <w:r>
        <w:rPr>
          <w:i/>
          <w:spacing w:val="-2"/>
          <w:sz w:val="18"/>
        </w:rPr>
        <w:t> </w:t>
      </w:r>
      <w:r>
        <w:rPr>
          <w:i/>
          <w:sz w:val="18"/>
        </w:rPr>
        <w:t>dataset).</w:t>
      </w:r>
      <w:r>
        <w:rPr>
          <w:i/>
          <w:spacing w:val="-2"/>
          <w:sz w:val="18"/>
        </w:rPr>
        <w:t> </w:t>
      </w:r>
      <w:r>
        <w:rPr>
          <w:i/>
          <w:sz w:val="18"/>
        </w:rPr>
        <w:t>The</w:t>
      </w:r>
      <w:r>
        <w:rPr>
          <w:i/>
          <w:spacing w:val="-2"/>
          <w:sz w:val="18"/>
        </w:rPr>
        <w:t> </w:t>
      </w:r>
      <w:r>
        <w:rPr>
          <w:i/>
          <w:sz w:val="18"/>
        </w:rPr>
        <w:t>“Year”</w:t>
      </w:r>
      <w:r>
        <w:rPr>
          <w:i/>
          <w:spacing w:val="-2"/>
          <w:sz w:val="18"/>
        </w:rPr>
        <w:t> </w:t>
      </w:r>
      <w:r>
        <w:rPr>
          <w:i/>
          <w:sz w:val="18"/>
        </w:rPr>
        <w:t>column </w:t>
      </w:r>
      <w:r>
        <w:rPr>
          <w:i/>
          <w:w w:val="105"/>
          <w:sz w:val="18"/>
        </w:rPr>
        <w:t>captures</w:t>
      </w:r>
      <w:r>
        <w:rPr>
          <w:i/>
          <w:spacing w:val="-13"/>
          <w:w w:val="105"/>
          <w:sz w:val="18"/>
        </w:rPr>
        <w:t> </w:t>
      </w:r>
      <w:r>
        <w:rPr>
          <w:i/>
          <w:w w:val="105"/>
          <w:sz w:val="18"/>
        </w:rPr>
        <w:t>the</w:t>
      </w:r>
      <w:r>
        <w:rPr>
          <w:i/>
          <w:spacing w:val="-13"/>
          <w:w w:val="105"/>
          <w:sz w:val="18"/>
        </w:rPr>
        <w:t> </w:t>
      </w:r>
      <w:r>
        <w:rPr>
          <w:i/>
          <w:w w:val="105"/>
          <w:sz w:val="18"/>
        </w:rPr>
        <w:t>ﬁnancial</w:t>
      </w:r>
      <w:r>
        <w:rPr>
          <w:i/>
          <w:spacing w:val="-13"/>
          <w:w w:val="105"/>
          <w:sz w:val="18"/>
        </w:rPr>
        <w:t> </w:t>
      </w:r>
      <w:r>
        <w:rPr>
          <w:i/>
          <w:w w:val="105"/>
          <w:sz w:val="18"/>
        </w:rPr>
        <w:t>commitment</w:t>
      </w:r>
      <w:r>
        <w:rPr>
          <w:i/>
          <w:spacing w:val="-13"/>
          <w:w w:val="105"/>
          <w:sz w:val="18"/>
        </w:rPr>
        <w:t> </w:t>
      </w:r>
      <w:r>
        <w:rPr>
          <w:i/>
          <w:w w:val="105"/>
          <w:sz w:val="18"/>
        </w:rPr>
        <w:t>year.</w:t>
      </w:r>
      <w:r>
        <w:rPr>
          <w:i/>
          <w:spacing w:val="-13"/>
          <w:w w:val="105"/>
          <w:sz w:val="18"/>
        </w:rPr>
        <w:t> </w:t>
      </w:r>
      <w:r>
        <w:rPr>
          <w:i/>
          <w:w w:val="105"/>
          <w:sz w:val="18"/>
        </w:rPr>
        <w:t>The</w:t>
      </w:r>
      <w:r>
        <w:rPr>
          <w:i/>
          <w:spacing w:val="-13"/>
          <w:w w:val="105"/>
          <w:sz w:val="18"/>
        </w:rPr>
        <w:t> </w:t>
      </w:r>
      <w:r>
        <w:rPr>
          <w:i/>
          <w:w w:val="105"/>
          <w:sz w:val="18"/>
        </w:rPr>
        <w:t>“Value</w:t>
      </w:r>
      <w:r>
        <w:rPr>
          <w:i/>
          <w:spacing w:val="-13"/>
          <w:w w:val="105"/>
          <w:sz w:val="18"/>
        </w:rPr>
        <w:t> </w:t>
      </w:r>
      <w:r>
        <w:rPr>
          <w:i/>
          <w:w w:val="105"/>
          <w:sz w:val="18"/>
        </w:rPr>
        <w:t>of</w:t>
      </w:r>
      <w:r>
        <w:rPr>
          <w:i/>
          <w:spacing w:val="-13"/>
          <w:w w:val="105"/>
          <w:sz w:val="18"/>
        </w:rPr>
        <w:t> </w:t>
      </w:r>
      <w:r>
        <w:rPr>
          <w:i/>
          <w:w w:val="105"/>
          <w:sz w:val="18"/>
        </w:rPr>
        <w:t>Loan”</w:t>
      </w:r>
      <w:r>
        <w:rPr>
          <w:i/>
          <w:spacing w:val="-13"/>
          <w:w w:val="105"/>
          <w:sz w:val="18"/>
        </w:rPr>
        <w:t> </w:t>
      </w:r>
      <w:r>
        <w:rPr>
          <w:i/>
          <w:w w:val="105"/>
          <w:sz w:val="18"/>
        </w:rPr>
        <w:t>column</w:t>
      </w:r>
      <w:r>
        <w:rPr>
          <w:i/>
          <w:spacing w:val="-13"/>
          <w:w w:val="105"/>
          <w:sz w:val="18"/>
        </w:rPr>
        <w:t> </w:t>
      </w:r>
      <w:r>
        <w:rPr>
          <w:i/>
          <w:w w:val="105"/>
          <w:sz w:val="18"/>
        </w:rPr>
        <w:t>captures</w:t>
      </w:r>
      <w:r>
        <w:rPr>
          <w:i/>
          <w:spacing w:val="-13"/>
          <w:w w:val="105"/>
          <w:sz w:val="18"/>
        </w:rPr>
        <w:t> </w:t>
      </w:r>
      <w:r>
        <w:rPr>
          <w:i/>
          <w:w w:val="105"/>
          <w:sz w:val="18"/>
        </w:rPr>
        <w:t>the</w:t>
      </w:r>
      <w:r>
        <w:rPr>
          <w:i/>
          <w:spacing w:val="-13"/>
          <w:w w:val="105"/>
          <w:sz w:val="18"/>
        </w:rPr>
        <w:t> </w:t>
      </w:r>
      <w:r>
        <w:rPr>
          <w:i/>
          <w:w w:val="105"/>
          <w:sz w:val="18"/>
        </w:rPr>
        <w:t>aggregate</w:t>
      </w:r>
      <w:r>
        <w:rPr>
          <w:i/>
          <w:spacing w:val="-13"/>
          <w:w w:val="105"/>
          <w:sz w:val="18"/>
        </w:rPr>
        <w:t> </w:t>
      </w:r>
      <w:r>
        <w:rPr>
          <w:i/>
          <w:w w:val="105"/>
          <w:sz w:val="18"/>
        </w:rPr>
        <w:t>monetary </w:t>
      </w:r>
      <w:r>
        <w:rPr>
          <w:i/>
          <w:sz w:val="18"/>
        </w:rPr>
        <w:t>value of all syndicated loan tranches/contributions. The “Chinese Participants” column captures all ofﬁcial sector Chinese participants in the syndicate. The “Total Number of Participants” column captures the total </w:t>
      </w:r>
      <w:r>
        <w:rPr>
          <w:i/>
          <w:w w:val="105"/>
          <w:sz w:val="18"/>
        </w:rPr>
        <w:t>number</w:t>
      </w:r>
      <w:r>
        <w:rPr>
          <w:i/>
          <w:spacing w:val="-9"/>
          <w:w w:val="105"/>
          <w:sz w:val="18"/>
        </w:rPr>
        <w:t> </w:t>
      </w:r>
      <w:r>
        <w:rPr>
          <w:i/>
          <w:w w:val="105"/>
          <w:sz w:val="18"/>
        </w:rPr>
        <w:t>of</w:t>
      </w:r>
      <w:r>
        <w:rPr>
          <w:i/>
          <w:spacing w:val="-9"/>
          <w:w w:val="105"/>
          <w:sz w:val="18"/>
        </w:rPr>
        <w:t> </w:t>
      </w:r>
      <w:r>
        <w:rPr>
          <w:i/>
          <w:w w:val="105"/>
          <w:sz w:val="18"/>
        </w:rPr>
        <w:t>Chinese</w:t>
      </w:r>
      <w:r>
        <w:rPr>
          <w:i/>
          <w:spacing w:val="-9"/>
          <w:w w:val="105"/>
          <w:sz w:val="18"/>
        </w:rPr>
        <w:t> </w:t>
      </w:r>
      <w:r>
        <w:rPr>
          <w:i/>
          <w:w w:val="105"/>
          <w:sz w:val="18"/>
        </w:rPr>
        <w:t>and</w:t>
      </w:r>
      <w:r>
        <w:rPr>
          <w:i/>
          <w:spacing w:val="-9"/>
          <w:w w:val="105"/>
          <w:sz w:val="18"/>
        </w:rPr>
        <w:t> </w:t>
      </w:r>
      <w:r>
        <w:rPr>
          <w:i/>
          <w:w w:val="105"/>
          <w:sz w:val="18"/>
        </w:rPr>
        <w:t>non-Chinese</w:t>
      </w:r>
      <w:r>
        <w:rPr>
          <w:i/>
          <w:spacing w:val="-9"/>
          <w:w w:val="105"/>
          <w:sz w:val="18"/>
        </w:rPr>
        <w:t> </w:t>
      </w:r>
      <w:r>
        <w:rPr>
          <w:i/>
          <w:w w:val="105"/>
          <w:sz w:val="18"/>
        </w:rPr>
        <w:t>creditors</w:t>
      </w:r>
      <w:r>
        <w:rPr>
          <w:i/>
          <w:spacing w:val="-9"/>
          <w:w w:val="105"/>
          <w:sz w:val="18"/>
        </w:rPr>
        <w:t> </w:t>
      </w:r>
      <w:r>
        <w:rPr>
          <w:i/>
          <w:w w:val="105"/>
          <w:sz w:val="18"/>
        </w:rPr>
        <w:t>that</w:t>
      </w:r>
      <w:r>
        <w:rPr>
          <w:i/>
          <w:spacing w:val="-9"/>
          <w:w w:val="105"/>
          <w:sz w:val="18"/>
        </w:rPr>
        <w:t> </w:t>
      </w:r>
      <w:r>
        <w:rPr>
          <w:i/>
          <w:w w:val="105"/>
          <w:sz w:val="18"/>
        </w:rPr>
        <w:t>participated</w:t>
      </w:r>
      <w:r>
        <w:rPr>
          <w:i/>
          <w:spacing w:val="-9"/>
          <w:w w:val="105"/>
          <w:sz w:val="18"/>
        </w:rPr>
        <w:t> </w:t>
      </w:r>
      <w:r>
        <w:rPr>
          <w:i/>
          <w:w w:val="105"/>
          <w:sz w:val="18"/>
        </w:rPr>
        <w:t>in</w:t>
      </w:r>
      <w:r>
        <w:rPr>
          <w:i/>
          <w:spacing w:val="-9"/>
          <w:w w:val="105"/>
          <w:sz w:val="18"/>
        </w:rPr>
        <w:t> </w:t>
      </w:r>
      <w:r>
        <w:rPr>
          <w:i/>
          <w:w w:val="105"/>
          <w:sz w:val="18"/>
        </w:rPr>
        <w:t>the</w:t>
      </w:r>
      <w:r>
        <w:rPr>
          <w:i/>
          <w:spacing w:val="-9"/>
          <w:w w:val="105"/>
          <w:sz w:val="18"/>
        </w:rPr>
        <w:t> </w:t>
      </w:r>
      <w:r>
        <w:rPr>
          <w:i/>
          <w:w w:val="105"/>
          <w:sz w:val="18"/>
        </w:rPr>
        <w:t>syndicate.</w:t>
      </w:r>
    </w:p>
    <w:p>
      <w:pPr>
        <w:pStyle w:val="BodyText"/>
        <w:rPr>
          <w:i/>
          <w:sz w:val="18"/>
        </w:rPr>
      </w:pPr>
    </w:p>
    <w:p>
      <w:pPr>
        <w:pStyle w:val="BodyText"/>
        <w:spacing w:line="333" w:lineRule="auto" w:before="111"/>
        <w:ind w:left="760" w:right="790"/>
      </w:pPr>
      <w:r>
        <w:rPr>
          <w:w w:val="105"/>
        </w:rPr>
        <w:t>Figure</w:t>
      </w:r>
      <w:r>
        <w:rPr>
          <w:spacing w:val="-16"/>
          <w:w w:val="105"/>
        </w:rPr>
        <w:t> </w:t>
      </w:r>
      <w:r>
        <w:rPr>
          <w:w w:val="105"/>
        </w:rPr>
        <w:t>2.23</w:t>
      </w:r>
      <w:r>
        <w:rPr>
          <w:spacing w:val="-16"/>
          <w:w w:val="105"/>
        </w:rPr>
        <w:t> </w:t>
      </w:r>
      <w:r>
        <w:rPr>
          <w:w w:val="105"/>
        </w:rPr>
        <w:t>above</w:t>
      </w:r>
      <w:r>
        <w:rPr>
          <w:spacing w:val="-16"/>
          <w:w w:val="105"/>
        </w:rPr>
        <w:t> </w:t>
      </w:r>
      <w:r>
        <w:rPr>
          <w:w w:val="105"/>
        </w:rPr>
        <w:t>highlights</w:t>
      </w:r>
      <w:r>
        <w:rPr>
          <w:spacing w:val="-16"/>
          <w:w w:val="105"/>
        </w:rPr>
        <w:t> </w:t>
      </w:r>
      <w:r>
        <w:rPr>
          <w:w w:val="105"/>
        </w:rPr>
        <w:t>another</w:t>
      </w:r>
      <w:r>
        <w:rPr>
          <w:spacing w:val="-16"/>
          <w:w w:val="105"/>
        </w:rPr>
        <w:t> </w:t>
      </w:r>
      <w:r>
        <w:rPr>
          <w:w w:val="105"/>
        </w:rPr>
        <w:t>interesting</w:t>
      </w:r>
      <w:r>
        <w:rPr>
          <w:spacing w:val="-16"/>
          <w:w w:val="105"/>
        </w:rPr>
        <w:t> </w:t>
      </w:r>
      <w:r>
        <w:rPr>
          <w:w w:val="105"/>
        </w:rPr>
        <w:t>trend:</w:t>
      </w:r>
      <w:r>
        <w:rPr>
          <w:spacing w:val="-16"/>
          <w:w w:val="105"/>
        </w:rPr>
        <w:t> </w:t>
      </w:r>
      <w:r>
        <w:rPr>
          <w:w w:val="105"/>
        </w:rPr>
        <w:t>a</w:t>
      </w:r>
      <w:r>
        <w:rPr>
          <w:spacing w:val="-16"/>
          <w:w w:val="105"/>
        </w:rPr>
        <w:t> </w:t>
      </w:r>
      <w:r>
        <w:rPr>
          <w:w w:val="105"/>
        </w:rPr>
        <w:t>modest</w:t>
      </w:r>
      <w:r>
        <w:rPr>
          <w:spacing w:val="-16"/>
          <w:w w:val="105"/>
        </w:rPr>
        <w:t> </w:t>
      </w:r>
      <w:r>
        <w:rPr>
          <w:w w:val="105"/>
        </w:rPr>
        <w:t>increase</w:t>
      </w:r>
      <w:r>
        <w:rPr>
          <w:spacing w:val="-16"/>
          <w:w w:val="105"/>
        </w:rPr>
        <w:t> </w:t>
      </w:r>
      <w:r>
        <w:rPr>
          <w:w w:val="105"/>
        </w:rPr>
        <w:t>in </w:t>
      </w:r>
      <w:r>
        <w:rPr/>
        <w:t>Chinese lending that is channeled via multilateral institutions during the BRI era (2014-2021). During the ﬁve year period that preceded the BRI (2009-2013), 2% of China’s non-emergency lending to LICs and MICs was channeled via multilateral institutions. This ﬁgure doubled (to 4%) during the ﬁrst eight years </w:t>
      </w:r>
      <w:r>
        <w:rPr/>
        <w:t>of </w:t>
      </w:r>
      <w:r>
        <w:rPr>
          <w:spacing w:val="-2"/>
          <w:w w:val="105"/>
        </w:rPr>
        <w:t>BRI</w:t>
      </w:r>
      <w:r>
        <w:rPr>
          <w:spacing w:val="-3"/>
          <w:w w:val="105"/>
        </w:rPr>
        <w:t> </w:t>
      </w:r>
      <w:r>
        <w:rPr>
          <w:spacing w:val="-2"/>
          <w:w w:val="105"/>
        </w:rPr>
        <w:t>implementation</w:t>
      </w:r>
      <w:r>
        <w:rPr>
          <w:spacing w:val="-3"/>
          <w:w w:val="105"/>
        </w:rPr>
        <w:t> </w:t>
      </w:r>
      <w:r>
        <w:rPr>
          <w:spacing w:val="-2"/>
          <w:w w:val="105"/>
        </w:rPr>
        <w:t>(2014-2021).</w:t>
      </w:r>
      <w:r>
        <w:rPr>
          <w:spacing w:val="-2"/>
          <w:w w:val="105"/>
          <w:vertAlign w:val="superscript"/>
        </w:rPr>
        <w:t>205</w:t>
      </w:r>
    </w:p>
    <w:p>
      <w:pPr>
        <w:pStyle w:val="BodyText"/>
        <w:spacing w:before="6"/>
        <w:rPr>
          <w:sz w:val="27"/>
        </w:rPr>
      </w:pPr>
    </w:p>
    <w:p>
      <w:pPr>
        <w:pStyle w:val="BodyText"/>
        <w:spacing w:line="333" w:lineRule="auto"/>
        <w:ind w:left="760" w:right="825"/>
      </w:pPr>
      <w:r>
        <w:rPr>
          <w:w w:val="105"/>
        </w:rPr>
        <w:t>One</w:t>
      </w:r>
      <w:r>
        <w:rPr>
          <w:spacing w:val="-14"/>
          <w:w w:val="105"/>
        </w:rPr>
        <w:t> </w:t>
      </w:r>
      <w:r>
        <w:rPr>
          <w:w w:val="105"/>
        </w:rPr>
        <w:t>of</w:t>
      </w:r>
      <w:r>
        <w:rPr>
          <w:spacing w:val="-14"/>
          <w:w w:val="105"/>
        </w:rPr>
        <w:t> </w:t>
      </w:r>
      <w:r>
        <w:rPr>
          <w:w w:val="105"/>
        </w:rPr>
        <w:t>China’s</w:t>
      </w:r>
      <w:r>
        <w:rPr>
          <w:spacing w:val="-14"/>
          <w:w w:val="105"/>
        </w:rPr>
        <w:t> </w:t>
      </w:r>
      <w:r>
        <w:rPr>
          <w:w w:val="105"/>
        </w:rPr>
        <w:t>initial</w:t>
      </w:r>
      <w:r>
        <w:rPr>
          <w:spacing w:val="-14"/>
          <w:w w:val="105"/>
        </w:rPr>
        <w:t> </w:t>
      </w:r>
      <w:r>
        <w:rPr>
          <w:w w:val="105"/>
        </w:rPr>
        <w:t>forays</w:t>
      </w:r>
      <w:r>
        <w:rPr>
          <w:spacing w:val="-14"/>
          <w:w w:val="105"/>
        </w:rPr>
        <w:t> </w:t>
      </w:r>
      <w:r>
        <w:rPr>
          <w:w w:val="105"/>
        </w:rPr>
        <w:t>into</w:t>
      </w:r>
      <w:r>
        <w:rPr>
          <w:spacing w:val="-14"/>
          <w:w w:val="105"/>
        </w:rPr>
        <w:t> </w:t>
      </w:r>
      <w:r>
        <w:rPr>
          <w:w w:val="105"/>
        </w:rPr>
        <w:t>entrusted</w:t>
      </w:r>
      <w:r>
        <w:rPr>
          <w:spacing w:val="-14"/>
          <w:w w:val="105"/>
        </w:rPr>
        <w:t> </w:t>
      </w:r>
      <w:r>
        <w:rPr>
          <w:w w:val="105"/>
        </w:rPr>
        <w:t>lending</w:t>
      </w:r>
      <w:r>
        <w:rPr>
          <w:spacing w:val="-14"/>
          <w:w w:val="105"/>
        </w:rPr>
        <w:t> </w:t>
      </w:r>
      <w:r>
        <w:rPr>
          <w:w w:val="105"/>
        </w:rPr>
        <w:t>via</w:t>
      </w:r>
      <w:r>
        <w:rPr>
          <w:spacing w:val="-14"/>
          <w:w w:val="105"/>
        </w:rPr>
        <w:t> </w:t>
      </w:r>
      <w:r>
        <w:rPr>
          <w:w w:val="105"/>
        </w:rPr>
        <w:t>multilateral</w:t>
      </w:r>
      <w:r>
        <w:rPr>
          <w:spacing w:val="-14"/>
          <w:w w:val="105"/>
        </w:rPr>
        <w:t> </w:t>
      </w:r>
      <w:r>
        <w:rPr>
          <w:w w:val="105"/>
        </w:rPr>
        <w:t>institutions </w:t>
      </w:r>
      <w:r>
        <w:rPr/>
        <w:t>began in 2013 and 2014, with the creation of the Africa Growing Together Fund (AGTF) at the African Development Bank, the China Co-ﬁnancing Fund for Latin </w:t>
      </w:r>
      <w:r>
        <w:rPr>
          <w:w w:val="105"/>
        </w:rPr>
        <w:t>America</w:t>
      </w:r>
      <w:r>
        <w:rPr>
          <w:spacing w:val="-18"/>
          <w:w w:val="105"/>
        </w:rPr>
        <w:t> </w:t>
      </w:r>
      <w:r>
        <w:rPr>
          <w:w w:val="105"/>
        </w:rPr>
        <w:t>and</w:t>
      </w:r>
      <w:r>
        <w:rPr>
          <w:spacing w:val="-17"/>
          <w:w w:val="105"/>
        </w:rPr>
        <w:t> </w:t>
      </w:r>
      <w:r>
        <w:rPr>
          <w:w w:val="105"/>
        </w:rPr>
        <w:t>the</w:t>
      </w:r>
      <w:r>
        <w:rPr>
          <w:spacing w:val="-18"/>
          <w:w w:val="105"/>
        </w:rPr>
        <w:t> </w:t>
      </w:r>
      <w:r>
        <w:rPr>
          <w:w w:val="105"/>
        </w:rPr>
        <w:t>Caribbean</w:t>
      </w:r>
      <w:r>
        <w:rPr>
          <w:spacing w:val="-18"/>
          <w:w w:val="105"/>
        </w:rPr>
        <w:t> </w:t>
      </w:r>
      <w:r>
        <w:rPr>
          <w:w w:val="105"/>
        </w:rPr>
        <w:t>at</w:t>
      </w:r>
      <w:r>
        <w:rPr>
          <w:spacing w:val="-17"/>
          <w:w w:val="105"/>
        </w:rPr>
        <w:t> </w:t>
      </w:r>
      <w:r>
        <w:rPr>
          <w:w w:val="105"/>
        </w:rPr>
        <w:t>the</w:t>
      </w:r>
      <w:r>
        <w:rPr>
          <w:spacing w:val="-18"/>
          <w:w w:val="105"/>
        </w:rPr>
        <w:t> </w:t>
      </w:r>
      <w:r>
        <w:rPr>
          <w:w w:val="105"/>
        </w:rPr>
        <w:t>Inter-American</w:t>
      </w:r>
      <w:r>
        <w:rPr>
          <w:spacing w:val="-17"/>
          <w:w w:val="105"/>
        </w:rPr>
        <w:t> </w:t>
      </w:r>
      <w:r>
        <w:rPr>
          <w:w w:val="105"/>
        </w:rPr>
        <w:t>Development</w:t>
      </w:r>
      <w:r>
        <w:rPr>
          <w:spacing w:val="-18"/>
          <w:w w:val="105"/>
        </w:rPr>
        <w:t> </w:t>
      </w:r>
      <w:r>
        <w:rPr>
          <w:w w:val="105"/>
        </w:rPr>
        <w:t>Bank,</w:t>
      </w:r>
      <w:r>
        <w:rPr>
          <w:spacing w:val="-17"/>
          <w:w w:val="105"/>
        </w:rPr>
        <w:t> </w:t>
      </w:r>
      <w:r>
        <w:rPr>
          <w:w w:val="105"/>
        </w:rPr>
        <w:t>and</w:t>
      </w:r>
      <w:r>
        <w:rPr>
          <w:spacing w:val="-18"/>
          <w:w w:val="105"/>
        </w:rPr>
        <w:t> </w:t>
      </w:r>
      <w:r>
        <w:rPr>
          <w:w w:val="105"/>
        </w:rPr>
        <w:t>the </w:t>
      </w:r>
      <w:r>
        <w:rPr/>
        <w:t>Managed Co-Lending Portfolio Program (MCPP) at the International Finance Corporation</w:t>
      </w:r>
      <w:r>
        <w:rPr>
          <w:spacing w:val="-10"/>
        </w:rPr>
        <w:t> </w:t>
      </w:r>
      <w:r>
        <w:rPr/>
        <w:t>(IFC).</w:t>
      </w:r>
      <w:r>
        <w:rPr>
          <w:spacing w:val="-10"/>
        </w:rPr>
        <w:t> </w:t>
      </w:r>
      <w:r>
        <w:rPr/>
        <w:t>The</w:t>
      </w:r>
      <w:r>
        <w:rPr>
          <w:spacing w:val="-10"/>
        </w:rPr>
        <w:t> </w:t>
      </w:r>
      <w:r>
        <w:rPr/>
        <w:t>MCPP,</w:t>
      </w:r>
      <w:r>
        <w:rPr>
          <w:spacing w:val="-10"/>
        </w:rPr>
        <w:t> </w:t>
      </w:r>
      <w:r>
        <w:rPr/>
        <w:t>which</w:t>
      </w:r>
      <w:r>
        <w:rPr>
          <w:spacing w:val="-10"/>
        </w:rPr>
        <w:t> </w:t>
      </w:r>
      <w:r>
        <w:rPr/>
        <w:t>was</w:t>
      </w:r>
      <w:r>
        <w:rPr>
          <w:spacing w:val="-10"/>
        </w:rPr>
        <w:t> </w:t>
      </w:r>
      <w:r>
        <w:rPr/>
        <w:t>launched</w:t>
      </w:r>
      <w:r>
        <w:rPr>
          <w:spacing w:val="-10"/>
        </w:rPr>
        <w:t> </w:t>
      </w:r>
      <w:r>
        <w:rPr/>
        <w:t>by</w:t>
      </w:r>
      <w:r>
        <w:rPr>
          <w:spacing w:val="-10"/>
        </w:rPr>
        <w:t> </w:t>
      </w:r>
      <w:r>
        <w:rPr/>
        <w:t>the</w:t>
      </w:r>
      <w:r>
        <w:rPr>
          <w:spacing w:val="-10"/>
        </w:rPr>
        <w:t> </w:t>
      </w:r>
      <w:r>
        <w:rPr/>
        <w:t>IFC</w:t>
      </w:r>
      <w:r>
        <w:rPr>
          <w:spacing w:val="-10"/>
        </w:rPr>
        <w:t> </w:t>
      </w:r>
      <w:r>
        <w:rPr/>
        <w:t>in</w:t>
      </w:r>
      <w:r>
        <w:rPr>
          <w:spacing w:val="-10"/>
        </w:rPr>
        <w:t> </w:t>
      </w:r>
      <w:r>
        <w:rPr/>
        <w:t>partnership</w:t>
      </w:r>
      <w:r>
        <w:rPr>
          <w:spacing w:val="-10"/>
        </w:rPr>
        <w:t> </w:t>
      </w:r>
      <w:r>
        <w:rPr/>
        <w:t>with China’s State Administration for Foreign Exchange (SAFE), helps illustrate the </w:t>
      </w:r>
      <w:r>
        <w:rPr>
          <w:w w:val="105"/>
        </w:rPr>
        <w:t>logic</w:t>
      </w:r>
      <w:r>
        <w:rPr>
          <w:spacing w:val="-16"/>
          <w:w w:val="105"/>
        </w:rPr>
        <w:t> </w:t>
      </w:r>
      <w:r>
        <w:rPr>
          <w:w w:val="105"/>
        </w:rPr>
        <w:t>of</w:t>
      </w:r>
      <w:r>
        <w:rPr>
          <w:spacing w:val="-16"/>
          <w:w w:val="105"/>
        </w:rPr>
        <w:t> </w:t>
      </w:r>
      <w:r>
        <w:rPr>
          <w:w w:val="105"/>
        </w:rPr>
        <w:t>an</w:t>
      </w:r>
      <w:r>
        <w:rPr>
          <w:spacing w:val="-16"/>
          <w:w w:val="105"/>
        </w:rPr>
        <w:t> </w:t>
      </w:r>
      <w:r>
        <w:rPr>
          <w:w w:val="105"/>
        </w:rPr>
        <w:t>entrusted</w:t>
      </w:r>
      <w:r>
        <w:rPr>
          <w:spacing w:val="-16"/>
          <w:w w:val="105"/>
        </w:rPr>
        <w:t> </w:t>
      </w:r>
      <w:r>
        <w:rPr>
          <w:w w:val="105"/>
        </w:rPr>
        <w:t>loan</w:t>
      </w:r>
      <w:r>
        <w:rPr>
          <w:spacing w:val="-16"/>
          <w:w w:val="105"/>
        </w:rPr>
        <w:t> </w:t>
      </w:r>
      <w:r>
        <w:rPr>
          <w:w w:val="105"/>
        </w:rPr>
        <w:t>agreement</w:t>
      </w:r>
      <w:r>
        <w:rPr>
          <w:spacing w:val="-16"/>
          <w:w w:val="105"/>
        </w:rPr>
        <w:t> </w:t>
      </w:r>
      <w:r>
        <w:rPr>
          <w:w w:val="105"/>
        </w:rPr>
        <w:t>with</w:t>
      </w:r>
      <w:r>
        <w:rPr>
          <w:spacing w:val="-16"/>
          <w:w w:val="105"/>
        </w:rPr>
        <w:t> </w:t>
      </w:r>
      <w:r>
        <w:rPr>
          <w:w w:val="105"/>
        </w:rPr>
        <w:t>a</w:t>
      </w:r>
      <w:r>
        <w:rPr>
          <w:spacing w:val="-16"/>
          <w:w w:val="105"/>
        </w:rPr>
        <w:t> </w:t>
      </w:r>
      <w:r>
        <w:rPr>
          <w:w w:val="105"/>
        </w:rPr>
        <w:t>multilateral</w:t>
      </w:r>
      <w:r>
        <w:rPr>
          <w:spacing w:val="-16"/>
          <w:w w:val="105"/>
        </w:rPr>
        <w:t> </w:t>
      </w:r>
      <w:r>
        <w:rPr>
          <w:w w:val="105"/>
        </w:rPr>
        <w:t>institution.</w:t>
      </w:r>
      <w:r>
        <w:rPr>
          <w:spacing w:val="-16"/>
          <w:w w:val="105"/>
        </w:rPr>
        <w:t> </w:t>
      </w:r>
      <w:r>
        <w:rPr>
          <w:w w:val="105"/>
        </w:rPr>
        <w:t>Rather</w:t>
      </w:r>
      <w:r>
        <w:rPr>
          <w:spacing w:val="-16"/>
          <w:w w:val="105"/>
        </w:rPr>
        <w:t> </w:t>
      </w:r>
      <w:r>
        <w:rPr>
          <w:w w:val="105"/>
        </w:rPr>
        <w:t>than </w:t>
      </w:r>
      <w:r>
        <w:rPr/>
        <w:t>directly lending to borrowers in developing countries, SAFE entrusted $3 billion </w:t>
      </w:r>
      <w:r>
        <w:rPr>
          <w:w w:val="105"/>
        </w:rPr>
        <w:t>to</w:t>
      </w:r>
      <w:r>
        <w:rPr>
          <w:spacing w:val="-18"/>
          <w:w w:val="105"/>
        </w:rPr>
        <w:t> </w:t>
      </w:r>
      <w:r>
        <w:rPr>
          <w:w w:val="105"/>
        </w:rPr>
        <w:t>the</w:t>
      </w:r>
      <w:r>
        <w:rPr>
          <w:spacing w:val="-17"/>
          <w:w w:val="105"/>
        </w:rPr>
        <w:t> </w:t>
      </w:r>
      <w:r>
        <w:rPr>
          <w:w w:val="105"/>
        </w:rPr>
        <w:t>IFC</w:t>
      </w:r>
      <w:r>
        <w:rPr>
          <w:spacing w:val="-18"/>
          <w:w w:val="105"/>
        </w:rPr>
        <w:t> </w:t>
      </w:r>
      <w:r>
        <w:rPr>
          <w:w w:val="105"/>
        </w:rPr>
        <w:t>and</w:t>
      </w:r>
      <w:r>
        <w:rPr>
          <w:spacing w:val="-18"/>
          <w:w w:val="105"/>
        </w:rPr>
        <w:t> </w:t>
      </w:r>
      <w:r>
        <w:rPr>
          <w:w w:val="105"/>
        </w:rPr>
        <w:t>“leverage[d]</w:t>
      </w:r>
      <w:r>
        <w:rPr>
          <w:spacing w:val="-17"/>
          <w:w w:val="105"/>
        </w:rPr>
        <w:t> </w:t>
      </w:r>
      <w:r>
        <w:rPr>
          <w:w w:val="105"/>
        </w:rPr>
        <w:t>IFC’s</w:t>
      </w:r>
      <w:r>
        <w:rPr>
          <w:spacing w:val="-18"/>
          <w:w w:val="105"/>
        </w:rPr>
        <w:t> </w:t>
      </w:r>
      <w:r>
        <w:rPr>
          <w:w w:val="105"/>
        </w:rPr>
        <w:t>project</w:t>
      </w:r>
      <w:r>
        <w:rPr>
          <w:spacing w:val="-17"/>
          <w:w w:val="105"/>
        </w:rPr>
        <w:t> </w:t>
      </w:r>
      <w:r>
        <w:rPr>
          <w:w w:val="105"/>
        </w:rPr>
        <w:t>pipeline</w:t>
      </w:r>
      <w:r>
        <w:rPr>
          <w:spacing w:val="-18"/>
          <w:w w:val="105"/>
        </w:rPr>
        <w:t> </w:t>
      </w:r>
      <w:r>
        <w:rPr>
          <w:w w:val="105"/>
        </w:rPr>
        <w:t>and</w:t>
      </w:r>
      <w:r>
        <w:rPr>
          <w:spacing w:val="-17"/>
          <w:w w:val="105"/>
        </w:rPr>
        <w:t> </w:t>
      </w:r>
      <w:r>
        <w:rPr>
          <w:w w:val="105"/>
        </w:rPr>
        <w:t>due</w:t>
      </w:r>
      <w:r>
        <w:rPr>
          <w:spacing w:val="-18"/>
          <w:w w:val="105"/>
        </w:rPr>
        <w:t> </w:t>
      </w:r>
      <w:r>
        <w:rPr>
          <w:w w:val="105"/>
        </w:rPr>
        <w:t>diligence</w:t>
      </w:r>
      <w:r>
        <w:rPr>
          <w:spacing w:val="-17"/>
          <w:w w:val="105"/>
        </w:rPr>
        <w:t> </w:t>
      </w:r>
      <w:r>
        <w:rPr>
          <w:w w:val="105"/>
        </w:rPr>
        <w:t>skills</w:t>
      </w:r>
      <w:r>
        <w:rPr>
          <w:spacing w:val="-18"/>
          <w:w w:val="105"/>
        </w:rPr>
        <w:t> </w:t>
      </w:r>
      <w:r>
        <w:rPr>
          <w:w w:val="105"/>
        </w:rPr>
        <w:t>to</w:t>
      </w:r>
      <w:r>
        <w:rPr>
          <w:spacing w:val="-17"/>
          <w:w w:val="105"/>
        </w:rPr>
        <w:t> </w:t>
      </w:r>
      <w:r>
        <w:rPr>
          <w:w w:val="105"/>
        </w:rPr>
        <w:t>[...]</w:t>
      </w:r>
    </w:p>
    <w:p>
      <w:pPr>
        <w:pStyle w:val="BodyText"/>
        <w:rPr>
          <w:sz w:val="28"/>
        </w:rPr>
      </w:pPr>
      <w:r>
        <w:rPr/>
        <w:pict>
          <v:shape style="position:absolute;margin-left:90pt;margin-top:17.340137pt;width:144pt;height:.1pt;mso-position-horizontal-relative:page;mso-position-vertical-relative:paragraph;z-index:-15669760;mso-wrap-distance-left:0;mso-wrap-distance-right:0" id="docshape97" coordorigin="1800,347" coordsize="2880,0" path="m1800,347l4680,347e" filled="false" stroked="true" strokeweight=".75pt" strokecolor="#000000">
            <v:path arrowok="t"/>
            <v:stroke dashstyle="solid"/>
            <w10:wrap type="topAndBottom"/>
          </v:shape>
        </w:pict>
      </w:r>
    </w:p>
    <w:p>
      <w:pPr>
        <w:spacing w:before="104"/>
        <w:ind w:left="760" w:right="0" w:firstLine="0"/>
        <w:jc w:val="left"/>
        <w:rPr>
          <w:sz w:val="18"/>
        </w:rPr>
      </w:pPr>
      <w:r>
        <w:rPr>
          <w:sz w:val="18"/>
          <w:vertAlign w:val="superscript"/>
        </w:rPr>
        <w:t>205</w:t>
      </w:r>
      <w:r>
        <w:rPr>
          <w:spacing w:val="-6"/>
          <w:sz w:val="18"/>
          <w:vertAlign w:val="baseline"/>
        </w:rPr>
        <w:t> </w:t>
      </w:r>
      <w:r>
        <w:rPr>
          <w:sz w:val="18"/>
          <w:vertAlign w:val="baseline"/>
        </w:rPr>
        <w:t>Figure</w:t>
      </w:r>
      <w:r>
        <w:rPr>
          <w:spacing w:val="-4"/>
          <w:sz w:val="18"/>
          <w:vertAlign w:val="baseline"/>
        </w:rPr>
        <w:t> </w:t>
      </w:r>
      <w:r>
        <w:rPr>
          <w:sz w:val="18"/>
          <w:vertAlign w:val="baseline"/>
        </w:rPr>
        <w:t>2.23</w:t>
      </w:r>
      <w:r>
        <w:rPr>
          <w:spacing w:val="-5"/>
          <w:sz w:val="18"/>
          <w:vertAlign w:val="baseline"/>
        </w:rPr>
        <w:t> </w:t>
      </w:r>
      <w:r>
        <w:rPr>
          <w:sz w:val="18"/>
          <w:vertAlign w:val="baseline"/>
        </w:rPr>
        <w:t>excludes</w:t>
      </w:r>
      <w:r>
        <w:rPr>
          <w:spacing w:val="-4"/>
          <w:sz w:val="18"/>
          <w:vertAlign w:val="baseline"/>
        </w:rPr>
        <w:t> </w:t>
      </w:r>
      <w:r>
        <w:rPr>
          <w:sz w:val="18"/>
          <w:vertAlign w:val="baseline"/>
        </w:rPr>
        <w:t>emergency</w:t>
      </w:r>
      <w:r>
        <w:rPr>
          <w:spacing w:val="-4"/>
          <w:sz w:val="18"/>
          <w:vertAlign w:val="baseline"/>
        </w:rPr>
        <w:t> </w:t>
      </w:r>
      <w:r>
        <w:rPr>
          <w:sz w:val="18"/>
          <w:vertAlign w:val="baseline"/>
        </w:rPr>
        <w:t>loans</w:t>
      </w:r>
      <w:r>
        <w:rPr>
          <w:spacing w:val="-5"/>
          <w:sz w:val="18"/>
          <w:vertAlign w:val="baseline"/>
        </w:rPr>
        <w:t> </w:t>
      </w:r>
      <w:r>
        <w:rPr>
          <w:sz w:val="18"/>
          <w:vertAlign w:val="baseline"/>
        </w:rPr>
        <w:t>since</w:t>
      </w:r>
      <w:r>
        <w:rPr>
          <w:spacing w:val="-4"/>
          <w:sz w:val="18"/>
          <w:vertAlign w:val="baseline"/>
        </w:rPr>
        <w:t> </w:t>
      </w:r>
      <w:r>
        <w:rPr>
          <w:sz w:val="18"/>
          <w:vertAlign w:val="baseline"/>
        </w:rPr>
        <w:t>they</w:t>
      </w:r>
      <w:r>
        <w:rPr>
          <w:spacing w:val="-4"/>
          <w:sz w:val="18"/>
          <w:vertAlign w:val="baseline"/>
        </w:rPr>
        <w:t> </w:t>
      </w:r>
      <w:r>
        <w:rPr>
          <w:sz w:val="18"/>
          <w:vertAlign w:val="baseline"/>
        </w:rPr>
        <w:t>are</w:t>
      </w:r>
      <w:r>
        <w:rPr>
          <w:spacing w:val="-5"/>
          <w:sz w:val="18"/>
          <w:vertAlign w:val="baseline"/>
        </w:rPr>
        <w:t> </w:t>
      </w:r>
      <w:r>
        <w:rPr>
          <w:sz w:val="18"/>
          <w:vertAlign w:val="baseline"/>
        </w:rPr>
        <w:t>exclusively</w:t>
      </w:r>
      <w:r>
        <w:rPr>
          <w:spacing w:val="-4"/>
          <w:sz w:val="18"/>
          <w:vertAlign w:val="baseline"/>
        </w:rPr>
        <w:t> </w:t>
      </w:r>
      <w:r>
        <w:rPr>
          <w:sz w:val="18"/>
          <w:vertAlign w:val="baseline"/>
        </w:rPr>
        <w:t>provided</w:t>
      </w:r>
      <w:r>
        <w:rPr>
          <w:spacing w:val="-4"/>
          <w:sz w:val="18"/>
          <w:vertAlign w:val="baseline"/>
        </w:rPr>
        <w:t> </w:t>
      </w:r>
      <w:r>
        <w:rPr>
          <w:sz w:val="18"/>
          <w:vertAlign w:val="baseline"/>
        </w:rPr>
        <w:t>via</w:t>
      </w:r>
      <w:r>
        <w:rPr>
          <w:spacing w:val="-5"/>
          <w:sz w:val="18"/>
          <w:vertAlign w:val="baseline"/>
        </w:rPr>
        <w:t> </w:t>
      </w:r>
      <w:r>
        <w:rPr>
          <w:sz w:val="18"/>
          <w:vertAlign w:val="baseline"/>
        </w:rPr>
        <w:t>bilateral</w:t>
      </w:r>
      <w:r>
        <w:rPr>
          <w:spacing w:val="-4"/>
          <w:sz w:val="18"/>
          <w:vertAlign w:val="baseline"/>
        </w:rPr>
        <w:t> </w:t>
      </w:r>
      <w:r>
        <w:rPr>
          <w:spacing w:val="-2"/>
          <w:sz w:val="18"/>
          <w:vertAlign w:val="baseline"/>
        </w:rPr>
        <w:t>channels.</w:t>
      </w:r>
    </w:p>
    <w:p>
      <w:pPr>
        <w:spacing w:after="0"/>
        <w:jc w:val="left"/>
        <w:rPr>
          <w:sz w:val="18"/>
        </w:rPr>
        <w:sectPr>
          <w:type w:val="continuous"/>
          <w:pgSz w:w="12240" w:h="15840"/>
          <w:pgMar w:header="0" w:footer="720" w:top="1460" w:bottom="280" w:left="1040" w:right="1040"/>
        </w:sectPr>
      </w:pPr>
    </w:p>
    <w:p>
      <w:pPr>
        <w:pStyle w:val="BodyText"/>
        <w:spacing w:line="333" w:lineRule="auto" w:before="27"/>
        <w:ind w:left="760" w:right="838"/>
      </w:pPr>
      <w:r>
        <w:rPr>
          <w:w w:val="105"/>
        </w:rPr>
        <w:t>co-lend</w:t>
      </w:r>
      <w:r>
        <w:rPr>
          <w:spacing w:val="-9"/>
          <w:w w:val="105"/>
        </w:rPr>
        <w:t> </w:t>
      </w:r>
      <w:r>
        <w:rPr>
          <w:w w:val="105"/>
        </w:rPr>
        <w:t>to</w:t>
      </w:r>
      <w:r>
        <w:rPr>
          <w:spacing w:val="-9"/>
          <w:w w:val="105"/>
        </w:rPr>
        <w:t> </w:t>
      </w:r>
      <w:r>
        <w:rPr>
          <w:w w:val="105"/>
        </w:rPr>
        <w:t>projects</w:t>
      </w:r>
      <w:r>
        <w:rPr>
          <w:spacing w:val="-9"/>
          <w:w w:val="105"/>
        </w:rPr>
        <w:t> </w:t>
      </w:r>
      <w:r>
        <w:rPr>
          <w:w w:val="105"/>
        </w:rPr>
        <w:t>or</w:t>
      </w:r>
      <w:r>
        <w:rPr>
          <w:spacing w:val="-9"/>
          <w:w w:val="105"/>
        </w:rPr>
        <w:t> </w:t>
      </w:r>
      <w:r>
        <w:rPr>
          <w:w w:val="105"/>
        </w:rPr>
        <w:t>groups</w:t>
      </w:r>
      <w:r>
        <w:rPr>
          <w:spacing w:val="-9"/>
          <w:w w:val="105"/>
        </w:rPr>
        <w:t> </w:t>
      </w:r>
      <w:r>
        <w:rPr>
          <w:w w:val="105"/>
        </w:rPr>
        <w:t>of</w:t>
      </w:r>
      <w:r>
        <w:rPr>
          <w:spacing w:val="-9"/>
          <w:w w:val="105"/>
        </w:rPr>
        <w:t> </w:t>
      </w:r>
      <w:r>
        <w:rPr>
          <w:w w:val="105"/>
        </w:rPr>
        <w:t>projects</w:t>
      </w:r>
      <w:r>
        <w:rPr>
          <w:spacing w:val="-9"/>
          <w:w w:val="105"/>
        </w:rPr>
        <w:t> </w:t>
      </w:r>
      <w:r>
        <w:rPr>
          <w:w w:val="105"/>
        </w:rPr>
        <w:t>alongside</w:t>
      </w:r>
      <w:r>
        <w:rPr>
          <w:spacing w:val="-9"/>
          <w:w w:val="105"/>
        </w:rPr>
        <w:t> </w:t>
      </w:r>
      <w:r>
        <w:rPr>
          <w:w w:val="105"/>
        </w:rPr>
        <w:t>IFC</w:t>
      </w:r>
      <w:r>
        <w:rPr>
          <w:spacing w:val="-9"/>
          <w:w w:val="105"/>
        </w:rPr>
        <w:t> </w:t>
      </w:r>
      <w:r>
        <w:rPr>
          <w:w w:val="105"/>
        </w:rPr>
        <w:t>on</w:t>
      </w:r>
      <w:r>
        <w:rPr>
          <w:spacing w:val="-9"/>
          <w:w w:val="105"/>
        </w:rPr>
        <w:t> </w:t>
      </w:r>
      <w:r>
        <w:rPr>
          <w:w w:val="105"/>
        </w:rPr>
        <w:t>commercial</w:t>
      </w:r>
      <w:r>
        <w:rPr>
          <w:spacing w:val="-9"/>
          <w:w w:val="105"/>
        </w:rPr>
        <w:t> </w:t>
      </w:r>
      <w:r>
        <w:rPr>
          <w:w w:val="105"/>
        </w:rPr>
        <w:t>terms” </w:t>
      </w:r>
      <w:r>
        <w:rPr/>
        <w:t>(World</w:t>
      </w:r>
      <w:r>
        <w:rPr>
          <w:spacing w:val="-2"/>
        </w:rPr>
        <w:t> </w:t>
      </w:r>
      <w:r>
        <w:rPr/>
        <w:t>Bank</w:t>
      </w:r>
      <w:r>
        <w:rPr>
          <w:spacing w:val="-2"/>
        </w:rPr>
        <w:t> </w:t>
      </w:r>
      <w:r>
        <w:rPr/>
        <w:t>Group</w:t>
      </w:r>
      <w:r>
        <w:rPr>
          <w:spacing w:val="-2"/>
        </w:rPr>
        <w:t> </w:t>
      </w:r>
      <w:r>
        <w:rPr/>
        <w:t>2020:</w:t>
      </w:r>
      <w:r>
        <w:rPr>
          <w:spacing w:val="-2"/>
        </w:rPr>
        <w:t> </w:t>
      </w:r>
      <w:r>
        <w:rPr/>
        <w:t>35).</w:t>
      </w:r>
      <w:r>
        <w:rPr>
          <w:spacing w:val="-2"/>
        </w:rPr>
        <w:t> </w:t>
      </w:r>
      <w:r>
        <w:rPr/>
        <w:t>Beijing’s</w:t>
      </w:r>
      <w:r>
        <w:rPr>
          <w:spacing w:val="-2"/>
        </w:rPr>
        <w:t> </w:t>
      </w:r>
      <w:r>
        <w:rPr/>
        <w:t>decision</w:t>
      </w:r>
      <w:r>
        <w:rPr>
          <w:spacing w:val="-2"/>
        </w:rPr>
        <w:t> </w:t>
      </w:r>
      <w:r>
        <w:rPr/>
        <w:t>to</w:t>
      </w:r>
      <w:r>
        <w:rPr>
          <w:spacing w:val="-2"/>
        </w:rPr>
        <w:t> </w:t>
      </w:r>
      <w:r>
        <w:rPr/>
        <w:t>outsource</w:t>
      </w:r>
      <w:r>
        <w:rPr>
          <w:spacing w:val="-2"/>
        </w:rPr>
        <w:t> </w:t>
      </w:r>
      <w:r>
        <w:rPr/>
        <w:t>loan</w:t>
      </w:r>
      <w:r>
        <w:rPr>
          <w:spacing w:val="-2"/>
        </w:rPr>
        <w:t> </w:t>
      </w:r>
      <w:r>
        <w:rPr/>
        <w:t>management </w:t>
      </w:r>
      <w:r>
        <w:rPr>
          <w:w w:val="105"/>
        </w:rPr>
        <w:t>to</w:t>
      </w:r>
      <w:r>
        <w:rPr>
          <w:spacing w:val="-8"/>
          <w:w w:val="105"/>
        </w:rPr>
        <w:t> </w:t>
      </w:r>
      <w:r>
        <w:rPr>
          <w:w w:val="105"/>
        </w:rPr>
        <w:t>a</w:t>
      </w:r>
      <w:r>
        <w:rPr>
          <w:spacing w:val="-8"/>
          <w:w w:val="105"/>
        </w:rPr>
        <w:t> </w:t>
      </w:r>
      <w:r>
        <w:rPr>
          <w:w w:val="105"/>
        </w:rPr>
        <w:t>multilateral</w:t>
      </w:r>
      <w:r>
        <w:rPr>
          <w:spacing w:val="-8"/>
          <w:w w:val="105"/>
        </w:rPr>
        <w:t> </w:t>
      </w:r>
      <w:r>
        <w:rPr>
          <w:w w:val="105"/>
        </w:rPr>
        <w:t>institution</w:t>
      </w:r>
      <w:r>
        <w:rPr>
          <w:spacing w:val="-8"/>
          <w:w w:val="105"/>
        </w:rPr>
        <w:t> </w:t>
      </w:r>
      <w:r>
        <w:rPr>
          <w:w w:val="105"/>
        </w:rPr>
        <w:t>was</w:t>
      </w:r>
      <w:r>
        <w:rPr>
          <w:spacing w:val="-8"/>
          <w:w w:val="105"/>
        </w:rPr>
        <w:t> </w:t>
      </w:r>
      <w:r>
        <w:rPr>
          <w:w w:val="105"/>
        </w:rPr>
        <w:t>evidently</w:t>
      </w:r>
      <w:r>
        <w:rPr>
          <w:spacing w:val="-8"/>
          <w:w w:val="105"/>
        </w:rPr>
        <w:t> </w:t>
      </w:r>
      <w:r>
        <w:rPr>
          <w:w w:val="105"/>
        </w:rPr>
        <w:t>motivated</w:t>
      </w:r>
      <w:r>
        <w:rPr>
          <w:spacing w:val="-8"/>
          <w:w w:val="105"/>
        </w:rPr>
        <w:t> </w:t>
      </w:r>
      <w:r>
        <w:rPr>
          <w:w w:val="105"/>
        </w:rPr>
        <w:t>by</w:t>
      </w:r>
      <w:r>
        <w:rPr>
          <w:spacing w:val="-8"/>
          <w:w w:val="105"/>
        </w:rPr>
        <w:t> </w:t>
      </w:r>
      <w:r>
        <w:rPr>
          <w:w w:val="105"/>
        </w:rPr>
        <w:t>a</w:t>
      </w:r>
      <w:r>
        <w:rPr>
          <w:spacing w:val="-8"/>
          <w:w w:val="105"/>
        </w:rPr>
        <w:t> </w:t>
      </w:r>
      <w:r>
        <w:rPr>
          <w:w w:val="105"/>
        </w:rPr>
        <w:t>desire</w:t>
      </w:r>
      <w:r>
        <w:rPr>
          <w:spacing w:val="-8"/>
          <w:w w:val="105"/>
        </w:rPr>
        <w:t> </w:t>
      </w:r>
      <w:r>
        <w:rPr>
          <w:w w:val="105"/>
        </w:rPr>
        <w:t>for</w:t>
      </w:r>
      <w:r>
        <w:rPr>
          <w:spacing w:val="-8"/>
          <w:w w:val="105"/>
        </w:rPr>
        <w:t> </w:t>
      </w:r>
      <w:r>
        <w:rPr>
          <w:w w:val="105"/>
        </w:rPr>
        <w:t>stronger </w:t>
      </w:r>
      <w:r>
        <w:rPr/>
        <w:t>safeguards and attractive investment returns (see Box 2b for more on SAFE’s </w:t>
      </w:r>
      <w:r>
        <w:rPr>
          <w:spacing w:val="-2"/>
          <w:w w:val="105"/>
        </w:rPr>
        <w:t>mandate</w:t>
      </w:r>
      <w:r>
        <w:rPr>
          <w:spacing w:val="-8"/>
          <w:w w:val="105"/>
        </w:rPr>
        <w:t> </w:t>
      </w:r>
      <w:r>
        <w:rPr>
          <w:spacing w:val="-2"/>
          <w:w w:val="105"/>
        </w:rPr>
        <w:t>to</w:t>
      </w:r>
      <w:r>
        <w:rPr>
          <w:spacing w:val="-8"/>
          <w:w w:val="105"/>
        </w:rPr>
        <w:t> </w:t>
      </w:r>
      <w:r>
        <w:rPr>
          <w:spacing w:val="-2"/>
          <w:w w:val="105"/>
        </w:rPr>
        <w:t>maximize</w:t>
      </w:r>
      <w:r>
        <w:rPr>
          <w:spacing w:val="-8"/>
          <w:w w:val="105"/>
        </w:rPr>
        <w:t> </w:t>
      </w:r>
      <w:r>
        <w:rPr>
          <w:spacing w:val="-2"/>
          <w:w w:val="105"/>
        </w:rPr>
        <w:t>investment</w:t>
      </w:r>
      <w:r>
        <w:rPr>
          <w:spacing w:val="-8"/>
          <w:w w:val="105"/>
        </w:rPr>
        <w:t> </w:t>
      </w:r>
      <w:r>
        <w:rPr>
          <w:spacing w:val="-2"/>
          <w:w w:val="105"/>
        </w:rPr>
        <w:t>returns</w:t>
      </w:r>
      <w:r>
        <w:rPr>
          <w:spacing w:val="-8"/>
          <w:w w:val="105"/>
        </w:rPr>
        <w:t> </w:t>
      </w:r>
      <w:r>
        <w:rPr>
          <w:spacing w:val="-2"/>
          <w:w w:val="105"/>
        </w:rPr>
        <w:t>on</w:t>
      </w:r>
      <w:r>
        <w:rPr>
          <w:spacing w:val="-8"/>
          <w:w w:val="105"/>
        </w:rPr>
        <w:t> </w:t>
      </w:r>
      <w:r>
        <w:rPr>
          <w:spacing w:val="-2"/>
          <w:w w:val="105"/>
        </w:rPr>
        <w:t>the</w:t>
      </w:r>
      <w:r>
        <w:rPr>
          <w:spacing w:val="-8"/>
          <w:w w:val="105"/>
        </w:rPr>
        <w:t> </w:t>
      </w:r>
      <w:r>
        <w:rPr>
          <w:spacing w:val="-2"/>
          <w:w w:val="105"/>
        </w:rPr>
        <w:t>country’s</w:t>
      </w:r>
      <w:r>
        <w:rPr>
          <w:spacing w:val="-8"/>
          <w:w w:val="105"/>
        </w:rPr>
        <w:t> </w:t>
      </w:r>
      <w:r>
        <w:rPr>
          <w:spacing w:val="-2"/>
          <w:w w:val="105"/>
        </w:rPr>
        <w:t>surplus</w:t>
      </w:r>
      <w:r>
        <w:rPr>
          <w:spacing w:val="-8"/>
          <w:w w:val="105"/>
        </w:rPr>
        <w:t> </w:t>
      </w:r>
      <w:r>
        <w:rPr>
          <w:spacing w:val="-2"/>
          <w:w w:val="105"/>
        </w:rPr>
        <w:t>foreign </w:t>
      </w:r>
      <w:r>
        <w:rPr/>
        <w:t>exchange reserves). An ex-post evaluation of the MCPP concluded that “[m]ost </w:t>
      </w:r>
      <w:r>
        <w:rPr>
          <w:w w:val="105"/>
        </w:rPr>
        <w:t>of</w:t>
      </w:r>
      <w:r>
        <w:rPr>
          <w:spacing w:val="-18"/>
          <w:w w:val="105"/>
        </w:rPr>
        <w:t> </w:t>
      </w:r>
      <w:r>
        <w:rPr>
          <w:w w:val="105"/>
        </w:rPr>
        <w:t>these</w:t>
      </w:r>
      <w:r>
        <w:rPr>
          <w:spacing w:val="-17"/>
          <w:w w:val="105"/>
        </w:rPr>
        <w:t> </w:t>
      </w:r>
      <w:r>
        <w:rPr>
          <w:w w:val="105"/>
        </w:rPr>
        <w:t>borrowers</w:t>
      </w:r>
      <w:r>
        <w:rPr>
          <w:spacing w:val="-18"/>
          <w:w w:val="105"/>
        </w:rPr>
        <w:t> </w:t>
      </w:r>
      <w:r>
        <w:rPr>
          <w:w w:val="105"/>
        </w:rPr>
        <w:t>[had]</w:t>
      </w:r>
      <w:r>
        <w:rPr>
          <w:spacing w:val="-17"/>
          <w:w w:val="105"/>
        </w:rPr>
        <w:t> </w:t>
      </w:r>
      <w:r>
        <w:rPr>
          <w:w w:val="105"/>
        </w:rPr>
        <w:t>the</w:t>
      </w:r>
      <w:r>
        <w:rPr>
          <w:spacing w:val="-18"/>
          <w:w w:val="105"/>
        </w:rPr>
        <w:t> </w:t>
      </w:r>
      <w:r>
        <w:rPr>
          <w:w w:val="105"/>
        </w:rPr>
        <w:t>capacity</w:t>
      </w:r>
      <w:r>
        <w:rPr>
          <w:spacing w:val="-17"/>
          <w:w w:val="105"/>
        </w:rPr>
        <w:t> </w:t>
      </w:r>
      <w:r>
        <w:rPr>
          <w:w w:val="105"/>
        </w:rPr>
        <w:t>to</w:t>
      </w:r>
      <w:r>
        <w:rPr>
          <w:spacing w:val="-18"/>
          <w:w w:val="105"/>
        </w:rPr>
        <w:t> </w:t>
      </w:r>
      <w:r>
        <w:rPr>
          <w:w w:val="105"/>
        </w:rPr>
        <w:t>meet</w:t>
      </w:r>
      <w:r>
        <w:rPr>
          <w:spacing w:val="-17"/>
          <w:w w:val="105"/>
        </w:rPr>
        <w:t> </w:t>
      </w:r>
      <w:r>
        <w:rPr>
          <w:w w:val="105"/>
        </w:rPr>
        <w:t>their</w:t>
      </w:r>
      <w:r>
        <w:rPr>
          <w:spacing w:val="-18"/>
          <w:w w:val="105"/>
        </w:rPr>
        <w:t> </w:t>
      </w:r>
      <w:r>
        <w:rPr>
          <w:w w:val="105"/>
        </w:rPr>
        <w:t>ﬁnancial</w:t>
      </w:r>
      <w:r>
        <w:rPr>
          <w:spacing w:val="-17"/>
          <w:w w:val="105"/>
        </w:rPr>
        <w:t> </w:t>
      </w:r>
      <w:r>
        <w:rPr>
          <w:w w:val="105"/>
        </w:rPr>
        <w:t>commitments</w:t>
      </w:r>
      <w:r>
        <w:rPr>
          <w:spacing w:val="-18"/>
          <w:w w:val="105"/>
        </w:rPr>
        <w:t> </w:t>
      </w:r>
      <w:r>
        <w:rPr>
          <w:w w:val="105"/>
        </w:rPr>
        <w:t>and [were]</w:t>
      </w:r>
      <w:r>
        <w:rPr>
          <w:spacing w:val="-18"/>
          <w:w w:val="105"/>
        </w:rPr>
        <w:t> </w:t>
      </w:r>
      <w:r>
        <w:rPr>
          <w:w w:val="105"/>
        </w:rPr>
        <w:t>less</w:t>
      </w:r>
      <w:r>
        <w:rPr>
          <w:spacing w:val="-17"/>
          <w:w w:val="105"/>
        </w:rPr>
        <w:t> </w:t>
      </w:r>
      <w:r>
        <w:rPr>
          <w:w w:val="105"/>
        </w:rPr>
        <w:t>vulnerable</w:t>
      </w:r>
      <w:r>
        <w:rPr>
          <w:spacing w:val="-18"/>
          <w:w w:val="105"/>
        </w:rPr>
        <w:t> </w:t>
      </w:r>
      <w:r>
        <w:rPr>
          <w:w w:val="105"/>
        </w:rPr>
        <w:t>to</w:t>
      </w:r>
      <w:r>
        <w:rPr>
          <w:spacing w:val="-17"/>
          <w:w w:val="105"/>
        </w:rPr>
        <w:t> </w:t>
      </w:r>
      <w:r>
        <w:rPr>
          <w:w w:val="105"/>
        </w:rPr>
        <w:t>nonpayment</w:t>
      </w:r>
      <w:r>
        <w:rPr>
          <w:spacing w:val="-18"/>
          <w:w w:val="105"/>
        </w:rPr>
        <w:t> </w:t>
      </w:r>
      <w:r>
        <w:rPr>
          <w:w w:val="105"/>
        </w:rPr>
        <w:t>than</w:t>
      </w:r>
      <w:r>
        <w:rPr>
          <w:spacing w:val="-17"/>
          <w:w w:val="105"/>
        </w:rPr>
        <w:t> </w:t>
      </w:r>
      <w:r>
        <w:rPr>
          <w:w w:val="105"/>
        </w:rPr>
        <w:t>other</w:t>
      </w:r>
      <w:r>
        <w:rPr>
          <w:spacing w:val="-18"/>
          <w:w w:val="105"/>
        </w:rPr>
        <w:t> </w:t>
      </w:r>
      <w:r>
        <w:rPr>
          <w:w w:val="105"/>
        </w:rPr>
        <w:t>speculative</w:t>
      </w:r>
      <w:r>
        <w:rPr>
          <w:spacing w:val="-17"/>
          <w:w w:val="105"/>
        </w:rPr>
        <w:t> </w:t>
      </w:r>
      <w:r>
        <w:rPr>
          <w:w w:val="105"/>
        </w:rPr>
        <w:t>projects"</w:t>
      </w:r>
      <w:r>
        <w:rPr>
          <w:spacing w:val="-18"/>
          <w:w w:val="105"/>
        </w:rPr>
        <w:t> </w:t>
      </w:r>
      <w:r>
        <w:rPr>
          <w:w w:val="105"/>
        </w:rPr>
        <w:t>(World Bank Group 2020: 36).</w:t>
      </w:r>
    </w:p>
    <w:p>
      <w:pPr>
        <w:pStyle w:val="BodyText"/>
        <w:spacing w:before="4"/>
        <w:rPr>
          <w:sz w:val="27"/>
        </w:rPr>
      </w:pPr>
    </w:p>
    <w:p>
      <w:pPr>
        <w:pStyle w:val="BodyText"/>
        <w:spacing w:line="333" w:lineRule="auto" w:before="1"/>
        <w:ind w:left="760" w:right="788"/>
      </w:pPr>
      <w:r>
        <w:rPr/>
        <w:t>Think tanks, research institutions, and media outlets in G7 countries have in recent years trained their sights on China’s </w:t>
      </w:r>
      <w:r>
        <w:rPr>
          <w:i/>
        </w:rPr>
        <w:t>bilateral </w:t>
      </w:r>
      <w:r>
        <w:rPr/>
        <w:t>lending activities—in particular, infrastructure projects ﬁnanced by China Eximbank and China Development Bank (e.g., Dyer et al. 2011; Sanderson and Forsythe 2013; Gallagher</w:t>
      </w:r>
      <w:r>
        <w:rPr>
          <w:spacing w:val="-17"/>
        </w:rPr>
        <w:t> </w:t>
      </w:r>
      <w:r>
        <w:rPr/>
        <w:t>and</w:t>
      </w:r>
      <w:r>
        <w:rPr>
          <w:spacing w:val="-17"/>
        </w:rPr>
        <w:t> </w:t>
      </w:r>
      <w:r>
        <w:rPr/>
        <w:t>Ray</w:t>
      </w:r>
      <w:r>
        <w:rPr>
          <w:spacing w:val="-16"/>
        </w:rPr>
        <w:t> </w:t>
      </w:r>
      <w:r>
        <w:rPr/>
        <w:t>2020;</w:t>
      </w:r>
      <w:r>
        <w:rPr>
          <w:spacing w:val="-17"/>
        </w:rPr>
        <w:t> </w:t>
      </w:r>
      <w:r>
        <w:rPr/>
        <w:t>Myers</w:t>
      </w:r>
      <w:r>
        <w:rPr>
          <w:spacing w:val="-17"/>
        </w:rPr>
        <w:t> </w:t>
      </w:r>
      <w:r>
        <w:rPr/>
        <w:t>and</w:t>
      </w:r>
      <w:r>
        <w:rPr>
          <w:spacing w:val="-17"/>
        </w:rPr>
        <w:t> </w:t>
      </w:r>
      <w:r>
        <w:rPr/>
        <w:t>Ray</w:t>
      </w:r>
      <w:r>
        <w:rPr>
          <w:spacing w:val="-16"/>
        </w:rPr>
        <w:t> </w:t>
      </w:r>
      <w:r>
        <w:rPr/>
        <w:t>2023;</w:t>
      </w:r>
      <w:r>
        <w:rPr>
          <w:spacing w:val="-17"/>
        </w:rPr>
        <w:t> </w:t>
      </w:r>
      <w:r>
        <w:rPr/>
        <w:t>Ray</w:t>
      </w:r>
      <w:r>
        <w:rPr>
          <w:spacing w:val="-17"/>
        </w:rPr>
        <w:t> </w:t>
      </w:r>
      <w:r>
        <w:rPr/>
        <w:t>2023;</w:t>
      </w:r>
      <w:r>
        <w:rPr>
          <w:spacing w:val="-16"/>
        </w:rPr>
        <w:t> </w:t>
      </w:r>
      <w:r>
        <w:rPr/>
        <w:t>Do</w:t>
      </w:r>
      <w:r>
        <w:rPr>
          <w:spacing w:val="-17"/>
        </w:rPr>
        <w:t> </w:t>
      </w:r>
      <w:r>
        <w:rPr/>
        <w:t>Rosario</w:t>
      </w:r>
      <w:r>
        <w:rPr>
          <w:spacing w:val="-17"/>
        </w:rPr>
        <w:t> </w:t>
      </w:r>
      <w:r>
        <w:rPr/>
        <w:t>and</w:t>
      </w:r>
      <w:r>
        <w:rPr>
          <w:spacing w:val="-16"/>
        </w:rPr>
        <w:t> </w:t>
      </w:r>
      <w:r>
        <w:rPr/>
        <w:t>Savage 2023). Yet there has been virtually no discussion about Beijing’s strategic pivot away from bilateral lending and toward collaborative lending arrangements involving Chinese and non-Chinese banks. The reason why this change in China’s overseas lending portfolio has not received serious attention is simple: Chinese bank participation in syndicated loans (with non-Chinese participants) and loans entrusted to multilateral institutions have gone undetected because they are mostly excluded from other publicly available Chinese development ﬁnance datasets.</w:t>
      </w:r>
      <w:r>
        <w:rPr>
          <w:vertAlign w:val="superscript"/>
        </w:rPr>
        <w:t>206</w:t>
      </w:r>
      <w:r>
        <w:rPr>
          <w:vertAlign w:val="baseline"/>
        </w:rPr>
        <w:t> Beijing has not been especially secretive about this change in the composition of its overseas lending strategy. It was hiding in plain sight; those seeking to track China’s overseas lending activities either did not detect it or did not think it was important enough to track.</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4"/>
        </w:rPr>
      </w:pPr>
      <w:r>
        <w:rPr/>
        <w:pict>
          <v:shape style="position:absolute;margin-left:90pt;margin-top:9.405127pt;width:144pt;height:.1pt;mso-position-horizontal-relative:page;mso-position-vertical-relative:paragraph;z-index:-15667200;mso-wrap-distance-left:0;mso-wrap-distance-right:0" id="docshape98" coordorigin="1800,188" coordsize="2880,0" path="m1800,188l4680,188e" filled="false" stroked="true" strokeweight=".75pt" strokecolor="#000000">
            <v:path arrowok="t"/>
            <v:stroke dashstyle="solid"/>
            <w10:wrap type="topAndBottom"/>
          </v:shape>
        </w:pict>
      </w:r>
    </w:p>
    <w:p>
      <w:pPr>
        <w:spacing w:line="249" w:lineRule="auto" w:before="113"/>
        <w:ind w:left="760" w:right="767" w:firstLine="0"/>
        <w:jc w:val="left"/>
        <w:rPr>
          <w:sz w:val="18"/>
        </w:rPr>
      </w:pPr>
      <w:r>
        <w:rPr>
          <w:sz w:val="18"/>
          <w:vertAlign w:val="superscript"/>
        </w:rPr>
        <w:t>206</w:t>
      </w:r>
      <w:r>
        <w:rPr>
          <w:sz w:val="18"/>
          <w:vertAlign w:val="baseline"/>
        </w:rPr>
        <w:t> Here again, one is reminded of the proverbial drunkard who insists upon searching for his keys beneath the lamppost “because that’s where the light is.” Chinese creditor contributions to syndicated loans are </w:t>
      </w:r>
      <w:r>
        <w:rPr>
          <w:sz w:val="18"/>
          <w:vertAlign w:val="baseline"/>
        </w:rPr>
        <w:t>not systematically</w:t>
      </w:r>
      <w:r>
        <w:rPr>
          <w:spacing w:val="-2"/>
          <w:sz w:val="18"/>
          <w:vertAlign w:val="baseline"/>
        </w:rPr>
        <w:t> </w:t>
      </w:r>
      <w:r>
        <w:rPr>
          <w:sz w:val="18"/>
          <w:vertAlign w:val="baseline"/>
        </w:rPr>
        <w:t>tracked</w:t>
      </w:r>
      <w:r>
        <w:rPr>
          <w:spacing w:val="-2"/>
          <w:sz w:val="18"/>
          <w:vertAlign w:val="baseline"/>
        </w:rPr>
        <w:t> </w:t>
      </w:r>
      <w:r>
        <w:rPr>
          <w:sz w:val="18"/>
          <w:vertAlign w:val="baseline"/>
        </w:rPr>
        <w:t>in</w:t>
      </w:r>
      <w:r>
        <w:rPr>
          <w:spacing w:val="-2"/>
          <w:sz w:val="18"/>
          <w:vertAlign w:val="baseline"/>
        </w:rPr>
        <w:t> </w:t>
      </w:r>
      <w:r>
        <w:rPr>
          <w:sz w:val="18"/>
          <w:vertAlign w:val="baseline"/>
        </w:rPr>
        <w:t>the</w:t>
      </w:r>
      <w:r>
        <w:rPr>
          <w:spacing w:val="-2"/>
          <w:sz w:val="18"/>
          <w:vertAlign w:val="baseline"/>
        </w:rPr>
        <w:t> </w:t>
      </w:r>
      <w:r>
        <w:rPr>
          <w:sz w:val="18"/>
          <w:vertAlign w:val="baseline"/>
        </w:rPr>
        <w:t>China’s</w:t>
      </w:r>
      <w:r>
        <w:rPr>
          <w:spacing w:val="-2"/>
          <w:sz w:val="18"/>
          <w:vertAlign w:val="baseline"/>
        </w:rPr>
        <w:t> </w:t>
      </w:r>
      <w:r>
        <w:rPr>
          <w:sz w:val="18"/>
          <w:vertAlign w:val="baseline"/>
        </w:rPr>
        <w:t>Overseas</w:t>
      </w:r>
      <w:r>
        <w:rPr>
          <w:spacing w:val="-2"/>
          <w:sz w:val="18"/>
          <w:vertAlign w:val="baseline"/>
        </w:rPr>
        <w:t> </w:t>
      </w:r>
      <w:r>
        <w:rPr>
          <w:sz w:val="18"/>
          <w:vertAlign w:val="baseline"/>
        </w:rPr>
        <w:t>Development</w:t>
      </w:r>
      <w:r>
        <w:rPr>
          <w:spacing w:val="-2"/>
          <w:sz w:val="18"/>
          <w:vertAlign w:val="baseline"/>
        </w:rPr>
        <w:t> </w:t>
      </w:r>
      <w:r>
        <w:rPr>
          <w:sz w:val="18"/>
          <w:vertAlign w:val="baseline"/>
        </w:rPr>
        <w:t>Finance</w:t>
      </w:r>
      <w:r>
        <w:rPr>
          <w:spacing w:val="-2"/>
          <w:sz w:val="18"/>
          <w:vertAlign w:val="baseline"/>
        </w:rPr>
        <w:t> </w:t>
      </w:r>
      <w:r>
        <w:rPr>
          <w:sz w:val="18"/>
          <w:vertAlign w:val="baseline"/>
        </w:rPr>
        <w:t>Database,</w:t>
      </w:r>
      <w:r>
        <w:rPr>
          <w:spacing w:val="-2"/>
          <w:sz w:val="18"/>
          <w:vertAlign w:val="baseline"/>
        </w:rPr>
        <w:t> </w:t>
      </w:r>
      <w:r>
        <w:rPr>
          <w:sz w:val="18"/>
          <w:vertAlign w:val="baseline"/>
        </w:rPr>
        <w:t>the</w:t>
      </w:r>
      <w:r>
        <w:rPr>
          <w:spacing w:val="-2"/>
          <w:sz w:val="18"/>
          <w:vertAlign w:val="baseline"/>
        </w:rPr>
        <w:t> </w:t>
      </w:r>
      <w:r>
        <w:rPr>
          <w:sz w:val="18"/>
          <w:vertAlign w:val="baseline"/>
        </w:rPr>
        <w:t>Chinese</w:t>
      </w:r>
      <w:r>
        <w:rPr>
          <w:spacing w:val="-2"/>
          <w:sz w:val="18"/>
          <w:vertAlign w:val="baseline"/>
        </w:rPr>
        <w:t> </w:t>
      </w:r>
      <w:r>
        <w:rPr>
          <w:sz w:val="18"/>
          <w:vertAlign w:val="baseline"/>
        </w:rPr>
        <w:t>Loans</w:t>
      </w:r>
      <w:r>
        <w:rPr>
          <w:spacing w:val="-2"/>
          <w:sz w:val="18"/>
          <w:vertAlign w:val="baseline"/>
        </w:rPr>
        <w:t> </w:t>
      </w:r>
      <w:r>
        <w:rPr>
          <w:sz w:val="18"/>
          <w:vertAlign w:val="baseline"/>
        </w:rPr>
        <w:t>to</w:t>
      </w:r>
      <w:r>
        <w:rPr>
          <w:spacing w:val="-2"/>
          <w:sz w:val="18"/>
          <w:vertAlign w:val="baseline"/>
        </w:rPr>
        <w:t> </w:t>
      </w:r>
      <w:r>
        <w:rPr>
          <w:sz w:val="18"/>
          <w:vertAlign w:val="baseline"/>
        </w:rPr>
        <w:t>Latin America and the Caribbean Database, the Chinese Loans to Africa Database, the China’s Global Energy Finance</w:t>
      </w:r>
      <w:r>
        <w:rPr>
          <w:spacing w:val="-3"/>
          <w:sz w:val="18"/>
          <w:vertAlign w:val="baseline"/>
        </w:rPr>
        <w:t> </w:t>
      </w:r>
      <w:r>
        <w:rPr>
          <w:sz w:val="18"/>
          <w:vertAlign w:val="baseline"/>
        </w:rPr>
        <w:t>Database,</w:t>
      </w:r>
      <w:r>
        <w:rPr>
          <w:spacing w:val="-3"/>
          <w:sz w:val="18"/>
          <w:vertAlign w:val="baseline"/>
        </w:rPr>
        <w:t> </w:t>
      </w:r>
      <w:r>
        <w:rPr>
          <w:sz w:val="18"/>
          <w:vertAlign w:val="baseline"/>
        </w:rPr>
        <w:t>the</w:t>
      </w:r>
      <w:r>
        <w:rPr>
          <w:spacing w:val="-3"/>
          <w:sz w:val="18"/>
          <w:vertAlign w:val="baseline"/>
        </w:rPr>
        <w:t> </w:t>
      </w:r>
      <w:r>
        <w:rPr>
          <w:sz w:val="18"/>
          <w:vertAlign w:val="baseline"/>
        </w:rPr>
        <w:t>China</w:t>
      </w:r>
      <w:r>
        <w:rPr>
          <w:spacing w:val="-3"/>
          <w:sz w:val="18"/>
          <w:vertAlign w:val="baseline"/>
        </w:rPr>
        <w:t> </w:t>
      </w:r>
      <w:r>
        <w:rPr>
          <w:sz w:val="18"/>
          <w:vertAlign w:val="baseline"/>
        </w:rPr>
        <w:t>Overseas</w:t>
      </w:r>
      <w:r>
        <w:rPr>
          <w:spacing w:val="-3"/>
          <w:sz w:val="18"/>
          <w:vertAlign w:val="baseline"/>
        </w:rPr>
        <w:t> </w:t>
      </w:r>
      <w:r>
        <w:rPr>
          <w:sz w:val="18"/>
          <w:vertAlign w:val="baseline"/>
        </w:rPr>
        <w:t>Finance</w:t>
      </w:r>
      <w:r>
        <w:rPr>
          <w:spacing w:val="-3"/>
          <w:sz w:val="18"/>
          <w:vertAlign w:val="baseline"/>
        </w:rPr>
        <w:t> </w:t>
      </w:r>
      <w:r>
        <w:rPr>
          <w:sz w:val="18"/>
          <w:vertAlign w:val="baseline"/>
        </w:rPr>
        <w:t>Inventory</w:t>
      </w:r>
      <w:r>
        <w:rPr>
          <w:spacing w:val="-3"/>
          <w:sz w:val="18"/>
          <w:vertAlign w:val="baseline"/>
        </w:rPr>
        <w:t> </w:t>
      </w:r>
      <w:r>
        <w:rPr>
          <w:sz w:val="18"/>
          <w:vertAlign w:val="baseline"/>
        </w:rPr>
        <w:t>Database,</w:t>
      </w:r>
      <w:r>
        <w:rPr>
          <w:spacing w:val="-3"/>
          <w:sz w:val="18"/>
          <w:vertAlign w:val="baseline"/>
        </w:rPr>
        <w:t> </w:t>
      </w:r>
      <w:r>
        <w:rPr>
          <w:sz w:val="18"/>
          <w:vertAlign w:val="baseline"/>
        </w:rPr>
        <w:t>or</w:t>
      </w:r>
      <w:r>
        <w:rPr>
          <w:spacing w:val="-3"/>
          <w:sz w:val="18"/>
          <w:vertAlign w:val="baseline"/>
        </w:rPr>
        <w:t> </w:t>
      </w:r>
      <w:r>
        <w:rPr>
          <w:sz w:val="18"/>
          <w:vertAlign w:val="baseline"/>
        </w:rPr>
        <w:t>the</w:t>
      </w:r>
      <w:r>
        <w:rPr>
          <w:spacing w:val="-3"/>
          <w:sz w:val="18"/>
          <w:vertAlign w:val="baseline"/>
        </w:rPr>
        <w:t> </w:t>
      </w:r>
      <w:r>
        <w:rPr>
          <w:sz w:val="18"/>
          <w:vertAlign w:val="baseline"/>
        </w:rPr>
        <w:t>World</w:t>
      </w:r>
      <w:r>
        <w:rPr>
          <w:spacing w:val="-3"/>
          <w:sz w:val="18"/>
          <w:vertAlign w:val="baseline"/>
        </w:rPr>
        <w:t> </w:t>
      </w:r>
      <w:r>
        <w:rPr>
          <w:sz w:val="18"/>
          <w:vertAlign w:val="baseline"/>
        </w:rPr>
        <w:t>Bank’s</w:t>
      </w:r>
      <w:r>
        <w:rPr>
          <w:spacing w:val="-3"/>
          <w:sz w:val="18"/>
          <w:vertAlign w:val="baseline"/>
        </w:rPr>
        <w:t> </w:t>
      </w:r>
      <w:r>
        <w:rPr>
          <w:sz w:val="18"/>
          <w:vertAlign w:val="baseline"/>
        </w:rPr>
        <w:t>International</w:t>
      </w:r>
      <w:r>
        <w:rPr>
          <w:spacing w:val="-3"/>
          <w:sz w:val="18"/>
          <w:vertAlign w:val="baseline"/>
        </w:rPr>
        <w:t> </w:t>
      </w:r>
      <w:r>
        <w:rPr>
          <w:sz w:val="18"/>
          <w:vertAlign w:val="baseline"/>
        </w:rPr>
        <w:t>Debt Statistics (IDS). However, Figure A32 demonstrates that ofﬁcial sector lending from China is increasingly channeled via bank syndicates that include Chinese and non-Chinese banks.</w:t>
      </w:r>
    </w:p>
    <w:p>
      <w:pPr>
        <w:spacing w:after="0" w:line="249" w:lineRule="auto"/>
        <w:jc w:val="left"/>
        <w:rPr>
          <w:sz w:val="18"/>
        </w:rPr>
        <w:sectPr>
          <w:pgSz w:w="12240" w:h="15840"/>
          <w:pgMar w:header="0" w:footer="720" w:top="1400" w:bottom="920" w:left="1040" w:right="1040"/>
        </w:sectPr>
      </w:pPr>
    </w:p>
    <w:p>
      <w:pPr>
        <w:pStyle w:val="BodyText"/>
        <w:spacing w:line="333" w:lineRule="auto" w:before="27"/>
        <w:ind w:left="760" w:right="842"/>
      </w:pPr>
      <w:r>
        <w:rPr/>
        <w:t>There are several reasons why Beijing’s pivot away from bilateral lending instruments is crucial to understand its de-risking strategy.</w:t>
      </w:r>
      <w:r>
        <w:rPr>
          <w:vertAlign w:val="superscript"/>
        </w:rPr>
        <w:t>207</w:t>
      </w:r>
      <w:r>
        <w:rPr>
          <w:vertAlign w:val="baseline"/>
        </w:rPr>
        <w:t> First, since most of the syndicated loans in question involve non-Chinese bank participants (see Figure A32), Beijing is increasingly able to outsource risk management to</w:t>
      </w:r>
      <w:r>
        <w:rPr>
          <w:spacing w:val="80"/>
          <w:vertAlign w:val="baseline"/>
        </w:rPr>
        <w:t> </w:t>
      </w:r>
      <w:r>
        <w:rPr>
          <w:vertAlign w:val="baseline"/>
        </w:rPr>
        <w:t>lending institutions with stronger rules and standards.</w:t>
      </w:r>
      <w:r>
        <w:rPr>
          <w:vertAlign w:val="superscript"/>
        </w:rPr>
        <w:t>208</w:t>
      </w:r>
      <w:r>
        <w:rPr>
          <w:vertAlign w:val="baseline"/>
        </w:rPr>
        <w:t> Second, multilateral institutions have particularly strong risk management guardrails in place (see Chapter 3), so the use of entrusted loan agreements with multilateral institutions necessarily involves the application of a more stringent set of safeguards. These are effectively de-risking “shortcuts.” Bilateral development ﬁnance institutions have rules and standards that have evolved over decades via accretion. It is unlikely that these institutions are going to dispense with these safeguards or dramatically</w:t>
      </w:r>
      <w:r>
        <w:rPr>
          <w:spacing w:val="30"/>
          <w:vertAlign w:val="baseline"/>
        </w:rPr>
        <w:t> </w:t>
      </w:r>
      <w:r>
        <w:rPr>
          <w:vertAlign w:val="baseline"/>
        </w:rPr>
        <w:t>change</w:t>
      </w:r>
      <w:r>
        <w:rPr>
          <w:spacing w:val="30"/>
          <w:vertAlign w:val="baseline"/>
        </w:rPr>
        <w:t> </w:t>
      </w:r>
      <w:r>
        <w:rPr>
          <w:vertAlign w:val="baseline"/>
        </w:rPr>
        <w:t>them</w:t>
      </w:r>
      <w:r>
        <w:rPr>
          <w:spacing w:val="30"/>
          <w:vertAlign w:val="baseline"/>
        </w:rPr>
        <w:t> </w:t>
      </w:r>
      <w:r>
        <w:rPr>
          <w:vertAlign w:val="baseline"/>
        </w:rPr>
        <w:t>in</w:t>
      </w:r>
      <w:r>
        <w:rPr>
          <w:spacing w:val="30"/>
          <w:vertAlign w:val="baseline"/>
        </w:rPr>
        <w:t> </w:t>
      </w:r>
      <w:r>
        <w:rPr>
          <w:vertAlign w:val="baseline"/>
        </w:rPr>
        <w:t>the</w:t>
      </w:r>
      <w:r>
        <w:rPr>
          <w:spacing w:val="30"/>
          <w:vertAlign w:val="baseline"/>
        </w:rPr>
        <w:t> </w:t>
      </w:r>
      <w:r>
        <w:rPr>
          <w:vertAlign w:val="baseline"/>
        </w:rPr>
        <w:t>short-run.</w:t>
      </w:r>
      <w:r>
        <w:rPr>
          <w:spacing w:val="30"/>
          <w:vertAlign w:val="baseline"/>
        </w:rPr>
        <w:t> </w:t>
      </w:r>
      <w:r>
        <w:rPr>
          <w:vertAlign w:val="baseline"/>
        </w:rPr>
        <w:t>So,</w:t>
      </w:r>
      <w:r>
        <w:rPr>
          <w:spacing w:val="30"/>
          <w:vertAlign w:val="baseline"/>
        </w:rPr>
        <w:t> </w:t>
      </w:r>
      <w:r>
        <w:rPr>
          <w:vertAlign w:val="baseline"/>
        </w:rPr>
        <w:t>delegating</w:t>
      </w:r>
      <w:r>
        <w:rPr>
          <w:spacing w:val="30"/>
          <w:vertAlign w:val="baseline"/>
        </w:rPr>
        <w:t> </w:t>
      </w:r>
      <w:r>
        <w:rPr>
          <w:vertAlign w:val="baseline"/>
        </w:rPr>
        <w:t>borrower</w:t>
      </w:r>
      <w:r>
        <w:rPr>
          <w:spacing w:val="30"/>
          <w:vertAlign w:val="baseline"/>
        </w:rPr>
        <w:t> </w:t>
      </w:r>
      <w:r>
        <w:rPr>
          <w:vertAlign w:val="baseline"/>
        </w:rPr>
        <w:t>selection and loan preparation to a credible third party is an attractive shortcut to de-risk </w:t>
      </w:r>
      <w:r>
        <w:rPr>
          <w:vertAlign w:val="baseline"/>
        </w:rPr>
        <w:t>a loan portfolio (on a going forward basis).</w:t>
      </w:r>
      <w:r>
        <w:rPr>
          <w:vertAlign w:val="superscript"/>
        </w:rPr>
        <w:t>209</w:t>
      </w:r>
      <w:r>
        <w:rPr>
          <w:vertAlign w:val="baseline"/>
        </w:rPr>
        <w:t> Second, participation in a syndicated loan agreement or an entrusted loan agreement with a multilateral development bank (MDB) is a rapid and reliable de-risking strategy because MDBs enjoy de facto preferred creditor status (Schlegl et al. 2019) and confer this beneﬁt to all other lenders that participate in their syndicated loan agreements and entrusted loan agreements (Gurara et al. 2020).</w:t>
      </w:r>
      <w:r>
        <w:rPr>
          <w:vertAlign w:val="superscript"/>
        </w:rPr>
        <w:t>210</w:t>
      </w:r>
      <w:r>
        <w:rPr>
          <w:vertAlign w:val="baseline"/>
        </w:rPr>
        <w:t> An added beneﬁt of this approach is</w:t>
      </w:r>
      <w:r>
        <w:rPr>
          <w:spacing w:val="40"/>
          <w:vertAlign w:val="baseline"/>
        </w:rPr>
        <w:t> </w:t>
      </w:r>
      <w:r>
        <w:rPr>
          <w:vertAlign w:val="baseline"/>
        </w:rPr>
        <w:t>that loans involving MDBs are generally exempt from rescheduling and shielded from large haircuts (investor losses).</w:t>
      </w:r>
      <w:r>
        <w:rPr>
          <w:vertAlign w:val="superscript"/>
        </w:rPr>
        <w:t>211</w:t>
      </w:r>
      <w:r>
        <w:rPr>
          <w:vertAlign w:val="baseline"/>
        </w:rPr>
        <w:t> From a risk mitigation perspective, syndicated loan agreements also have two perversely attractive features to ofﬁcial creditors: (1) unanimous consent requirements can make them more difﬁcult and time-consuming to reschedule (Buchheit 1985, 1991; Gelpern</w:t>
      </w:r>
    </w:p>
    <w:p>
      <w:pPr>
        <w:pStyle w:val="BodyText"/>
        <w:rPr>
          <w:sz w:val="20"/>
        </w:rPr>
      </w:pPr>
    </w:p>
    <w:p>
      <w:pPr>
        <w:pStyle w:val="BodyText"/>
        <w:rPr>
          <w:sz w:val="20"/>
        </w:rPr>
      </w:pPr>
    </w:p>
    <w:p>
      <w:pPr>
        <w:pStyle w:val="BodyText"/>
        <w:rPr>
          <w:sz w:val="25"/>
        </w:rPr>
      </w:pPr>
      <w:r>
        <w:rPr/>
        <w:pict>
          <v:shape style="position:absolute;margin-left:90pt;margin-top:15.604297pt;width:144pt;height:.1pt;mso-position-horizontal-relative:page;mso-position-vertical-relative:paragraph;z-index:-15666688;mso-wrap-distance-left:0;mso-wrap-distance-right:0" id="docshape99" coordorigin="1800,312" coordsize="2880,0" path="m1800,312l4680,312e" filled="false" stroked="true" strokeweight=".75pt" strokecolor="#000000">
            <v:path arrowok="t"/>
            <v:stroke dashstyle="solid"/>
            <w10:wrap type="topAndBottom"/>
          </v:shape>
        </w:pict>
      </w:r>
    </w:p>
    <w:p>
      <w:pPr>
        <w:spacing w:line="249" w:lineRule="auto" w:before="108"/>
        <w:ind w:left="760" w:right="767" w:firstLine="0"/>
        <w:jc w:val="left"/>
        <w:rPr>
          <w:sz w:val="18"/>
        </w:rPr>
      </w:pPr>
      <w:r>
        <w:rPr>
          <w:w w:val="105"/>
          <w:sz w:val="18"/>
          <w:vertAlign w:val="superscript"/>
        </w:rPr>
        <w:t>207</w:t>
      </w:r>
      <w:r>
        <w:rPr>
          <w:spacing w:val="-13"/>
          <w:w w:val="105"/>
          <w:sz w:val="18"/>
          <w:vertAlign w:val="baseline"/>
        </w:rPr>
        <w:t> </w:t>
      </w:r>
      <w:r>
        <w:rPr>
          <w:w w:val="105"/>
          <w:sz w:val="18"/>
          <w:vertAlign w:val="baseline"/>
        </w:rPr>
        <w:t>As</w:t>
      </w:r>
      <w:r>
        <w:rPr>
          <w:spacing w:val="-12"/>
          <w:w w:val="105"/>
          <w:sz w:val="18"/>
          <w:vertAlign w:val="baseline"/>
        </w:rPr>
        <w:t> </w:t>
      </w:r>
      <w:r>
        <w:rPr>
          <w:w w:val="105"/>
          <w:sz w:val="18"/>
          <w:vertAlign w:val="baseline"/>
        </w:rPr>
        <w:t>we</w:t>
      </w:r>
      <w:r>
        <w:rPr>
          <w:spacing w:val="-12"/>
          <w:w w:val="105"/>
          <w:sz w:val="18"/>
          <w:vertAlign w:val="baseline"/>
        </w:rPr>
        <w:t> </w:t>
      </w:r>
      <w:r>
        <w:rPr>
          <w:w w:val="105"/>
          <w:sz w:val="18"/>
          <w:vertAlign w:val="baseline"/>
        </w:rPr>
        <w:t>explain</w:t>
      </w:r>
      <w:r>
        <w:rPr>
          <w:spacing w:val="-12"/>
          <w:w w:val="105"/>
          <w:sz w:val="18"/>
          <w:vertAlign w:val="baseline"/>
        </w:rPr>
        <w:t> </w:t>
      </w:r>
      <w:r>
        <w:rPr>
          <w:w w:val="105"/>
          <w:sz w:val="18"/>
          <w:vertAlign w:val="baseline"/>
        </w:rPr>
        <w:t>at</w:t>
      </w:r>
      <w:r>
        <w:rPr>
          <w:spacing w:val="-12"/>
          <w:w w:val="105"/>
          <w:sz w:val="18"/>
          <w:vertAlign w:val="baseline"/>
        </w:rPr>
        <w:t> </w:t>
      </w:r>
      <w:r>
        <w:rPr>
          <w:w w:val="105"/>
          <w:sz w:val="18"/>
          <w:vertAlign w:val="baseline"/>
        </w:rPr>
        <w:t>greater</w:t>
      </w:r>
      <w:r>
        <w:rPr>
          <w:spacing w:val="-12"/>
          <w:w w:val="105"/>
          <w:sz w:val="18"/>
          <w:vertAlign w:val="baseline"/>
        </w:rPr>
        <w:t> </w:t>
      </w:r>
      <w:r>
        <w:rPr>
          <w:w w:val="105"/>
          <w:sz w:val="18"/>
          <w:vertAlign w:val="baseline"/>
        </w:rPr>
        <w:t>length</w:t>
      </w:r>
      <w:r>
        <w:rPr>
          <w:spacing w:val="-12"/>
          <w:w w:val="105"/>
          <w:sz w:val="18"/>
          <w:vertAlign w:val="baseline"/>
        </w:rPr>
        <w:t> </w:t>
      </w:r>
      <w:r>
        <w:rPr>
          <w:w w:val="105"/>
          <w:sz w:val="18"/>
          <w:vertAlign w:val="baseline"/>
        </w:rPr>
        <w:t>in</w:t>
      </w:r>
      <w:r>
        <w:rPr>
          <w:spacing w:val="-12"/>
          <w:w w:val="105"/>
          <w:sz w:val="18"/>
          <w:vertAlign w:val="baseline"/>
        </w:rPr>
        <w:t> </w:t>
      </w:r>
      <w:r>
        <w:rPr>
          <w:w w:val="105"/>
          <w:sz w:val="18"/>
          <w:vertAlign w:val="baseline"/>
        </w:rPr>
        <w:t>Chapter</w:t>
      </w:r>
      <w:r>
        <w:rPr>
          <w:spacing w:val="-12"/>
          <w:w w:val="105"/>
          <w:sz w:val="18"/>
          <w:vertAlign w:val="baseline"/>
        </w:rPr>
        <w:t> </w:t>
      </w:r>
      <w:r>
        <w:rPr>
          <w:w w:val="105"/>
          <w:sz w:val="18"/>
          <w:vertAlign w:val="baseline"/>
        </w:rPr>
        <w:t>3,</w:t>
      </w:r>
      <w:r>
        <w:rPr>
          <w:spacing w:val="-12"/>
          <w:w w:val="105"/>
          <w:sz w:val="18"/>
          <w:vertAlign w:val="baseline"/>
        </w:rPr>
        <w:t> </w:t>
      </w:r>
      <w:r>
        <w:rPr>
          <w:w w:val="105"/>
          <w:sz w:val="18"/>
          <w:vertAlign w:val="baseline"/>
        </w:rPr>
        <w:t>Beijing</w:t>
      </w:r>
      <w:r>
        <w:rPr>
          <w:spacing w:val="-12"/>
          <w:w w:val="105"/>
          <w:sz w:val="18"/>
          <w:vertAlign w:val="baseline"/>
        </w:rPr>
        <w:t> </w:t>
      </w:r>
      <w:r>
        <w:rPr>
          <w:w w:val="105"/>
          <w:sz w:val="18"/>
          <w:vertAlign w:val="baseline"/>
        </w:rPr>
        <w:t>has</w:t>
      </w:r>
      <w:r>
        <w:rPr>
          <w:spacing w:val="-12"/>
          <w:w w:val="105"/>
          <w:sz w:val="18"/>
          <w:vertAlign w:val="baseline"/>
        </w:rPr>
        <w:t> </w:t>
      </w:r>
      <w:r>
        <w:rPr>
          <w:w w:val="105"/>
          <w:sz w:val="18"/>
          <w:vertAlign w:val="baseline"/>
        </w:rPr>
        <w:t>positioned</w:t>
      </w:r>
      <w:r>
        <w:rPr>
          <w:spacing w:val="-12"/>
          <w:w w:val="105"/>
          <w:sz w:val="18"/>
          <w:vertAlign w:val="baseline"/>
        </w:rPr>
        <w:t> </w:t>
      </w:r>
      <w:r>
        <w:rPr>
          <w:w w:val="105"/>
          <w:sz w:val="18"/>
          <w:vertAlign w:val="baseline"/>
        </w:rPr>
        <w:t>its</w:t>
      </w:r>
      <w:r>
        <w:rPr>
          <w:spacing w:val="-12"/>
          <w:w w:val="105"/>
          <w:sz w:val="18"/>
          <w:vertAlign w:val="baseline"/>
        </w:rPr>
        <w:t> </w:t>
      </w:r>
      <w:r>
        <w:rPr>
          <w:w w:val="105"/>
          <w:sz w:val="18"/>
          <w:vertAlign w:val="baseline"/>
        </w:rPr>
        <w:t>bilateral</w:t>
      </w:r>
      <w:r>
        <w:rPr>
          <w:spacing w:val="-12"/>
          <w:w w:val="105"/>
          <w:sz w:val="18"/>
          <w:vertAlign w:val="baseline"/>
        </w:rPr>
        <w:t> </w:t>
      </w:r>
      <w:r>
        <w:rPr>
          <w:w w:val="105"/>
          <w:sz w:val="18"/>
          <w:vertAlign w:val="baseline"/>
        </w:rPr>
        <w:t>lending</w:t>
      </w:r>
      <w:r>
        <w:rPr>
          <w:spacing w:val="-12"/>
          <w:w w:val="105"/>
          <w:sz w:val="18"/>
          <w:vertAlign w:val="baseline"/>
        </w:rPr>
        <w:t> </w:t>
      </w:r>
      <w:r>
        <w:rPr>
          <w:w w:val="105"/>
          <w:sz w:val="18"/>
          <w:vertAlign w:val="baseline"/>
        </w:rPr>
        <w:t>institutions</w:t>
      </w:r>
      <w:r>
        <w:rPr>
          <w:spacing w:val="-12"/>
          <w:w w:val="105"/>
          <w:sz w:val="18"/>
          <w:vertAlign w:val="baseline"/>
        </w:rPr>
        <w:t> </w:t>
      </w:r>
      <w:r>
        <w:rPr>
          <w:w w:val="105"/>
          <w:sz w:val="18"/>
          <w:vertAlign w:val="baseline"/>
        </w:rPr>
        <w:t>as </w:t>
      </w:r>
      <w:r>
        <w:rPr>
          <w:sz w:val="18"/>
          <w:vertAlign w:val="baseline"/>
        </w:rPr>
        <w:t>alternative sources of ﬁnancing for LICs and MICs that would prefer not to deal with OECD-DAC donors </w:t>
      </w:r>
      <w:r>
        <w:rPr>
          <w:sz w:val="18"/>
          <w:vertAlign w:val="baseline"/>
        </w:rPr>
        <w:t>or </w:t>
      </w:r>
      <w:r>
        <w:rPr>
          <w:w w:val="105"/>
          <w:sz w:val="18"/>
          <w:vertAlign w:val="baseline"/>
        </w:rPr>
        <w:t>multilateral</w:t>
      </w:r>
      <w:r>
        <w:rPr>
          <w:spacing w:val="-14"/>
          <w:w w:val="105"/>
          <w:sz w:val="18"/>
          <w:vertAlign w:val="baseline"/>
        </w:rPr>
        <w:t> </w:t>
      </w:r>
      <w:r>
        <w:rPr>
          <w:w w:val="105"/>
          <w:sz w:val="18"/>
          <w:vertAlign w:val="baseline"/>
        </w:rPr>
        <w:t>development</w:t>
      </w:r>
      <w:r>
        <w:rPr>
          <w:spacing w:val="-13"/>
          <w:w w:val="105"/>
          <w:sz w:val="18"/>
          <w:vertAlign w:val="baseline"/>
        </w:rPr>
        <w:t> </w:t>
      </w:r>
      <w:r>
        <w:rPr>
          <w:w w:val="105"/>
          <w:sz w:val="18"/>
          <w:vertAlign w:val="baseline"/>
        </w:rPr>
        <w:t>banks</w:t>
      </w:r>
      <w:r>
        <w:rPr>
          <w:spacing w:val="-13"/>
          <w:w w:val="105"/>
          <w:sz w:val="18"/>
          <w:vertAlign w:val="baseline"/>
        </w:rPr>
        <w:t> </w:t>
      </w:r>
      <w:r>
        <w:rPr>
          <w:w w:val="105"/>
          <w:sz w:val="18"/>
          <w:vertAlign w:val="baseline"/>
        </w:rPr>
        <w:t>(Parks</w:t>
      </w:r>
      <w:r>
        <w:rPr>
          <w:spacing w:val="-13"/>
          <w:w w:val="105"/>
          <w:sz w:val="18"/>
          <w:vertAlign w:val="baseline"/>
        </w:rPr>
        <w:t> </w:t>
      </w:r>
      <w:r>
        <w:rPr>
          <w:w w:val="105"/>
          <w:sz w:val="18"/>
          <w:vertAlign w:val="baseline"/>
        </w:rPr>
        <w:t>2019;</w:t>
      </w:r>
      <w:r>
        <w:rPr>
          <w:spacing w:val="-13"/>
          <w:w w:val="105"/>
          <w:sz w:val="18"/>
          <w:vertAlign w:val="baseline"/>
        </w:rPr>
        <w:t> </w:t>
      </w:r>
      <w:r>
        <w:rPr>
          <w:w w:val="105"/>
          <w:sz w:val="18"/>
          <w:vertAlign w:val="baseline"/>
        </w:rPr>
        <w:t>Malik</w:t>
      </w:r>
      <w:r>
        <w:rPr>
          <w:spacing w:val="-13"/>
          <w:w w:val="105"/>
          <w:sz w:val="18"/>
          <w:vertAlign w:val="baseline"/>
        </w:rPr>
        <w:t> </w:t>
      </w:r>
      <w:r>
        <w:rPr>
          <w:w w:val="105"/>
          <w:sz w:val="18"/>
          <w:vertAlign w:val="baseline"/>
        </w:rPr>
        <w:t>et</w:t>
      </w:r>
      <w:r>
        <w:rPr>
          <w:spacing w:val="-13"/>
          <w:w w:val="105"/>
          <w:sz w:val="18"/>
          <w:vertAlign w:val="baseline"/>
        </w:rPr>
        <w:t> </w:t>
      </w:r>
      <w:r>
        <w:rPr>
          <w:w w:val="105"/>
          <w:sz w:val="18"/>
          <w:vertAlign w:val="baseline"/>
        </w:rPr>
        <w:t>al.</w:t>
      </w:r>
      <w:r>
        <w:rPr>
          <w:spacing w:val="-14"/>
          <w:w w:val="105"/>
          <w:sz w:val="18"/>
          <w:vertAlign w:val="baseline"/>
        </w:rPr>
        <w:t> </w:t>
      </w:r>
      <w:r>
        <w:rPr>
          <w:w w:val="105"/>
          <w:sz w:val="18"/>
          <w:vertAlign w:val="baseline"/>
        </w:rPr>
        <w:t>2021;</w:t>
      </w:r>
      <w:r>
        <w:rPr>
          <w:spacing w:val="-13"/>
          <w:w w:val="105"/>
          <w:sz w:val="18"/>
          <w:vertAlign w:val="baseline"/>
        </w:rPr>
        <w:t> </w:t>
      </w:r>
      <w:r>
        <w:rPr>
          <w:w w:val="105"/>
          <w:sz w:val="18"/>
          <w:vertAlign w:val="baseline"/>
        </w:rPr>
        <w:t>Dreher</w:t>
      </w:r>
      <w:r>
        <w:rPr>
          <w:spacing w:val="-13"/>
          <w:w w:val="105"/>
          <w:sz w:val="18"/>
          <w:vertAlign w:val="baseline"/>
        </w:rPr>
        <w:t> </w:t>
      </w:r>
      <w:r>
        <w:rPr>
          <w:w w:val="105"/>
          <w:sz w:val="18"/>
          <w:vertAlign w:val="baseline"/>
        </w:rPr>
        <w:t>et</w:t>
      </w:r>
      <w:r>
        <w:rPr>
          <w:spacing w:val="-13"/>
          <w:w w:val="105"/>
          <w:sz w:val="18"/>
          <w:vertAlign w:val="baseline"/>
        </w:rPr>
        <w:t> </w:t>
      </w:r>
      <w:r>
        <w:rPr>
          <w:w w:val="105"/>
          <w:sz w:val="18"/>
          <w:vertAlign w:val="baseline"/>
        </w:rPr>
        <w:t>al.</w:t>
      </w:r>
      <w:r>
        <w:rPr>
          <w:spacing w:val="-13"/>
          <w:w w:val="105"/>
          <w:sz w:val="18"/>
          <w:vertAlign w:val="baseline"/>
        </w:rPr>
        <w:t> </w:t>
      </w:r>
      <w:r>
        <w:rPr>
          <w:w w:val="105"/>
          <w:sz w:val="18"/>
          <w:vertAlign w:val="baseline"/>
        </w:rPr>
        <w:t>2022).</w:t>
      </w:r>
      <w:r>
        <w:rPr>
          <w:spacing w:val="-13"/>
          <w:w w:val="105"/>
          <w:sz w:val="18"/>
          <w:vertAlign w:val="baseline"/>
        </w:rPr>
        <w:t> </w:t>
      </w:r>
      <w:r>
        <w:rPr>
          <w:w w:val="105"/>
          <w:sz w:val="18"/>
          <w:vertAlign w:val="baseline"/>
        </w:rPr>
        <w:t>Therefore,</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pivot toward</w:t>
      </w:r>
      <w:r>
        <w:rPr>
          <w:spacing w:val="-11"/>
          <w:w w:val="105"/>
          <w:sz w:val="18"/>
          <w:vertAlign w:val="baseline"/>
        </w:rPr>
        <w:t> </w:t>
      </w:r>
      <w:r>
        <w:rPr>
          <w:w w:val="105"/>
          <w:sz w:val="18"/>
          <w:vertAlign w:val="baseline"/>
        </w:rPr>
        <w:t>syndication</w:t>
      </w:r>
      <w:r>
        <w:rPr>
          <w:spacing w:val="-11"/>
          <w:w w:val="105"/>
          <w:sz w:val="18"/>
          <w:vertAlign w:val="baseline"/>
        </w:rPr>
        <w:t> </w:t>
      </w:r>
      <w:r>
        <w:rPr>
          <w:w w:val="105"/>
          <w:sz w:val="18"/>
          <w:vertAlign w:val="baseline"/>
        </w:rPr>
        <w:t>and</w:t>
      </w:r>
      <w:r>
        <w:rPr>
          <w:spacing w:val="-11"/>
          <w:w w:val="105"/>
          <w:sz w:val="18"/>
          <w:vertAlign w:val="baseline"/>
        </w:rPr>
        <w:t> </w:t>
      </w:r>
      <w:r>
        <w:rPr>
          <w:w w:val="105"/>
          <w:sz w:val="18"/>
          <w:vertAlign w:val="baseline"/>
        </w:rPr>
        <w:t>multilateralization</w:t>
      </w:r>
      <w:r>
        <w:rPr>
          <w:spacing w:val="-11"/>
          <w:w w:val="105"/>
          <w:sz w:val="18"/>
          <w:vertAlign w:val="baseline"/>
        </w:rPr>
        <w:t> </w:t>
      </w:r>
      <w:r>
        <w:rPr>
          <w:w w:val="105"/>
          <w:sz w:val="18"/>
          <w:vertAlign w:val="baseline"/>
        </w:rPr>
        <w:t>represents</w:t>
      </w:r>
      <w:r>
        <w:rPr>
          <w:spacing w:val="-11"/>
          <w:w w:val="105"/>
          <w:sz w:val="18"/>
          <w:vertAlign w:val="baseline"/>
        </w:rPr>
        <w:t> </w:t>
      </w:r>
      <w:r>
        <w:rPr>
          <w:w w:val="105"/>
          <w:sz w:val="18"/>
          <w:vertAlign w:val="baseline"/>
        </w:rPr>
        <w:t>a</w:t>
      </w:r>
      <w:r>
        <w:rPr>
          <w:spacing w:val="-11"/>
          <w:w w:val="105"/>
          <w:sz w:val="18"/>
          <w:vertAlign w:val="baseline"/>
        </w:rPr>
        <w:t> </w:t>
      </w:r>
      <w:r>
        <w:rPr>
          <w:w w:val="105"/>
          <w:sz w:val="18"/>
          <w:vertAlign w:val="baseline"/>
        </w:rPr>
        <w:t>major</w:t>
      </w:r>
      <w:r>
        <w:rPr>
          <w:spacing w:val="-11"/>
          <w:w w:val="105"/>
          <w:sz w:val="18"/>
          <w:vertAlign w:val="baseline"/>
        </w:rPr>
        <w:t> </w:t>
      </w:r>
      <w:r>
        <w:rPr>
          <w:w w:val="105"/>
          <w:sz w:val="18"/>
          <w:vertAlign w:val="baseline"/>
        </w:rPr>
        <w:t>departure.</w:t>
      </w:r>
    </w:p>
    <w:p>
      <w:pPr>
        <w:spacing w:line="252" w:lineRule="auto" w:before="3"/>
        <w:ind w:left="760" w:right="843" w:firstLine="0"/>
        <w:jc w:val="left"/>
        <w:rPr>
          <w:sz w:val="18"/>
        </w:rPr>
      </w:pPr>
      <w:r>
        <w:rPr>
          <w:w w:val="105"/>
          <w:sz w:val="18"/>
          <w:vertAlign w:val="superscript"/>
        </w:rPr>
        <w:t>208</w:t>
      </w:r>
      <w:r>
        <w:rPr>
          <w:spacing w:val="-14"/>
          <w:w w:val="105"/>
          <w:sz w:val="18"/>
          <w:vertAlign w:val="baseline"/>
        </w:rPr>
        <w:t> </w:t>
      </w:r>
      <w:r>
        <w:rPr>
          <w:w w:val="105"/>
          <w:sz w:val="18"/>
          <w:vertAlign w:val="baseline"/>
        </w:rPr>
        <w:t>In</w:t>
      </w:r>
      <w:r>
        <w:rPr>
          <w:spacing w:val="-13"/>
          <w:w w:val="105"/>
          <w:sz w:val="18"/>
          <w:vertAlign w:val="baseline"/>
        </w:rPr>
        <w:t> </w:t>
      </w:r>
      <w:r>
        <w:rPr>
          <w:w w:val="105"/>
          <w:sz w:val="18"/>
          <w:vertAlign w:val="baseline"/>
        </w:rPr>
        <w:t>November</w:t>
      </w:r>
      <w:r>
        <w:rPr>
          <w:spacing w:val="-13"/>
          <w:w w:val="105"/>
          <w:sz w:val="18"/>
          <w:vertAlign w:val="baseline"/>
        </w:rPr>
        <w:t> </w:t>
      </w:r>
      <w:r>
        <w:rPr>
          <w:w w:val="105"/>
          <w:sz w:val="18"/>
          <w:vertAlign w:val="baseline"/>
        </w:rPr>
        <w:t>2017,</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country's</w:t>
      </w:r>
      <w:r>
        <w:rPr>
          <w:spacing w:val="-13"/>
          <w:w w:val="105"/>
          <w:sz w:val="18"/>
          <w:vertAlign w:val="baseline"/>
        </w:rPr>
        <w:t> </w:t>
      </w:r>
      <w:r>
        <w:rPr>
          <w:w w:val="105"/>
          <w:sz w:val="18"/>
          <w:vertAlign w:val="baseline"/>
        </w:rPr>
        <w:t>top</w:t>
      </w:r>
      <w:r>
        <w:rPr>
          <w:spacing w:val="-13"/>
          <w:w w:val="105"/>
          <w:sz w:val="18"/>
          <w:vertAlign w:val="baseline"/>
        </w:rPr>
        <w:t> </w:t>
      </w:r>
      <w:r>
        <w:rPr>
          <w:w w:val="105"/>
          <w:sz w:val="18"/>
          <w:vertAlign w:val="baseline"/>
        </w:rPr>
        <w:t>banking</w:t>
      </w:r>
      <w:r>
        <w:rPr>
          <w:spacing w:val="-14"/>
          <w:w w:val="105"/>
          <w:sz w:val="18"/>
          <w:vertAlign w:val="baseline"/>
        </w:rPr>
        <w:t> </w:t>
      </w:r>
      <w:r>
        <w:rPr>
          <w:w w:val="105"/>
          <w:sz w:val="18"/>
          <w:vertAlign w:val="baseline"/>
        </w:rPr>
        <w:t>regulator—the</w:t>
      </w:r>
      <w:r>
        <w:rPr>
          <w:spacing w:val="-13"/>
          <w:w w:val="105"/>
          <w:sz w:val="18"/>
          <w:vertAlign w:val="baseline"/>
        </w:rPr>
        <w:t> </w:t>
      </w:r>
      <w:r>
        <w:rPr>
          <w:w w:val="105"/>
          <w:sz w:val="18"/>
          <w:vertAlign w:val="baseline"/>
        </w:rPr>
        <w:t>China</w:t>
      </w:r>
      <w:r>
        <w:rPr>
          <w:spacing w:val="-13"/>
          <w:w w:val="105"/>
          <w:sz w:val="18"/>
          <w:vertAlign w:val="baseline"/>
        </w:rPr>
        <w:t> </w:t>
      </w:r>
      <w:r>
        <w:rPr>
          <w:w w:val="105"/>
          <w:sz w:val="18"/>
          <w:vertAlign w:val="baseline"/>
        </w:rPr>
        <w:t>Banking</w:t>
      </w:r>
      <w:r>
        <w:rPr>
          <w:spacing w:val="-13"/>
          <w:w w:val="105"/>
          <w:sz w:val="18"/>
          <w:vertAlign w:val="baseline"/>
        </w:rPr>
        <w:t> </w:t>
      </w:r>
      <w:r>
        <w:rPr>
          <w:w w:val="105"/>
          <w:sz w:val="18"/>
          <w:vertAlign w:val="baseline"/>
        </w:rPr>
        <w:t>Regulatory</w:t>
      </w:r>
      <w:r>
        <w:rPr>
          <w:spacing w:val="-13"/>
          <w:w w:val="105"/>
          <w:sz w:val="18"/>
          <w:vertAlign w:val="baseline"/>
        </w:rPr>
        <w:t> </w:t>
      </w:r>
      <w:r>
        <w:rPr>
          <w:w w:val="105"/>
          <w:sz w:val="18"/>
          <w:vertAlign w:val="baseline"/>
        </w:rPr>
        <w:t>Commission </w:t>
      </w:r>
      <w:r>
        <w:rPr>
          <w:sz w:val="18"/>
          <w:vertAlign w:val="baseline"/>
        </w:rPr>
        <w:t>(CBRC)—called</w:t>
      </w:r>
      <w:r>
        <w:rPr>
          <w:spacing w:val="-6"/>
          <w:sz w:val="18"/>
          <w:vertAlign w:val="baseline"/>
        </w:rPr>
        <w:t> </w:t>
      </w:r>
      <w:r>
        <w:rPr>
          <w:sz w:val="18"/>
          <w:vertAlign w:val="baseline"/>
        </w:rPr>
        <w:t>upon</w:t>
      </w:r>
      <w:r>
        <w:rPr>
          <w:spacing w:val="-6"/>
          <w:sz w:val="18"/>
          <w:vertAlign w:val="baseline"/>
        </w:rPr>
        <w:t> </w:t>
      </w:r>
      <w:r>
        <w:rPr>
          <w:sz w:val="18"/>
          <w:vertAlign w:val="baseline"/>
        </w:rPr>
        <w:t>Chinese</w:t>
      </w:r>
      <w:r>
        <w:rPr>
          <w:spacing w:val="-6"/>
          <w:sz w:val="18"/>
          <w:vertAlign w:val="baseline"/>
        </w:rPr>
        <w:t> </w:t>
      </w:r>
      <w:r>
        <w:rPr>
          <w:sz w:val="18"/>
          <w:vertAlign w:val="baseline"/>
        </w:rPr>
        <w:t>state-owned</w:t>
      </w:r>
      <w:r>
        <w:rPr>
          <w:spacing w:val="-6"/>
          <w:sz w:val="18"/>
          <w:vertAlign w:val="baseline"/>
        </w:rPr>
        <w:t> </w:t>
      </w:r>
      <w:r>
        <w:rPr>
          <w:sz w:val="18"/>
          <w:vertAlign w:val="baseline"/>
        </w:rPr>
        <w:t>banks</w:t>
      </w:r>
      <w:r>
        <w:rPr>
          <w:spacing w:val="-6"/>
          <w:sz w:val="18"/>
          <w:vertAlign w:val="baseline"/>
        </w:rPr>
        <w:t> </w:t>
      </w:r>
      <w:r>
        <w:rPr>
          <w:sz w:val="18"/>
          <w:vertAlign w:val="baseline"/>
        </w:rPr>
        <w:t>to</w:t>
      </w:r>
      <w:r>
        <w:rPr>
          <w:spacing w:val="-6"/>
          <w:sz w:val="18"/>
          <w:vertAlign w:val="baseline"/>
        </w:rPr>
        <w:t> </w:t>
      </w:r>
      <w:r>
        <w:rPr>
          <w:sz w:val="18"/>
          <w:vertAlign w:val="baseline"/>
        </w:rPr>
        <w:t>“prevent</w:t>
      </w:r>
      <w:r>
        <w:rPr>
          <w:spacing w:val="-6"/>
          <w:sz w:val="18"/>
          <w:vertAlign w:val="baseline"/>
        </w:rPr>
        <w:t> </w:t>
      </w:r>
      <w:r>
        <w:rPr>
          <w:sz w:val="18"/>
          <w:vertAlign w:val="baseline"/>
        </w:rPr>
        <w:t>and</w:t>
      </w:r>
      <w:r>
        <w:rPr>
          <w:spacing w:val="-6"/>
          <w:sz w:val="18"/>
          <w:vertAlign w:val="baseline"/>
        </w:rPr>
        <w:t> </w:t>
      </w:r>
      <w:r>
        <w:rPr>
          <w:sz w:val="18"/>
          <w:vertAlign w:val="baseline"/>
        </w:rPr>
        <w:t>control</w:t>
      </w:r>
      <w:r>
        <w:rPr>
          <w:spacing w:val="-6"/>
          <w:sz w:val="18"/>
          <w:vertAlign w:val="baseline"/>
        </w:rPr>
        <w:t> </w:t>
      </w:r>
      <w:r>
        <w:rPr>
          <w:sz w:val="18"/>
          <w:vertAlign w:val="baseline"/>
        </w:rPr>
        <w:t>overseas</w:t>
      </w:r>
      <w:r>
        <w:rPr>
          <w:spacing w:val="-6"/>
          <w:sz w:val="18"/>
          <w:vertAlign w:val="baseline"/>
        </w:rPr>
        <w:t> </w:t>
      </w:r>
      <w:r>
        <w:rPr>
          <w:sz w:val="18"/>
          <w:vertAlign w:val="baseline"/>
        </w:rPr>
        <w:t>business</w:t>
      </w:r>
      <w:r>
        <w:rPr>
          <w:spacing w:val="-6"/>
          <w:sz w:val="18"/>
          <w:vertAlign w:val="baseline"/>
        </w:rPr>
        <w:t> </w:t>
      </w:r>
      <w:r>
        <w:rPr>
          <w:sz w:val="18"/>
          <w:vertAlign w:val="baseline"/>
        </w:rPr>
        <w:t>risks</w:t>
      </w:r>
      <w:r>
        <w:rPr>
          <w:spacing w:val="-6"/>
          <w:sz w:val="18"/>
          <w:vertAlign w:val="baseline"/>
        </w:rPr>
        <w:t> </w:t>
      </w:r>
      <w:r>
        <w:rPr>
          <w:i/>
          <w:sz w:val="18"/>
          <w:vertAlign w:val="baseline"/>
        </w:rPr>
        <w:t>by</w:t>
      </w:r>
      <w:r>
        <w:rPr>
          <w:i/>
          <w:spacing w:val="-6"/>
          <w:sz w:val="18"/>
          <w:vertAlign w:val="baseline"/>
        </w:rPr>
        <w:t> </w:t>
      </w:r>
      <w:r>
        <w:rPr>
          <w:i/>
          <w:sz w:val="18"/>
          <w:vertAlign w:val="baseline"/>
        </w:rPr>
        <w:t>taking</w:t>
      </w:r>
      <w:r>
        <w:rPr>
          <w:i/>
          <w:sz w:val="18"/>
          <w:vertAlign w:val="baseline"/>
        </w:rPr>
        <w:t> risk-sharing measures</w:t>
      </w:r>
      <w:r>
        <w:rPr>
          <w:sz w:val="18"/>
          <w:vertAlign w:val="baseline"/>
        </w:rPr>
        <w:t>” (Xueqing 2017, emphasis added). The shift toward syndication and multilateralization during the late BRI period (highlighted above in Figure 2.23) may constitute evidence of </w:t>
      </w:r>
      <w:r>
        <w:rPr>
          <w:w w:val="105"/>
          <w:sz w:val="18"/>
          <w:vertAlign w:val="baseline"/>
        </w:rPr>
        <w:t>bank</w:t>
      </w:r>
      <w:r>
        <w:rPr>
          <w:spacing w:val="-14"/>
          <w:w w:val="105"/>
          <w:sz w:val="18"/>
          <w:vertAlign w:val="baseline"/>
        </w:rPr>
        <w:t> </w:t>
      </w:r>
      <w:r>
        <w:rPr>
          <w:w w:val="105"/>
          <w:sz w:val="18"/>
          <w:vertAlign w:val="baseline"/>
        </w:rPr>
        <w:t>responsiveness</w:t>
      </w:r>
      <w:r>
        <w:rPr>
          <w:spacing w:val="-13"/>
          <w:w w:val="105"/>
          <w:sz w:val="18"/>
          <w:vertAlign w:val="baseline"/>
        </w:rPr>
        <w:t> </w:t>
      </w:r>
      <w:r>
        <w:rPr>
          <w:w w:val="105"/>
          <w:sz w:val="18"/>
          <w:vertAlign w:val="baseline"/>
        </w:rPr>
        <w:t>to</w:t>
      </w:r>
      <w:r>
        <w:rPr>
          <w:spacing w:val="-13"/>
          <w:w w:val="105"/>
          <w:sz w:val="18"/>
          <w:vertAlign w:val="baseline"/>
        </w:rPr>
        <w:t> </w:t>
      </w:r>
      <w:r>
        <w:rPr>
          <w:w w:val="105"/>
          <w:sz w:val="18"/>
          <w:vertAlign w:val="baseline"/>
        </w:rPr>
        <w:t>CBRC’s</w:t>
      </w:r>
      <w:r>
        <w:rPr>
          <w:spacing w:val="-13"/>
          <w:w w:val="105"/>
          <w:sz w:val="18"/>
          <w:vertAlign w:val="baseline"/>
        </w:rPr>
        <w:t> </w:t>
      </w:r>
      <w:r>
        <w:rPr>
          <w:w w:val="105"/>
          <w:sz w:val="18"/>
          <w:vertAlign w:val="baseline"/>
        </w:rPr>
        <w:t>policy</w:t>
      </w:r>
      <w:r>
        <w:rPr>
          <w:spacing w:val="-13"/>
          <w:w w:val="105"/>
          <w:sz w:val="18"/>
          <w:vertAlign w:val="baseline"/>
        </w:rPr>
        <w:t> </w:t>
      </w:r>
      <w:r>
        <w:rPr>
          <w:w w:val="105"/>
          <w:sz w:val="18"/>
          <w:vertAlign w:val="baseline"/>
        </w:rPr>
        <w:t>guidance.</w:t>
      </w:r>
    </w:p>
    <w:p>
      <w:pPr>
        <w:spacing w:line="202" w:lineRule="exact" w:before="0"/>
        <w:ind w:left="760" w:right="0" w:firstLine="0"/>
        <w:jc w:val="left"/>
        <w:rPr>
          <w:sz w:val="18"/>
        </w:rPr>
      </w:pPr>
      <w:r>
        <w:rPr>
          <w:sz w:val="18"/>
          <w:vertAlign w:val="superscript"/>
        </w:rPr>
        <w:t>209</w:t>
      </w:r>
      <w:r>
        <w:rPr>
          <w:spacing w:val="-1"/>
          <w:sz w:val="18"/>
          <w:vertAlign w:val="baseline"/>
        </w:rPr>
        <w:t> </w:t>
      </w:r>
      <w:r>
        <w:rPr>
          <w:sz w:val="18"/>
          <w:vertAlign w:val="baseline"/>
        </w:rPr>
        <w:t>On</w:t>
      </w:r>
      <w:r>
        <w:rPr>
          <w:spacing w:val="1"/>
          <w:sz w:val="18"/>
          <w:vertAlign w:val="baseline"/>
        </w:rPr>
        <w:t> </w:t>
      </w:r>
      <w:r>
        <w:rPr>
          <w:sz w:val="18"/>
          <w:vertAlign w:val="baseline"/>
        </w:rPr>
        <w:t>this point,</w:t>
      </w:r>
      <w:r>
        <w:rPr>
          <w:spacing w:val="1"/>
          <w:sz w:val="18"/>
          <w:vertAlign w:val="baseline"/>
        </w:rPr>
        <w:t> </w:t>
      </w:r>
      <w:r>
        <w:rPr>
          <w:sz w:val="18"/>
          <w:vertAlign w:val="baseline"/>
        </w:rPr>
        <w:t>see Dennis</w:t>
      </w:r>
      <w:r>
        <w:rPr>
          <w:spacing w:val="1"/>
          <w:sz w:val="18"/>
          <w:vertAlign w:val="baseline"/>
        </w:rPr>
        <w:t> </w:t>
      </w:r>
      <w:r>
        <w:rPr>
          <w:sz w:val="18"/>
          <w:vertAlign w:val="baseline"/>
        </w:rPr>
        <w:t>and Mullineaux</w:t>
      </w:r>
      <w:r>
        <w:rPr>
          <w:spacing w:val="1"/>
          <w:sz w:val="18"/>
          <w:vertAlign w:val="baseline"/>
        </w:rPr>
        <w:t> </w:t>
      </w:r>
      <w:r>
        <w:rPr>
          <w:spacing w:val="-2"/>
          <w:sz w:val="18"/>
          <w:vertAlign w:val="baseline"/>
        </w:rPr>
        <w:t>(2000).</w:t>
      </w:r>
    </w:p>
    <w:p>
      <w:pPr>
        <w:spacing w:line="249" w:lineRule="auto" w:before="9"/>
        <w:ind w:left="760" w:right="838" w:firstLine="0"/>
        <w:jc w:val="left"/>
        <w:rPr>
          <w:sz w:val="18"/>
        </w:rPr>
      </w:pPr>
      <w:r>
        <w:rPr>
          <w:w w:val="105"/>
          <w:sz w:val="18"/>
          <w:vertAlign w:val="superscript"/>
        </w:rPr>
        <w:t>210</w:t>
      </w:r>
      <w:r>
        <w:rPr>
          <w:spacing w:val="-11"/>
          <w:w w:val="105"/>
          <w:sz w:val="18"/>
          <w:vertAlign w:val="baseline"/>
        </w:rPr>
        <w:t> </w:t>
      </w:r>
      <w:r>
        <w:rPr>
          <w:w w:val="105"/>
          <w:sz w:val="18"/>
          <w:vertAlign w:val="baseline"/>
        </w:rPr>
        <w:t>In</w:t>
      </w:r>
      <w:r>
        <w:rPr>
          <w:spacing w:val="-10"/>
          <w:w w:val="105"/>
          <w:sz w:val="18"/>
          <w:vertAlign w:val="baseline"/>
        </w:rPr>
        <w:t> </w:t>
      </w:r>
      <w:r>
        <w:rPr>
          <w:w w:val="105"/>
          <w:sz w:val="18"/>
          <w:vertAlign w:val="baseline"/>
        </w:rPr>
        <w:t>a</w:t>
      </w:r>
      <w:r>
        <w:rPr>
          <w:spacing w:val="-10"/>
          <w:w w:val="105"/>
          <w:sz w:val="18"/>
          <w:vertAlign w:val="baseline"/>
        </w:rPr>
        <w:t> </w:t>
      </w:r>
      <w:r>
        <w:rPr>
          <w:w w:val="105"/>
          <w:sz w:val="18"/>
          <w:vertAlign w:val="baseline"/>
        </w:rPr>
        <w:t>typical</w:t>
      </w:r>
      <w:r>
        <w:rPr>
          <w:spacing w:val="-10"/>
          <w:w w:val="105"/>
          <w:sz w:val="18"/>
          <w:vertAlign w:val="baseline"/>
        </w:rPr>
        <w:t> </w:t>
      </w:r>
      <w:r>
        <w:rPr>
          <w:w w:val="105"/>
          <w:sz w:val="18"/>
          <w:vertAlign w:val="baseline"/>
        </w:rPr>
        <w:t>A/B</w:t>
      </w:r>
      <w:r>
        <w:rPr>
          <w:spacing w:val="-10"/>
          <w:w w:val="105"/>
          <w:sz w:val="18"/>
          <w:vertAlign w:val="baseline"/>
        </w:rPr>
        <w:t> </w:t>
      </w:r>
      <w:r>
        <w:rPr>
          <w:w w:val="105"/>
          <w:sz w:val="18"/>
          <w:vertAlign w:val="baseline"/>
        </w:rPr>
        <w:t>syndicated</w:t>
      </w:r>
      <w:r>
        <w:rPr>
          <w:spacing w:val="-10"/>
          <w:w w:val="105"/>
          <w:sz w:val="18"/>
          <w:vertAlign w:val="baseline"/>
        </w:rPr>
        <w:t> </w:t>
      </w:r>
      <w:r>
        <w:rPr>
          <w:w w:val="105"/>
          <w:sz w:val="18"/>
          <w:vertAlign w:val="baseline"/>
        </w:rPr>
        <w:t>loan</w:t>
      </w:r>
      <w:r>
        <w:rPr>
          <w:spacing w:val="-10"/>
          <w:w w:val="105"/>
          <w:sz w:val="18"/>
          <w:vertAlign w:val="baseline"/>
        </w:rPr>
        <w:t> </w:t>
      </w:r>
      <w:r>
        <w:rPr>
          <w:w w:val="105"/>
          <w:sz w:val="18"/>
          <w:vertAlign w:val="baseline"/>
        </w:rPr>
        <w:t>arrangement</w:t>
      </w:r>
      <w:r>
        <w:rPr>
          <w:spacing w:val="-10"/>
          <w:w w:val="105"/>
          <w:sz w:val="18"/>
          <w:vertAlign w:val="baseline"/>
        </w:rPr>
        <w:t> </w:t>
      </w:r>
      <w:r>
        <w:rPr>
          <w:w w:val="105"/>
          <w:sz w:val="18"/>
          <w:vertAlign w:val="baseline"/>
        </w:rPr>
        <w:t>involving</w:t>
      </w:r>
      <w:r>
        <w:rPr>
          <w:spacing w:val="-10"/>
          <w:w w:val="105"/>
          <w:sz w:val="18"/>
          <w:vertAlign w:val="baseline"/>
        </w:rPr>
        <w:t> </w:t>
      </w:r>
      <w:r>
        <w:rPr>
          <w:w w:val="105"/>
          <w:sz w:val="18"/>
          <w:vertAlign w:val="baseline"/>
        </w:rPr>
        <w:t>an</w:t>
      </w:r>
      <w:r>
        <w:rPr>
          <w:spacing w:val="-10"/>
          <w:w w:val="105"/>
          <w:sz w:val="18"/>
          <w:vertAlign w:val="baseline"/>
        </w:rPr>
        <w:t> </w:t>
      </w:r>
      <w:r>
        <w:rPr>
          <w:w w:val="105"/>
          <w:sz w:val="18"/>
          <w:vertAlign w:val="baseline"/>
        </w:rPr>
        <w:t>MDB,</w:t>
      </w:r>
      <w:r>
        <w:rPr>
          <w:spacing w:val="-10"/>
          <w:w w:val="105"/>
          <w:sz w:val="18"/>
          <w:vertAlign w:val="baseline"/>
        </w:rPr>
        <w:t> </w:t>
      </w:r>
      <w:r>
        <w:rPr>
          <w:w w:val="105"/>
          <w:sz w:val="18"/>
          <w:vertAlign w:val="baseline"/>
        </w:rPr>
        <w:t>the</w:t>
      </w:r>
      <w:r>
        <w:rPr>
          <w:spacing w:val="-10"/>
          <w:w w:val="105"/>
          <w:sz w:val="18"/>
          <w:vertAlign w:val="baseline"/>
        </w:rPr>
        <w:t> </w:t>
      </w:r>
      <w:r>
        <w:rPr>
          <w:w w:val="105"/>
          <w:sz w:val="18"/>
          <w:vertAlign w:val="baseline"/>
        </w:rPr>
        <w:t>lender-of-record</w:t>
      </w:r>
      <w:r>
        <w:rPr>
          <w:spacing w:val="-10"/>
          <w:w w:val="105"/>
          <w:sz w:val="18"/>
          <w:vertAlign w:val="baseline"/>
        </w:rPr>
        <w:t> </w:t>
      </w:r>
      <w:r>
        <w:rPr>
          <w:w w:val="105"/>
          <w:sz w:val="18"/>
          <w:vertAlign w:val="baseline"/>
        </w:rPr>
        <w:t>is</w:t>
      </w:r>
      <w:r>
        <w:rPr>
          <w:spacing w:val="-10"/>
          <w:w w:val="105"/>
          <w:sz w:val="18"/>
          <w:vertAlign w:val="baseline"/>
        </w:rPr>
        <w:t> </w:t>
      </w:r>
      <w:r>
        <w:rPr>
          <w:w w:val="105"/>
          <w:sz w:val="18"/>
          <w:vertAlign w:val="baseline"/>
        </w:rPr>
        <w:t>the</w:t>
      </w:r>
      <w:r>
        <w:rPr>
          <w:spacing w:val="-10"/>
          <w:w w:val="105"/>
          <w:sz w:val="18"/>
          <w:vertAlign w:val="baseline"/>
        </w:rPr>
        <w:t> </w:t>
      </w:r>
      <w:r>
        <w:rPr>
          <w:w w:val="105"/>
          <w:sz w:val="18"/>
          <w:vertAlign w:val="baseline"/>
        </w:rPr>
        <w:t>MDB;</w:t>
      </w:r>
      <w:r>
        <w:rPr>
          <w:spacing w:val="-10"/>
          <w:w w:val="105"/>
          <w:sz w:val="18"/>
          <w:vertAlign w:val="baseline"/>
        </w:rPr>
        <w:t> </w:t>
      </w:r>
      <w:r>
        <w:rPr>
          <w:w w:val="105"/>
          <w:sz w:val="18"/>
          <w:vertAlign w:val="baseline"/>
        </w:rPr>
        <w:t>it keeps</w:t>
      </w:r>
      <w:r>
        <w:rPr>
          <w:spacing w:val="-14"/>
          <w:w w:val="105"/>
          <w:sz w:val="18"/>
          <w:vertAlign w:val="baseline"/>
        </w:rPr>
        <w:t> </w:t>
      </w:r>
      <w:r>
        <w:rPr>
          <w:w w:val="105"/>
          <w:sz w:val="18"/>
          <w:vertAlign w:val="baseline"/>
        </w:rPr>
        <w:t>a</w:t>
      </w:r>
      <w:r>
        <w:rPr>
          <w:spacing w:val="-13"/>
          <w:w w:val="105"/>
          <w:sz w:val="18"/>
          <w:vertAlign w:val="baseline"/>
        </w:rPr>
        <w:t> </w:t>
      </w:r>
      <w:r>
        <w:rPr>
          <w:w w:val="105"/>
          <w:sz w:val="18"/>
          <w:vertAlign w:val="baseline"/>
        </w:rPr>
        <w:t>part</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loan</w:t>
      </w:r>
      <w:r>
        <w:rPr>
          <w:spacing w:val="-13"/>
          <w:w w:val="105"/>
          <w:sz w:val="18"/>
          <w:vertAlign w:val="baseline"/>
        </w:rPr>
        <w:t> </w:t>
      </w:r>
      <w:r>
        <w:rPr>
          <w:w w:val="105"/>
          <w:sz w:val="18"/>
          <w:vertAlign w:val="baseline"/>
        </w:rPr>
        <w:t>for</w:t>
      </w:r>
      <w:r>
        <w:rPr>
          <w:spacing w:val="-13"/>
          <w:w w:val="105"/>
          <w:sz w:val="18"/>
          <w:vertAlign w:val="baseline"/>
        </w:rPr>
        <w:t> </w:t>
      </w:r>
      <w:r>
        <w:rPr>
          <w:w w:val="105"/>
          <w:sz w:val="18"/>
          <w:vertAlign w:val="baseline"/>
        </w:rPr>
        <w:t>its</w:t>
      </w:r>
      <w:r>
        <w:rPr>
          <w:spacing w:val="-14"/>
          <w:w w:val="105"/>
          <w:sz w:val="18"/>
          <w:vertAlign w:val="baseline"/>
        </w:rPr>
        <w:t> </w:t>
      </w:r>
      <w:r>
        <w:rPr>
          <w:w w:val="105"/>
          <w:sz w:val="18"/>
          <w:vertAlign w:val="baseline"/>
        </w:rPr>
        <w:t>own</w:t>
      </w:r>
      <w:r>
        <w:rPr>
          <w:spacing w:val="-13"/>
          <w:w w:val="105"/>
          <w:sz w:val="18"/>
          <w:vertAlign w:val="baseline"/>
        </w:rPr>
        <w:t> </w:t>
      </w:r>
      <w:r>
        <w:rPr>
          <w:w w:val="105"/>
          <w:sz w:val="18"/>
          <w:vertAlign w:val="baseline"/>
        </w:rPr>
        <w:t>account</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“A-loan”)</w:t>
      </w:r>
      <w:r>
        <w:rPr>
          <w:spacing w:val="-13"/>
          <w:w w:val="105"/>
          <w:sz w:val="18"/>
          <w:vertAlign w:val="baseline"/>
        </w:rPr>
        <w:t> </w:t>
      </w:r>
      <w:r>
        <w:rPr>
          <w:w w:val="105"/>
          <w:sz w:val="18"/>
          <w:vertAlign w:val="baseline"/>
        </w:rPr>
        <w:t>and</w:t>
      </w:r>
      <w:r>
        <w:rPr>
          <w:spacing w:val="-13"/>
          <w:w w:val="105"/>
          <w:sz w:val="18"/>
          <w:vertAlign w:val="baseline"/>
        </w:rPr>
        <w:t> </w:t>
      </w:r>
      <w:r>
        <w:rPr>
          <w:w w:val="105"/>
          <w:sz w:val="18"/>
          <w:vertAlign w:val="baseline"/>
        </w:rPr>
        <w:t>it</w:t>
      </w:r>
      <w:r>
        <w:rPr>
          <w:spacing w:val="-13"/>
          <w:w w:val="105"/>
          <w:sz w:val="18"/>
          <w:vertAlign w:val="baseline"/>
        </w:rPr>
        <w:t> </w:t>
      </w:r>
      <w:r>
        <w:rPr>
          <w:w w:val="105"/>
          <w:sz w:val="18"/>
          <w:vertAlign w:val="baseline"/>
        </w:rPr>
        <w:t>sells</w:t>
      </w:r>
      <w:r>
        <w:rPr>
          <w:spacing w:val="-13"/>
          <w:w w:val="105"/>
          <w:sz w:val="18"/>
          <w:vertAlign w:val="baseline"/>
        </w:rPr>
        <w:t> </w:t>
      </w:r>
      <w:r>
        <w:rPr>
          <w:w w:val="105"/>
          <w:sz w:val="18"/>
          <w:vertAlign w:val="baseline"/>
        </w:rPr>
        <w:t>participation</w:t>
      </w:r>
      <w:r>
        <w:rPr>
          <w:spacing w:val="-14"/>
          <w:w w:val="105"/>
          <w:sz w:val="18"/>
          <w:vertAlign w:val="baseline"/>
        </w:rPr>
        <w:t> </w:t>
      </w:r>
      <w:r>
        <w:rPr>
          <w:w w:val="105"/>
          <w:sz w:val="18"/>
          <w:vertAlign w:val="baseline"/>
        </w:rPr>
        <w:t>in</w:t>
      </w:r>
      <w:r>
        <w:rPr>
          <w:spacing w:val="-13"/>
          <w:w w:val="105"/>
          <w:sz w:val="18"/>
          <w:vertAlign w:val="baseline"/>
        </w:rPr>
        <w:t> </w:t>
      </w:r>
      <w:r>
        <w:rPr>
          <w:w w:val="105"/>
          <w:sz w:val="18"/>
          <w:vertAlign w:val="baseline"/>
        </w:rPr>
        <w:t>the</w:t>
      </w:r>
      <w:r>
        <w:rPr>
          <w:spacing w:val="-13"/>
          <w:w w:val="105"/>
          <w:sz w:val="18"/>
          <w:vertAlign w:val="baseline"/>
        </w:rPr>
        <w:t> </w:t>
      </w:r>
      <w:r>
        <w:rPr>
          <w:w w:val="105"/>
          <w:sz w:val="18"/>
          <w:vertAlign w:val="baseline"/>
        </w:rPr>
        <w:t>remainder</w:t>
      </w:r>
      <w:r>
        <w:rPr>
          <w:spacing w:val="-13"/>
          <w:w w:val="105"/>
          <w:sz w:val="18"/>
          <w:vertAlign w:val="baseline"/>
        </w:rPr>
        <w:t> </w:t>
      </w:r>
      <w:r>
        <w:rPr>
          <w:w w:val="105"/>
          <w:sz w:val="18"/>
          <w:vertAlign w:val="baseline"/>
        </w:rPr>
        <w:t>of</w:t>
      </w:r>
      <w:r>
        <w:rPr>
          <w:spacing w:val="-13"/>
          <w:w w:val="105"/>
          <w:sz w:val="18"/>
          <w:vertAlign w:val="baseline"/>
        </w:rPr>
        <w:t> </w:t>
      </w:r>
      <w:r>
        <w:rPr>
          <w:w w:val="105"/>
          <w:sz w:val="18"/>
          <w:vertAlign w:val="baseline"/>
        </w:rPr>
        <w:t>the </w:t>
      </w:r>
      <w:r>
        <w:rPr>
          <w:spacing w:val="-2"/>
          <w:w w:val="105"/>
          <w:sz w:val="18"/>
          <w:vertAlign w:val="baseline"/>
        </w:rPr>
        <w:t>loan</w:t>
      </w:r>
      <w:r>
        <w:rPr>
          <w:spacing w:val="-6"/>
          <w:w w:val="105"/>
          <w:sz w:val="18"/>
          <w:vertAlign w:val="baseline"/>
        </w:rPr>
        <w:t> </w:t>
      </w:r>
      <w:r>
        <w:rPr>
          <w:spacing w:val="-2"/>
          <w:w w:val="105"/>
          <w:sz w:val="18"/>
          <w:vertAlign w:val="baseline"/>
        </w:rPr>
        <w:t>(the</w:t>
      </w:r>
      <w:r>
        <w:rPr>
          <w:spacing w:val="-6"/>
          <w:w w:val="105"/>
          <w:sz w:val="18"/>
          <w:vertAlign w:val="baseline"/>
        </w:rPr>
        <w:t> </w:t>
      </w:r>
      <w:r>
        <w:rPr>
          <w:spacing w:val="-2"/>
          <w:w w:val="105"/>
          <w:sz w:val="18"/>
          <w:vertAlign w:val="baseline"/>
        </w:rPr>
        <w:t>“B-loan”).</w:t>
      </w:r>
      <w:r>
        <w:rPr>
          <w:spacing w:val="-6"/>
          <w:w w:val="105"/>
          <w:sz w:val="18"/>
          <w:vertAlign w:val="baseline"/>
        </w:rPr>
        <w:t> </w:t>
      </w:r>
      <w:r>
        <w:rPr>
          <w:spacing w:val="-2"/>
          <w:w w:val="105"/>
          <w:sz w:val="18"/>
          <w:vertAlign w:val="baseline"/>
        </w:rPr>
        <w:t>As</w:t>
      </w:r>
      <w:r>
        <w:rPr>
          <w:spacing w:val="-6"/>
          <w:w w:val="105"/>
          <w:sz w:val="18"/>
          <w:vertAlign w:val="baseline"/>
        </w:rPr>
        <w:t> </w:t>
      </w:r>
      <w:r>
        <w:rPr>
          <w:spacing w:val="-2"/>
          <w:w w:val="105"/>
          <w:sz w:val="18"/>
          <w:vertAlign w:val="baseline"/>
        </w:rPr>
        <w:t>the</w:t>
      </w:r>
      <w:r>
        <w:rPr>
          <w:spacing w:val="-6"/>
          <w:w w:val="105"/>
          <w:sz w:val="18"/>
          <w:vertAlign w:val="baseline"/>
        </w:rPr>
        <w:t> </w:t>
      </w:r>
      <w:r>
        <w:rPr>
          <w:spacing w:val="-2"/>
          <w:w w:val="105"/>
          <w:sz w:val="18"/>
          <w:vertAlign w:val="baseline"/>
        </w:rPr>
        <w:t>lender-of-record,</w:t>
      </w:r>
      <w:r>
        <w:rPr>
          <w:spacing w:val="-6"/>
          <w:w w:val="105"/>
          <w:sz w:val="18"/>
          <w:vertAlign w:val="baseline"/>
        </w:rPr>
        <w:t> </w:t>
      </w:r>
      <w:r>
        <w:rPr>
          <w:spacing w:val="-2"/>
          <w:w w:val="105"/>
          <w:sz w:val="18"/>
          <w:vertAlign w:val="baseline"/>
        </w:rPr>
        <w:t>the</w:t>
      </w:r>
      <w:r>
        <w:rPr>
          <w:spacing w:val="-6"/>
          <w:w w:val="105"/>
          <w:sz w:val="18"/>
          <w:vertAlign w:val="baseline"/>
        </w:rPr>
        <w:t> </w:t>
      </w:r>
      <w:r>
        <w:rPr>
          <w:spacing w:val="-2"/>
          <w:w w:val="105"/>
          <w:sz w:val="18"/>
          <w:vertAlign w:val="baseline"/>
        </w:rPr>
        <w:t>MDB</w:t>
      </w:r>
      <w:r>
        <w:rPr>
          <w:spacing w:val="-6"/>
          <w:w w:val="105"/>
          <w:sz w:val="18"/>
          <w:vertAlign w:val="baseline"/>
        </w:rPr>
        <w:t> </w:t>
      </w:r>
      <w:r>
        <w:rPr>
          <w:spacing w:val="-2"/>
          <w:w w:val="105"/>
          <w:sz w:val="18"/>
          <w:vertAlign w:val="baseline"/>
        </w:rPr>
        <w:t>confers</w:t>
      </w:r>
      <w:r>
        <w:rPr>
          <w:spacing w:val="-6"/>
          <w:w w:val="105"/>
          <w:sz w:val="18"/>
          <w:vertAlign w:val="baseline"/>
        </w:rPr>
        <w:t> </w:t>
      </w:r>
      <w:r>
        <w:rPr>
          <w:spacing w:val="-2"/>
          <w:w w:val="105"/>
          <w:sz w:val="18"/>
          <w:vertAlign w:val="baseline"/>
        </w:rPr>
        <w:t>its</w:t>
      </w:r>
      <w:r>
        <w:rPr>
          <w:spacing w:val="-6"/>
          <w:w w:val="105"/>
          <w:sz w:val="18"/>
          <w:vertAlign w:val="baseline"/>
        </w:rPr>
        <w:t> </w:t>
      </w:r>
      <w:r>
        <w:rPr>
          <w:spacing w:val="-2"/>
          <w:w w:val="105"/>
          <w:sz w:val="18"/>
          <w:vertAlign w:val="baseline"/>
        </w:rPr>
        <w:t>status</w:t>
      </w:r>
      <w:r>
        <w:rPr>
          <w:spacing w:val="-6"/>
          <w:w w:val="105"/>
          <w:sz w:val="18"/>
          <w:vertAlign w:val="baseline"/>
        </w:rPr>
        <w:t> </w:t>
      </w:r>
      <w:r>
        <w:rPr>
          <w:spacing w:val="-2"/>
          <w:w w:val="105"/>
          <w:sz w:val="18"/>
          <w:vertAlign w:val="baseline"/>
        </w:rPr>
        <w:t>as</w:t>
      </w:r>
      <w:r>
        <w:rPr>
          <w:spacing w:val="-6"/>
          <w:w w:val="105"/>
          <w:sz w:val="18"/>
          <w:vertAlign w:val="baseline"/>
        </w:rPr>
        <w:t> </w:t>
      </w:r>
      <w:r>
        <w:rPr>
          <w:spacing w:val="-2"/>
          <w:w w:val="105"/>
          <w:sz w:val="18"/>
          <w:vertAlign w:val="baseline"/>
        </w:rPr>
        <w:t>a</w:t>
      </w:r>
      <w:r>
        <w:rPr>
          <w:spacing w:val="-6"/>
          <w:w w:val="105"/>
          <w:sz w:val="18"/>
          <w:vertAlign w:val="baseline"/>
        </w:rPr>
        <w:t> </w:t>
      </w:r>
      <w:r>
        <w:rPr>
          <w:spacing w:val="-2"/>
          <w:w w:val="105"/>
          <w:sz w:val="18"/>
          <w:vertAlign w:val="baseline"/>
        </w:rPr>
        <w:t>de</w:t>
      </w:r>
      <w:r>
        <w:rPr>
          <w:spacing w:val="-6"/>
          <w:w w:val="105"/>
          <w:sz w:val="18"/>
          <w:vertAlign w:val="baseline"/>
        </w:rPr>
        <w:t> </w:t>
      </w:r>
      <w:r>
        <w:rPr>
          <w:spacing w:val="-2"/>
          <w:w w:val="105"/>
          <w:sz w:val="18"/>
          <w:vertAlign w:val="baseline"/>
        </w:rPr>
        <w:t>facto</w:t>
      </w:r>
      <w:r>
        <w:rPr>
          <w:spacing w:val="-6"/>
          <w:w w:val="105"/>
          <w:sz w:val="18"/>
          <w:vertAlign w:val="baseline"/>
        </w:rPr>
        <w:t> </w:t>
      </w:r>
      <w:r>
        <w:rPr>
          <w:spacing w:val="-2"/>
          <w:w w:val="105"/>
          <w:sz w:val="18"/>
          <w:vertAlign w:val="baseline"/>
        </w:rPr>
        <w:t>preferred</w:t>
      </w:r>
      <w:r>
        <w:rPr>
          <w:spacing w:val="-6"/>
          <w:w w:val="105"/>
          <w:sz w:val="18"/>
          <w:vertAlign w:val="baseline"/>
        </w:rPr>
        <w:t> </w:t>
      </w:r>
      <w:r>
        <w:rPr>
          <w:spacing w:val="-2"/>
          <w:w w:val="105"/>
          <w:sz w:val="18"/>
          <w:vertAlign w:val="baseline"/>
        </w:rPr>
        <w:t>creditor</w:t>
      </w:r>
      <w:r>
        <w:rPr>
          <w:spacing w:val="-6"/>
          <w:w w:val="105"/>
          <w:sz w:val="18"/>
          <w:vertAlign w:val="baseline"/>
        </w:rPr>
        <w:t> </w:t>
      </w:r>
      <w:r>
        <w:rPr>
          <w:spacing w:val="-2"/>
          <w:w w:val="105"/>
          <w:sz w:val="18"/>
          <w:vertAlign w:val="baseline"/>
        </w:rPr>
        <w:t>to </w:t>
      </w:r>
      <w:r>
        <w:rPr>
          <w:w w:val="105"/>
          <w:sz w:val="18"/>
          <w:vertAlign w:val="baseline"/>
        </w:rPr>
        <w:t>all B-loan participants.</w:t>
      </w:r>
    </w:p>
    <w:p>
      <w:pPr>
        <w:spacing w:before="3"/>
        <w:ind w:left="760" w:right="0" w:firstLine="0"/>
        <w:jc w:val="left"/>
        <w:rPr>
          <w:sz w:val="18"/>
        </w:rPr>
      </w:pPr>
      <w:r>
        <w:rPr>
          <w:sz w:val="18"/>
          <w:vertAlign w:val="superscript"/>
        </w:rPr>
        <w:t>211</w:t>
      </w:r>
      <w:r>
        <w:rPr>
          <w:sz w:val="18"/>
          <w:vertAlign w:val="baseline"/>
        </w:rPr>
        <w:t> On</w:t>
      </w:r>
      <w:r>
        <w:rPr>
          <w:spacing w:val="1"/>
          <w:sz w:val="18"/>
          <w:vertAlign w:val="baseline"/>
        </w:rPr>
        <w:t> </w:t>
      </w:r>
      <w:r>
        <w:rPr>
          <w:sz w:val="18"/>
          <w:vertAlign w:val="baseline"/>
        </w:rPr>
        <w:t>this</w:t>
      </w:r>
      <w:r>
        <w:rPr>
          <w:spacing w:val="1"/>
          <w:sz w:val="18"/>
          <w:vertAlign w:val="baseline"/>
        </w:rPr>
        <w:t> </w:t>
      </w:r>
      <w:r>
        <w:rPr>
          <w:sz w:val="18"/>
          <w:vertAlign w:val="baseline"/>
        </w:rPr>
        <w:t>point,</w:t>
      </w:r>
      <w:r>
        <w:rPr>
          <w:spacing w:val="1"/>
          <w:sz w:val="18"/>
          <w:vertAlign w:val="baseline"/>
        </w:rPr>
        <w:t> </w:t>
      </w:r>
      <w:r>
        <w:rPr>
          <w:sz w:val="18"/>
          <w:vertAlign w:val="baseline"/>
        </w:rPr>
        <w:t>see</w:t>
      </w:r>
      <w:r>
        <w:rPr>
          <w:spacing w:val="1"/>
          <w:sz w:val="18"/>
          <w:vertAlign w:val="baseline"/>
        </w:rPr>
        <w:t> </w:t>
      </w:r>
      <w:r>
        <w:rPr>
          <w:sz w:val="18"/>
          <w:vertAlign w:val="baseline"/>
        </w:rPr>
        <w:t>Cordella</w:t>
      </w:r>
      <w:r>
        <w:rPr>
          <w:spacing w:val="2"/>
          <w:sz w:val="18"/>
          <w:vertAlign w:val="baseline"/>
        </w:rPr>
        <w:t> </w:t>
      </w:r>
      <w:r>
        <w:rPr>
          <w:sz w:val="18"/>
          <w:vertAlign w:val="baseline"/>
        </w:rPr>
        <w:t>and</w:t>
      </w:r>
      <w:r>
        <w:rPr>
          <w:spacing w:val="1"/>
          <w:sz w:val="18"/>
          <w:vertAlign w:val="baseline"/>
        </w:rPr>
        <w:t> </w:t>
      </w:r>
      <w:r>
        <w:rPr>
          <w:sz w:val="18"/>
          <w:vertAlign w:val="baseline"/>
        </w:rPr>
        <w:t>Powell</w:t>
      </w:r>
      <w:r>
        <w:rPr>
          <w:spacing w:val="1"/>
          <w:sz w:val="18"/>
          <w:vertAlign w:val="baseline"/>
        </w:rPr>
        <w:t> </w:t>
      </w:r>
      <w:r>
        <w:rPr>
          <w:spacing w:val="-2"/>
          <w:sz w:val="18"/>
          <w:vertAlign w:val="baseline"/>
        </w:rPr>
        <w:t>(2021).</w:t>
      </w:r>
    </w:p>
    <w:p>
      <w:pPr>
        <w:spacing w:after="0"/>
        <w:jc w:val="left"/>
        <w:rPr>
          <w:sz w:val="18"/>
        </w:rPr>
        <w:sectPr>
          <w:pgSz w:w="12240" w:h="15840"/>
          <w:pgMar w:header="0" w:footer="720" w:top="1400" w:bottom="920" w:left="1040" w:right="1040"/>
        </w:sectPr>
      </w:pPr>
    </w:p>
    <w:p>
      <w:pPr>
        <w:pStyle w:val="BodyText"/>
        <w:spacing w:line="333" w:lineRule="auto" w:before="27"/>
        <w:ind w:left="760" w:right="767"/>
      </w:pPr>
      <w:r>
        <w:rPr/>
        <w:t>2016);</w:t>
      </w:r>
      <w:r>
        <w:rPr>
          <w:spacing w:val="-14"/>
        </w:rPr>
        <w:t> </w:t>
      </w:r>
      <w:r>
        <w:rPr/>
        <w:t>and</w:t>
      </w:r>
      <w:r>
        <w:rPr>
          <w:spacing w:val="-14"/>
        </w:rPr>
        <w:t> </w:t>
      </w:r>
      <w:r>
        <w:rPr/>
        <w:t>(2)</w:t>
      </w:r>
      <w:r>
        <w:rPr>
          <w:spacing w:val="-14"/>
        </w:rPr>
        <w:t> </w:t>
      </w:r>
      <w:r>
        <w:rPr/>
        <w:t>they</w:t>
      </w:r>
      <w:r>
        <w:rPr>
          <w:spacing w:val="-14"/>
        </w:rPr>
        <w:t> </w:t>
      </w:r>
      <w:r>
        <w:rPr/>
        <w:t>are</w:t>
      </w:r>
      <w:r>
        <w:rPr>
          <w:spacing w:val="-14"/>
        </w:rPr>
        <w:t> </w:t>
      </w:r>
      <w:r>
        <w:rPr/>
        <w:t>generally</w:t>
      </w:r>
      <w:r>
        <w:rPr>
          <w:spacing w:val="-14"/>
        </w:rPr>
        <w:t> </w:t>
      </w:r>
      <w:r>
        <w:rPr/>
        <w:t>subject</w:t>
      </w:r>
      <w:r>
        <w:rPr>
          <w:spacing w:val="-14"/>
        </w:rPr>
        <w:t> </w:t>
      </w:r>
      <w:r>
        <w:rPr/>
        <w:t>to</w:t>
      </w:r>
      <w:r>
        <w:rPr>
          <w:spacing w:val="-14"/>
        </w:rPr>
        <w:t> </w:t>
      </w:r>
      <w:r>
        <w:rPr/>
        <w:t>smaller</w:t>
      </w:r>
      <w:r>
        <w:rPr>
          <w:spacing w:val="-14"/>
        </w:rPr>
        <w:t> </w:t>
      </w:r>
      <w:r>
        <w:rPr/>
        <w:t>haircuts</w:t>
      </w:r>
      <w:r>
        <w:rPr>
          <w:spacing w:val="-14"/>
        </w:rPr>
        <w:t> </w:t>
      </w:r>
      <w:r>
        <w:rPr/>
        <w:t>(ﬁnancial</w:t>
      </w:r>
      <w:r>
        <w:rPr>
          <w:spacing w:val="-14"/>
        </w:rPr>
        <w:t> </w:t>
      </w:r>
      <w:r>
        <w:rPr/>
        <w:t>losses)</w:t>
      </w:r>
      <w:r>
        <w:rPr>
          <w:spacing w:val="-14"/>
        </w:rPr>
        <w:t> </w:t>
      </w:r>
      <w:r>
        <w:rPr/>
        <w:t>than bilateral loans (Cruces and Trebesch 2013; Schlegl et al. 2019).</w:t>
      </w:r>
      <w:r>
        <w:rPr>
          <w:vertAlign w:val="superscript"/>
        </w:rPr>
        <w:t>212</w:t>
      </w:r>
    </w:p>
    <w:p>
      <w:pPr>
        <w:pStyle w:val="BodyText"/>
        <w:spacing w:before="10"/>
        <w:rPr>
          <w:sz w:val="27"/>
        </w:rPr>
      </w:pPr>
    </w:p>
    <w:p>
      <w:pPr>
        <w:pStyle w:val="Heading3"/>
        <w:spacing w:line="312" w:lineRule="auto"/>
      </w:pPr>
      <w:r>
        <w:rPr/>
        <w:t>Section 4: What have we learned about Beijing’s bid to </w:t>
      </w:r>
      <w:r>
        <w:rPr>
          <w:w w:val="105"/>
        </w:rPr>
        <w:t>reboot</w:t>
      </w:r>
      <w:r>
        <w:rPr>
          <w:spacing w:val="-19"/>
          <w:w w:val="105"/>
        </w:rPr>
        <w:t> </w:t>
      </w:r>
      <w:r>
        <w:rPr>
          <w:w w:val="105"/>
        </w:rPr>
        <w:t>its</w:t>
      </w:r>
      <w:r>
        <w:rPr>
          <w:spacing w:val="-19"/>
          <w:w w:val="105"/>
        </w:rPr>
        <w:t> </w:t>
      </w:r>
      <w:r>
        <w:rPr>
          <w:w w:val="105"/>
        </w:rPr>
        <w:t>overseas</w:t>
      </w:r>
      <w:r>
        <w:rPr>
          <w:spacing w:val="-19"/>
          <w:w w:val="105"/>
        </w:rPr>
        <w:t> </w:t>
      </w:r>
      <w:r>
        <w:rPr>
          <w:w w:val="105"/>
        </w:rPr>
        <w:t>lending</w:t>
      </w:r>
      <w:r>
        <w:rPr>
          <w:spacing w:val="-20"/>
          <w:w w:val="105"/>
        </w:rPr>
        <w:t> </w:t>
      </w:r>
      <w:r>
        <w:rPr>
          <w:w w:val="105"/>
        </w:rPr>
        <w:t>program?</w:t>
      </w:r>
    </w:p>
    <w:p>
      <w:pPr>
        <w:pStyle w:val="BodyText"/>
        <w:spacing w:line="333" w:lineRule="auto" w:before="162"/>
        <w:ind w:left="760" w:right="838"/>
      </w:pPr>
      <w:r>
        <w:rPr/>
        <w:t>In this chapter, we have presented evidence that challenges the conventional wisdom</w:t>
      </w:r>
      <w:r>
        <w:rPr>
          <w:spacing w:val="25"/>
        </w:rPr>
        <w:t> </w:t>
      </w:r>
      <w:r>
        <w:rPr/>
        <w:t>about</w:t>
      </w:r>
      <w:r>
        <w:rPr>
          <w:spacing w:val="25"/>
        </w:rPr>
        <w:t> </w:t>
      </w:r>
      <w:r>
        <w:rPr/>
        <w:t>the</w:t>
      </w:r>
      <w:r>
        <w:rPr>
          <w:spacing w:val="25"/>
        </w:rPr>
        <w:t> </w:t>
      </w:r>
      <w:r>
        <w:rPr/>
        <w:t>total</w:t>
      </w:r>
      <w:r>
        <w:rPr>
          <w:spacing w:val="25"/>
        </w:rPr>
        <w:t> </w:t>
      </w:r>
      <w:r>
        <w:rPr/>
        <w:t>collapse</w:t>
      </w:r>
      <w:r>
        <w:rPr>
          <w:spacing w:val="25"/>
        </w:rPr>
        <w:t> </w:t>
      </w:r>
      <w:r>
        <w:rPr/>
        <w:t>of</w:t>
      </w:r>
      <w:r>
        <w:rPr>
          <w:spacing w:val="25"/>
        </w:rPr>
        <w:t> </w:t>
      </w:r>
      <w:r>
        <w:rPr/>
        <w:t>China’s</w:t>
      </w:r>
      <w:r>
        <w:rPr>
          <w:spacing w:val="25"/>
        </w:rPr>
        <w:t> </w:t>
      </w:r>
      <w:r>
        <w:rPr/>
        <w:t>overseas</w:t>
      </w:r>
      <w:r>
        <w:rPr>
          <w:spacing w:val="25"/>
        </w:rPr>
        <w:t> </w:t>
      </w:r>
      <w:r>
        <w:rPr/>
        <w:t>lending</w:t>
      </w:r>
      <w:r>
        <w:rPr>
          <w:spacing w:val="25"/>
        </w:rPr>
        <w:t> </w:t>
      </w:r>
      <w:r>
        <w:rPr/>
        <w:t>program.</w:t>
      </w:r>
      <w:r>
        <w:rPr>
          <w:spacing w:val="25"/>
        </w:rPr>
        <w:t> </w:t>
      </w:r>
      <w:r>
        <w:rPr/>
        <w:t>With more complete data on the full range of China’s lending activities in LICs and MICs, we have shown that Beijing remains the world’s largest ofﬁcial creditor: in nominal</w:t>
      </w:r>
      <w:r>
        <w:rPr>
          <w:spacing w:val="30"/>
        </w:rPr>
        <w:t> </w:t>
      </w:r>
      <w:r>
        <w:rPr/>
        <w:t>terms,</w:t>
      </w:r>
      <w:r>
        <w:rPr>
          <w:spacing w:val="30"/>
        </w:rPr>
        <w:t> </w:t>
      </w:r>
      <w:r>
        <w:rPr/>
        <w:t>the</w:t>
      </w:r>
      <w:r>
        <w:rPr>
          <w:spacing w:val="30"/>
        </w:rPr>
        <w:t> </w:t>
      </w:r>
      <w:r>
        <w:rPr/>
        <w:t>world</w:t>
      </w:r>
      <w:r>
        <w:rPr>
          <w:spacing w:val="30"/>
        </w:rPr>
        <w:t> </w:t>
      </w:r>
      <w:r>
        <w:rPr/>
        <w:t>owes</w:t>
      </w:r>
      <w:r>
        <w:rPr>
          <w:spacing w:val="30"/>
        </w:rPr>
        <w:t> </w:t>
      </w:r>
      <w:r>
        <w:rPr/>
        <w:t>China</w:t>
      </w:r>
      <w:r>
        <w:rPr>
          <w:spacing w:val="30"/>
        </w:rPr>
        <w:t> </w:t>
      </w:r>
      <w:r>
        <w:rPr/>
        <w:t>about</w:t>
      </w:r>
      <w:r>
        <w:rPr>
          <w:spacing w:val="30"/>
        </w:rPr>
        <w:t> </w:t>
      </w:r>
      <w:r>
        <w:rPr/>
        <w:t>$2.6</w:t>
      </w:r>
      <w:r>
        <w:rPr>
          <w:spacing w:val="30"/>
        </w:rPr>
        <w:t> </w:t>
      </w:r>
      <w:r>
        <w:rPr/>
        <w:t>trillion</w:t>
      </w:r>
      <w:r>
        <w:rPr>
          <w:spacing w:val="30"/>
        </w:rPr>
        <w:t> </w:t>
      </w:r>
      <w:r>
        <w:rPr/>
        <w:t>and</w:t>
      </w:r>
      <w:r>
        <w:rPr>
          <w:spacing w:val="30"/>
        </w:rPr>
        <w:t> </w:t>
      </w:r>
      <w:r>
        <w:rPr/>
        <w:t>the</w:t>
      </w:r>
      <w:r>
        <w:rPr>
          <w:spacing w:val="30"/>
        </w:rPr>
        <w:t> </w:t>
      </w:r>
      <w:r>
        <w:rPr/>
        <w:t>developing world owes China at least $1.1 trillion and perhaps as much as $1.5 trillion. We have also shed light on the ways in which Beijing is rebalancing its cross-border credit portfolio—much like a yield-maximizing investment portfolio manager </w:t>
      </w:r>
      <w:r>
        <w:rPr/>
        <w:t>that</w:t>
      </w:r>
      <w:r>
        <w:rPr>
          <w:spacing w:val="40"/>
        </w:rPr>
        <w:t> </w:t>
      </w:r>
      <w:r>
        <w:rPr/>
        <w:t>is</w:t>
      </w:r>
      <w:r>
        <w:rPr>
          <w:spacing w:val="21"/>
        </w:rPr>
        <w:t> </w:t>
      </w:r>
      <w:r>
        <w:rPr/>
        <w:t>navigating</w:t>
      </w:r>
      <w:r>
        <w:rPr>
          <w:spacing w:val="21"/>
        </w:rPr>
        <w:t> </w:t>
      </w:r>
      <w:r>
        <w:rPr/>
        <w:t>an</w:t>
      </w:r>
      <w:r>
        <w:rPr>
          <w:spacing w:val="21"/>
        </w:rPr>
        <w:t> </w:t>
      </w:r>
      <w:r>
        <w:rPr/>
        <w:t>environment</w:t>
      </w:r>
      <w:r>
        <w:rPr>
          <w:spacing w:val="21"/>
        </w:rPr>
        <w:t> </w:t>
      </w:r>
      <w:r>
        <w:rPr/>
        <w:t>in</w:t>
      </w:r>
      <w:r>
        <w:rPr>
          <w:spacing w:val="21"/>
        </w:rPr>
        <w:t> </w:t>
      </w:r>
      <w:r>
        <w:rPr/>
        <w:t>which</w:t>
      </w:r>
      <w:r>
        <w:rPr>
          <w:spacing w:val="21"/>
        </w:rPr>
        <w:t> </w:t>
      </w:r>
      <w:r>
        <w:rPr/>
        <w:t>a</w:t>
      </w:r>
      <w:r>
        <w:rPr>
          <w:spacing w:val="21"/>
        </w:rPr>
        <w:t> </w:t>
      </w:r>
      <w:r>
        <w:rPr/>
        <w:t>growing</w:t>
      </w:r>
      <w:r>
        <w:rPr>
          <w:spacing w:val="21"/>
        </w:rPr>
        <w:t> </w:t>
      </w:r>
      <w:r>
        <w:rPr/>
        <w:t>number</w:t>
      </w:r>
      <w:r>
        <w:rPr>
          <w:spacing w:val="21"/>
        </w:rPr>
        <w:t> </w:t>
      </w:r>
      <w:r>
        <w:rPr/>
        <w:t>of</w:t>
      </w:r>
      <w:r>
        <w:rPr>
          <w:spacing w:val="21"/>
        </w:rPr>
        <w:t> </w:t>
      </w:r>
      <w:r>
        <w:rPr/>
        <w:t>borrowers</w:t>
      </w:r>
      <w:r>
        <w:rPr>
          <w:spacing w:val="21"/>
        </w:rPr>
        <w:t> </w:t>
      </w:r>
      <w:r>
        <w:rPr/>
        <w:t>are illiquid or insolvent. Beijing has ramped down the provision of long-term,</w:t>
      </w:r>
    </w:p>
    <w:p>
      <w:pPr>
        <w:pStyle w:val="BodyText"/>
        <w:spacing w:line="333" w:lineRule="auto"/>
        <w:ind w:left="760" w:right="759"/>
      </w:pPr>
      <w:r>
        <w:rPr/>
        <w:t>dollar-denominated bilateral loans to sovereign borrowers for public investment projects, while at the same time ramping up the provision of RMB-denominated emergency</w:t>
      </w:r>
      <w:r>
        <w:rPr>
          <w:spacing w:val="-1"/>
        </w:rPr>
        <w:t> </w:t>
      </w:r>
      <w:r>
        <w:rPr/>
        <w:t>rescue</w:t>
      </w:r>
      <w:r>
        <w:rPr>
          <w:spacing w:val="-1"/>
        </w:rPr>
        <w:t> </w:t>
      </w:r>
      <w:r>
        <w:rPr/>
        <w:t>loans</w:t>
      </w:r>
      <w:r>
        <w:rPr>
          <w:spacing w:val="-1"/>
        </w:rPr>
        <w:t> </w:t>
      </w:r>
      <w:r>
        <w:rPr/>
        <w:t>that</w:t>
      </w:r>
      <w:r>
        <w:rPr>
          <w:spacing w:val="-1"/>
        </w:rPr>
        <w:t> </w:t>
      </w:r>
      <w:r>
        <w:rPr/>
        <w:t>are</w:t>
      </w:r>
      <w:r>
        <w:rPr>
          <w:spacing w:val="-1"/>
        </w:rPr>
        <w:t> </w:t>
      </w:r>
      <w:r>
        <w:rPr/>
        <w:t>short-</w:t>
      </w:r>
      <w:r>
        <w:rPr>
          <w:spacing w:val="-2"/>
        </w:rPr>
        <w:t> </w:t>
      </w:r>
      <w:r>
        <w:rPr/>
        <w:t>or</w:t>
      </w:r>
      <w:r>
        <w:rPr>
          <w:spacing w:val="-1"/>
        </w:rPr>
        <w:t> </w:t>
      </w:r>
      <w:r>
        <w:rPr/>
        <w:t>medium-term</w:t>
      </w:r>
      <w:r>
        <w:rPr>
          <w:spacing w:val="-1"/>
        </w:rPr>
        <w:t> </w:t>
      </w:r>
      <w:r>
        <w:rPr/>
        <w:t>in</w:t>
      </w:r>
      <w:r>
        <w:rPr>
          <w:spacing w:val="-1"/>
        </w:rPr>
        <w:t> </w:t>
      </w:r>
      <w:r>
        <w:rPr/>
        <w:t>nature.</w:t>
      </w:r>
      <w:r>
        <w:rPr>
          <w:spacing w:val="-1"/>
        </w:rPr>
        <w:t> </w:t>
      </w:r>
      <w:r>
        <w:rPr/>
        <w:t>It</w:t>
      </w:r>
      <w:r>
        <w:rPr>
          <w:spacing w:val="-1"/>
        </w:rPr>
        <w:t> </w:t>
      </w:r>
      <w:r>
        <w:rPr/>
        <w:t>has</w:t>
      </w:r>
      <w:r>
        <w:rPr>
          <w:spacing w:val="-1"/>
        </w:rPr>
        <w:t> </w:t>
      </w:r>
      <w:r>
        <w:rPr/>
        <w:t>reduced its reliance upon the policy banks, while making greater use of state-owned commercial banks, the central bank, syndicated loan arrangements with</w:t>
      </w:r>
    </w:p>
    <w:p>
      <w:pPr>
        <w:pStyle w:val="BodyText"/>
        <w:spacing w:line="273" w:lineRule="exact"/>
        <w:ind w:left="760"/>
      </w:pPr>
      <w:r>
        <w:rPr/>
        <w:t>non-Chinese</w:t>
      </w:r>
      <w:r>
        <w:rPr>
          <w:spacing w:val="-4"/>
        </w:rPr>
        <w:t> </w:t>
      </w:r>
      <w:r>
        <w:rPr/>
        <w:t>banks,</w:t>
      </w:r>
      <w:r>
        <w:rPr>
          <w:spacing w:val="-4"/>
        </w:rPr>
        <w:t> </w:t>
      </w:r>
      <w:r>
        <w:rPr/>
        <w:t>and</w:t>
      </w:r>
      <w:r>
        <w:rPr>
          <w:spacing w:val="-4"/>
        </w:rPr>
        <w:t> </w:t>
      </w:r>
      <w:r>
        <w:rPr/>
        <w:t>multilateral</w:t>
      </w:r>
      <w:r>
        <w:rPr>
          <w:spacing w:val="-4"/>
        </w:rPr>
        <w:t> </w:t>
      </w:r>
      <w:r>
        <w:rPr>
          <w:spacing w:val="-2"/>
        </w:rPr>
        <w:t>administrators.</w:t>
      </w:r>
    </w:p>
    <w:p>
      <w:pPr>
        <w:pStyle w:val="BodyText"/>
      </w:pPr>
    </w:p>
    <w:p>
      <w:pPr>
        <w:pStyle w:val="BodyText"/>
        <w:spacing w:line="333" w:lineRule="auto" w:before="145"/>
        <w:ind w:left="760" w:right="767"/>
      </w:pPr>
      <w:r>
        <w:rPr>
          <w:w w:val="105"/>
        </w:rPr>
        <w:t>What</w:t>
      </w:r>
      <w:r>
        <w:rPr>
          <w:spacing w:val="-18"/>
          <w:w w:val="105"/>
        </w:rPr>
        <w:t> </w:t>
      </w:r>
      <w:r>
        <w:rPr>
          <w:w w:val="105"/>
        </w:rPr>
        <w:t>can</w:t>
      </w:r>
      <w:r>
        <w:rPr>
          <w:spacing w:val="-17"/>
          <w:w w:val="105"/>
        </w:rPr>
        <w:t> </w:t>
      </w:r>
      <w:r>
        <w:rPr>
          <w:w w:val="105"/>
        </w:rPr>
        <w:t>we</w:t>
      </w:r>
      <w:r>
        <w:rPr>
          <w:spacing w:val="-18"/>
          <w:w w:val="105"/>
        </w:rPr>
        <w:t> </w:t>
      </w:r>
      <w:r>
        <w:rPr>
          <w:w w:val="105"/>
        </w:rPr>
        <w:t>say,</w:t>
      </w:r>
      <w:r>
        <w:rPr>
          <w:spacing w:val="-18"/>
          <w:w w:val="105"/>
        </w:rPr>
        <w:t> </w:t>
      </w:r>
      <w:r>
        <w:rPr>
          <w:w w:val="105"/>
        </w:rPr>
        <w:t>by</w:t>
      </w:r>
      <w:r>
        <w:rPr>
          <w:spacing w:val="-17"/>
          <w:w w:val="105"/>
        </w:rPr>
        <w:t> </w:t>
      </w:r>
      <w:r>
        <w:rPr>
          <w:w w:val="105"/>
        </w:rPr>
        <w:t>way</w:t>
      </w:r>
      <w:r>
        <w:rPr>
          <w:spacing w:val="-18"/>
          <w:w w:val="105"/>
        </w:rPr>
        <w:t> </w:t>
      </w:r>
      <w:r>
        <w:rPr>
          <w:w w:val="105"/>
        </w:rPr>
        <w:t>of</w:t>
      </w:r>
      <w:r>
        <w:rPr>
          <w:spacing w:val="-17"/>
          <w:w w:val="105"/>
        </w:rPr>
        <w:t> </w:t>
      </w:r>
      <w:r>
        <w:rPr>
          <w:w w:val="105"/>
        </w:rPr>
        <w:t>conclusion,</w:t>
      </w:r>
      <w:r>
        <w:rPr>
          <w:spacing w:val="-18"/>
          <w:w w:val="105"/>
        </w:rPr>
        <w:t> </w:t>
      </w:r>
      <w:r>
        <w:rPr>
          <w:w w:val="105"/>
        </w:rPr>
        <w:t>about</w:t>
      </w:r>
      <w:r>
        <w:rPr>
          <w:spacing w:val="-17"/>
          <w:w w:val="105"/>
        </w:rPr>
        <w:t> </w:t>
      </w:r>
      <w:r>
        <w:rPr>
          <w:w w:val="105"/>
        </w:rPr>
        <w:t>Beijing’s</w:t>
      </w:r>
      <w:r>
        <w:rPr>
          <w:spacing w:val="-18"/>
          <w:w w:val="105"/>
        </w:rPr>
        <w:t> </w:t>
      </w:r>
      <w:r>
        <w:rPr>
          <w:w w:val="105"/>
        </w:rPr>
        <w:t>efforts</w:t>
      </w:r>
      <w:r>
        <w:rPr>
          <w:spacing w:val="-17"/>
          <w:w w:val="105"/>
        </w:rPr>
        <w:t> </w:t>
      </w:r>
      <w:r>
        <w:rPr>
          <w:w w:val="105"/>
        </w:rPr>
        <w:t>to</w:t>
      </w:r>
      <w:r>
        <w:rPr>
          <w:spacing w:val="-18"/>
          <w:w w:val="105"/>
        </w:rPr>
        <w:t> </w:t>
      </w:r>
      <w:r>
        <w:rPr>
          <w:w w:val="105"/>
        </w:rPr>
        <w:t>de-risk</w:t>
      </w:r>
      <w:r>
        <w:rPr>
          <w:spacing w:val="-17"/>
          <w:w w:val="105"/>
        </w:rPr>
        <w:t> </w:t>
      </w:r>
      <w:r>
        <w:rPr>
          <w:w w:val="105"/>
        </w:rPr>
        <w:t>its overseas</w:t>
      </w:r>
      <w:r>
        <w:rPr>
          <w:spacing w:val="-11"/>
          <w:w w:val="105"/>
        </w:rPr>
        <w:t> </w:t>
      </w:r>
      <w:r>
        <w:rPr>
          <w:w w:val="105"/>
        </w:rPr>
        <w:t>lending</w:t>
      </w:r>
      <w:r>
        <w:rPr>
          <w:spacing w:val="-11"/>
          <w:w w:val="105"/>
        </w:rPr>
        <w:t> </w:t>
      </w:r>
      <w:r>
        <w:rPr>
          <w:w w:val="105"/>
        </w:rPr>
        <w:t>portfolio</w:t>
      </w:r>
      <w:r>
        <w:rPr>
          <w:spacing w:val="-11"/>
          <w:w w:val="105"/>
        </w:rPr>
        <w:t> </w:t>
      </w:r>
      <w:r>
        <w:rPr>
          <w:w w:val="105"/>
        </w:rPr>
        <w:t>and</w:t>
      </w:r>
      <w:r>
        <w:rPr>
          <w:spacing w:val="-11"/>
          <w:w w:val="105"/>
        </w:rPr>
        <w:t> </w:t>
      </w:r>
      <w:r>
        <w:rPr>
          <w:w w:val="105"/>
        </w:rPr>
        <w:t>its</w:t>
      </w:r>
      <w:r>
        <w:rPr>
          <w:spacing w:val="-11"/>
          <w:w w:val="105"/>
        </w:rPr>
        <w:t> </w:t>
      </w:r>
      <w:r>
        <w:rPr>
          <w:w w:val="105"/>
        </w:rPr>
        <w:t>determination</w:t>
      </w:r>
      <w:r>
        <w:rPr>
          <w:spacing w:val="-11"/>
          <w:w w:val="105"/>
        </w:rPr>
        <w:t> </w:t>
      </w:r>
      <w:r>
        <w:rPr>
          <w:w w:val="105"/>
        </w:rPr>
        <w:t>to</w:t>
      </w:r>
      <w:r>
        <w:rPr>
          <w:spacing w:val="-11"/>
          <w:w w:val="105"/>
        </w:rPr>
        <w:t> </w:t>
      </w:r>
      <w:r>
        <w:rPr>
          <w:w w:val="105"/>
        </w:rPr>
        <w:t>ensure</w:t>
      </w:r>
      <w:r>
        <w:rPr>
          <w:spacing w:val="-11"/>
          <w:w w:val="105"/>
        </w:rPr>
        <w:t> </w:t>
      </w:r>
      <w:r>
        <w:rPr>
          <w:w w:val="105"/>
        </w:rPr>
        <w:t>that</w:t>
      </w:r>
      <w:r>
        <w:rPr>
          <w:spacing w:val="-11"/>
          <w:w w:val="105"/>
        </w:rPr>
        <w:t> </w:t>
      </w:r>
      <w:r>
        <w:rPr>
          <w:w w:val="105"/>
        </w:rPr>
        <w:t>LIC</w:t>
      </w:r>
      <w:r>
        <w:rPr>
          <w:spacing w:val="-11"/>
          <w:w w:val="105"/>
        </w:rPr>
        <w:t> </w:t>
      </w:r>
      <w:r>
        <w:rPr>
          <w:w w:val="105"/>
        </w:rPr>
        <w:t>and</w:t>
      </w:r>
      <w:r>
        <w:rPr>
          <w:spacing w:val="-11"/>
          <w:w w:val="105"/>
        </w:rPr>
        <w:t> </w:t>
      </w:r>
      <w:r>
        <w:rPr>
          <w:w w:val="105"/>
        </w:rPr>
        <w:t>MIC borrowers</w:t>
      </w:r>
      <w:r>
        <w:rPr>
          <w:spacing w:val="-14"/>
          <w:w w:val="105"/>
        </w:rPr>
        <w:t> </w:t>
      </w:r>
      <w:r>
        <w:rPr>
          <w:w w:val="105"/>
        </w:rPr>
        <w:t>repay</w:t>
      </w:r>
      <w:r>
        <w:rPr>
          <w:spacing w:val="-14"/>
          <w:w w:val="105"/>
        </w:rPr>
        <w:t> </w:t>
      </w:r>
      <w:r>
        <w:rPr>
          <w:w w:val="105"/>
        </w:rPr>
        <w:t>their</w:t>
      </w:r>
      <w:r>
        <w:rPr>
          <w:spacing w:val="-14"/>
          <w:w w:val="105"/>
        </w:rPr>
        <w:t> </w:t>
      </w:r>
      <w:r>
        <w:rPr>
          <w:w w:val="105"/>
        </w:rPr>
        <w:t>debts?</w:t>
      </w:r>
      <w:r>
        <w:rPr>
          <w:spacing w:val="-14"/>
          <w:w w:val="105"/>
        </w:rPr>
        <w:t> </w:t>
      </w:r>
      <w:r>
        <w:rPr>
          <w:w w:val="105"/>
        </w:rPr>
        <w:t>The</w:t>
      </w:r>
      <w:r>
        <w:rPr>
          <w:spacing w:val="-14"/>
          <w:w w:val="105"/>
        </w:rPr>
        <w:t> </w:t>
      </w:r>
      <w:r>
        <w:rPr>
          <w:w w:val="105"/>
        </w:rPr>
        <w:t>evidence</w:t>
      </w:r>
      <w:r>
        <w:rPr>
          <w:spacing w:val="-14"/>
          <w:w w:val="105"/>
        </w:rPr>
        <w:t> </w:t>
      </w:r>
      <w:r>
        <w:rPr>
          <w:w w:val="105"/>
        </w:rPr>
        <w:t>at</w:t>
      </w:r>
      <w:r>
        <w:rPr>
          <w:spacing w:val="-14"/>
          <w:w w:val="105"/>
        </w:rPr>
        <w:t> </w:t>
      </w:r>
      <w:r>
        <w:rPr>
          <w:w w:val="105"/>
        </w:rPr>
        <w:t>hand</w:t>
      </w:r>
      <w:r>
        <w:rPr>
          <w:spacing w:val="-14"/>
          <w:w w:val="105"/>
        </w:rPr>
        <w:t> </w:t>
      </w:r>
      <w:r>
        <w:rPr>
          <w:w w:val="105"/>
        </w:rPr>
        <w:t>does</w:t>
      </w:r>
      <w:r>
        <w:rPr>
          <w:spacing w:val="-14"/>
          <w:w w:val="105"/>
        </w:rPr>
        <w:t> </w:t>
      </w:r>
      <w:r>
        <w:rPr>
          <w:w w:val="105"/>
        </w:rPr>
        <w:t>not</w:t>
      </w:r>
      <w:r>
        <w:rPr>
          <w:spacing w:val="-14"/>
          <w:w w:val="105"/>
        </w:rPr>
        <w:t> </w:t>
      </w:r>
      <w:r>
        <w:rPr>
          <w:w w:val="105"/>
        </w:rPr>
        <w:t>suggest</w:t>
      </w:r>
      <w:r>
        <w:rPr>
          <w:spacing w:val="-14"/>
          <w:w w:val="105"/>
        </w:rPr>
        <w:t> </w:t>
      </w:r>
      <w:r>
        <w:rPr>
          <w:w w:val="105"/>
        </w:rPr>
        <w:t>that</w:t>
      </w:r>
      <w:r>
        <w:rPr>
          <w:spacing w:val="-14"/>
          <w:w w:val="105"/>
        </w:rPr>
        <w:t> </w:t>
      </w:r>
      <w:r>
        <w:rPr>
          <w:w w:val="105"/>
        </w:rPr>
        <w:t>it</w:t>
      </w:r>
      <w:r>
        <w:rPr>
          <w:spacing w:val="-14"/>
          <w:w w:val="105"/>
        </w:rPr>
        <w:t> </w:t>
      </w:r>
      <w:r>
        <w:rPr>
          <w:w w:val="105"/>
        </w:rPr>
        <w:t>is ready</w:t>
      </w:r>
      <w:r>
        <w:rPr>
          <w:spacing w:val="-13"/>
          <w:w w:val="105"/>
        </w:rPr>
        <w:t> </w:t>
      </w:r>
      <w:r>
        <w:rPr>
          <w:w w:val="105"/>
        </w:rPr>
        <w:t>to</w:t>
      </w:r>
      <w:r>
        <w:rPr>
          <w:spacing w:val="-13"/>
          <w:w w:val="105"/>
        </w:rPr>
        <w:t> </w:t>
      </w:r>
      <w:r>
        <w:rPr>
          <w:w w:val="105"/>
        </w:rPr>
        <w:t>take</w:t>
      </w:r>
      <w:r>
        <w:rPr>
          <w:spacing w:val="-13"/>
          <w:w w:val="105"/>
        </w:rPr>
        <w:t> </w:t>
      </w:r>
      <w:r>
        <w:rPr>
          <w:w w:val="105"/>
        </w:rPr>
        <w:t>ﬁnancial</w:t>
      </w:r>
      <w:r>
        <w:rPr>
          <w:spacing w:val="-13"/>
          <w:w w:val="105"/>
        </w:rPr>
        <w:t> </w:t>
      </w:r>
      <w:r>
        <w:rPr>
          <w:w w:val="105"/>
        </w:rPr>
        <w:t>losses</w:t>
      </w:r>
      <w:r>
        <w:rPr>
          <w:spacing w:val="-13"/>
          <w:w w:val="105"/>
        </w:rPr>
        <w:t> </w:t>
      </w:r>
      <w:r>
        <w:rPr>
          <w:w w:val="105"/>
        </w:rPr>
        <w:t>in</w:t>
      </w:r>
      <w:r>
        <w:rPr>
          <w:spacing w:val="-13"/>
          <w:w w:val="105"/>
        </w:rPr>
        <w:t> </w:t>
      </w:r>
      <w:r>
        <w:rPr>
          <w:w w:val="105"/>
        </w:rPr>
        <w:t>order</w:t>
      </w:r>
      <w:r>
        <w:rPr>
          <w:spacing w:val="-13"/>
          <w:w w:val="105"/>
        </w:rPr>
        <w:t> </w:t>
      </w:r>
      <w:r>
        <w:rPr>
          <w:w w:val="105"/>
        </w:rPr>
        <w:t>to</w:t>
      </w:r>
      <w:r>
        <w:rPr>
          <w:spacing w:val="-13"/>
          <w:w w:val="105"/>
        </w:rPr>
        <w:t> </w:t>
      </w:r>
      <w:r>
        <w:rPr>
          <w:w w:val="105"/>
        </w:rPr>
        <w:t>minimize</w:t>
      </w:r>
      <w:r>
        <w:rPr>
          <w:spacing w:val="-13"/>
          <w:w w:val="105"/>
        </w:rPr>
        <w:t> </w:t>
      </w:r>
      <w:r>
        <w:rPr>
          <w:w w:val="105"/>
        </w:rPr>
        <w:t>diplomatic</w:t>
      </w:r>
      <w:r>
        <w:rPr>
          <w:spacing w:val="-13"/>
          <w:w w:val="105"/>
        </w:rPr>
        <w:t> </w:t>
      </w:r>
      <w:r>
        <w:rPr>
          <w:w w:val="105"/>
        </w:rPr>
        <w:t>blowback</w:t>
      </w:r>
      <w:r>
        <w:rPr>
          <w:spacing w:val="-13"/>
          <w:w w:val="105"/>
        </w:rPr>
        <w:t> </w:t>
      </w:r>
      <w:r>
        <w:rPr>
          <w:w w:val="105"/>
        </w:rPr>
        <w:t>and reputational</w:t>
      </w:r>
      <w:r>
        <w:rPr>
          <w:spacing w:val="-18"/>
          <w:w w:val="105"/>
        </w:rPr>
        <w:t> </w:t>
      </w:r>
      <w:r>
        <w:rPr>
          <w:w w:val="105"/>
        </w:rPr>
        <w:t>damage.</w:t>
      </w:r>
      <w:r>
        <w:rPr>
          <w:w w:val="105"/>
          <w:vertAlign w:val="superscript"/>
        </w:rPr>
        <w:t>213</w:t>
      </w:r>
      <w:r>
        <w:rPr>
          <w:spacing w:val="-17"/>
          <w:w w:val="105"/>
          <w:vertAlign w:val="baseline"/>
        </w:rPr>
        <w:t> </w:t>
      </w:r>
      <w:r>
        <w:rPr>
          <w:w w:val="105"/>
          <w:vertAlign w:val="baseline"/>
        </w:rPr>
        <w:t>Quite</w:t>
      </w:r>
      <w:r>
        <w:rPr>
          <w:spacing w:val="-18"/>
          <w:w w:val="105"/>
          <w:vertAlign w:val="baseline"/>
        </w:rPr>
        <w:t> </w:t>
      </w:r>
      <w:r>
        <w:rPr>
          <w:w w:val="105"/>
          <w:vertAlign w:val="baseline"/>
        </w:rPr>
        <w:t>the</w:t>
      </w:r>
      <w:r>
        <w:rPr>
          <w:spacing w:val="-18"/>
          <w:w w:val="105"/>
          <w:vertAlign w:val="baseline"/>
        </w:rPr>
        <w:t> </w:t>
      </w:r>
      <w:r>
        <w:rPr>
          <w:w w:val="105"/>
          <w:vertAlign w:val="baseline"/>
        </w:rPr>
        <w:t>opposite:</w:t>
      </w:r>
      <w:r>
        <w:rPr>
          <w:spacing w:val="-17"/>
          <w:w w:val="105"/>
          <w:vertAlign w:val="baseline"/>
        </w:rPr>
        <w:t> </w:t>
      </w:r>
      <w:r>
        <w:rPr>
          <w:w w:val="105"/>
          <w:vertAlign w:val="baseline"/>
        </w:rPr>
        <w:t>Beijing</w:t>
      </w:r>
      <w:r>
        <w:rPr>
          <w:spacing w:val="-17"/>
          <w:w w:val="105"/>
          <w:vertAlign w:val="baseline"/>
        </w:rPr>
        <w:t> </w:t>
      </w:r>
      <w:r>
        <w:rPr>
          <w:w w:val="105"/>
          <w:vertAlign w:val="baseline"/>
        </w:rPr>
        <w:t>appears</w:t>
      </w:r>
      <w:r>
        <w:rPr>
          <w:spacing w:val="-18"/>
          <w:w w:val="105"/>
          <w:vertAlign w:val="baseline"/>
        </w:rPr>
        <w:t> </w:t>
      </w:r>
      <w:r>
        <w:rPr>
          <w:w w:val="105"/>
          <w:vertAlign w:val="baseline"/>
        </w:rPr>
        <w:t>to</w:t>
      </w:r>
      <w:r>
        <w:rPr>
          <w:spacing w:val="-17"/>
          <w:w w:val="105"/>
          <w:vertAlign w:val="baseline"/>
        </w:rPr>
        <w:t> </w:t>
      </w:r>
      <w:r>
        <w:rPr>
          <w:w w:val="105"/>
          <w:vertAlign w:val="baseline"/>
        </w:rPr>
        <w:t>be</w:t>
      </w:r>
      <w:r>
        <w:rPr>
          <w:spacing w:val="-18"/>
          <w:w w:val="105"/>
          <w:vertAlign w:val="baseline"/>
        </w:rPr>
        <w:t> </w:t>
      </w:r>
      <w:r>
        <w:rPr>
          <w:w w:val="105"/>
          <w:vertAlign w:val="baseline"/>
        </w:rPr>
        <w:t>stiffening</w:t>
      </w:r>
      <w:r>
        <w:rPr>
          <w:spacing w:val="-17"/>
          <w:w w:val="105"/>
          <w:vertAlign w:val="baseline"/>
        </w:rPr>
        <w:t> </w:t>
      </w:r>
      <w:r>
        <w:rPr>
          <w:w w:val="105"/>
          <w:vertAlign w:val="baseline"/>
        </w:rPr>
        <w:t>its </w:t>
      </w:r>
      <w:r>
        <w:rPr>
          <w:spacing w:val="-2"/>
          <w:w w:val="105"/>
          <w:vertAlign w:val="baseline"/>
        </w:rPr>
        <w:t>resolve</w:t>
      </w:r>
      <w:r>
        <w:rPr>
          <w:spacing w:val="-13"/>
          <w:w w:val="105"/>
          <w:vertAlign w:val="baseline"/>
        </w:rPr>
        <w:t> </w:t>
      </w:r>
      <w:r>
        <w:rPr>
          <w:spacing w:val="-2"/>
          <w:w w:val="105"/>
          <w:vertAlign w:val="baseline"/>
        </w:rPr>
        <w:t>and</w:t>
      </w:r>
      <w:r>
        <w:rPr>
          <w:spacing w:val="-13"/>
          <w:w w:val="105"/>
          <w:vertAlign w:val="baseline"/>
        </w:rPr>
        <w:t> </w:t>
      </w:r>
      <w:r>
        <w:rPr>
          <w:spacing w:val="-2"/>
          <w:w w:val="105"/>
          <w:vertAlign w:val="baseline"/>
        </w:rPr>
        <w:t>preparing</w:t>
      </w:r>
      <w:r>
        <w:rPr>
          <w:spacing w:val="-13"/>
          <w:w w:val="105"/>
          <w:vertAlign w:val="baseline"/>
        </w:rPr>
        <w:t> </w:t>
      </w:r>
      <w:r>
        <w:rPr>
          <w:spacing w:val="-2"/>
          <w:w w:val="105"/>
          <w:vertAlign w:val="baseline"/>
        </w:rPr>
        <w:t>for</w:t>
      </w:r>
      <w:r>
        <w:rPr>
          <w:spacing w:val="-13"/>
          <w:w w:val="105"/>
          <w:vertAlign w:val="baseline"/>
        </w:rPr>
        <w:t> </w:t>
      </w:r>
      <w:r>
        <w:rPr>
          <w:spacing w:val="-2"/>
          <w:w w:val="105"/>
          <w:vertAlign w:val="baseline"/>
        </w:rPr>
        <w:t>a</w:t>
      </w:r>
      <w:r>
        <w:rPr>
          <w:spacing w:val="-13"/>
          <w:w w:val="105"/>
          <w:vertAlign w:val="baseline"/>
        </w:rPr>
        <w:t> </w:t>
      </w:r>
      <w:r>
        <w:rPr>
          <w:spacing w:val="-2"/>
          <w:w w:val="105"/>
          <w:vertAlign w:val="baseline"/>
        </w:rPr>
        <w:t>long</w:t>
      </w:r>
      <w:r>
        <w:rPr>
          <w:spacing w:val="-13"/>
          <w:w w:val="105"/>
          <w:vertAlign w:val="baseline"/>
        </w:rPr>
        <w:t> </w:t>
      </w:r>
      <w:r>
        <w:rPr>
          <w:spacing w:val="-2"/>
          <w:w w:val="105"/>
          <w:vertAlign w:val="baseline"/>
        </w:rPr>
        <w:t>and</w:t>
      </w:r>
      <w:r>
        <w:rPr>
          <w:spacing w:val="-13"/>
          <w:w w:val="105"/>
          <w:vertAlign w:val="baseline"/>
        </w:rPr>
        <w:t> </w:t>
      </w:r>
      <w:r>
        <w:rPr>
          <w:spacing w:val="-2"/>
          <w:w w:val="105"/>
          <w:vertAlign w:val="baseline"/>
        </w:rPr>
        <w:t>difﬁcult</w:t>
      </w:r>
      <w:r>
        <w:rPr>
          <w:spacing w:val="-13"/>
          <w:w w:val="105"/>
          <w:vertAlign w:val="baseline"/>
        </w:rPr>
        <w:t> </w:t>
      </w:r>
      <w:r>
        <w:rPr>
          <w:spacing w:val="-2"/>
          <w:w w:val="105"/>
          <w:vertAlign w:val="baseline"/>
        </w:rPr>
        <w:t>slog.</w:t>
      </w:r>
      <w:r>
        <w:rPr>
          <w:spacing w:val="-13"/>
          <w:w w:val="105"/>
          <w:vertAlign w:val="baseline"/>
        </w:rPr>
        <w:t> </w:t>
      </w:r>
      <w:r>
        <w:rPr>
          <w:spacing w:val="-2"/>
          <w:w w:val="105"/>
          <w:vertAlign w:val="baseline"/>
        </w:rPr>
        <w:t>It</w:t>
      </w:r>
      <w:r>
        <w:rPr>
          <w:spacing w:val="-13"/>
          <w:w w:val="105"/>
          <w:vertAlign w:val="baseline"/>
        </w:rPr>
        <w:t> </w:t>
      </w:r>
      <w:r>
        <w:rPr>
          <w:spacing w:val="-2"/>
          <w:w w:val="105"/>
          <w:vertAlign w:val="baseline"/>
        </w:rPr>
        <w:t>is</w:t>
      </w:r>
      <w:r>
        <w:rPr>
          <w:spacing w:val="-13"/>
          <w:w w:val="105"/>
          <w:vertAlign w:val="baseline"/>
        </w:rPr>
        <w:t> </w:t>
      </w:r>
      <w:r>
        <w:rPr>
          <w:spacing w:val="-2"/>
          <w:w w:val="105"/>
          <w:vertAlign w:val="baseline"/>
        </w:rPr>
        <w:t>sweeping</w:t>
      </w:r>
      <w:r>
        <w:rPr>
          <w:spacing w:val="-13"/>
          <w:w w:val="105"/>
          <w:vertAlign w:val="baseline"/>
        </w:rPr>
        <w:t> </w:t>
      </w:r>
      <w:r>
        <w:rPr>
          <w:spacing w:val="-2"/>
          <w:w w:val="105"/>
          <w:vertAlign w:val="baseline"/>
        </w:rPr>
        <w:t>cash</w:t>
      </w:r>
      <w:r>
        <w:rPr>
          <w:spacing w:val="-13"/>
          <w:w w:val="105"/>
          <w:vertAlign w:val="baseline"/>
        </w:rPr>
        <w:t> </w:t>
      </w:r>
      <w:r>
        <w:rPr>
          <w:spacing w:val="-2"/>
          <w:w w:val="105"/>
          <w:vertAlign w:val="baseline"/>
        </w:rPr>
        <w:t>out</w:t>
      </w:r>
      <w:r>
        <w:rPr>
          <w:spacing w:val="-13"/>
          <w:w w:val="105"/>
          <w:vertAlign w:val="baseline"/>
        </w:rPr>
        <w:t> </w:t>
      </w:r>
      <w:r>
        <w:rPr>
          <w:spacing w:val="-2"/>
          <w:w w:val="105"/>
          <w:vertAlign w:val="baseline"/>
        </w:rPr>
        <w:t>of</w:t>
      </w:r>
      <w:r>
        <w:rPr>
          <w:spacing w:val="-13"/>
          <w:w w:val="105"/>
          <w:vertAlign w:val="baseline"/>
        </w:rPr>
        <w:t> </w:t>
      </w:r>
      <w:r>
        <w:rPr>
          <w:spacing w:val="-2"/>
          <w:w w:val="105"/>
          <w:vertAlign w:val="baseline"/>
        </w:rPr>
        <w:t>the </w:t>
      </w:r>
      <w:r>
        <w:rPr>
          <w:vertAlign w:val="baseline"/>
        </w:rPr>
        <w:t>escrow accounts of its overseas borrowers, requiring that borrowers replenish</w:t>
      </w:r>
    </w:p>
    <w:p>
      <w:pPr>
        <w:pStyle w:val="BodyText"/>
        <w:spacing w:before="3"/>
        <w:rPr>
          <w:sz w:val="11"/>
        </w:rPr>
      </w:pPr>
      <w:r>
        <w:rPr/>
        <w:pict>
          <v:shape style="position:absolute;margin-left:90pt;margin-top:7.681268pt;width:144pt;height:.1pt;mso-position-horizontal-relative:page;mso-position-vertical-relative:paragraph;z-index:-15666176;mso-wrap-distance-left:0;mso-wrap-distance-right:0" id="docshape100" coordorigin="1800,154" coordsize="2880,0" path="m1800,154l4680,154e" filled="false" stroked="true" strokeweight=".75pt" strokecolor="#000000">
            <v:path arrowok="t"/>
            <v:stroke dashstyle="solid"/>
            <w10:wrap type="topAndBottom"/>
          </v:shape>
        </w:pict>
      </w:r>
    </w:p>
    <w:p>
      <w:pPr>
        <w:spacing w:line="249" w:lineRule="auto" w:before="107"/>
        <w:ind w:left="760" w:right="767" w:firstLine="0"/>
        <w:jc w:val="left"/>
        <w:rPr>
          <w:sz w:val="18"/>
        </w:rPr>
      </w:pPr>
      <w:r>
        <w:rPr>
          <w:sz w:val="18"/>
          <w:vertAlign w:val="superscript"/>
        </w:rPr>
        <w:t>212</w:t>
      </w:r>
      <w:r>
        <w:rPr>
          <w:spacing w:val="-2"/>
          <w:sz w:val="18"/>
          <w:vertAlign w:val="baseline"/>
        </w:rPr>
        <w:t> </w:t>
      </w:r>
      <w:r>
        <w:rPr>
          <w:sz w:val="18"/>
          <w:vertAlign w:val="baseline"/>
        </w:rPr>
        <w:t>Bilateral</w:t>
      </w:r>
      <w:r>
        <w:rPr>
          <w:spacing w:val="-1"/>
          <w:sz w:val="18"/>
          <w:vertAlign w:val="baseline"/>
        </w:rPr>
        <w:t> </w:t>
      </w:r>
      <w:r>
        <w:rPr>
          <w:sz w:val="18"/>
          <w:vertAlign w:val="baseline"/>
        </w:rPr>
        <w:t>loans</w:t>
      </w:r>
      <w:r>
        <w:rPr>
          <w:spacing w:val="-1"/>
          <w:sz w:val="18"/>
          <w:vertAlign w:val="baseline"/>
        </w:rPr>
        <w:t> </w:t>
      </w:r>
      <w:r>
        <w:rPr>
          <w:sz w:val="18"/>
          <w:vertAlign w:val="baseline"/>
        </w:rPr>
        <w:t>from</w:t>
      </w:r>
      <w:r>
        <w:rPr>
          <w:spacing w:val="-1"/>
          <w:sz w:val="18"/>
          <w:vertAlign w:val="baseline"/>
        </w:rPr>
        <w:t> </w:t>
      </w:r>
      <w:r>
        <w:rPr>
          <w:sz w:val="18"/>
          <w:vertAlign w:val="baseline"/>
        </w:rPr>
        <w:t>ofﬁcial</w:t>
      </w:r>
      <w:r>
        <w:rPr>
          <w:spacing w:val="-1"/>
          <w:sz w:val="18"/>
          <w:vertAlign w:val="baseline"/>
        </w:rPr>
        <w:t> </w:t>
      </w:r>
      <w:r>
        <w:rPr>
          <w:sz w:val="18"/>
          <w:vertAlign w:val="baseline"/>
        </w:rPr>
        <w:t>creditors</w:t>
      </w:r>
      <w:r>
        <w:rPr>
          <w:spacing w:val="-1"/>
          <w:sz w:val="18"/>
          <w:vertAlign w:val="baseline"/>
        </w:rPr>
        <w:t> </w:t>
      </w:r>
      <w:r>
        <w:rPr>
          <w:sz w:val="18"/>
          <w:vertAlign w:val="baseline"/>
        </w:rPr>
        <w:t>are</w:t>
      </w:r>
      <w:r>
        <w:rPr>
          <w:spacing w:val="-1"/>
          <w:sz w:val="18"/>
          <w:vertAlign w:val="baseline"/>
        </w:rPr>
        <w:t> </w:t>
      </w:r>
      <w:r>
        <w:rPr>
          <w:sz w:val="18"/>
          <w:vertAlign w:val="baseline"/>
        </w:rPr>
        <w:t>typically</w:t>
      </w:r>
      <w:r>
        <w:rPr>
          <w:spacing w:val="-1"/>
          <w:sz w:val="18"/>
          <w:vertAlign w:val="baseline"/>
        </w:rPr>
        <w:t> </w:t>
      </w:r>
      <w:r>
        <w:rPr>
          <w:sz w:val="18"/>
          <w:vertAlign w:val="baseline"/>
        </w:rPr>
        <w:t>rescheduled</w:t>
      </w:r>
      <w:r>
        <w:rPr>
          <w:spacing w:val="-1"/>
          <w:sz w:val="18"/>
          <w:vertAlign w:val="baseline"/>
        </w:rPr>
        <w:t> </w:t>
      </w:r>
      <w:r>
        <w:rPr>
          <w:sz w:val="18"/>
          <w:vertAlign w:val="baseline"/>
        </w:rPr>
        <w:t>through</w:t>
      </w:r>
      <w:r>
        <w:rPr>
          <w:spacing w:val="-1"/>
          <w:sz w:val="18"/>
          <w:vertAlign w:val="baseline"/>
        </w:rPr>
        <w:t> </w:t>
      </w:r>
      <w:r>
        <w:rPr>
          <w:sz w:val="18"/>
          <w:vertAlign w:val="baseline"/>
        </w:rPr>
        <w:t>the</w:t>
      </w:r>
      <w:r>
        <w:rPr>
          <w:spacing w:val="-1"/>
          <w:sz w:val="18"/>
          <w:vertAlign w:val="baseline"/>
        </w:rPr>
        <w:t> </w:t>
      </w:r>
      <w:r>
        <w:rPr>
          <w:sz w:val="18"/>
          <w:vertAlign w:val="baseline"/>
        </w:rPr>
        <w:t>Paris</w:t>
      </w:r>
      <w:r>
        <w:rPr>
          <w:spacing w:val="-1"/>
          <w:sz w:val="18"/>
          <w:vertAlign w:val="baseline"/>
        </w:rPr>
        <w:t> </w:t>
      </w:r>
      <w:r>
        <w:rPr>
          <w:sz w:val="18"/>
          <w:vertAlign w:val="baseline"/>
        </w:rPr>
        <w:t>Club,</w:t>
      </w:r>
      <w:r>
        <w:rPr>
          <w:spacing w:val="-1"/>
          <w:sz w:val="18"/>
          <w:vertAlign w:val="baseline"/>
        </w:rPr>
        <w:t> </w:t>
      </w:r>
      <w:r>
        <w:rPr>
          <w:sz w:val="18"/>
          <w:vertAlign w:val="baseline"/>
        </w:rPr>
        <w:t>while</w:t>
      </w:r>
      <w:r>
        <w:rPr>
          <w:spacing w:val="-1"/>
          <w:sz w:val="18"/>
          <w:vertAlign w:val="baseline"/>
        </w:rPr>
        <w:t> </w:t>
      </w:r>
      <w:r>
        <w:rPr>
          <w:sz w:val="18"/>
          <w:vertAlign w:val="baseline"/>
        </w:rPr>
        <w:t>syndicated loans are typically rescheduled through London Club reschedulings (regardless of whether the syndicate members include ofﬁcial creditors or commercial creditors).</w:t>
      </w:r>
    </w:p>
    <w:p>
      <w:pPr>
        <w:spacing w:line="249" w:lineRule="auto" w:before="2"/>
        <w:ind w:left="760" w:right="964" w:firstLine="0"/>
        <w:jc w:val="left"/>
        <w:rPr>
          <w:sz w:val="18"/>
        </w:rPr>
      </w:pPr>
      <w:r>
        <w:rPr>
          <w:sz w:val="18"/>
          <w:vertAlign w:val="superscript"/>
        </w:rPr>
        <w:t>213</w:t>
      </w:r>
      <w:r>
        <w:rPr>
          <w:sz w:val="18"/>
          <w:vertAlign w:val="baseline"/>
        </w:rPr>
        <w:t> Gong Chen, the founder of Anbound (a Beijing-based think tank) and a BRI adviser to the central government, recently told Nikkei Asia that “widespread debt evasion and avoidance [by BRI participants] would have a signiﬁcant impact on China's ﬁnancial stability” and “we are concerned that some </w:t>
      </w:r>
      <w:r>
        <w:rPr>
          <w:sz w:val="18"/>
          <w:vertAlign w:val="baseline"/>
        </w:rPr>
        <w:t>countries may try to avoid paying back their debt by utilizing geopolitics and the ideological competition between</w:t>
      </w:r>
      <w:r>
        <w:rPr>
          <w:spacing w:val="80"/>
          <w:sz w:val="18"/>
          <w:vertAlign w:val="baseline"/>
        </w:rPr>
        <w:t> </w:t>
      </w:r>
      <w:r>
        <w:rPr>
          <w:sz w:val="18"/>
          <w:vertAlign w:val="baseline"/>
        </w:rPr>
        <w:t>East and West” (Aamir et al. 2022).</w:t>
      </w:r>
    </w:p>
    <w:p>
      <w:pPr>
        <w:spacing w:after="0" w:line="249" w:lineRule="auto"/>
        <w:jc w:val="left"/>
        <w:rPr>
          <w:sz w:val="18"/>
        </w:rPr>
        <w:sectPr>
          <w:pgSz w:w="12240" w:h="15840"/>
          <w:pgMar w:header="0" w:footer="720" w:top="1400" w:bottom="920" w:left="1040" w:right="1040"/>
        </w:sectPr>
      </w:pPr>
    </w:p>
    <w:p>
      <w:pPr>
        <w:pStyle w:val="BodyText"/>
        <w:spacing w:line="333" w:lineRule="auto" w:before="27"/>
        <w:ind w:left="760" w:right="788"/>
      </w:pPr>
      <w:r>
        <w:rPr/>
        <w:t>escrow accounts in exchange for short-term cash ﬂow relief, introducing </w:t>
      </w:r>
      <w:r>
        <w:rPr/>
        <w:t>stronger penalties for late repayments, and channeling emergency rescue loans with high interest rates and short repayment periods to ﬁnancially distressed borrowers (to make sure they have enough cash on hand to service their existing infrastructure project debts). Only time will tell if Beijing has enough “steel in its spine” to stay the course, but its actions to date suggest that it intends to do whatever it takes</w:t>
      </w:r>
      <w:r>
        <w:rPr>
          <w:spacing w:val="40"/>
        </w:rPr>
        <w:t> </w:t>
      </w:r>
      <w:r>
        <w:rPr/>
        <w:t>to protect the bottom line.</w:t>
      </w:r>
    </w:p>
    <w:p>
      <w:pPr>
        <w:pStyle w:val="BodyText"/>
        <w:spacing w:before="5"/>
        <w:rPr>
          <w:sz w:val="27"/>
        </w:rPr>
      </w:pPr>
    </w:p>
    <w:p>
      <w:pPr>
        <w:pStyle w:val="BodyText"/>
        <w:spacing w:line="333" w:lineRule="auto" w:before="1"/>
        <w:ind w:left="760" w:right="767"/>
      </w:pPr>
      <w:r>
        <w:rPr/>
        <w:t>A ﬁnal point bears emphasis. We freely concede that this chapter has only scratched the surface of what can be done with the 3.0 version of AidData’s GCDF dataset to uncover new insights about Beijing’s contemporary lending activities and practices in the Global South. The dataset can—and </w:t>
      </w:r>
      <w:r>
        <w:rPr/>
        <w:t>should—be used to answer an array of additional questions, such as:</w:t>
      </w:r>
    </w:p>
    <w:p>
      <w:pPr>
        <w:pStyle w:val="BodyText"/>
        <w:spacing w:before="6"/>
        <w:rPr>
          <w:sz w:val="27"/>
        </w:rPr>
      </w:pPr>
    </w:p>
    <w:p>
      <w:pPr>
        <w:pStyle w:val="ListParagraph"/>
        <w:numPr>
          <w:ilvl w:val="0"/>
          <w:numId w:val="5"/>
        </w:numPr>
        <w:tabs>
          <w:tab w:pos="1479" w:val="left" w:leader="none"/>
          <w:tab w:pos="1480" w:val="left" w:leader="none"/>
        </w:tabs>
        <w:spacing w:line="333" w:lineRule="auto" w:before="0" w:after="0"/>
        <w:ind w:left="1480" w:right="778" w:hanging="360"/>
        <w:jc w:val="left"/>
        <w:rPr>
          <w:sz w:val="24"/>
        </w:rPr>
      </w:pPr>
      <w:r>
        <w:rPr>
          <w:sz w:val="24"/>
        </w:rPr>
        <w:t>How have the terms and conditions in Chinese loan contracts changed </w:t>
      </w:r>
      <w:r>
        <w:rPr>
          <w:sz w:val="24"/>
        </w:rPr>
        <w:t>(or</w:t>
      </w:r>
      <w:r>
        <w:rPr>
          <w:sz w:val="24"/>
        </w:rPr>
        <w:t> not) since Beijing endorsed the Common Framework in November 2020?</w:t>
      </w:r>
    </w:p>
    <w:p>
      <w:pPr>
        <w:pStyle w:val="BodyText"/>
        <w:spacing w:before="9"/>
        <w:rPr>
          <w:sz w:val="27"/>
        </w:rPr>
      </w:pPr>
    </w:p>
    <w:p>
      <w:pPr>
        <w:pStyle w:val="ListParagraph"/>
        <w:numPr>
          <w:ilvl w:val="0"/>
          <w:numId w:val="5"/>
        </w:numPr>
        <w:tabs>
          <w:tab w:pos="1479" w:val="left" w:leader="none"/>
          <w:tab w:pos="1480" w:val="left" w:leader="none"/>
        </w:tabs>
        <w:spacing w:line="333" w:lineRule="auto" w:before="0" w:after="0"/>
        <w:ind w:left="1480" w:right="1280" w:hanging="360"/>
        <w:jc w:val="left"/>
        <w:rPr>
          <w:sz w:val="24"/>
        </w:rPr>
      </w:pPr>
      <w:r>
        <w:rPr>
          <w:sz w:val="24"/>
        </w:rPr>
        <w:t>What are the consequences of borrower non-compliance with </w:t>
      </w:r>
      <w:r>
        <w:rPr>
          <w:sz w:val="24"/>
        </w:rPr>
        <w:t>escrow</w:t>
      </w:r>
      <w:r>
        <w:rPr>
          <w:sz w:val="24"/>
        </w:rPr>
        <w:t> account conditions?</w:t>
      </w:r>
    </w:p>
    <w:p>
      <w:pPr>
        <w:pStyle w:val="BodyText"/>
        <w:spacing w:before="8"/>
        <w:rPr>
          <w:sz w:val="27"/>
        </w:rPr>
      </w:pPr>
    </w:p>
    <w:p>
      <w:pPr>
        <w:pStyle w:val="ListParagraph"/>
        <w:numPr>
          <w:ilvl w:val="0"/>
          <w:numId w:val="5"/>
        </w:numPr>
        <w:tabs>
          <w:tab w:pos="1479" w:val="left" w:leader="none"/>
          <w:tab w:pos="1480" w:val="left" w:leader="none"/>
        </w:tabs>
        <w:spacing w:line="333" w:lineRule="auto" w:before="0" w:after="0"/>
        <w:ind w:left="1480" w:right="1176" w:hanging="360"/>
        <w:jc w:val="left"/>
        <w:rPr>
          <w:sz w:val="24"/>
        </w:rPr>
      </w:pPr>
      <w:r>
        <w:rPr>
          <w:sz w:val="24"/>
        </w:rPr>
        <w:t>How do Chinese creditors select their preferred partners in </w:t>
      </w:r>
      <w:r>
        <w:rPr>
          <w:sz w:val="24"/>
        </w:rPr>
        <w:t>syndicated</w:t>
      </w:r>
      <w:r>
        <w:rPr>
          <w:sz w:val="24"/>
        </w:rPr>
        <w:t> loan agreements?</w:t>
      </w:r>
    </w:p>
    <w:p>
      <w:pPr>
        <w:pStyle w:val="BodyText"/>
        <w:spacing w:before="8"/>
        <w:rPr>
          <w:sz w:val="27"/>
        </w:rPr>
      </w:pPr>
    </w:p>
    <w:p>
      <w:pPr>
        <w:pStyle w:val="ListParagraph"/>
        <w:numPr>
          <w:ilvl w:val="0"/>
          <w:numId w:val="5"/>
        </w:numPr>
        <w:tabs>
          <w:tab w:pos="1479" w:val="left" w:leader="none"/>
          <w:tab w:pos="1480" w:val="left" w:leader="none"/>
        </w:tabs>
        <w:spacing w:line="333" w:lineRule="auto" w:before="1" w:after="0"/>
        <w:ind w:left="1480" w:right="1468" w:hanging="360"/>
        <w:jc w:val="left"/>
        <w:rPr>
          <w:sz w:val="24"/>
        </w:rPr>
      </w:pPr>
      <w:r>
        <w:rPr>
          <w:sz w:val="24"/>
        </w:rPr>
        <w:t>Why does Beijing prefer to channel loans through some </w:t>
      </w:r>
      <w:r>
        <w:rPr>
          <w:sz w:val="24"/>
        </w:rPr>
        <w:t>multilateral</w:t>
      </w:r>
      <w:r>
        <w:rPr>
          <w:sz w:val="24"/>
        </w:rPr>
        <w:t> </w:t>
      </w:r>
      <w:r>
        <w:rPr>
          <w:w w:val="105"/>
          <w:sz w:val="24"/>
        </w:rPr>
        <w:t>institutions rather than others?</w:t>
      </w:r>
    </w:p>
    <w:p>
      <w:pPr>
        <w:pStyle w:val="BodyText"/>
        <w:spacing w:before="8"/>
        <w:rPr>
          <w:sz w:val="27"/>
        </w:rPr>
      </w:pPr>
    </w:p>
    <w:p>
      <w:pPr>
        <w:pStyle w:val="ListParagraph"/>
        <w:numPr>
          <w:ilvl w:val="0"/>
          <w:numId w:val="5"/>
        </w:numPr>
        <w:tabs>
          <w:tab w:pos="1479" w:val="left" w:leader="none"/>
          <w:tab w:pos="1480" w:val="left" w:leader="none"/>
        </w:tabs>
        <w:spacing w:line="333" w:lineRule="auto" w:before="0" w:after="0"/>
        <w:ind w:left="1480" w:right="921" w:hanging="360"/>
        <w:jc w:val="left"/>
        <w:rPr>
          <w:sz w:val="24"/>
        </w:rPr>
      </w:pPr>
      <w:r>
        <w:rPr>
          <w:sz w:val="24"/>
        </w:rPr>
        <w:t>What</w:t>
      </w:r>
      <w:r>
        <w:rPr>
          <w:spacing w:val="-4"/>
          <w:sz w:val="24"/>
        </w:rPr>
        <w:t> </w:t>
      </w:r>
      <w:r>
        <w:rPr>
          <w:sz w:val="24"/>
        </w:rPr>
        <w:t>are</w:t>
      </w:r>
      <w:r>
        <w:rPr>
          <w:spacing w:val="-4"/>
          <w:sz w:val="24"/>
        </w:rPr>
        <w:t> </w:t>
      </w:r>
      <w:r>
        <w:rPr>
          <w:sz w:val="24"/>
        </w:rPr>
        <w:t>the</w:t>
      </w:r>
      <w:r>
        <w:rPr>
          <w:spacing w:val="-4"/>
          <w:sz w:val="24"/>
        </w:rPr>
        <w:t> </w:t>
      </w:r>
      <w:r>
        <w:rPr>
          <w:sz w:val="24"/>
        </w:rPr>
        <w:t>supply-side</w:t>
      </w:r>
      <w:r>
        <w:rPr>
          <w:spacing w:val="-4"/>
          <w:sz w:val="24"/>
        </w:rPr>
        <w:t> </w:t>
      </w:r>
      <w:r>
        <w:rPr>
          <w:sz w:val="24"/>
        </w:rPr>
        <w:t>and</w:t>
      </w:r>
      <w:r>
        <w:rPr>
          <w:spacing w:val="-4"/>
          <w:sz w:val="24"/>
        </w:rPr>
        <w:t> </w:t>
      </w:r>
      <w:r>
        <w:rPr>
          <w:sz w:val="24"/>
        </w:rPr>
        <w:t>demand-side</w:t>
      </w:r>
      <w:r>
        <w:rPr>
          <w:spacing w:val="-4"/>
          <w:sz w:val="24"/>
        </w:rPr>
        <w:t> </w:t>
      </w:r>
      <w:r>
        <w:rPr>
          <w:sz w:val="24"/>
        </w:rPr>
        <w:t>drivers</w:t>
      </w:r>
      <w:r>
        <w:rPr>
          <w:spacing w:val="-4"/>
          <w:sz w:val="24"/>
        </w:rPr>
        <w:t> </w:t>
      </w:r>
      <w:r>
        <w:rPr>
          <w:sz w:val="24"/>
        </w:rPr>
        <w:t>of</w:t>
      </w:r>
      <w:r>
        <w:rPr>
          <w:spacing w:val="-4"/>
          <w:sz w:val="24"/>
        </w:rPr>
        <w:t> </w:t>
      </w:r>
      <w:r>
        <w:rPr>
          <w:sz w:val="24"/>
        </w:rPr>
        <w:t>China’s</w:t>
      </w:r>
      <w:r>
        <w:rPr>
          <w:spacing w:val="-4"/>
          <w:sz w:val="24"/>
        </w:rPr>
        <w:t> </w:t>
      </w:r>
      <w:r>
        <w:rPr>
          <w:sz w:val="24"/>
        </w:rPr>
        <w:t>emergency</w:t>
      </w:r>
      <w:r>
        <w:rPr>
          <w:sz w:val="24"/>
        </w:rPr>
        <w:t> lending program? Has this changed over time, and if so, how and why?</w:t>
      </w:r>
    </w:p>
    <w:p>
      <w:pPr>
        <w:pStyle w:val="BodyText"/>
        <w:spacing w:before="8"/>
        <w:rPr>
          <w:sz w:val="27"/>
        </w:rPr>
      </w:pPr>
    </w:p>
    <w:p>
      <w:pPr>
        <w:pStyle w:val="ListParagraph"/>
        <w:numPr>
          <w:ilvl w:val="0"/>
          <w:numId w:val="5"/>
        </w:numPr>
        <w:tabs>
          <w:tab w:pos="1479" w:val="left" w:leader="none"/>
          <w:tab w:pos="1480" w:val="left" w:leader="none"/>
        </w:tabs>
        <w:spacing w:line="240" w:lineRule="auto" w:before="0" w:after="0"/>
        <w:ind w:left="1480" w:right="0" w:hanging="360"/>
        <w:jc w:val="left"/>
        <w:rPr>
          <w:sz w:val="24"/>
        </w:rPr>
      </w:pPr>
      <w:r>
        <w:rPr>
          <w:sz w:val="24"/>
        </w:rPr>
        <w:t>What</w:t>
      </w:r>
      <w:r>
        <w:rPr>
          <w:spacing w:val="1"/>
          <w:sz w:val="24"/>
        </w:rPr>
        <w:t> </w:t>
      </w:r>
      <w:r>
        <w:rPr>
          <w:sz w:val="24"/>
        </w:rPr>
        <w:t>are</w:t>
      </w:r>
      <w:r>
        <w:rPr>
          <w:spacing w:val="1"/>
          <w:sz w:val="24"/>
        </w:rPr>
        <w:t> </w:t>
      </w:r>
      <w:r>
        <w:rPr>
          <w:sz w:val="24"/>
        </w:rPr>
        <w:t>the</w:t>
      </w:r>
      <w:r>
        <w:rPr>
          <w:spacing w:val="2"/>
          <w:sz w:val="24"/>
        </w:rPr>
        <w:t> </w:t>
      </w:r>
      <w:r>
        <w:rPr>
          <w:sz w:val="24"/>
        </w:rPr>
        <w:t>supply-side</w:t>
      </w:r>
      <w:r>
        <w:rPr>
          <w:spacing w:val="1"/>
          <w:sz w:val="24"/>
        </w:rPr>
        <w:t> </w:t>
      </w:r>
      <w:r>
        <w:rPr>
          <w:sz w:val="24"/>
        </w:rPr>
        <w:t>and</w:t>
      </w:r>
      <w:r>
        <w:rPr>
          <w:spacing w:val="2"/>
          <w:sz w:val="24"/>
        </w:rPr>
        <w:t> </w:t>
      </w:r>
      <w:r>
        <w:rPr>
          <w:sz w:val="24"/>
        </w:rPr>
        <w:t>demand-side</w:t>
      </w:r>
      <w:r>
        <w:rPr>
          <w:spacing w:val="1"/>
          <w:sz w:val="24"/>
        </w:rPr>
        <w:t> </w:t>
      </w:r>
      <w:r>
        <w:rPr>
          <w:sz w:val="24"/>
        </w:rPr>
        <w:t>drivers</w:t>
      </w:r>
      <w:r>
        <w:rPr>
          <w:spacing w:val="2"/>
          <w:sz w:val="24"/>
        </w:rPr>
        <w:t> </w:t>
      </w:r>
      <w:r>
        <w:rPr>
          <w:sz w:val="24"/>
        </w:rPr>
        <w:t>of</w:t>
      </w:r>
      <w:r>
        <w:rPr>
          <w:spacing w:val="1"/>
          <w:sz w:val="24"/>
        </w:rPr>
        <w:t> </w:t>
      </w:r>
      <w:r>
        <w:rPr>
          <w:spacing w:val="-2"/>
          <w:sz w:val="24"/>
        </w:rPr>
        <w:t>China’s</w:t>
      </w:r>
    </w:p>
    <w:p>
      <w:pPr>
        <w:pStyle w:val="BodyText"/>
        <w:spacing w:line="333" w:lineRule="auto" w:before="107"/>
        <w:ind w:left="1480" w:right="767"/>
      </w:pPr>
      <w:r>
        <w:rPr/>
        <w:t>non-emergency lending program? Has this changed over time, and if </w:t>
      </w:r>
      <w:r>
        <w:rPr/>
        <w:t>so, how and why?</w:t>
      </w:r>
    </w:p>
    <w:p>
      <w:pPr>
        <w:pStyle w:val="BodyText"/>
        <w:spacing w:before="9"/>
        <w:rPr>
          <w:sz w:val="27"/>
        </w:rPr>
      </w:pPr>
    </w:p>
    <w:p>
      <w:pPr>
        <w:pStyle w:val="BodyText"/>
        <w:spacing w:line="333" w:lineRule="auto"/>
        <w:ind w:left="760" w:right="767"/>
      </w:pPr>
      <w:r>
        <w:rPr/>
        <w:t>Although there are commercial incentives to put the GCDF dataset behind a paywall and professional incentives to withhold release until it is introduced </w:t>
      </w:r>
      <w:r>
        <w:rPr/>
        <w:t>in leading, peer-reviewed academic journals, we remain fully committed to the</w:t>
      </w:r>
    </w:p>
    <w:p>
      <w:pPr>
        <w:spacing w:after="0" w:line="333" w:lineRule="auto"/>
        <w:sectPr>
          <w:pgSz w:w="12240" w:h="15840"/>
          <w:pgMar w:header="0" w:footer="720" w:top="1400" w:bottom="920" w:left="1040" w:right="1040"/>
        </w:sectPr>
      </w:pPr>
    </w:p>
    <w:p>
      <w:pPr>
        <w:pStyle w:val="BodyText"/>
        <w:spacing w:line="333" w:lineRule="auto" w:before="27"/>
        <w:ind w:left="760" w:right="882"/>
      </w:pPr>
      <w:r>
        <w:rPr/>
        <w:t>principle that all past, present, and future versions of the GCDF dataset should be treated as public goods rather than private goods.</w:t>
      </w:r>
      <w:r>
        <w:rPr>
          <w:vertAlign w:val="superscript"/>
        </w:rPr>
        <w:t>214</w:t>
      </w:r>
      <w:r>
        <w:rPr>
          <w:vertAlign w:val="baseline"/>
        </w:rPr>
        <w:t> Our hope is that the dataset will catalyze a knowledge multiplier effect and facilitate </w:t>
      </w:r>
      <w:r>
        <w:rPr>
          <w:vertAlign w:val="baseline"/>
        </w:rPr>
        <w:t>evidence-based </w:t>
      </w:r>
      <w:r>
        <w:rPr>
          <w:spacing w:val="-2"/>
          <w:vertAlign w:val="baseline"/>
        </w:rPr>
        <w:t>decision-making.</w:t>
      </w:r>
      <w:r>
        <w:rPr>
          <w:spacing w:val="-2"/>
          <w:vertAlign w:val="superscript"/>
        </w:rPr>
        <w:t>215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r>
        <w:rPr/>
        <w:pict>
          <v:shape style="position:absolute;margin-left:90pt;margin-top:12.753711pt;width:144pt;height:.1pt;mso-position-horizontal-relative:page;mso-position-vertical-relative:paragraph;z-index:-15665664;mso-wrap-distance-left:0;mso-wrap-distance-right:0" id="docshape101" coordorigin="1800,255" coordsize="2880,0" path="m1800,255l4680,255e" filled="false" stroked="true" strokeweight=".75pt" strokecolor="#000000">
            <v:path arrowok="t"/>
            <v:stroke dashstyle="solid"/>
            <w10:wrap type="topAndBottom"/>
          </v:shape>
        </w:pict>
      </w:r>
    </w:p>
    <w:p>
      <w:pPr>
        <w:spacing w:line="249" w:lineRule="auto" w:before="110"/>
        <w:ind w:left="760" w:right="838" w:firstLine="0"/>
        <w:jc w:val="left"/>
        <w:rPr>
          <w:sz w:val="18"/>
        </w:rPr>
      </w:pPr>
      <w:r>
        <w:rPr>
          <w:sz w:val="18"/>
          <w:vertAlign w:val="superscript"/>
        </w:rPr>
        <w:t>214</w:t>
      </w:r>
      <w:r>
        <w:rPr>
          <w:sz w:val="18"/>
          <w:vertAlign w:val="baseline"/>
        </w:rPr>
        <w:t> In this respect, we are carrying forward the “open research” tradition of the original, interdisciplinary group</w:t>
      </w:r>
      <w:r>
        <w:rPr>
          <w:spacing w:val="-1"/>
          <w:sz w:val="18"/>
          <w:vertAlign w:val="baseline"/>
        </w:rPr>
        <w:t> </w:t>
      </w:r>
      <w:r>
        <w:rPr>
          <w:sz w:val="18"/>
          <w:vertAlign w:val="baseline"/>
        </w:rPr>
        <w:t>of</w:t>
      </w:r>
      <w:r>
        <w:rPr>
          <w:spacing w:val="-1"/>
          <w:sz w:val="18"/>
          <w:vertAlign w:val="baseline"/>
        </w:rPr>
        <w:t> </w:t>
      </w:r>
      <w:r>
        <w:rPr>
          <w:sz w:val="18"/>
          <w:vertAlign w:val="baseline"/>
        </w:rPr>
        <w:t>researchers</w:t>
      </w:r>
      <w:r>
        <w:rPr>
          <w:spacing w:val="-1"/>
          <w:sz w:val="18"/>
          <w:vertAlign w:val="baseline"/>
        </w:rPr>
        <w:t> </w:t>
      </w:r>
      <w:r>
        <w:rPr>
          <w:sz w:val="18"/>
          <w:vertAlign w:val="baseline"/>
        </w:rPr>
        <w:t>who</w:t>
      </w:r>
      <w:r>
        <w:rPr>
          <w:spacing w:val="-1"/>
          <w:sz w:val="18"/>
          <w:vertAlign w:val="baseline"/>
        </w:rPr>
        <w:t> </w:t>
      </w:r>
      <w:r>
        <w:rPr>
          <w:sz w:val="18"/>
          <w:vertAlign w:val="baseline"/>
        </w:rPr>
        <w:t>developed</w:t>
      </w:r>
      <w:r>
        <w:rPr>
          <w:spacing w:val="-1"/>
          <w:sz w:val="18"/>
          <w:vertAlign w:val="baseline"/>
        </w:rPr>
        <w:t> </w:t>
      </w:r>
      <w:r>
        <w:rPr>
          <w:sz w:val="18"/>
          <w:vertAlign w:val="baseline"/>
        </w:rPr>
        <w:t>the</w:t>
      </w:r>
      <w:r>
        <w:rPr>
          <w:spacing w:val="-1"/>
          <w:sz w:val="18"/>
          <w:vertAlign w:val="baseline"/>
        </w:rPr>
        <w:t> </w:t>
      </w:r>
      <w:r>
        <w:rPr>
          <w:sz w:val="18"/>
          <w:vertAlign w:val="baseline"/>
        </w:rPr>
        <w:t>Tracking</w:t>
      </w:r>
      <w:r>
        <w:rPr>
          <w:spacing w:val="-1"/>
          <w:sz w:val="18"/>
          <w:vertAlign w:val="baseline"/>
        </w:rPr>
        <w:t> </w:t>
      </w:r>
      <w:r>
        <w:rPr>
          <w:sz w:val="18"/>
          <w:vertAlign w:val="baseline"/>
        </w:rPr>
        <w:t>Underreported</w:t>
      </w:r>
      <w:r>
        <w:rPr>
          <w:spacing w:val="-1"/>
          <w:sz w:val="18"/>
          <w:vertAlign w:val="baseline"/>
        </w:rPr>
        <w:t> </w:t>
      </w:r>
      <w:r>
        <w:rPr>
          <w:sz w:val="18"/>
          <w:vertAlign w:val="baseline"/>
        </w:rPr>
        <w:t>Financial</w:t>
      </w:r>
      <w:r>
        <w:rPr>
          <w:spacing w:val="-1"/>
          <w:sz w:val="18"/>
          <w:vertAlign w:val="baseline"/>
        </w:rPr>
        <w:t> </w:t>
      </w:r>
      <w:r>
        <w:rPr>
          <w:sz w:val="18"/>
          <w:vertAlign w:val="baseline"/>
        </w:rPr>
        <w:t>Flows</w:t>
      </w:r>
      <w:r>
        <w:rPr>
          <w:spacing w:val="-1"/>
          <w:sz w:val="18"/>
          <w:vertAlign w:val="baseline"/>
        </w:rPr>
        <w:t> </w:t>
      </w:r>
      <w:r>
        <w:rPr>
          <w:sz w:val="18"/>
          <w:vertAlign w:val="baseline"/>
        </w:rPr>
        <w:t>(TUFF)</w:t>
      </w:r>
      <w:r>
        <w:rPr>
          <w:spacing w:val="-1"/>
          <w:sz w:val="18"/>
          <w:vertAlign w:val="baseline"/>
        </w:rPr>
        <w:t> </w:t>
      </w:r>
      <w:r>
        <w:rPr>
          <w:sz w:val="18"/>
          <w:vertAlign w:val="baseline"/>
        </w:rPr>
        <w:t>methodology</w:t>
      </w:r>
      <w:r>
        <w:rPr>
          <w:spacing w:val="-1"/>
          <w:sz w:val="18"/>
          <w:vertAlign w:val="baseline"/>
        </w:rPr>
        <w:t> </w:t>
      </w:r>
      <w:r>
        <w:rPr>
          <w:sz w:val="18"/>
          <w:vertAlign w:val="baseline"/>
        </w:rPr>
        <w:t>that underpins AidData’s GCDF dataset. See Chapter 3 of Dreher et al. (2022).</w:t>
      </w:r>
    </w:p>
    <w:p>
      <w:pPr>
        <w:spacing w:line="249" w:lineRule="auto" w:before="2"/>
        <w:ind w:left="760" w:right="767" w:firstLine="0"/>
        <w:jc w:val="left"/>
        <w:rPr>
          <w:sz w:val="18"/>
        </w:rPr>
      </w:pPr>
      <w:r>
        <w:rPr>
          <w:sz w:val="18"/>
          <w:vertAlign w:val="superscript"/>
        </w:rPr>
        <w:t>215</w:t>
      </w:r>
      <w:r>
        <w:rPr>
          <w:sz w:val="18"/>
          <w:vertAlign w:val="baseline"/>
        </w:rPr>
        <w:t> If past is prologue, we expect that this approach will deliver a signiﬁcant payoff. To date, the </w:t>
      </w:r>
      <w:r>
        <w:rPr>
          <w:sz w:val="18"/>
          <w:vertAlign w:val="baseline"/>
        </w:rPr>
        <w:t>GCDF dataset has been used in more than 500 research publications (Wooley 2023).</w:t>
      </w:r>
    </w:p>
    <w:p>
      <w:pPr>
        <w:spacing w:after="0" w:line="249" w:lineRule="auto"/>
        <w:jc w:val="left"/>
        <w:rPr>
          <w:sz w:val="18"/>
        </w:rPr>
        <w:sectPr>
          <w:pgSz w:w="12240" w:h="15840"/>
          <w:pgMar w:header="0" w:footer="720" w:top="1400" w:bottom="920" w:left="1040" w:right="1040"/>
        </w:sectPr>
      </w:pPr>
    </w:p>
    <w:p>
      <w:pPr>
        <w:pStyle w:val="Heading1"/>
        <w:spacing w:before="27"/>
      </w:pPr>
      <w:r>
        <w:rPr>
          <w:spacing w:val="-2"/>
        </w:rPr>
        <w:t>References</w:t>
      </w:r>
    </w:p>
    <w:p>
      <w:pPr>
        <w:pStyle w:val="BodyText"/>
        <w:spacing w:before="1"/>
        <w:rPr>
          <w:sz w:val="32"/>
        </w:rPr>
      </w:pPr>
    </w:p>
    <w:p>
      <w:pPr>
        <w:spacing w:line="288" w:lineRule="auto" w:before="0"/>
        <w:ind w:left="400" w:right="0" w:firstLine="0"/>
        <w:jc w:val="left"/>
        <w:rPr>
          <w:sz w:val="22"/>
        </w:rPr>
      </w:pPr>
      <w:r>
        <w:rPr>
          <w:sz w:val="22"/>
        </w:rPr>
        <w:t>Aamir,</w:t>
      </w:r>
      <w:r>
        <w:rPr>
          <w:spacing w:val="-16"/>
          <w:sz w:val="22"/>
        </w:rPr>
        <w:t> </w:t>
      </w:r>
      <w:r>
        <w:rPr>
          <w:sz w:val="22"/>
        </w:rPr>
        <w:t>Adnan,</w:t>
      </w:r>
      <w:r>
        <w:rPr>
          <w:spacing w:val="-15"/>
          <w:sz w:val="22"/>
        </w:rPr>
        <w:t> </w:t>
      </w:r>
      <w:r>
        <w:rPr>
          <w:sz w:val="22"/>
        </w:rPr>
        <w:t>Marwaan</w:t>
      </w:r>
      <w:r>
        <w:rPr>
          <w:spacing w:val="-15"/>
          <w:sz w:val="22"/>
        </w:rPr>
        <w:t> </w:t>
      </w:r>
      <w:r>
        <w:rPr>
          <w:sz w:val="22"/>
        </w:rPr>
        <w:t>Macan-Markar,</w:t>
      </w:r>
      <w:r>
        <w:rPr>
          <w:spacing w:val="-15"/>
          <w:sz w:val="22"/>
        </w:rPr>
        <w:t> </w:t>
      </w:r>
      <w:r>
        <w:rPr>
          <w:sz w:val="22"/>
        </w:rPr>
        <w:t>Shaun</w:t>
      </w:r>
      <w:r>
        <w:rPr>
          <w:spacing w:val="-16"/>
          <w:sz w:val="22"/>
        </w:rPr>
        <w:t> </w:t>
      </w:r>
      <w:r>
        <w:rPr>
          <w:sz w:val="22"/>
        </w:rPr>
        <w:t>Turton,</w:t>
      </w:r>
      <w:r>
        <w:rPr>
          <w:spacing w:val="-15"/>
          <w:sz w:val="22"/>
        </w:rPr>
        <w:t> </w:t>
      </w:r>
      <w:r>
        <w:rPr>
          <w:sz w:val="22"/>
        </w:rPr>
        <w:t>Cissy</w:t>
      </w:r>
      <w:r>
        <w:rPr>
          <w:spacing w:val="-15"/>
          <w:sz w:val="22"/>
        </w:rPr>
        <w:t> </w:t>
      </w:r>
      <w:r>
        <w:rPr>
          <w:sz w:val="22"/>
        </w:rPr>
        <w:t>Zhou</w:t>
      </w:r>
      <w:r>
        <w:rPr>
          <w:spacing w:val="-15"/>
          <w:sz w:val="22"/>
        </w:rPr>
        <w:t> </w:t>
      </w:r>
      <w:r>
        <w:rPr>
          <w:sz w:val="22"/>
        </w:rPr>
        <w:t>and</w:t>
      </w:r>
      <w:r>
        <w:rPr>
          <w:spacing w:val="-16"/>
          <w:sz w:val="22"/>
        </w:rPr>
        <w:t> </w:t>
      </w:r>
      <w:r>
        <w:rPr>
          <w:sz w:val="22"/>
        </w:rPr>
        <w:t>Grace</w:t>
      </w:r>
      <w:r>
        <w:rPr>
          <w:spacing w:val="-15"/>
          <w:sz w:val="22"/>
        </w:rPr>
        <w:t> </w:t>
      </w:r>
      <w:r>
        <w:rPr>
          <w:sz w:val="22"/>
        </w:rPr>
        <w:t>Li.</w:t>
      </w:r>
      <w:r>
        <w:rPr>
          <w:spacing w:val="-15"/>
          <w:sz w:val="22"/>
        </w:rPr>
        <w:t> </w:t>
      </w:r>
      <w:r>
        <w:rPr>
          <w:sz w:val="22"/>
        </w:rPr>
        <w:t>2022.</w:t>
      </w:r>
      <w:r>
        <w:rPr>
          <w:spacing w:val="-15"/>
          <w:sz w:val="22"/>
        </w:rPr>
        <w:t> </w:t>
      </w:r>
      <w:r>
        <w:rPr>
          <w:sz w:val="22"/>
        </w:rPr>
        <w:t>Road</w:t>
      </w:r>
      <w:r>
        <w:rPr>
          <w:spacing w:val="-16"/>
          <w:sz w:val="22"/>
        </w:rPr>
        <w:t> </w:t>
      </w:r>
      <w:r>
        <w:rPr>
          <w:sz w:val="22"/>
        </w:rPr>
        <w:t>to nowhere: China’s Belt and Road Initiative at tipping point. 10 August 2022. </w:t>
      </w:r>
      <w:r>
        <w:rPr>
          <w:i/>
          <w:sz w:val="22"/>
        </w:rPr>
        <w:t>Nikkei Asia</w:t>
      </w:r>
      <w:r>
        <w:rPr>
          <w:sz w:val="22"/>
        </w:rPr>
        <w:t>.</w:t>
      </w:r>
    </w:p>
    <w:p>
      <w:pPr>
        <w:spacing w:before="1"/>
        <w:ind w:left="400" w:right="0" w:firstLine="0"/>
        <w:jc w:val="left"/>
        <w:rPr>
          <w:sz w:val="22"/>
        </w:rPr>
      </w:pPr>
      <w:r>
        <w:rPr>
          <w:sz w:val="22"/>
        </w:rPr>
        <w:t>Accessed</w:t>
      </w:r>
      <w:r>
        <w:rPr>
          <w:spacing w:val="-10"/>
          <w:sz w:val="22"/>
        </w:rPr>
        <w:t> </w:t>
      </w:r>
      <w:r>
        <w:rPr>
          <w:sz w:val="22"/>
        </w:rPr>
        <w:t>on</w:t>
      </w:r>
      <w:r>
        <w:rPr>
          <w:spacing w:val="-9"/>
          <w:sz w:val="22"/>
        </w:rPr>
        <w:t> </w:t>
      </w:r>
      <w:r>
        <w:rPr>
          <w:sz w:val="22"/>
        </w:rPr>
        <w:t>13</w:t>
      </w:r>
      <w:r>
        <w:rPr>
          <w:spacing w:val="-10"/>
          <w:sz w:val="22"/>
        </w:rPr>
        <w:t> </w:t>
      </w:r>
      <w:r>
        <w:rPr>
          <w:sz w:val="22"/>
        </w:rPr>
        <w:t>August</w:t>
      </w:r>
      <w:r>
        <w:rPr>
          <w:spacing w:val="-9"/>
          <w:sz w:val="22"/>
        </w:rPr>
        <w:t> </w:t>
      </w:r>
      <w:r>
        <w:rPr>
          <w:sz w:val="22"/>
        </w:rPr>
        <w:t>2023</w:t>
      </w:r>
      <w:r>
        <w:rPr>
          <w:spacing w:val="-9"/>
          <w:sz w:val="22"/>
        </w:rPr>
        <w:t> </w:t>
      </w:r>
      <w:r>
        <w:rPr>
          <w:spacing w:val="-5"/>
          <w:sz w:val="22"/>
        </w:rPr>
        <w:t>at</w:t>
      </w:r>
    </w:p>
    <w:p>
      <w:pPr>
        <w:spacing w:line="288" w:lineRule="auto" w:before="50"/>
        <w:ind w:left="400" w:right="398" w:firstLine="0"/>
        <w:jc w:val="left"/>
        <w:rPr>
          <w:sz w:val="22"/>
        </w:rPr>
      </w:pPr>
      <w:hyperlink r:id="rId37">
        <w:r>
          <w:rPr>
            <w:color w:val="1154CC"/>
            <w:spacing w:val="-2"/>
            <w:sz w:val="22"/>
            <w:u w:val="thick" w:color="1154CC"/>
          </w:rPr>
          <w:t>https://asia.nikkei.com/Spotlight/The-Big-Story/Road-to-nowhere-China-s-Belt-and-Road-Initiati</w:t>
        </w:r>
      </w:hyperlink>
      <w:r>
        <w:rPr>
          <w:color w:val="1154CC"/>
          <w:spacing w:val="40"/>
          <w:w w:val="105"/>
          <w:sz w:val="22"/>
        </w:rPr>
        <w:t> </w:t>
      </w:r>
      <w:hyperlink r:id="rId37">
        <w:r>
          <w:rPr>
            <w:color w:val="1154CC"/>
            <w:spacing w:val="-2"/>
            <w:w w:val="105"/>
            <w:sz w:val="22"/>
            <w:u w:val="thick" w:color="1154CC"/>
          </w:rPr>
          <w:t>ve-at-tipping-point</w:t>
        </w:r>
      </w:hyperlink>
    </w:p>
    <w:p>
      <w:pPr>
        <w:pStyle w:val="BodyText"/>
        <w:spacing w:before="4"/>
      </w:pPr>
    </w:p>
    <w:p>
      <w:pPr>
        <w:spacing w:line="288" w:lineRule="auto" w:before="0"/>
        <w:ind w:left="400" w:right="767" w:firstLine="0"/>
        <w:jc w:val="left"/>
        <w:rPr>
          <w:sz w:val="22"/>
        </w:rPr>
      </w:pPr>
      <w:r>
        <w:rPr>
          <w:sz w:val="22"/>
        </w:rPr>
        <w:t>Acker, Kevin, Deborah Brautigam, and Yufan Huang. 2020. Debt Relief with Chinese Characteristics.</w:t>
      </w:r>
      <w:r>
        <w:rPr>
          <w:spacing w:val="-13"/>
          <w:sz w:val="22"/>
        </w:rPr>
        <w:t> </w:t>
      </w:r>
      <w:r>
        <w:rPr>
          <w:sz w:val="22"/>
        </w:rPr>
        <w:t>SAIS-CARI</w:t>
      </w:r>
      <w:r>
        <w:rPr>
          <w:spacing w:val="-13"/>
          <w:sz w:val="22"/>
        </w:rPr>
        <w:t> </w:t>
      </w:r>
      <w:r>
        <w:rPr>
          <w:sz w:val="22"/>
        </w:rPr>
        <w:t>Working</w:t>
      </w:r>
      <w:r>
        <w:rPr>
          <w:spacing w:val="-13"/>
          <w:sz w:val="22"/>
        </w:rPr>
        <w:t> </w:t>
      </w:r>
      <w:r>
        <w:rPr>
          <w:sz w:val="22"/>
        </w:rPr>
        <w:t>Paper</w:t>
      </w:r>
      <w:r>
        <w:rPr>
          <w:spacing w:val="-13"/>
          <w:sz w:val="22"/>
        </w:rPr>
        <w:t> </w:t>
      </w:r>
      <w:r>
        <w:rPr>
          <w:sz w:val="22"/>
        </w:rPr>
        <w:t>No.</w:t>
      </w:r>
      <w:r>
        <w:rPr>
          <w:spacing w:val="-13"/>
          <w:sz w:val="22"/>
        </w:rPr>
        <w:t> </w:t>
      </w:r>
      <w:r>
        <w:rPr>
          <w:sz w:val="22"/>
        </w:rPr>
        <w:t>2020/39.</w:t>
      </w:r>
      <w:r>
        <w:rPr>
          <w:spacing w:val="-13"/>
          <w:sz w:val="22"/>
        </w:rPr>
        <w:t> </w:t>
      </w:r>
      <w:r>
        <w:rPr>
          <w:sz w:val="22"/>
        </w:rPr>
        <w:t>Washington</w:t>
      </w:r>
      <w:r>
        <w:rPr>
          <w:spacing w:val="-13"/>
          <w:sz w:val="22"/>
        </w:rPr>
        <w:t> </w:t>
      </w:r>
      <w:r>
        <w:rPr>
          <w:sz w:val="22"/>
        </w:rPr>
        <w:t>DC:</w:t>
      </w:r>
      <w:r>
        <w:rPr>
          <w:spacing w:val="-13"/>
          <w:sz w:val="22"/>
        </w:rPr>
        <w:t> </w:t>
      </w:r>
      <w:r>
        <w:rPr>
          <w:sz w:val="22"/>
        </w:rPr>
        <w:t>Johns</w:t>
      </w:r>
      <w:r>
        <w:rPr>
          <w:spacing w:val="-13"/>
          <w:sz w:val="22"/>
        </w:rPr>
        <w:t> </w:t>
      </w:r>
      <w:r>
        <w:rPr>
          <w:sz w:val="22"/>
        </w:rPr>
        <w:t>Hopkins </w:t>
      </w:r>
      <w:r>
        <w:rPr>
          <w:spacing w:val="-2"/>
          <w:sz w:val="22"/>
        </w:rPr>
        <w:t>University.</w:t>
      </w:r>
    </w:p>
    <w:p>
      <w:pPr>
        <w:pStyle w:val="BodyText"/>
        <w:spacing w:before="4"/>
      </w:pPr>
    </w:p>
    <w:p>
      <w:pPr>
        <w:spacing w:before="1"/>
        <w:ind w:left="400" w:right="0" w:firstLine="0"/>
        <w:jc w:val="left"/>
        <w:rPr>
          <w:sz w:val="22"/>
        </w:rPr>
      </w:pPr>
      <w:r>
        <w:rPr>
          <w:sz w:val="22"/>
        </w:rPr>
        <w:t>Anderlini,</w:t>
      </w:r>
      <w:r>
        <w:rPr>
          <w:spacing w:val="-11"/>
          <w:sz w:val="22"/>
        </w:rPr>
        <w:t> </w:t>
      </w:r>
      <w:r>
        <w:rPr>
          <w:sz w:val="22"/>
        </w:rPr>
        <w:t>Jamil.</w:t>
      </w:r>
      <w:r>
        <w:rPr>
          <w:spacing w:val="-11"/>
          <w:sz w:val="22"/>
        </w:rPr>
        <w:t> </w:t>
      </w:r>
      <w:r>
        <w:rPr>
          <w:sz w:val="22"/>
        </w:rPr>
        <w:t>2008.</w:t>
      </w:r>
      <w:r>
        <w:rPr>
          <w:spacing w:val="-11"/>
          <w:sz w:val="22"/>
        </w:rPr>
        <w:t> </w:t>
      </w:r>
      <w:r>
        <w:rPr>
          <w:sz w:val="22"/>
        </w:rPr>
        <w:t>Beijing</w:t>
      </w:r>
      <w:r>
        <w:rPr>
          <w:spacing w:val="-11"/>
          <w:sz w:val="22"/>
        </w:rPr>
        <w:t> </w:t>
      </w:r>
      <w:r>
        <w:rPr>
          <w:sz w:val="22"/>
        </w:rPr>
        <w:t>uses</w:t>
      </w:r>
      <w:r>
        <w:rPr>
          <w:spacing w:val="-11"/>
          <w:sz w:val="22"/>
        </w:rPr>
        <w:t> </w:t>
      </w:r>
      <w:r>
        <w:rPr>
          <w:sz w:val="22"/>
        </w:rPr>
        <w:t>forex</w:t>
      </w:r>
      <w:r>
        <w:rPr>
          <w:spacing w:val="-11"/>
          <w:sz w:val="22"/>
        </w:rPr>
        <w:t> </w:t>
      </w:r>
      <w:r>
        <w:rPr>
          <w:sz w:val="22"/>
        </w:rPr>
        <w:t>reserves</w:t>
      </w:r>
      <w:r>
        <w:rPr>
          <w:spacing w:val="-10"/>
          <w:sz w:val="22"/>
        </w:rPr>
        <w:t> </w:t>
      </w:r>
      <w:r>
        <w:rPr>
          <w:sz w:val="22"/>
        </w:rPr>
        <w:t>to</w:t>
      </w:r>
      <w:r>
        <w:rPr>
          <w:spacing w:val="-11"/>
          <w:sz w:val="22"/>
        </w:rPr>
        <w:t> </w:t>
      </w:r>
      <w:r>
        <w:rPr>
          <w:sz w:val="22"/>
        </w:rPr>
        <w:t>target</w:t>
      </w:r>
      <w:r>
        <w:rPr>
          <w:spacing w:val="-11"/>
          <w:sz w:val="22"/>
        </w:rPr>
        <w:t> </w:t>
      </w:r>
      <w:r>
        <w:rPr>
          <w:sz w:val="22"/>
        </w:rPr>
        <w:t>Taiwan.</w:t>
      </w:r>
      <w:r>
        <w:rPr>
          <w:spacing w:val="-11"/>
          <w:sz w:val="22"/>
        </w:rPr>
        <w:t> </w:t>
      </w:r>
      <w:r>
        <w:rPr>
          <w:sz w:val="22"/>
        </w:rPr>
        <w:t>12</w:t>
      </w:r>
      <w:r>
        <w:rPr>
          <w:spacing w:val="-11"/>
          <w:sz w:val="22"/>
        </w:rPr>
        <w:t> </w:t>
      </w:r>
      <w:r>
        <w:rPr>
          <w:sz w:val="22"/>
        </w:rPr>
        <w:t>September</w:t>
      </w:r>
      <w:r>
        <w:rPr>
          <w:spacing w:val="-11"/>
          <w:sz w:val="22"/>
        </w:rPr>
        <w:t> </w:t>
      </w:r>
      <w:r>
        <w:rPr>
          <w:spacing w:val="-2"/>
          <w:sz w:val="22"/>
        </w:rPr>
        <w:t>2008.</w:t>
      </w:r>
    </w:p>
    <w:p>
      <w:pPr>
        <w:spacing w:line="288" w:lineRule="auto" w:before="51"/>
        <w:ind w:left="400" w:right="2819" w:firstLine="0"/>
        <w:jc w:val="left"/>
        <w:rPr>
          <w:sz w:val="22"/>
        </w:rPr>
      </w:pPr>
      <w:r>
        <w:rPr>
          <w:i/>
          <w:spacing w:val="-2"/>
          <w:w w:val="105"/>
          <w:sz w:val="22"/>
        </w:rPr>
        <w:t>Financial</w:t>
      </w:r>
      <w:r>
        <w:rPr>
          <w:i/>
          <w:spacing w:val="-11"/>
          <w:w w:val="105"/>
          <w:sz w:val="22"/>
        </w:rPr>
        <w:t> </w:t>
      </w:r>
      <w:r>
        <w:rPr>
          <w:i/>
          <w:spacing w:val="-2"/>
          <w:w w:val="105"/>
          <w:sz w:val="22"/>
        </w:rPr>
        <w:t>Times</w:t>
      </w:r>
      <w:r>
        <w:rPr>
          <w:spacing w:val="-2"/>
          <w:w w:val="105"/>
          <w:sz w:val="22"/>
        </w:rPr>
        <w:t>.</w:t>
      </w:r>
      <w:r>
        <w:rPr>
          <w:spacing w:val="-11"/>
          <w:w w:val="105"/>
          <w:sz w:val="22"/>
        </w:rPr>
        <w:t> </w:t>
      </w:r>
      <w:r>
        <w:rPr>
          <w:spacing w:val="-2"/>
          <w:w w:val="105"/>
          <w:sz w:val="22"/>
        </w:rPr>
        <w:t>Accessed</w:t>
      </w:r>
      <w:r>
        <w:rPr>
          <w:spacing w:val="-11"/>
          <w:w w:val="105"/>
          <w:sz w:val="22"/>
        </w:rPr>
        <w:t> </w:t>
      </w:r>
      <w:r>
        <w:rPr>
          <w:spacing w:val="-2"/>
          <w:w w:val="105"/>
          <w:sz w:val="22"/>
        </w:rPr>
        <w:t>on</w:t>
      </w:r>
      <w:r>
        <w:rPr>
          <w:spacing w:val="-11"/>
          <w:w w:val="105"/>
          <w:sz w:val="22"/>
        </w:rPr>
        <w:t> </w:t>
      </w:r>
      <w:r>
        <w:rPr>
          <w:spacing w:val="-2"/>
          <w:w w:val="105"/>
          <w:sz w:val="22"/>
        </w:rPr>
        <w:t>1</w:t>
      </w:r>
      <w:r>
        <w:rPr>
          <w:spacing w:val="-11"/>
          <w:w w:val="105"/>
          <w:sz w:val="22"/>
        </w:rPr>
        <w:t> </w:t>
      </w:r>
      <w:r>
        <w:rPr>
          <w:spacing w:val="-2"/>
          <w:w w:val="105"/>
          <w:sz w:val="22"/>
        </w:rPr>
        <w:t>August</w:t>
      </w:r>
      <w:r>
        <w:rPr>
          <w:spacing w:val="-11"/>
          <w:w w:val="105"/>
          <w:sz w:val="22"/>
        </w:rPr>
        <w:t> </w:t>
      </w:r>
      <w:r>
        <w:rPr>
          <w:spacing w:val="-2"/>
          <w:w w:val="105"/>
          <w:sz w:val="22"/>
        </w:rPr>
        <w:t>2023</w:t>
      </w:r>
      <w:r>
        <w:rPr>
          <w:spacing w:val="-11"/>
          <w:w w:val="105"/>
          <w:sz w:val="22"/>
        </w:rPr>
        <w:t> </w:t>
      </w:r>
      <w:r>
        <w:rPr>
          <w:spacing w:val="-2"/>
          <w:w w:val="105"/>
          <w:sz w:val="22"/>
        </w:rPr>
        <w:t>at </w:t>
      </w:r>
      <w:hyperlink r:id="rId38">
        <w:r>
          <w:rPr>
            <w:color w:val="1154CC"/>
            <w:spacing w:val="-2"/>
            <w:sz w:val="22"/>
            <w:u w:val="thick" w:color="1154CC"/>
          </w:rPr>
          <w:t>https://www.ft.com/content/22fe798e-802c-11dd-99a9-000077b07658</w:t>
        </w:r>
      </w:hyperlink>
    </w:p>
    <w:p>
      <w:pPr>
        <w:pStyle w:val="BodyText"/>
        <w:spacing w:before="4"/>
      </w:pPr>
    </w:p>
    <w:p>
      <w:pPr>
        <w:spacing w:line="288" w:lineRule="auto" w:before="0"/>
        <w:ind w:left="400" w:right="767" w:firstLine="0"/>
        <w:jc w:val="left"/>
        <w:rPr>
          <w:sz w:val="22"/>
        </w:rPr>
      </w:pPr>
      <w:r>
        <w:rPr>
          <w:spacing w:val="-2"/>
          <w:sz w:val="22"/>
        </w:rPr>
        <w:t>Bahaj,</w:t>
      </w:r>
      <w:r>
        <w:rPr>
          <w:spacing w:val="-5"/>
          <w:sz w:val="22"/>
        </w:rPr>
        <w:t> </w:t>
      </w:r>
      <w:r>
        <w:rPr>
          <w:spacing w:val="-2"/>
          <w:sz w:val="22"/>
        </w:rPr>
        <w:t>Saleem,</w:t>
      </w:r>
      <w:r>
        <w:rPr>
          <w:spacing w:val="-5"/>
          <w:sz w:val="22"/>
        </w:rPr>
        <w:t> </w:t>
      </w:r>
      <w:r>
        <w:rPr>
          <w:spacing w:val="-2"/>
          <w:sz w:val="22"/>
        </w:rPr>
        <w:t>and</w:t>
      </w:r>
      <w:r>
        <w:rPr>
          <w:spacing w:val="-5"/>
          <w:sz w:val="22"/>
        </w:rPr>
        <w:t> </w:t>
      </w:r>
      <w:r>
        <w:rPr>
          <w:spacing w:val="-2"/>
          <w:sz w:val="22"/>
        </w:rPr>
        <w:t>Ricardo</w:t>
      </w:r>
      <w:r>
        <w:rPr>
          <w:spacing w:val="-5"/>
          <w:sz w:val="22"/>
        </w:rPr>
        <w:t> </w:t>
      </w:r>
      <w:r>
        <w:rPr>
          <w:spacing w:val="-2"/>
          <w:sz w:val="22"/>
        </w:rPr>
        <w:t>Reis.</w:t>
      </w:r>
      <w:r>
        <w:rPr>
          <w:spacing w:val="-5"/>
          <w:sz w:val="22"/>
        </w:rPr>
        <w:t> </w:t>
      </w:r>
      <w:r>
        <w:rPr>
          <w:spacing w:val="-2"/>
          <w:sz w:val="22"/>
        </w:rPr>
        <w:t>2022.</w:t>
      </w:r>
      <w:r>
        <w:rPr>
          <w:spacing w:val="-5"/>
          <w:sz w:val="22"/>
        </w:rPr>
        <w:t> </w:t>
      </w:r>
      <w:r>
        <w:rPr>
          <w:spacing w:val="-2"/>
          <w:sz w:val="22"/>
        </w:rPr>
        <w:t>Jumpstarting</w:t>
      </w:r>
      <w:r>
        <w:rPr>
          <w:spacing w:val="-5"/>
          <w:sz w:val="22"/>
        </w:rPr>
        <w:t> </w:t>
      </w:r>
      <w:r>
        <w:rPr>
          <w:spacing w:val="-2"/>
          <w:sz w:val="22"/>
        </w:rPr>
        <w:t>an</w:t>
      </w:r>
      <w:r>
        <w:rPr>
          <w:spacing w:val="-5"/>
          <w:sz w:val="22"/>
        </w:rPr>
        <w:t> </w:t>
      </w:r>
      <w:r>
        <w:rPr>
          <w:spacing w:val="-2"/>
          <w:sz w:val="22"/>
        </w:rPr>
        <w:t>International</w:t>
      </w:r>
      <w:r>
        <w:rPr>
          <w:spacing w:val="-5"/>
          <w:sz w:val="22"/>
        </w:rPr>
        <w:t> </w:t>
      </w:r>
      <w:r>
        <w:rPr>
          <w:spacing w:val="-2"/>
          <w:sz w:val="22"/>
        </w:rPr>
        <w:t>Currency.</w:t>
      </w:r>
      <w:r>
        <w:rPr>
          <w:spacing w:val="-5"/>
          <w:sz w:val="22"/>
        </w:rPr>
        <w:t> </w:t>
      </w:r>
      <w:r>
        <w:rPr>
          <w:spacing w:val="-2"/>
          <w:sz w:val="22"/>
        </w:rPr>
        <w:t>CEPR </w:t>
      </w:r>
      <w:r>
        <w:rPr>
          <w:sz w:val="22"/>
        </w:rPr>
        <w:t>Discussion</w:t>
      </w:r>
      <w:r>
        <w:rPr>
          <w:spacing w:val="-13"/>
          <w:sz w:val="22"/>
        </w:rPr>
        <w:t> </w:t>
      </w:r>
      <w:r>
        <w:rPr>
          <w:sz w:val="22"/>
        </w:rPr>
        <w:t>Paper</w:t>
      </w:r>
      <w:r>
        <w:rPr>
          <w:spacing w:val="-13"/>
          <w:sz w:val="22"/>
        </w:rPr>
        <w:t> </w:t>
      </w:r>
      <w:r>
        <w:rPr>
          <w:sz w:val="22"/>
        </w:rPr>
        <w:t>DP14793.</w:t>
      </w:r>
      <w:r>
        <w:rPr>
          <w:spacing w:val="-13"/>
          <w:sz w:val="22"/>
        </w:rPr>
        <w:t> </w:t>
      </w:r>
      <w:r>
        <w:rPr>
          <w:sz w:val="22"/>
        </w:rPr>
        <w:t>London:</w:t>
      </w:r>
      <w:r>
        <w:rPr>
          <w:spacing w:val="-13"/>
          <w:sz w:val="22"/>
        </w:rPr>
        <w:t> </w:t>
      </w:r>
      <w:r>
        <w:rPr>
          <w:sz w:val="22"/>
        </w:rPr>
        <w:t>Centre</w:t>
      </w:r>
      <w:r>
        <w:rPr>
          <w:spacing w:val="-13"/>
          <w:sz w:val="22"/>
        </w:rPr>
        <w:t> </w:t>
      </w:r>
      <w:r>
        <w:rPr>
          <w:sz w:val="22"/>
        </w:rPr>
        <w:t>for</w:t>
      </w:r>
      <w:r>
        <w:rPr>
          <w:spacing w:val="-13"/>
          <w:sz w:val="22"/>
        </w:rPr>
        <w:t> </w:t>
      </w:r>
      <w:r>
        <w:rPr>
          <w:sz w:val="22"/>
        </w:rPr>
        <w:t>Economic</w:t>
      </w:r>
      <w:r>
        <w:rPr>
          <w:spacing w:val="-13"/>
          <w:sz w:val="22"/>
        </w:rPr>
        <w:t> </w:t>
      </w:r>
      <w:r>
        <w:rPr>
          <w:sz w:val="22"/>
        </w:rPr>
        <w:t>Policy</w:t>
      </w:r>
      <w:r>
        <w:rPr>
          <w:spacing w:val="-13"/>
          <w:sz w:val="22"/>
        </w:rPr>
        <w:t> </w:t>
      </w:r>
      <w:r>
        <w:rPr>
          <w:sz w:val="22"/>
        </w:rPr>
        <w:t>Research</w:t>
      </w:r>
      <w:r>
        <w:rPr>
          <w:spacing w:val="-13"/>
          <w:sz w:val="22"/>
        </w:rPr>
        <w:t> </w:t>
      </w:r>
      <w:r>
        <w:rPr>
          <w:sz w:val="22"/>
        </w:rPr>
        <w:t>(CEPR).</w:t>
      </w:r>
    </w:p>
    <w:p>
      <w:pPr>
        <w:pStyle w:val="BodyText"/>
        <w:spacing w:before="5"/>
      </w:pPr>
    </w:p>
    <w:p>
      <w:pPr>
        <w:spacing w:line="288" w:lineRule="auto" w:before="0"/>
        <w:ind w:left="400" w:right="767" w:firstLine="0"/>
        <w:jc w:val="left"/>
        <w:rPr>
          <w:sz w:val="22"/>
        </w:rPr>
      </w:pPr>
      <w:r>
        <w:rPr>
          <w:spacing w:val="-2"/>
          <w:sz w:val="22"/>
        </w:rPr>
        <w:t>Batson,</w:t>
      </w:r>
      <w:r>
        <w:rPr>
          <w:spacing w:val="-8"/>
          <w:sz w:val="22"/>
        </w:rPr>
        <w:t> </w:t>
      </w:r>
      <w:r>
        <w:rPr>
          <w:spacing w:val="-2"/>
          <w:sz w:val="22"/>
        </w:rPr>
        <w:t>Andrew.</w:t>
      </w:r>
      <w:r>
        <w:rPr>
          <w:spacing w:val="-8"/>
          <w:sz w:val="22"/>
        </w:rPr>
        <w:t> </w:t>
      </w:r>
      <w:r>
        <w:rPr>
          <w:spacing w:val="-2"/>
          <w:sz w:val="22"/>
        </w:rPr>
        <w:t>2008.</w:t>
      </w:r>
      <w:r>
        <w:rPr>
          <w:spacing w:val="-8"/>
          <w:sz w:val="22"/>
        </w:rPr>
        <w:t> </w:t>
      </w:r>
      <w:r>
        <w:rPr>
          <w:spacing w:val="-2"/>
          <w:sz w:val="22"/>
        </w:rPr>
        <w:t>China</w:t>
      </w:r>
      <w:r>
        <w:rPr>
          <w:spacing w:val="-8"/>
          <w:sz w:val="22"/>
        </w:rPr>
        <w:t> </w:t>
      </w:r>
      <w:r>
        <w:rPr>
          <w:spacing w:val="-2"/>
          <w:sz w:val="22"/>
        </w:rPr>
        <w:t>Used</w:t>
      </w:r>
      <w:r>
        <w:rPr>
          <w:spacing w:val="-8"/>
          <w:sz w:val="22"/>
        </w:rPr>
        <w:t> </w:t>
      </w:r>
      <w:r>
        <w:rPr>
          <w:spacing w:val="-2"/>
          <w:sz w:val="22"/>
        </w:rPr>
        <w:t>Reserves</w:t>
      </w:r>
      <w:r>
        <w:rPr>
          <w:spacing w:val="-8"/>
          <w:sz w:val="22"/>
        </w:rPr>
        <w:t> </w:t>
      </w:r>
      <w:r>
        <w:rPr>
          <w:spacing w:val="-2"/>
          <w:sz w:val="22"/>
        </w:rPr>
        <w:t>To</w:t>
      </w:r>
      <w:r>
        <w:rPr>
          <w:spacing w:val="-8"/>
          <w:sz w:val="22"/>
        </w:rPr>
        <w:t> </w:t>
      </w:r>
      <w:r>
        <w:rPr>
          <w:spacing w:val="-2"/>
          <w:sz w:val="22"/>
        </w:rPr>
        <w:t>Sway</w:t>
      </w:r>
      <w:r>
        <w:rPr>
          <w:spacing w:val="-8"/>
          <w:sz w:val="22"/>
        </w:rPr>
        <w:t> </w:t>
      </w:r>
      <w:r>
        <w:rPr>
          <w:spacing w:val="-2"/>
          <w:sz w:val="22"/>
        </w:rPr>
        <w:t>Costa</w:t>
      </w:r>
      <w:r>
        <w:rPr>
          <w:spacing w:val="-8"/>
          <w:sz w:val="22"/>
        </w:rPr>
        <w:t> </w:t>
      </w:r>
      <w:r>
        <w:rPr>
          <w:spacing w:val="-2"/>
          <w:sz w:val="22"/>
        </w:rPr>
        <w:t>Rica.</w:t>
      </w:r>
      <w:r>
        <w:rPr>
          <w:spacing w:val="-8"/>
          <w:sz w:val="22"/>
        </w:rPr>
        <w:t> </w:t>
      </w:r>
      <w:r>
        <w:rPr>
          <w:spacing w:val="-2"/>
          <w:sz w:val="22"/>
        </w:rPr>
        <w:t>13</w:t>
      </w:r>
      <w:r>
        <w:rPr>
          <w:spacing w:val="-8"/>
          <w:sz w:val="22"/>
        </w:rPr>
        <w:t> </w:t>
      </w:r>
      <w:r>
        <w:rPr>
          <w:spacing w:val="-2"/>
          <w:sz w:val="22"/>
        </w:rPr>
        <w:t>September</w:t>
      </w:r>
      <w:r>
        <w:rPr>
          <w:spacing w:val="-8"/>
          <w:sz w:val="22"/>
        </w:rPr>
        <w:t> </w:t>
      </w:r>
      <w:r>
        <w:rPr>
          <w:spacing w:val="-2"/>
          <w:sz w:val="22"/>
        </w:rPr>
        <w:t>2008.</w:t>
      </w:r>
      <w:r>
        <w:rPr>
          <w:spacing w:val="-8"/>
          <w:sz w:val="22"/>
        </w:rPr>
        <w:t> </w:t>
      </w:r>
      <w:r>
        <w:rPr>
          <w:i/>
          <w:spacing w:val="-2"/>
          <w:sz w:val="22"/>
        </w:rPr>
        <w:t>Wall</w:t>
      </w:r>
      <w:r>
        <w:rPr>
          <w:i/>
          <w:spacing w:val="-2"/>
          <w:sz w:val="22"/>
        </w:rPr>
        <w:t> </w:t>
      </w:r>
      <w:r>
        <w:rPr>
          <w:i/>
          <w:sz w:val="22"/>
        </w:rPr>
        <w:t>Street Journal. </w:t>
      </w:r>
      <w:r>
        <w:rPr>
          <w:sz w:val="22"/>
        </w:rPr>
        <w:t>Accessed on 2 August 2023 at </w:t>
      </w:r>
      <w:hyperlink r:id="rId39">
        <w:r>
          <w:rPr>
            <w:color w:val="1154CC"/>
            <w:spacing w:val="-2"/>
            <w:sz w:val="22"/>
            <w:u w:val="thick" w:color="1154CC"/>
          </w:rPr>
          <w:t>https://www.wsj.com/articles/SB122121919505927749</w:t>
        </w:r>
      </w:hyperlink>
    </w:p>
    <w:p>
      <w:pPr>
        <w:pStyle w:val="BodyText"/>
        <w:spacing w:before="5"/>
      </w:pPr>
    </w:p>
    <w:p>
      <w:pPr>
        <w:spacing w:before="1"/>
        <w:ind w:left="400" w:right="0" w:firstLine="0"/>
        <w:jc w:val="left"/>
        <w:rPr>
          <w:sz w:val="22"/>
        </w:rPr>
      </w:pPr>
      <w:r>
        <w:rPr>
          <w:sz w:val="22"/>
        </w:rPr>
        <w:t>Bertaut,</w:t>
      </w:r>
      <w:r>
        <w:rPr>
          <w:spacing w:val="-15"/>
          <w:sz w:val="22"/>
        </w:rPr>
        <w:t> </w:t>
      </w:r>
      <w:r>
        <w:rPr>
          <w:sz w:val="22"/>
        </w:rPr>
        <w:t>Carol,</w:t>
      </w:r>
      <w:r>
        <w:rPr>
          <w:spacing w:val="-14"/>
          <w:sz w:val="22"/>
        </w:rPr>
        <w:t> </w:t>
      </w:r>
      <w:r>
        <w:rPr>
          <w:sz w:val="22"/>
        </w:rPr>
        <w:t>Bastian</w:t>
      </w:r>
      <w:r>
        <w:rPr>
          <w:spacing w:val="-14"/>
          <w:sz w:val="22"/>
        </w:rPr>
        <w:t> </w:t>
      </w:r>
      <w:r>
        <w:rPr>
          <w:sz w:val="22"/>
        </w:rPr>
        <w:t>von</w:t>
      </w:r>
      <w:r>
        <w:rPr>
          <w:spacing w:val="-15"/>
          <w:sz w:val="22"/>
        </w:rPr>
        <w:t> </w:t>
      </w:r>
      <w:r>
        <w:rPr>
          <w:sz w:val="22"/>
        </w:rPr>
        <w:t>Beschwitz,</w:t>
      </w:r>
      <w:r>
        <w:rPr>
          <w:spacing w:val="-14"/>
          <w:sz w:val="22"/>
        </w:rPr>
        <w:t> </w:t>
      </w:r>
      <w:r>
        <w:rPr>
          <w:sz w:val="22"/>
        </w:rPr>
        <w:t>Stephanie</w:t>
      </w:r>
      <w:r>
        <w:rPr>
          <w:spacing w:val="-14"/>
          <w:sz w:val="22"/>
        </w:rPr>
        <w:t> </w:t>
      </w:r>
      <w:r>
        <w:rPr>
          <w:sz w:val="22"/>
        </w:rPr>
        <w:t>Curcuru.</w:t>
      </w:r>
      <w:r>
        <w:rPr>
          <w:spacing w:val="-15"/>
          <w:sz w:val="22"/>
        </w:rPr>
        <w:t> </w:t>
      </w:r>
      <w:r>
        <w:rPr>
          <w:sz w:val="22"/>
        </w:rPr>
        <w:t>2023.</w:t>
      </w:r>
      <w:r>
        <w:rPr>
          <w:spacing w:val="-14"/>
          <w:sz w:val="22"/>
        </w:rPr>
        <w:t> </w:t>
      </w:r>
      <w:r>
        <w:rPr>
          <w:sz w:val="22"/>
        </w:rPr>
        <w:t>‘The</w:t>
      </w:r>
      <w:r>
        <w:rPr>
          <w:spacing w:val="-14"/>
          <w:sz w:val="22"/>
        </w:rPr>
        <w:t> </w:t>
      </w:r>
      <w:r>
        <w:rPr>
          <w:sz w:val="22"/>
        </w:rPr>
        <w:t>International</w:t>
      </w:r>
      <w:r>
        <w:rPr>
          <w:spacing w:val="-15"/>
          <w:sz w:val="22"/>
        </w:rPr>
        <w:t> </w:t>
      </w:r>
      <w:r>
        <w:rPr>
          <w:sz w:val="22"/>
        </w:rPr>
        <w:t>Role</w:t>
      </w:r>
      <w:r>
        <w:rPr>
          <w:spacing w:val="-14"/>
          <w:sz w:val="22"/>
        </w:rPr>
        <w:t> </w:t>
      </w:r>
      <w:r>
        <w:rPr>
          <w:sz w:val="22"/>
        </w:rPr>
        <w:t>of</w:t>
      </w:r>
      <w:r>
        <w:rPr>
          <w:spacing w:val="-14"/>
          <w:sz w:val="22"/>
        </w:rPr>
        <w:t> </w:t>
      </w:r>
      <w:r>
        <w:rPr>
          <w:spacing w:val="-5"/>
          <w:sz w:val="22"/>
        </w:rPr>
        <w:t>the</w:t>
      </w:r>
    </w:p>
    <w:p>
      <w:pPr>
        <w:spacing w:line="288" w:lineRule="auto" w:before="50"/>
        <w:ind w:left="400" w:right="0" w:firstLine="0"/>
        <w:jc w:val="left"/>
        <w:rPr>
          <w:sz w:val="22"/>
        </w:rPr>
      </w:pPr>
      <w:r>
        <w:rPr>
          <w:sz w:val="22"/>
        </w:rPr>
        <w:t>U.S.</w:t>
      </w:r>
      <w:r>
        <w:rPr>
          <w:spacing w:val="-5"/>
          <w:sz w:val="22"/>
        </w:rPr>
        <w:t> </w:t>
      </w:r>
      <w:r>
        <w:rPr>
          <w:sz w:val="22"/>
        </w:rPr>
        <w:t>Dollar’</w:t>
      </w:r>
      <w:r>
        <w:rPr>
          <w:spacing w:val="-5"/>
          <w:sz w:val="22"/>
        </w:rPr>
        <w:t> </w:t>
      </w:r>
      <w:r>
        <w:rPr>
          <w:sz w:val="22"/>
        </w:rPr>
        <w:t>Post-COVID</w:t>
      </w:r>
      <w:r>
        <w:rPr>
          <w:spacing w:val="-5"/>
          <w:sz w:val="22"/>
        </w:rPr>
        <w:t> </w:t>
      </w:r>
      <w:r>
        <w:rPr>
          <w:sz w:val="22"/>
        </w:rPr>
        <w:t>Edition.</w:t>
      </w:r>
      <w:r>
        <w:rPr>
          <w:spacing w:val="-5"/>
          <w:sz w:val="22"/>
        </w:rPr>
        <w:t> </w:t>
      </w:r>
      <w:r>
        <w:rPr>
          <w:sz w:val="22"/>
        </w:rPr>
        <w:t>FEDS</w:t>
      </w:r>
      <w:r>
        <w:rPr>
          <w:spacing w:val="-5"/>
          <w:sz w:val="22"/>
        </w:rPr>
        <w:t> </w:t>
      </w:r>
      <w:r>
        <w:rPr>
          <w:sz w:val="22"/>
        </w:rPr>
        <w:t>Notes.</w:t>
      </w:r>
      <w:r>
        <w:rPr>
          <w:spacing w:val="-5"/>
          <w:sz w:val="22"/>
        </w:rPr>
        <w:t> </w:t>
      </w:r>
      <w:r>
        <w:rPr>
          <w:sz w:val="22"/>
        </w:rPr>
        <w:t>Washington:</w:t>
      </w:r>
      <w:r>
        <w:rPr>
          <w:spacing w:val="-5"/>
          <w:sz w:val="22"/>
        </w:rPr>
        <w:t> </w:t>
      </w:r>
      <w:r>
        <w:rPr>
          <w:sz w:val="22"/>
        </w:rPr>
        <w:t>Board</w:t>
      </w:r>
      <w:r>
        <w:rPr>
          <w:spacing w:val="-5"/>
          <w:sz w:val="22"/>
        </w:rPr>
        <w:t> </w:t>
      </w:r>
      <w:r>
        <w:rPr>
          <w:sz w:val="22"/>
        </w:rPr>
        <w:t>of</w:t>
      </w:r>
      <w:r>
        <w:rPr>
          <w:spacing w:val="-5"/>
          <w:sz w:val="22"/>
        </w:rPr>
        <w:t> </w:t>
      </w:r>
      <w:r>
        <w:rPr>
          <w:sz w:val="22"/>
        </w:rPr>
        <w:t>Governors</w:t>
      </w:r>
      <w:r>
        <w:rPr>
          <w:spacing w:val="-5"/>
          <w:sz w:val="22"/>
        </w:rPr>
        <w:t> </w:t>
      </w:r>
      <w:r>
        <w:rPr>
          <w:sz w:val="22"/>
        </w:rPr>
        <w:t>of</w:t>
      </w:r>
      <w:r>
        <w:rPr>
          <w:spacing w:val="-5"/>
          <w:sz w:val="22"/>
        </w:rPr>
        <w:t> </w:t>
      </w:r>
      <w:r>
        <w:rPr>
          <w:sz w:val="22"/>
        </w:rPr>
        <w:t>the</w:t>
      </w:r>
      <w:r>
        <w:rPr>
          <w:spacing w:val="-5"/>
          <w:sz w:val="22"/>
        </w:rPr>
        <w:t> </w:t>
      </w:r>
      <w:r>
        <w:rPr>
          <w:sz w:val="22"/>
        </w:rPr>
        <w:t>Federal Reserve System.</w:t>
      </w:r>
    </w:p>
    <w:p>
      <w:pPr>
        <w:pStyle w:val="BodyText"/>
        <w:spacing w:before="4"/>
      </w:pPr>
    </w:p>
    <w:p>
      <w:pPr>
        <w:spacing w:line="288" w:lineRule="auto" w:before="0"/>
        <w:ind w:left="400" w:right="767" w:firstLine="0"/>
        <w:jc w:val="left"/>
        <w:rPr>
          <w:sz w:val="22"/>
        </w:rPr>
      </w:pPr>
      <w:r>
        <w:rPr>
          <w:sz w:val="22"/>
        </w:rPr>
        <w:t>Bon, Gatien and Gong Cheng. 2021. Understanding China's role in recent debt relief operations: A case study analysis. </w:t>
      </w:r>
      <w:r>
        <w:rPr>
          <w:i/>
          <w:sz w:val="22"/>
        </w:rPr>
        <w:t>International Economics </w:t>
      </w:r>
      <w:r>
        <w:rPr>
          <w:sz w:val="22"/>
        </w:rPr>
        <w:t>166 (C): 23-41.</w:t>
      </w:r>
    </w:p>
    <w:p>
      <w:pPr>
        <w:pStyle w:val="BodyText"/>
        <w:spacing w:before="5"/>
      </w:pPr>
    </w:p>
    <w:p>
      <w:pPr>
        <w:spacing w:line="288" w:lineRule="auto" w:before="0"/>
        <w:ind w:left="400" w:right="398" w:firstLine="0"/>
        <w:jc w:val="left"/>
        <w:rPr>
          <w:sz w:val="22"/>
        </w:rPr>
      </w:pPr>
      <w:r>
        <w:rPr>
          <w:sz w:val="22"/>
        </w:rPr>
        <w:t>Bräutigam, Deborah and Kevin Acker. 2020. Is China Hiding its Overseas Lending? Horn, Reinhart</w:t>
      </w:r>
      <w:r>
        <w:rPr>
          <w:spacing w:val="-12"/>
          <w:sz w:val="22"/>
        </w:rPr>
        <w:t> </w:t>
      </w:r>
      <w:r>
        <w:rPr>
          <w:sz w:val="22"/>
        </w:rPr>
        <w:t>and</w:t>
      </w:r>
      <w:r>
        <w:rPr>
          <w:spacing w:val="-12"/>
          <w:sz w:val="22"/>
        </w:rPr>
        <w:t> </w:t>
      </w:r>
      <w:r>
        <w:rPr>
          <w:sz w:val="22"/>
        </w:rPr>
        <w:t>Trebesch's</w:t>
      </w:r>
      <w:r>
        <w:rPr>
          <w:spacing w:val="-12"/>
          <w:sz w:val="22"/>
        </w:rPr>
        <w:t> </w:t>
      </w:r>
      <w:r>
        <w:rPr>
          <w:sz w:val="22"/>
        </w:rPr>
        <w:t>Hidden</w:t>
      </w:r>
      <w:r>
        <w:rPr>
          <w:spacing w:val="-12"/>
          <w:sz w:val="22"/>
        </w:rPr>
        <w:t> </w:t>
      </w:r>
      <w:r>
        <w:rPr>
          <w:sz w:val="22"/>
        </w:rPr>
        <w:t>Loans</w:t>
      </w:r>
      <w:r>
        <w:rPr>
          <w:spacing w:val="-12"/>
          <w:sz w:val="22"/>
        </w:rPr>
        <w:t> </w:t>
      </w:r>
      <w:r>
        <w:rPr>
          <w:sz w:val="22"/>
        </w:rPr>
        <w:t>and</w:t>
      </w:r>
      <w:r>
        <w:rPr>
          <w:spacing w:val="-12"/>
          <w:sz w:val="22"/>
        </w:rPr>
        <w:t> </w:t>
      </w:r>
      <w:r>
        <w:rPr>
          <w:sz w:val="22"/>
        </w:rPr>
        <w:t>Hidden</w:t>
      </w:r>
      <w:r>
        <w:rPr>
          <w:spacing w:val="-12"/>
          <w:sz w:val="22"/>
        </w:rPr>
        <w:t> </w:t>
      </w:r>
      <w:r>
        <w:rPr>
          <w:sz w:val="22"/>
        </w:rPr>
        <w:t>Data.</w:t>
      </w:r>
      <w:r>
        <w:rPr>
          <w:spacing w:val="-12"/>
          <w:sz w:val="22"/>
        </w:rPr>
        <w:t> </w:t>
      </w:r>
      <w:r>
        <w:rPr>
          <w:sz w:val="22"/>
        </w:rPr>
        <w:t>SAIS-CARI</w:t>
      </w:r>
      <w:r>
        <w:rPr>
          <w:spacing w:val="-12"/>
          <w:sz w:val="22"/>
        </w:rPr>
        <w:t> </w:t>
      </w:r>
      <w:r>
        <w:rPr>
          <w:sz w:val="22"/>
        </w:rPr>
        <w:t>Blog.</w:t>
      </w:r>
      <w:r>
        <w:rPr>
          <w:spacing w:val="-12"/>
          <w:sz w:val="22"/>
        </w:rPr>
        <w:t> </w:t>
      </w:r>
      <w:r>
        <w:rPr>
          <w:sz w:val="22"/>
        </w:rPr>
        <w:t>Accessed</w:t>
      </w:r>
      <w:r>
        <w:rPr>
          <w:spacing w:val="-12"/>
          <w:sz w:val="22"/>
        </w:rPr>
        <w:t> </w:t>
      </w:r>
      <w:r>
        <w:rPr>
          <w:sz w:val="22"/>
        </w:rPr>
        <w:t>on</w:t>
      </w:r>
      <w:r>
        <w:rPr>
          <w:spacing w:val="-12"/>
          <w:sz w:val="22"/>
        </w:rPr>
        <w:t> </w:t>
      </w:r>
      <w:r>
        <w:rPr>
          <w:sz w:val="22"/>
        </w:rPr>
        <w:t>19</w:t>
      </w:r>
      <w:r>
        <w:rPr>
          <w:spacing w:val="-12"/>
          <w:sz w:val="22"/>
        </w:rPr>
        <w:t> </w:t>
      </w:r>
      <w:r>
        <w:rPr>
          <w:sz w:val="22"/>
        </w:rPr>
        <w:t>July 2023 at </w:t>
      </w:r>
      <w:hyperlink r:id="rId40">
        <w:r>
          <w:rPr>
            <w:color w:val="1154CC"/>
            <w:sz w:val="22"/>
            <w:u w:val="thick" w:color="1154CC"/>
          </w:rPr>
          <w:t>www.chinaafricarealstory.com/2020/04/is-china-hiding-its-overseas-lending.html</w:t>
        </w:r>
      </w:hyperlink>
    </w:p>
    <w:p>
      <w:pPr>
        <w:pStyle w:val="BodyText"/>
        <w:spacing w:before="4"/>
      </w:pPr>
    </w:p>
    <w:p>
      <w:pPr>
        <w:spacing w:line="288" w:lineRule="auto" w:before="0"/>
        <w:ind w:left="400" w:right="398" w:firstLine="0"/>
        <w:jc w:val="left"/>
        <w:rPr>
          <w:sz w:val="22"/>
        </w:rPr>
      </w:pPr>
      <w:r>
        <w:rPr>
          <w:sz w:val="22"/>
        </w:rPr>
        <w:t>Brooks,</w:t>
      </w:r>
      <w:r>
        <w:rPr>
          <w:spacing w:val="-12"/>
          <w:sz w:val="22"/>
        </w:rPr>
        <w:t> </w:t>
      </w:r>
      <w:r>
        <w:rPr>
          <w:sz w:val="22"/>
        </w:rPr>
        <w:t>Sarah</w:t>
      </w:r>
      <w:r>
        <w:rPr>
          <w:spacing w:val="-12"/>
          <w:sz w:val="22"/>
        </w:rPr>
        <w:t> </w:t>
      </w:r>
      <w:r>
        <w:rPr>
          <w:sz w:val="22"/>
        </w:rPr>
        <w:t>M.,</w:t>
      </w:r>
      <w:r>
        <w:rPr>
          <w:spacing w:val="-12"/>
          <w:sz w:val="22"/>
        </w:rPr>
        <w:t> </w:t>
      </w:r>
      <w:r>
        <w:rPr>
          <w:sz w:val="22"/>
        </w:rPr>
        <w:t>Raphael</w:t>
      </w:r>
      <w:r>
        <w:rPr>
          <w:spacing w:val="-12"/>
          <w:sz w:val="22"/>
        </w:rPr>
        <w:t> </w:t>
      </w:r>
      <w:r>
        <w:rPr>
          <w:sz w:val="22"/>
        </w:rPr>
        <w:t>Cunha,</w:t>
      </w:r>
      <w:r>
        <w:rPr>
          <w:spacing w:val="-12"/>
          <w:sz w:val="22"/>
        </w:rPr>
        <w:t> </w:t>
      </w:r>
      <w:r>
        <w:rPr>
          <w:sz w:val="22"/>
        </w:rPr>
        <w:t>and</w:t>
      </w:r>
      <w:r>
        <w:rPr>
          <w:spacing w:val="-12"/>
          <w:sz w:val="22"/>
        </w:rPr>
        <w:t> </w:t>
      </w:r>
      <w:r>
        <w:rPr>
          <w:sz w:val="22"/>
        </w:rPr>
        <w:t>Layna</w:t>
      </w:r>
      <w:r>
        <w:rPr>
          <w:spacing w:val="-12"/>
          <w:sz w:val="22"/>
        </w:rPr>
        <w:t> </w:t>
      </w:r>
      <w:r>
        <w:rPr>
          <w:sz w:val="22"/>
        </w:rPr>
        <w:t>Mosley.</w:t>
      </w:r>
      <w:r>
        <w:rPr>
          <w:spacing w:val="-12"/>
          <w:sz w:val="22"/>
        </w:rPr>
        <w:t> </w:t>
      </w:r>
      <w:r>
        <w:rPr>
          <w:sz w:val="22"/>
        </w:rPr>
        <w:t>2015.</w:t>
      </w:r>
      <w:r>
        <w:rPr>
          <w:spacing w:val="-12"/>
          <w:sz w:val="22"/>
        </w:rPr>
        <w:t> </w:t>
      </w:r>
      <w:r>
        <w:rPr>
          <w:sz w:val="22"/>
        </w:rPr>
        <w:t>Categories,</w:t>
      </w:r>
      <w:r>
        <w:rPr>
          <w:spacing w:val="-12"/>
          <w:sz w:val="22"/>
        </w:rPr>
        <w:t> </w:t>
      </w:r>
      <w:r>
        <w:rPr>
          <w:sz w:val="22"/>
        </w:rPr>
        <w:t>Creditworthiness,</w:t>
      </w:r>
      <w:r>
        <w:rPr>
          <w:spacing w:val="-12"/>
          <w:sz w:val="22"/>
        </w:rPr>
        <w:t> </w:t>
      </w:r>
      <w:r>
        <w:rPr>
          <w:sz w:val="22"/>
        </w:rPr>
        <w:t>and Contagion: How Investors' Shortcuts Affect Sovereign Debt Markets. </w:t>
      </w:r>
      <w:r>
        <w:rPr>
          <w:i/>
          <w:sz w:val="22"/>
        </w:rPr>
        <w:t>International Studies</w:t>
      </w:r>
      <w:r>
        <w:rPr>
          <w:i/>
          <w:sz w:val="22"/>
        </w:rPr>
        <w:t> Quarterly </w:t>
      </w:r>
      <w:r>
        <w:rPr>
          <w:sz w:val="22"/>
        </w:rPr>
        <w:t>59 (3): 587–601.</w:t>
      </w:r>
    </w:p>
    <w:p>
      <w:pPr>
        <w:pStyle w:val="BodyText"/>
        <w:spacing w:before="7"/>
      </w:pPr>
    </w:p>
    <w:p>
      <w:pPr>
        <w:spacing w:line="288" w:lineRule="auto" w:before="0"/>
        <w:ind w:left="400" w:right="767" w:firstLine="0"/>
        <w:jc w:val="left"/>
        <w:rPr>
          <w:sz w:val="22"/>
        </w:rPr>
      </w:pPr>
      <w:r>
        <w:rPr>
          <w:sz w:val="22"/>
        </w:rPr>
        <w:t>Buchheit,</w:t>
      </w:r>
      <w:r>
        <w:rPr>
          <w:spacing w:val="-9"/>
          <w:sz w:val="22"/>
        </w:rPr>
        <w:t> </w:t>
      </w:r>
      <w:r>
        <w:rPr>
          <w:sz w:val="22"/>
        </w:rPr>
        <w:t>Lee</w:t>
      </w:r>
      <w:r>
        <w:rPr>
          <w:spacing w:val="-9"/>
          <w:sz w:val="22"/>
        </w:rPr>
        <w:t> </w:t>
      </w:r>
      <w:r>
        <w:rPr>
          <w:sz w:val="22"/>
        </w:rPr>
        <w:t>C.</w:t>
      </w:r>
      <w:r>
        <w:rPr>
          <w:spacing w:val="-9"/>
          <w:sz w:val="22"/>
        </w:rPr>
        <w:t> </w:t>
      </w:r>
      <w:r>
        <w:rPr>
          <w:sz w:val="22"/>
        </w:rPr>
        <w:t>1985.</w:t>
      </w:r>
      <w:r>
        <w:rPr>
          <w:spacing w:val="-9"/>
          <w:sz w:val="22"/>
        </w:rPr>
        <w:t> </w:t>
      </w:r>
      <w:r>
        <w:rPr>
          <w:sz w:val="22"/>
        </w:rPr>
        <w:t>Is</w:t>
      </w:r>
      <w:r>
        <w:rPr>
          <w:spacing w:val="-9"/>
          <w:sz w:val="22"/>
        </w:rPr>
        <w:t> </w:t>
      </w:r>
      <w:r>
        <w:rPr>
          <w:sz w:val="22"/>
        </w:rPr>
        <w:t>Syndicated</w:t>
      </w:r>
      <w:r>
        <w:rPr>
          <w:spacing w:val="-9"/>
          <w:sz w:val="22"/>
        </w:rPr>
        <w:t> </w:t>
      </w:r>
      <w:r>
        <w:rPr>
          <w:sz w:val="22"/>
        </w:rPr>
        <w:t>Lending</w:t>
      </w:r>
      <w:r>
        <w:rPr>
          <w:spacing w:val="-9"/>
          <w:sz w:val="22"/>
        </w:rPr>
        <w:t> </w:t>
      </w:r>
      <w:r>
        <w:rPr>
          <w:sz w:val="22"/>
        </w:rPr>
        <w:t>a</w:t>
      </w:r>
      <w:r>
        <w:rPr>
          <w:spacing w:val="-9"/>
          <w:sz w:val="22"/>
        </w:rPr>
        <w:t> </w:t>
      </w:r>
      <w:r>
        <w:rPr>
          <w:sz w:val="22"/>
        </w:rPr>
        <w:t>Joint</w:t>
      </w:r>
      <w:r>
        <w:rPr>
          <w:spacing w:val="-9"/>
          <w:sz w:val="22"/>
        </w:rPr>
        <w:t> </w:t>
      </w:r>
      <w:r>
        <w:rPr>
          <w:sz w:val="22"/>
        </w:rPr>
        <w:t>Venture?</w:t>
      </w:r>
      <w:r>
        <w:rPr>
          <w:spacing w:val="-9"/>
          <w:sz w:val="22"/>
        </w:rPr>
        <w:t> </w:t>
      </w:r>
      <w:r>
        <w:rPr>
          <w:i/>
          <w:sz w:val="22"/>
        </w:rPr>
        <w:t>International</w:t>
      </w:r>
      <w:r>
        <w:rPr>
          <w:i/>
          <w:spacing w:val="-9"/>
          <w:sz w:val="22"/>
        </w:rPr>
        <w:t> </w:t>
      </w:r>
      <w:r>
        <w:rPr>
          <w:i/>
          <w:sz w:val="22"/>
        </w:rPr>
        <w:t>Financial</w:t>
      </w:r>
      <w:r>
        <w:rPr>
          <w:i/>
          <w:spacing w:val="-9"/>
          <w:sz w:val="22"/>
        </w:rPr>
        <w:t> </w:t>
      </w:r>
      <w:r>
        <w:rPr>
          <w:i/>
          <w:sz w:val="22"/>
        </w:rPr>
        <w:t>Law</w:t>
      </w:r>
      <w:r>
        <w:rPr>
          <w:i/>
          <w:sz w:val="22"/>
        </w:rPr>
        <w:t> Review </w:t>
      </w:r>
      <w:r>
        <w:rPr>
          <w:sz w:val="22"/>
        </w:rPr>
        <w:t>4: 12-14.</w:t>
      </w:r>
    </w:p>
    <w:p>
      <w:pPr>
        <w:spacing w:after="0" w:line="288" w:lineRule="auto"/>
        <w:jc w:val="left"/>
        <w:rPr>
          <w:sz w:val="22"/>
        </w:rPr>
        <w:sectPr>
          <w:footerReference w:type="default" r:id="rId36"/>
          <w:pgSz w:w="12240" w:h="15840"/>
          <w:pgMar w:footer="0" w:header="0" w:top="1820" w:bottom="280" w:left="1040" w:right="1040"/>
        </w:sectPr>
      </w:pPr>
    </w:p>
    <w:p>
      <w:pPr>
        <w:spacing w:before="45"/>
        <w:ind w:left="400" w:right="0" w:firstLine="0"/>
        <w:jc w:val="left"/>
        <w:rPr>
          <w:i/>
          <w:sz w:val="22"/>
        </w:rPr>
      </w:pPr>
      <w:r>
        <w:rPr>
          <w:sz w:val="22"/>
        </w:rPr>
        <w:t>Buchheit,</w:t>
      </w:r>
      <w:r>
        <w:rPr>
          <w:spacing w:val="-9"/>
          <w:sz w:val="22"/>
        </w:rPr>
        <w:t> </w:t>
      </w:r>
      <w:r>
        <w:rPr>
          <w:sz w:val="22"/>
        </w:rPr>
        <w:t>Lee</w:t>
      </w:r>
      <w:r>
        <w:rPr>
          <w:spacing w:val="-9"/>
          <w:sz w:val="22"/>
        </w:rPr>
        <w:t> </w:t>
      </w:r>
      <w:r>
        <w:rPr>
          <w:sz w:val="22"/>
        </w:rPr>
        <w:t>C.</w:t>
      </w:r>
      <w:r>
        <w:rPr>
          <w:spacing w:val="-9"/>
          <w:sz w:val="22"/>
        </w:rPr>
        <w:t> </w:t>
      </w:r>
      <w:r>
        <w:rPr>
          <w:sz w:val="22"/>
        </w:rPr>
        <w:t>1991.</w:t>
      </w:r>
      <w:r>
        <w:rPr>
          <w:spacing w:val="-9"/>
          <w:sz w:val="22"/>
        </w:rPr>
        <w:t> </w:t>
      </w:r>
      <w:r>
        <w:rPr>
          <w:sz w:val="22"/>
        </w:rPr>
        <w:t>Making</w:t>
      </w:r>
      <w:r>
        <w:rPr>
          <w:spacing w:val="-8"/>
          <w:sz w:val="22"/>
        </w:rPr>
        <w:t> </w:t>
      </w:r>
      <w:r>
        <w:rPr>
          <w:sz w:val="22"/>
        </w:rPr>
        <w:t>Amends</w:t>
      </w:r>
      <w:r>
        <w:rPr>
          <w:spacing w:val="-9"/>
          <w:sz w:val="22"/>
        </w:rPr>
        <w:t> </w:t>
      </w:r>
      <w:r>
        <w:rPr>
          <w:sz w:val="22"/>
        </w:rPr>
        <w:t>for</w:t>
      </w:r>
      <w:r>
        <w:rPr>
          <w:spacing w:val="-9"/>
          <w:sz w:val="22"/>
        </w:rPr>
        <w:t> </w:t>
      </w:r>
      <w:r>
        <w:rPr>
          <w:sz w:val="22"/>
        </w:rPr>
        <w:t>Amendments.</w:t>
      </w:r>
      <w:r>
        <w:rPr>
          <w:spacing w:val="-9"/>
          <w:sz w:val="22"/>
        </w:rPr>
        <w:t> </w:t>
      </w:r>
      <w:r>
        <w:rPr>
          <w:i/>
          <w:sz w:val="22"/>
        </w:rPr>
        <w:t>International</w:t>
      </w:r>
      <w:r>
        <w:rPr>
          <w:i/>
          <w:spacing w:val="-8"/>
          <w:sz w:val="22"/>
        </w:rPr>
        <w:t> </w:t>
      </w:r>
      <w:r>
        <w:rPr>
          <w:i/>
          <w:sz w:val="22"/>
        </w:rPr>
        <w:t>Financial</w:t>
      </w:r>
      <w:r>
        <w:rPr>
          <w:i/>
          <w:spacing w:val="-9"/>
          <w:sz w:val="22"/>
        </w:rPr>
        <w:t> </w:t>
      </w:r>
      <w:r>
        <w:rPr>
          <w:i/>
          <w:sz w:val="22"/>
        </w:rPr>
        <w:t>Law</w:t>
      </w:r>
      <w:r>
        <w:rPr>
          <w:i/>
          <w:spacing w:val="-9"/>
          <w:sz w:val="22"/>
        </w:rPr>
        <w:t> </w:t>
      </w:r>
      <w:r>
        <w:rPr>
          <w:i/>
          <w:spacing w:val="-2"/>
          <w:sz w:val="22"/>
        </w:rPr>
        <w:t>Review</w:t>
      </w:r>
    </w:p>
    <w:p>
      <w:pPr>
        <w:spacing w:before="50"/>
        <w:ind w:left="400" w:right="0" w:firstLine="0"/>
        <w:jc w:val="left"/>
        <w:rPr>
          <w:sz w:val="22"/>
        </w:rPr>
      </w:pPr>
      <w:r>
        <w:rPr>
          <w:sz w:val="22"/>
        </w:rPr>
        <w:t>10:</w:t>
      </w:r>
      <w:r>
        <w:rPr>
          <w:spacing w:val="-6"/>
          <w:sz w:val="22"/>
        </w:rPr>
        <w:t> </w:t>
      </w:r>
      <w:r>
        <w:rPr>
          <w:spacing w:val="-5"/>
          <w:sz w:val="22"/>
        </w:rPr>
        <w:t>11.</w:t>
      </w:r>
    </w:p>
    <w:p>
      <w:pPr>
        <w:pStyle w:val="BodyText"/>
        <w:spacing w:before="9"/>
        <w:rPr>
          <w:sz w:val="28"/>
        </w:rPr>
      </w:pPr>
    </w:p>
    <w:p>
      <w:pPr>
        <w:spacing w:line="288" w:lineRule="auto" w:before="0"/>
        <w:ind w:left="400" w:right="767" w:firstLine="0"/>
        <w:jc w:val="left"/>
        <w:rPr>
          <w:sz w:val="22"/>
        </w:rPr>
      </w:pPr>
      <w:r>
        <w:rPr>
          <w:sz w:val="22"/>
        </w:rPr>
        <w:t>Buchheit, Lee C. and Mitu Gulati. 2023. Enforcing comparable treatment in sovereign debt workouts. </w:t>
      </w:r>
      <w:r>
        <w:rPr>
          <w:i/>
          <w:sz w:val="22"/>
        </w:rPr>
        <w:t>Capital Markets Law Journal </w:t>
      </w:r>
      <w:r>
        <w:rPr>
          <w:sz w:val="22"/>
        </w:rPr>
        <w:t>18 (1): 71-77.</w:t>
      </w:r>
    </w:p>
    <w:p>
      <w:pPr>
        <w:pStyle w:val="BodyText"/>
        <w:spacing w:before="5"/>
      </w:pPr>
    </w:p>
    <w:p>
      <w:pPr>
        <w:spacing w:line="288" w:lineRule="auto" w:before="0"/>
        <w:ind w:left="400" w:right="0" w:firstLine="0"/>
        <w:jc w:val="left"/>
        <w:rPr>
          <w:sz w:val="22"/>
        </w:rPr>
      </w:pPr>
      <w:r>
        <w:rPr>
          <w:sz w:val="22"/>
        </w:rPr>
        <w:t>Central</w:t>
      </w:r>
      <w:r>
        <w:rPr>
          <w:spacing w:val="-1"/>
          <w:sz w:val="22"/>
        </w:rPr>
        <w:t> </w:t>
      </w:r>
      <w:r>
        <w:rPr>
          <w:sz w:val="22"/>
        </w:rPr>
        <w:t>Bank</w:t>
      </w:r>
      <w:r>
        <w:rPr>
          <w:spacing w:val="-1"/>
          <w:sz w:val="22"/>
        </w:rPr>
        <w:t> </w:t>
      </w:r>
      <w:r>
        <w:rPr>
          <w:sz w:val="22"/>
        </w:rPr>
        <w:t>of</w:t>
      </w:r>
      <w:r>
        <w:rPr>
          <w:spacing w:val="-1"/>
          <w:sz w:val="22"/>
        </w:rPr>
        <w:t> </w:t>
      </w:r>
      <w:r>
        <w:rPr>
          <w:sz w:val="22"/>
        </w:rPr>
        <w:t>Sudan</w:t>
      </w:r>
      <w:r>
        <w:rPr>
          <w:spacing w:val="-1"/>
          <w:sz w:val="22"/>
        </w:rPr>
        <w:t> </w:t>
      </w:r>
      <w:r>
        <w:rPr>
          <w:sz w:val="22"/>
        </w:rPr>
        <w:t>(CBOS).</w:t>
      </w:r>
      <w:r>
        <w:rPr>
          <w:spacing w:val="-1"/>
          <w:sz w:val="22"/>
        </w:rPr>
        <w:t> </w:t>
      </w:r>
      <w:r>
        <w:rPr>
          <w:sz w:val="22"/>
        </w:rPr>
        <w:t>2023.</w:t>
      </w:r>
      <w:r>
        <w:rPr>
          <w:spacing w:val="-1"/>
          <w:sz w:val="22"/>
        </w:rPr>
        <w:t> </w:t>
      </w:r>
      <w:r>
        <w:rPr>
          <w:sz w:val="22"/>
        </w:rPr>
        <w:t>Sudan</w:t>
      </w:r>
      <w:r>
        <w:rPr>
          <w:spacing w:val="-1"/>
          <w:sz w:val="22"/>
        </w:rPr>
        <w:t> </w:t>
      </w:r>
      <w:r>
        <w:rPr>
          <w:sz w:val="22"/>
        </w:rPr>
        <w:t>External</w:t>
      </w:r>
      <w:r>
        <w:rPr>
          <w:spacing w:val="-1"/>
          <w:sz w:val="22"/>
        </w:rPr>
        <w:t> </w:t>
      </w:r>
      <w:r>
        <w:rPr>
          <w:sz w:val="22"/>
        </w:rPr>
        <w:t>Debt</w:t>
      </w:r>
      <w:r>
        <w:rPr>
          <w:spacing w:val="-1"/>
          <w:sz w:val="22"/>
        </w:rPr>
        <w:t> </w:t>
      </w:r>
      <w:r>
        <w:rPr>
          <w:sz w:val="22"/>
        </w:rPr>
        <w:t>Position</w:t>
      </w:r>
      <w:r>
        <w:rPr>
          <w:spacing w:val="-1"/>
          <w:sz w:val="22"/>
        </w:rPr>
        <w:t> </w:t>
      </w:r>
      <w:r>
        <w:rPr>
          <w:sz w:val="22"/>
        </w:rPr>
        <w:t>First</w:t>
      </w:r>
      <w:r>
        <w:rPr>
          <w:spacing w:val="-1"/>
          <w:sz w:val="22"/>
        </w:rPr>
        <w:t> </w:t>
      </w:r>
      <w:r>
        <w:rPr>
          <w:sz w:val="22"/>
        </w:rPr>
        <w:t>Quarter</w:t>
      </w:r>
      <w:r>
        <w:rPr>
          <w:spacing w:val="-1"/>
          <w:sz w:val="22"/>
        </w:rPr>
        <w:t> </w:t>
      </w:r>
      <w:r>
        <w:rPr>
          <w:sz w:val="22"/>
        </w:rPr>
        <w:t>as</w:t>
      </w:r>
      <w:r>
        <w:rPr>
          <w:spacing w:val="-1"/>
          <w:sz w:val="22"/>
        </w:rPr>
        <w:t> </w:t>
      </w:r>
      <w:r>
        <w:rPr>
          <w:sz w:val="22"/>
        </w:rPr>
        <w:t>at</w:t>
      </w:r>
      <w:r>
        <w:rPr>
          <w:spacing w:val="-1"/>
          <w:sz w:val="22"/>
        </w:rPr>
        <w:t> </w:t>
      </w:r>
      <w:r>
        <w:rPr>
          <w:sz w:val="22"/>
        </w:rPr>
        <w:t>31st</w:t>
      </w:r>
      <w:r>
        <w:rPr>
          <w:spacing w:val="-1"/>
          <w:sz w:val="22"/>
        </w:rPr>
        <w:t> </w:t>
      </w:r>
      <w:r>
        <w:rPr>
          <w:sz w:val="22"/>
        </w:rPr>
        <w:t>of March 2022. Khartoum: CBOS. Accessed on 19 July 2023 at </w:t>
      </w:r>
      <w:r>
        <w:rPr>
          <w:color w:val="1154CC"/>
          <w:spacing w:val="-2"/>
          <w:sz w:val="22"/>
          <w:u w:val="thick" w:color="1154CC"/>
        </w:rPr>
        <w:t>https://web.archive.org/web/20230208195131/https:/cbos.gov.sd/sites/default/ﬁles/Quarter%2</w:t>
      </w:r>
      <w:r>
        <w:rPr>
          <w:color w:val="1154CC"/>
          <w:spacing w:val="40"/>
          <w:w w:val="105"/>
          <w:sz w:val="22"/>
        </w:rPr>
        <w:t>  </w:t>
      </w:r>
      <w:r>
        <w:rPr>
          <w:color w:val="1154CC"/>
          <w:spacing w:val="-2"/>
          <w:w w:val="105"/>
          <w:sz w:val="22"/>
          <w:u w:val="thick" w:color="1154CC"/>
        </w:rPr>
        <w:t>01%20Report%20%202022%20.pdf</w:t>
      </w:r>
    </w:p>
    <w:p>
      <w:pPr>
        <w:pStyle w:val="BodyText"/>
        <w:spacing w:before="4"/>
      </w:pPr>
    </w:p>
    <w:p>
      <w:pPr>
        <w:spacing w:line="288" w:lineRule="auto" w:before="0"/>
        <w:ind w:left="400" w:right="767" w:firstLine="0"/>
        <w:jc w:val="left"/>
        <w:rPr>
          <w:sz w:val="22"/>
        </w:rPr>
      </w:pPr>
      <w:r>
        <w:rPr>
          <w:sz w:val="22"/>
        </w:rPr>
        <w:t>Cerutti,</w:t>
      </w:r>
      <w:r>
        <w:rPr>
          <w:spacing w:val="-16"/>
          <w:sz w:val="22"/>
        </w:rPr>
        <w:t> </w:t>
      </w:r>
      <w:r>
        <w:rPr>
          <w:sz w:val="22"/>
        </w:rPr>
        <w:t>Eugenio,</w:t>
      </w:r>
      <w:r>
        <w:rPr>
          <w:spacing w:val="-15"/>
          <w:sz w:val="22"/>
        </w:rPr>
        <w:t> </w:t>
      </w:r>
      <w:r>
        <w:rPr>
          <w:sz w:val="22"/>
        </w:rPr>
        <w:t>Catherine</w:t>
      </w:r>
      <w:r>
        <w:rPr>
          <w:spacing w:val="-15"/>
          <w:sz w:val="22"/>
        </w:rPr>
        <w:t> </w:t>
      </w:r>
      <w:r>
        <w:rPr>
          <w:sz w:val="22"/>
        </w:rPr>
        <w:t>Casanova,</w:t>
      </w:r>
      <w:r>
        <w:rPr>
          <w:spacing w:val="-16"/>
          <w:sz w:val="22"/>
        </w:rPr>
        <w:t> </w:t>
      </w:r>
      <w:r>
        <w:rPr>
          <w:sz w:val="22"/>
        </w:rPr>
        <w:t>and</w:t>
      </w:r>
      <w:r>
        <w:rPr>
          <w:spacing w:val="-15"/>
          <w:sz w:val="22"/>
        </w:rPr>
        <w:t> </w:t>
      </w:r>
      <w:r>
        <w:rPr>
          <w:sz w:val="22"/>
        </w:rPr>
        <w:t>Swapan-Kumar</w:t>
      </w:r>
      <w:r>
        <w:rPr>
          <w:spacing w:val="-15"/>
          <w:sz w:val="22"/>
        </w:rPr>
        <w:t> </w:t>
      </w:r>
      <w:r>
        <w:rPr>
          <w:sz w:val="22"/>
        </w:rPr>
        <w:t>Pradhan.</w:t>
      </w:r>
      <w:r>
        <w:rPr>
          <w:spacing w:val="-15"/>
          <w:sz w:val="22"/>
        </w:rPr>
        <w:t> </w:t>
      </w:r>
      <w:r>
        <w:rPr>
          <w:sz w:val="22"/>
        </w:rPr>
        <w:t>2023.</w:t>
      </w:r>
      <w:r>
        <w:rPr>
          <w:spacing w:val="-16"/>
          <w:sz w:val="22"/>
        </w:rPr>
        <w:t> </w:t>
      </w:r>
      <w:r>
        <w:rPr>
          <w:sz w:val="22"/>
        </w:rPr>
        <w:t>Banking</w:t>
      </w:r>
      <w:r>
        <w:rPr>
          <w:spacing w:val="-15"/>
          <w:sz w:val="22"/>
        </w:rPr>
        <w:t> </w:t>
      </w:r>
      <w:r>
        <w:rPr>
          <w:sz w:val="22"/>
        </w:rPr>
        <w:t>Across Borders: Are Chinese Banks Different? </w:t>
      </w:r>
      <w:r>
        <w:rPr>
          <w:i/>
          <w:sz w:val="22"/>
        </w:rPr>
        <w:t>Journal of Banking &amp; Finance </w:t>
      </w:r>
      <w:r>
        <w:rPr>
          <w:sz w:val="22"/>
        </w:rPr>
        <w:t>154: 106920.</w:t>
      </w:r>
    </w:p>
    <w:p>
      <w:pPr>
        <w:pStyle w:val="BodyText"/>
        <w:spacing w:before="5"/>
      </w:pPr>
    </w:p>
    <w:p>
      <w:pPr>
        <w:spacing w:line="288" w:lineRule="auto" w:before="0"/>
        <w:ind w:left="400" w:right="398" w:firstLine="0"/>
        <w:jc w:val="left"/>
        <w:rPr>
          <w:sz w:val="22"/>
        </w:rPr>
      </w:pPr>
      <w:r>
        <w:rPr>
          <w:sz w:val="22"/>
        </w:rPr>
        <w:t>Cerutti, Eugenio, Catherine Koch, and Swapan-Kumar Pradhan. 2018. The growing footprint of EME banks in the international banking system. </w:t>
      </w:r>
      <w:r>
        <w:rPr>
          <w:i/>
          <w:sz w:val="22"/>
        </w:rPr>
        <w:t>BIS Quarterly Review</w:t>
      </w:r>
      <w:r>
        <w:rPr>
          <w:sz w:val="22"/>
        </w:rPr>
        <w:t>. Accessed on 19 July </w:t>
      </w:r>
      <w:r>
        <w:rPr>
          <w:w w:val="105"/>
          <w:sz w:val="22"/>
        </w:rPr>
        <w:t>2023 at https://</w:t>
      </w:r>
      <w:hyperlink r:id="rId42">
        <w:r>
          <w:rPr>
            <w:w w:val="105"/>
            <w:sz w:val="22"/>
          </w:rPr>
          <w:t>www.bis.org/publ/qtrpdf/r_qt1812e.htm</w:t>
        </w:r>
      </w:hyperlink>
    </w:p>
    <w:p>
      <w:pPr>
        <w:pStyle w:val="BodyText"/>
        <w:spacing w:before="3"/>
        <w:rPr>
          <w:sz w:val="23"/>
        </w:rPr>
      </w:pPr>
    </w:p>
    <w:p>
      <w:pPr>
        <w:spacing w:line="283" w:lineRule="auto" w:before="0"/>
        <w:ind w:left="400" w:right="405" w:firstLine="0"/>
        <w:jc w:val="both"/>
        <w:rPr>
          <w:sz w:val="22"/>
        </w:rPr>
      </w:pPr>
      <w:r>
        <w:rPr>
          <w:sz w:val="22"/>
        </w:rPr>
        <w:t>Chen</w:t>
      </w:r>
      <w:r>
        <w:rPr>
          <w:spacing w:val="-4"/>
          <w:sz w:val="22"/>
        </w:rPr>
        <w:t>, </w:t>
      </w:r>
      <w:r>
        <w:rPr>
          <w:sz w:val="22"/>
        </w:rPr>
        <w:t>Xiaoyi. 2014. </w:t>
      </w:r>
      <w:r>
        <w:rPr>
          <w:rFonts w:ascii="MS PGothic" w:hAnsi="MS PGothic" w:eastAsia="MS PGothic" w:hint="eastAsia"/>
          <w:sz w:val="22"/>
        </w:rPr>
        <w:t>揭开外</w:t>
      </w:r>
      <w:r>
        <w:rPr>
          <w:rFonts w:ascii="宋体" w:hAnsi="宋体" w:eastAsia="宋体"/>
          <w:sz w:val="22"/>
        </w:rPr>
        <w:t>储</w:t>
      </w:r>
      <w:r>
        <w:rPr>
          <w:rFonts w:ascii="MS PGothic" w:hAnsi="MS PGothic" w:eastAsia="MS PGothic" w:hint="eastAsia"/>
          <w:sz w:val="22"/>
        </w:rPr>
        <w:t>委托</w:t>
      </w:r>
      <w:r>
        <w:rPr>
          <w:rFonts w:ascii="宋体" w:hAnsi="宋体" w:eastAsia="宋体"/>
          <w:sz w:val="22"/>
        </w:rPr>
        <w:t>贷</w:t>
      </w:r>
      <w:r>
        <w:rPr>
          <w:rFonts w:ascii="MS PGothic" w:hAnsi="MS PGothic" w:eastAsia="MS PGothic" w:hint="eastAsia"/>
          <w:sz w:val="22"/>
        </w:rPr>
        <w:t>款的神秘面</w:t>
      </w:r>
      <w:r>
        <w:rPr>
          <w:rFonts w:ascii="宋体" w:hAnsi="宋体" w:eastAsia="宋体"/>
          <w:spacing w:val="-14"/>
          <w:sz w:val="22"/>
        </w:rPr>
        <w:t>纱 </w:t>
      </w:r>
      <w:r>
        <w:rPr>
          <w:sz w:val="22"/>
        </w:rPr>
        <w:t>(Unveil the Mysteries of the Entrust Loans of the</w:t>
      </w:r>
      <w:r>
        <w:rPr>
          <w:spacing w:val="-4"/>
          <w:sz w:val="22"/>
        </w:rPr>
        <w:t> </w:t>
      </w:r>
      <w:r>
        <w:rPr>
          <w:sz w:val="22"/>
        </w:rPr>
        <w:t>Foreign</w:t>
      </w:r>
      <w:r>
        <w:rPr>
          <w:spacing w:val="-4"/>
          <w:sz w:val="22"/>
        </w:rPr>
        <w:t> </w:t>
      </w:r>
      <w:r>
        <w:rPr>
          <w:sz w:val="22"/>
        </w:rPr>
        <w:t>Exchange</w:t>
      </w:r>
      <w:r>
        <w:rPr>
          <w:spacing w:val="-4"/>
          <w:sz w:val="22"/>
        </w:rPr>
        <w:t> </w:t>
      </w:r>
      <w:r>
        <w:rPr>
          <w:sz w:val="22"/>
        </w:rPr>
        <w:t>Reserves</w:t>
      </w:r>
      <w:r>
        <w:rPr>
          <w:spacing w:val="-4"/>
          <w:sz w:val="22"/>
        </w:rPr>
        <w:t> </w:t>
      </w:r>
      <w:r>
        <w:rPr>
          <w:sz w:val="22"/>
        </w:rPr>
        <w:t>in</w:t>
      </w:r>
      <w:r>
        <w:rPr>
          <w:spacing w:val="-4"/>
          <w:sz w:val="22"/>
        </w:rPr>
        <w:t> </w:t>
      </w:r>
      <w:r>
        <w:rPr>
          <w:sz w:val="22"/>
        </w:rPr>
        <w:t>China</w:t>
      </w:r>
      <w:r>
        <w:rPr>
          <w:spacing w:val="-2"/>
          <w:sz w:val="22"/>
        </w:rPr>
        <w:t>). </w:t>
      </w:r>
      <w:r>
        <w:rPr>
          <w:sz w:val="22"/>
        </w:rPr>
        <w:t>21</w:t>
      </w:r>
      <w:r>
        <w:rPr>
          <w:spacing w:val="-4"/>
          <w:sz w:val="22"/>
        </w:rPr>
        <w:t> </w:t>
      </w:r>
      <w:r>
        <w:rPr>
          <w:sz w:val="22"/>
        </w:rPr>
        <w:t>August</w:t>
      </w:r>
      <w:r>
        <w:rPr>
          <w:spacing w:val="-4"/>
          <w:sz w:val="22"/>
        </w:rPr>
        <w:t> </w:t>
      </w:r>
      <w:r>
        <w:rPr>
          <w:sz w:val="22"/>
        </w:rPr>
        <w:t>2014</w:t>
      </w:r>
      <w:r>
        <w:rPr>
          <w:spacing w:val="-2"/>
          <w:sz w:val="22"/>
        </w:rPr>
        <w:t>. </w:t>
      </w:r>
      <w:r>
        <w:rPr>
          <w:sz w:val="22"/>
        </w:rPr>
        <w:t>Accessed</w:t>
      </w:r>
      <w:r>
        <w:rPr>
          <w:spacing w:val="-4"/>
          <w:sz w:val="22"/>
        </w:rPr>
        <w:t> </w:t>
      </w:r>
      <w:r>
        <w:rPr>
          <w:sz w:val="22"/>
        </w:rPr>
        <w:t>on</w:t>
      </w:r>
      <w:r>
        <w:rPr>
          <w:spacing w:val="-4"/>
          <w:sz w:val="22"/>
        </w:rPr>
        <w:t> </w:t>
      </w:r>
      <w:r>
        <w:rPr>
          <w:sz w:val="22"/>
        </w:rPr>
        <w:t>15</w:t>
      </w:r>
      <w:r>
        <w:rPr>
          <w:spacing w:val="-4"/>
          <w:sz w:val="22"/>
        </w:rPr>
        <w:t> </w:t>
      </w:r>
      <w:r>
        <w:rPr>
          <w:sz w:val="22"/>
        </w:rPr>
        <w:t>September</w:t>
      </w:r>
      <w:r>
        <w:rPr>
          <w:spacing w:val="-4"/>
          <w:sz w:val="22"/>
        </w:rPr>
        <w:t> </w:t>
      </w:r>
      <w:r>
        <w:rPr>
          <w:sz w:val="22"/>
        </w:rPr>
        <w:t>2023</w:t>
      </w:r>
      <w:r>
        <w:rPr>
          <w:spacing w:val="-4"/>
          <w:sz w:val="22"/>
        </w:rPr>
        <w:t> </w:t>
      </w:r>
      <w:r>
        <w:rPr>
          <w:sz w:val="22"/>
        </w:rPr>
        <w:t>at </w:t>
      </w:r>
      <w:hyperlink r:id="rId43">
        <w:r>
          <w:rPr>
            <w:color w:val="1154CC"/>
            <w:spacing w:val="-2"/>
            <w:sz w:val="22"/>
            <w:u w:val="thick" w:color="1154CC"/>
          </w:rPr>
          <w:t>https://www.dropbox.com/scl/ﬁ/r5idp65hfybugsmc5v7b3/.pdf?rlkey=xr8jqe079moeb50pybrjh9</w:t>
        </w:r>
      </w:hyperlink>
      <w:r>
        <w:rPr>
          <w:color w:val="1154CC"/>
          <w:spacing w:val="-2"/>
          <w:sz w:val="22"/>
        </w:rPr>
        <w:t> </w:t>
      </w:r>
      <w:hyperlink r:id="rId43">
        <w:r>
          <w:rPr>
            <w:color w:val="1154CC"/>
            <w:spacing w:val="-2"/>
            <w:w w:val="105"/>
            <w:sz w:val="22"/>
            <w:u w:val="thick" w:color="1154CC"/>
          </w:rPr>
          <w:t>0bx&amp;dl=0</w:t>
        </w:r>
      </w:hyperlink>
    </w:p>
    <w:p>
      <w:pPr>
        <w:pStyle w:val="BodyText"/>
        <w:spacing w:before="4"/>
      </w:pPr>
    </w:p>
    <w:p>
      <w:pPr>
        <w:spacing w:line="288" w:lineRule="auto" w:before="0"/>
        <w:ind w:left="400" w:right="767" w:firstLine="0"/>
        <w:jc w:val="left"/>
        <w:rPr>
          <w:sz w:val="22"/>
        </w:rPr>
      </w:pPr>
      <w:r>
        <w:rPr>
          <w:sz w:val="22"/>
        </w:rPr>
        <w:t>Chen, Muyang. 2020a. Beyond Donation: China’s Policy Banks and the Reshaping of Development Finance. </w:t>
      </w:r>
      <w:r>
        <w:rPr>
          <w:i/>
          <w:sz w:val="22"/>
        </w:rPr>
        <w:t>Studies in Comparative International Development </w:t>
      </w:r>
      <w:r>
        <w:rPr>
          <w:sz w:val="22"/>
        </w:rPr>
        <w:t>55: 436–459.</w:t>
      </w:r>
    </w:p>
    <w:p>
      <w:pPr>
        <w:pStyle w:val="BodyText"/>
        <w:spacing w:before="5"/>
      </w:pPr>
    </w:p>
    <w:p>
      <w:pPr>
        <w:spacing w:line="288" w:lineRule="auto" w:before="0"/>
        <w:ind w:left="400" w:right="767" w:firstLine="0"/>
        <w:jc w:val="left"/>
        <w:rPr>
          <w:sz w:val="22"/>
        </w:rPr>
      </w:pPr>
      <w:r>
        <w:rPr>
          <w:sz w:val="22"/>
        </w:rPr>
        <w:t>Chen, Muyang. 2020b. State Actors, Market Games: Credit Guarantees and the Funding of China Development Bank. </w:t>
      </w:r>
      <w:r>
        <w:rPr>
          <w:i/>
          <w:sz w:val="22"/>
        </w:rPr>
        <w:t>New Political Economy </w:t>
      </w:r>
      <w:r>
        <w:rPr>
          <w:sz w:val="22"/>
        </w:rPr>
        <w:t>25 (3): 453-468.</w:t>
      </w:r>
    </w:p>
    <w:p>
      <w:pPr>
        <w:pStyle w:val="BodyText"/>
        <w:spacing w:before="6"/>
      </w:pPr>
    </w:p>
    <w:p>
      <w:pPr>
        <w:spacing w:line="288" w:lineRule="auto" w:before="0"/>
        <w:ind w:left="400" w:right="767" w:firstLine="0"/>
        <w:jc w:val="left"/>
        <w:rPr>
          <w:sz w:val="22"/>
        </w:rPr>
      </w:pPr>
      <w:r>
        <w:rPr>
          <w:sz w:val="22"/>
        </w:rPr>
        <w:t>Chen, Muyang. 2023. China’s rise and the reshaping of sovereign debt relief. </w:t>
      </w:r>
      <w:r>
        <w:rPr>
          <w:i/>
          <w:sz w:val="22"/>
        </w:rPr>
        <w:t>International</w:t>
      </w:r>
      <w:r>
        <w:rPr>
          <w:i/>
          <w:sz w:val="22"/>
        </w:rPr>
        <w:t> Affairs </w:t>
      </w:r>
      <w:r>
        <w:rPr>
          <w:sz w:val="22"/>
        </w:rPr>
        <w:t>99 (4): 1755-1775.</w:t>
      </w:r>
    </w:p>
    <w:p>
      <w:pPr>
        <w:pStyle w:val="BodyText"/>
        <w:spacing w:before="6"/>
      </w:pPr>
    </w:p>
    <w:p>
      <w:pPr>
        <w:spacing w:line="288" w:lineRule="auto" w:before="0"/>
        <w:ind w:left="400" w:right="474" w:firstLine="0"/>
        <w:jc w:val="both"/>
        <w:rPr>
          <w:sz w:val="22"/>
        </w:rPr>
      </w:pPr>
      <w:r>
        <w:rPr>
          <w:sz w:val="22"/>
        </w:rPr>
        <w:t>China</w:t>
      </w:r>
      <w:r>
        <w:rPr>
          <w:spacing w:val="-5"/>
          <w:sz w:val="22"/>
        </w:rPr>
        <w:t> </w:t>
      </w:r>
      <w:r>
        <w:rPr>
          <w:sz w:val="22"/>
        </w:rPr>
        <w:t>Daily.</w:t>
      </w:r>
      <w:r>
        <w:rPr>
          <w:spacing w:val="-5"/>
          <w:sz w:val="22"/>
        </w:rPr>
        <w:t> </w:t>
      </w:r>
      <w:r>
        <w:rPr>
          <w:sz w:val="22"/>
        </w:rPr>
        <w:t>2009.</w:t>
      </w:r>
      <w:r>
        <w:rPr>
          <w:spacing w:val="-5"/>
          <w:sz w:val="22"/>
        </w:rPr>
        <w:t> </w:t>
      </w:r>
      <w:r>
        <w:rPr>
          <w:sz w:val="22"/>
        </w:rPr>
        <w:t>Huijin</w:t>
      </w:r>
      <w:r>
        <w:rPr>
          <w:spacing w:val="-5"/>
          <w:sz w:val="22"/>
        </w:rPr>
        <w:t> </w:t>
      </w:r>
      <w:r>
        <w:rPr>
          <w:sz w:val="22"/>
        </w:rPr>
        <w:t>to</w:t>
      </w:r>
      <w:r>
        <w:rPr>
          <w:spacing w:val="-5"/>
          <w:sz w:val="22"/>
        </w:rPr>
        <w:t> </w:t>
      </w:r>
      <w:r>
        <w:rPr>
          <w:sz w:val="22"/>
        </w:rPr>
        <w:t>fund</w:t>
      </w:r>
      <w:r>
        <w:rPr>
          <w:spacing w:val="-5"/>
          <w:sz w:val="22"/>
        </w:rPr>
        <w:t> </w:t>
      </w:r>
      <w:r>
        <w:rPr>
          <w:sz w:val="22"/>
        </w:rPr>
        <w:t>Exim,</w:t>
      </w:r>
      <w:r>
        <w:rPr>
          <w:spacing w:val="-5"/>
          <w:sz w:val="22"/>
        </w:rPr>
        <w:t> </w:t>
      </w:r>
      <w:r>
        <w:rPr>
          <w:sz w:val="22"/>
        </w:rPr>
        <w:t>Sinosure.</w:t>
      </w:r>
      <w:r>
        <w:rPr>
          <w:spacing w:val="-5"/>
          <w:sz w:val="22"/>
        </w:rPr>
        <w:t> </w:t>
      </w:r>
      <w:r>
        <w:rPr>
          <w:sz w:val="22"/>
        </w:rPr>
        <w:t>17</w:t>
      </w:r>
      <w:r>
        <w:rPr>
          <w:spacing w:val="-5"/>
          <w:sz w:val="22"/>
        </w:rPr>
        <w:t> </w:t>
      </w:r>
      <w:r>
        <w:rPr>
          <w:sz w:val="22"/>
        </w:rPr>
        <w:t>September</w:t>
      </w:r>
      <w:r>
        <w:rPr>
          <w:spacing w:val="-5"/>
          <w:sz w:val="22"/>
        </w:rPr>
        <w:t> </w:t>
      </w:r>
      <w:r>
        <w:rPr>
          <w:sz w:val="22"/>
        </w:rPr>
        <w:t>2009.</w:t>
      </w:r>
      <w:r>
        <w:rPr>
          <w:spacing w:val="-5"/>
          <w:sz w:val="22"/>
        </w:rPr>
        <w:t> </w:t>
      </w:r>
      <w:r>
        <w:rPr>
          <w:i/>
          <w:sz w:val="22"/>
        </w:rPr>
        <w:t>China</w:t>
      </w:r>
      <w:r>
        <w:rPr>
          <w:i/>
          <w:spacing w:val="-5"/>
          <w:sz w:val="22"/>
        </w:rPr>
        <w:t> </w:t>
      </w:r>
      <w:r>
        <w:rPr>
          <w:i/>
          <w:sz w:val="22"/>
        </w:rPr>
        <w:t>Daily</w:t>
      </w:r>
      <w:r>
        <w:rPr>
          <w:i/>
          <w:spacing w:val="-5"/>
          <w:sz w:val="22"/>
        </w:rPr>
        <w:t> </w:t>
      </w:r>
      <w:r>
        <w:rPr>
          <w:sz w:val="22"/>
        </w:rPr>
        <w:t>Accessed</w:t>
      </w:r>
      <w:r>
        <w:rPr>
          <w:spacing w:val="-5"/>
          <w:sz w:val="22"/>
        </w:rPr>
        <w:t> </w:t>
      </w:r>
      <w:r>
        <w:rPr>
          <w:sz w:val="22"/>
        </w:rPr>
        <w:t>on 1 August 2023 at </w:t>
      </w:r>
      <w:hyperlink r:id="rId44">
        <w:r>
          <w:rPr>
            <w:color w:val="1154CC"/>
            <w:sz w:val="22"/>
            <w:u w:val="thick" w:color="1154CC"/>
          </w:rPr>
          <w:t>www.chinadaily.com.cn/business/2009-09/17/content_8701521.htm</w:t>
        </w:r>
      </w:hyperlink>
    </w:p>
    <w:p>
      <w:pPr>
        <w:pStyle w:val="BodyText"/>
        <w:spacing w:before="4"/>
      </w:pPr>
    </w:p>
    <w:p>
      <w:pPr>
        <w:spacing w:line="288" w:lineRule="auto" w:before="0"/>
        <w:ind w:left="400" w:right="461" w:firstLine="0"/>
        <w:jc w:val="left"/>
        <w:rPr>
          <w:sz w:val="22"/>
        </w:rPr>
      </w:pPr>
      <w:r>
        <w:rPr>
          <w:sz w:val="22"/>
        </w:rPr>
        <w:t>China Development Bank (CDB). 2020. Pricing Supplement. 19 November 2020. Accessed at https:// secure.fundsupermart.com/fsm/bond/relatedBondDocument/XS2263032786/ </w:t>
      </w:r>
      <w:r>
        <w:rPr>
          <w:spacing w:val="-2"/>
          <w:sz w:val="22"/>
        </w:rPr>
        <w:t>China%20Development%20Bank_Pricing%20Supplement%20_%20Programme%20OC_Issue% </w:t>
      </w:r>
      <w:r>
        <w:rPr>
          <w:sz w:val="22"/>
        </w:rPr>
        <w:t>20of%20CNY2,800,000, 000%203.03%20per%20cent.%20Notes%20due%202023.pdf</w:t>
      </w:r>
    </w:p>
    <w:p>
      <w:pPr>
        <w:pStyle w:val="BodyText"/>
        <w:spacing w:before="5"/>
      </w:pPr>
    </w:p>
    <w:p>
      <w:pPr>
        <w:spacing w:line="288" w:lineRule="auto" w:before="0"/>
        <w:ind w:left="400" w:right="0" w:firstLine="0"/>
        <w:jc w:val="left"/>
        <w:rPr>
          <w:sz w:val="22"/>
        </w:rPr>
      </w:pPr>
      <w:r>
        <w:rPr>
          <w:sz w:val="22"/>
        </w:rPr>
        <w:t>Cordella, Tito and Powell, Andrew. 2021. Preferred and non-preferred creditors. </w:t>
      </w:r>
      <w:r>
        <w:rPr>
          <w:i/>
          <w:sz w:val="22"/>
        </w:rPr>
        <w:t>Journal of</w:t>
      </w:r>
      <w:r>
        <w:rPr>
          <w:i/>
          <w:sz w:val="22"/>
        </w:rPr>
        <w:t> International Economics </w:t>
      </w:r>
      <w:r>
        <w:rPr>
          <w:sz w:val="22"/>
        </w:rPr>
        <w:t>132(C): 103491</w:t>
      </w:r>
    </w:p>
    <w:p>
      <w:pPr>
        <w:spacing w:after="0" w:line="288" w:lineRule="auto"/>
        <w:jc w:val="left"/>
        <w:rPr>
          <w:sz w:val="22"/>
        </w:rPr>
        <w:sectPr>
          <w:footerReference w:type="default" r:id="rId41"/>
          <w:pgSz w:w="12240" w:h="15840"/>
          <w:pgMar w:footer="0" w:header="0" w:top="1400" w:bottom="280" w:left="1040" w:right="1040"/>
        </w:sectPr>
      </w:pPr>
    </w:p>
    <w:p>
      <w:pPr>
        <w:spacing w:before="44"/>
        <w:ind w:left="400" w:right="0" w:firstLine="0"/>
        <w:jc w:val="left"/>
        <w:rPr>
          <w:sz w:val="22"/>
        </w:rPr>
      </w:pPr>
      <w:r>
        <w:rPr>
          <w:spacing w:val="-2"/>
          <w:sz w:val="22"/>
        </w:rPr>
        <w:t>Cruces,</w:t>
      </w:r>
      <w:r>
        <w:rPr>
          <w:spacing w:val="-6"/>
          <w:sz w:val="22"/>
        </w:rPr>
        <w:t> </w:t>
      </w:r>
      <w:r>
        <w:rPr>
          <w:spacing w:val="-2"/>
          <w:sz w:val="22"/>
        </w:rPr>
        <w:t>Juan</w:t>
      </w:r>
      <w:r>
        <w:rPr>
          <w:spacing w:val="-6"/>
          <w:sz w:val="22"/>
        </w:rPr>
        <w:t> </w:t>
      </w:r>
      <w:r>
        <w:rPr>
          <w:spacing w:val="-2"/>
          <w:sz w:val="22"/>
        </w:rPr>
        <w:t>J,</w:t>
      </w:r>
      <w:r>
        <w:rPr>
          <w:spacing w:val="-5"/>
          <w:sz w:val="22"/>
        </w:rPr>
        <w:t> </w:t>
      </w:r>
      <w:r>
        <w:rPr>
          <w:spacing w:val="-2"/>
          <w:sz w:val="22"/>
        </w:rPr>
        <w:t>and</w:t>
      </w:r>
      <w:r>
        <w:rPr>
          <w:spacing w:val="-6"/>
          <w:sz w:val="22"/>
        </w:rPr>
        <w:t> </w:t>
      </w:r>
      <w:r>
        <w:rPr>
          <w:spacing w:val="-2"/>
          <w:sz w:val="22"/>
        </w:rPr>
        <w:t>Christoph</w:t>
      </w:r>
      <w:r>
        <w:rPr>
          <w:spacing w:val="-5"/>
          <w:sz w:val="22"/>
        </w:rPr>
        <w:t> </w:t>
      </w:r>
      <w:r>
        <w:rPr>
          <w:spacing w:val="-2"/>
          <w:sz w:val="22"/>
        </w:rPr>
        <w:t>Trebesch.</w:t>
      </w:r>
      <w:r>
        <w:rPr>
          <w:spacing w:val="-6"/>
          <w:sz w:val="22"/>
        </w:rPr>
        <w:t> </w:t>
      </w:r>
      <w:r>
        <w:rPr>
          <w:spacing w:val="-2"/>
          <w:sz w:val="22"/>
        </w:rPr>
        <w:t>2013.</w:t>
      </w:r>
      <w:r>
        <w:rPr>
          <w:spacing w:val="-6"/>
          <w:sz w:val="22"/>
        </w:rPr>
        <w:t> </w:t>
      </w:r>
      <w:r>
        <w:rPr>
          <w:spacing w:val="-2"/>
          <w:sz w:val="22"/>
        </w:rPr>
        <w:t>Sovereign</w:t>
      </w:r>
      <w:r>
        <w:rPr>
          <w:spacing w:val="-5"/>
          <w:sz w:val="22"/>
        </w:rPr>
        <w:t> </w:t>
      </w:r>
      <w:r>
        <w:rPr>
          <w:spacing w:val="-2"/>
          <w:sz w:val="22"/>
        </w:rPr>
        <w:t>Defaults:</w:t>
      </w:r>
      <w:r>
        <w:rPr>
          <w:spacing w:val="-6"/>
          <w:sz w:val="22"/>
        </w:rPr>
        <w:t> </w:t>
      </w:r>
      <w:r>
        <w:rPr>
          <w:spacing w:val="-2"/>
          <w:sz w:val="22"/>
        </w:rPr>
        <w:t>The</w:t>
      </w:r>
      <w:r>
        <w:rPr>
          <w:spacing w:val="-5"/>
          <w:sz w:val="22"/>
        </w:rPr>
        <w:t> </w:t>
      </w:r>
      <w:r>
        <w:rPr>
          <w:spacing w:val="-2"/>
          <w:sz w:val="22"/>
        </w:rPr>
        <w:t>Price</w:t>
      </w:r>
      <w:r>
        <w:rPr>
          <w:spacing w:val="-6"/>
          <w:sz w:val="22"/>
        </w:rPr>
        <w:t> </w:t>
      </w:r>
      <w:r>
        <w:rPr>
          <w:spacing w:val="-2"/>
          <w:sz w:val="22"/>
        </w:rPr>
        <w:t>of</w:t>
      </w:r>
      <w:r>
        <w:rPr>
          <w:spacing w:val="-6"/>
          <w:sz w:val="22"/>
        </w:rPr>
        <w:t> </w:t>
      </w:r>
      <w:r>
        <w:rPr>
          <w:spacing w:val="-2"/>
          <w:sz w:val="22"/>
        </w:rPr>
        <w:t>Haircuts.</w:t>
      </w:r>
    </w:p>
    <w:p>
      <w:pPr>
        <w:spacing w:before="51"/>
        <w:ind w:left="400" w:right="0" w:firstLine="0"/>
        <w:jc w:val="left"/>
        <w:rPr>
          <w:sz w:val="22"/>
        </w:rPr>
      </w:pPr>
      <w:r>
        <w:rPr>
          <w:i/>
          <w:spacing w:val="-2"/>
          <w:sz w:val="22"/>
        </w:rPr>
        <w:t>American Economic</w:t>
      </w:r>
      <w:r>
        <w:rPr>
          <w:i/>
          <w:spacing w:val="-1"/>
          <w:sz w:val="22"/>
        </w:rPr>
        <w:t> </w:t>
      </w:r>
      <w:r>
        <w:rPr>
          <w:i/>
          <w:spacing w:val="-2"/>
          <w:sz w:val="22"/>
        </w:rPr>
        <w:t>Journal: Macroeconomics</w:t>
      </w:r>
      <w:r>
        <w:rPr>
          <w:i/>
          <w:spacing w:val="-1"/>
          <w:sz w:val="22"/>
        </w:rPr>
        <w:t> </w:t>
      </w:r>
      <w:r>
        <w:rPr>
          <w:spacing w:val="-2"/>
          <w:sz w:val="22"/>
        </w:rPr>
        <w:t>5 (3):</w:t>
      </w:r>
      <w:r>
        <w:rPr>
          <w:spacing w:val="-1"/>
          <w:sz w:val="22"/>
        </w:rPr>
        <w:t> </w:t>
      </w:r>
      <w:r>
        <w:rPr>
          <w:spacing w:val="-2"/>
          <w:sz w:val="22"/>
        </w:rPr>
        <w:t>85–117.</w:t>
      </w:r>
    </w:p>
    <w:p>
      <w:pPr>
        <w:pStyle w:val="BodyText"/>
        <w:spacing w:before="9"/>
        <w:rPr>
          <w:sz w:val="28"/>
        </w:rPr>
      </w:pPr>
    </w:p>
    <w:p>
      <w:pPr>
        <w:spacing w:line="288" w:lineRule="auto" w:before="0"/>
        <w:ind w:left="400" w:right="398" w:firstLine="0"/>
        <w:jc w:val="left"/>
        <w:rPr>
          <w:sz w:val="22"/>
        </w:rPr>
      </w:pPr>
      <w:r>
        <w:rPr>
          <w:sz w:val="22"/>
        </w:rPr>
        <w:t>Custer,</w:t>
      </w:r>
      <w:r>
        <w:rPr>
          <w:spacing w:val="-10"/>
          <w:sz w:val="22"/>
        </w:rPr>
        <w:t> </w:t>
      </w:r>
      <w:r>
        <w:rPr>
          <w:sz w:val="22"/>
        </w:rPr>
        <w:t>Samantha,</w:t>
      </w:r>
      <w:r>
        <w:rPr>
          <w:spacing w:val="-10"/>
          <w:sz w:val="22"/>
        </w:rPr>
        <w:t> </w:t>
      </w:r>
      <w:r>
        <w:rPr>
          <w:sz w:val="22"/>
        </w:rPr>
        <w:t>Axel</w:t>
      </w:r>
      <w:r>
        <w:rPr>
          <w:spacing w:val="-10"/>
          <w:sz w:val="22"/>
        </w:rPr>
        <w:t> </w:t>
      </w:r>
      <w:r>
        <w:rPr>
          <w:sz w:val="22"/>
        </w:rPr>
        <w:t>Dreher,</w:t>
      </w:r>
      <w:r>
        <w:rPr>
          <w:spacing w:val="-10"/>
          <w:sz w:val="22"/>
        </w:rPr>
        <w:t> </w:t>
      </w:r>
      <w:r>
        <w:rPr>
          <w:sz w:val="22"/>
        </w:rPr>
        <w:t>Thai-Binh</w:t>
      </w:r>
      <w:r>
        <w:rPr>
          <w:spacing w:val="-10"/>
          <w:sz w:val="22"/>
        </w:rPr>
        <w:t> </w:t>
      </w:r>
      <w:r>
        <w:rPr>
          <w:sz w:val="22"/>
        </w:rPr>
        <w:t>Elston,</w:t>
      </w:r>
      <w:r>
        <w:rPr>
          <w:spacing w:val="-10"/>
          <w:sz w:val="22"/>
        </w:rPr>
        <w:t> </w:t>
      </w:r>
      <w:r>
        <w:rPr>
          <w:sz w:val="22"/>
        </w:rPr>
        <w:t>Brooke</w:t>
      </w:r>
      <w:r>
        <w:rPr>
          <w:spacing w:val="-10"/>
          <w:sz w:val="22"/>
        </w:rPr>
        <w:t> </w:t>
      </w:r>
      <w:r>
        <w:rPr>
          <w:sz w:val="22"/>
        </w:rPr>
        <w:t>Escobar,</w:t>
      </w:r>
      <w:r>
        <w:rPr>
          <w:spacing w:val="-10"/>
          <w:sz w:val="22"/>
        </w:rPr>
        <w:t> </w:t>
      </w:r>
      <w:r>
        <w:rPr>
          <w:sz w:val="22"/>
        </w:rPr>
        <w:t>Rory</w:t>
      </w:r>
      <w:r>
        <w:rPr>
          <w:spacing w:val="-10"/>
          <w:sz w:val="22"/>
        </w:rPr>
        <w:t> </w:t>
      </w:r>
      <w:r>
        <w:rPr>
          <w:sz w:val="22"/>
        </w:rPr>
        <w:t>Fedorochko,</w:t>
      </w:r>
      <w:r>
        <w:rPr>
          <w:spacing w:val="-10"/>
          <w:sz w:val="22"/>
        </w:rPr>
        <w:t> </w:t>
      </w:r>
      <w:r>
        <w:rPr>
          <w:sz w:val="22"/>
        </w:rPr>
        <w:t>Andreas Fuchs,</w:t>
      </w:r>
      <w:r>
        <w:rPr>
          <w:spacing w:val="-3"/>
          <w:sz w:val="22"/>
        </w:rPr>
        <w:t> </w:t>
      </w:r>
      <w:r>
        <w:rPr>
          <w:sz w:val="22"/>
        </w:rPr>
        <w:t>Siddhartha</w:t>
      </w:r>
      <w:r>
        <w:rPr>
          <w:spacing w:val="-3"/>
          <w:sz w:val="22"/>
        </w:rPr>
        <w:t> </w:t>
      </w:r>
      <w:r>
        <w:rPr>
          <w:sz w:val="22"/>
        </w:rPr>
        <w:t>Ghose,</w:t>
      </w:r>
      <w:r>
        <w:rPr>
          <w:spacing w:val="-3"/>
          <w:sz w:val="22"/>
        </w:rPr>
        <w:t> </w:t>
      </w:r>
      <w:r>
        <w:rPr>
          <w:sz w:val="22"/>
        </w:rPr>
        <w:t>Joyce</w:t>
      </w:r>
      <w:r>
        <w:rPr>
          <w:spacing w:val="-3"/>
          <w:sz w:val="22"/>
        </w:rPr>
        <w:t> </w:t>
      </w:r>
      <w:r>
        <w:rPr>
          <w:sz w:val="22"/>
        </w:rPr>
        <w:t>Jiahui</w:t>
      </w:r>
      <w:r>
        <w:rPr>
          <w:spacing w:val="-3"/>
          <w:sz w:val="22"/>
        </w:rPr>
        <w:t> </w:t>
      </w:r>
      <w:r>
        <w:rPr>
          <w:sz w:val="22"/>
        </w:rPr>
        <w:t>Lin,</w:t>
      </w:r>
      <w:r>
        <w:rPr>
          <w:spacing w:val="-3"/>
          <w:sz w:val="22"/>
        </w:rPr>
        <w:t> </w:t>
      </w:r>
      <w:r>
        <w:rPr>
          <w:sz w:val="22"/>
        </w:rPr>
        <w:t>Ammar</w:t>
      </w:r>
      <w:r>
        <w:rPr>
          <w:spacing w:val="-3"/>
          <w:sz w:val="22"/>
        </w:rPr>
        <w:t> </w:t>
      </w:r>
      <w:r>
        <w:rPr>
          <w:sz w:val="22"/>
        </w:rPr>
        <w:t>Malik,</w:t>
      </w:r>
      <w:r>
        <w:rPr>
          <w:spacing w:val="-3"/>
          <w:sz w:val="22"/>
        </w:rPr>
        <w:t> </w:t>
      </w:r>
      <w:r>
        <w:rPr>
          <w:sz w:val="22"/>
        </w:rPr>
        <w:t>Bradley</w:t>
      </w:r>
      <w:r>
        <w:rPr>
          <w:spacing w:val="-3"/>
          <w:sz w:val="22"/>
        </w:rPr>
        <w:t> </w:t>
      </w:r>
      <w:r>
        <w:rPr>
          <w:sz w:val="22"/>
        </w:rPr>
        <w:t>C.</w:t>
      </w:r>
      <w:r>
        <w:rPr>
          <w:spacing w:val="-3"/>
          <w:sz w:val="22"/>
        </w:rPr>
        <w:t> </w:t>
      </w:r>
      <w:r>
        <w:rPr>
          <w:sz w:val="22"/>
        </w:rPr>
        <w:t>Parks,</w:t>
      </w:r>
      <w:r>
        <w:rPr>
          <w:spacing w:val="-3"/>
          <w:sz w:val="22"/>
        </w:rPr>
        <w:t> </w:t>
      </w:r>
      <w:r>
        <w:rPr>
          <w:sz w:val="22"/>
        </w:rPr>
        <w:t>Kyra</w:t>
      </w:r>
      <w:r>
        <w:rPr>
          <w:spacing w:val="-3"/>
          <w:sz w:val="22"/>
        </w:rPr>
        <w:t> </w:t>
      </w:r>
      <w:r>
        <w:rPr>
          <w:sz w:val="22"/>
        </w:rPr>
        <w:t>Solomon, Austin</w:t>
      </w:r>
      <w:r>
        <w:rPr>
          <w:spacing w:val="-3"/>
          <w:sz w:val="22"/>
        </w:rPr>
        <w:t> </w:t>
      </w:r>
      <w:r>
        <w:rPr>
          <w:sz w:val="22"/>
        </w:rPr>
        <w:t>Strange,</w:t>
      </w:r>
      <w:r>
        <w:rPr>
          <w:spacing w:val="-3"/>
          <w:sz w:val="22"/>
        </w:rPr>
        <w:t> </w:t>
      </w:r>
      <w:r>
        <w:rPr>
          <w:sz w:val="22"/>
        </w:rPr>
        <w:t>Michael</w:t>
      </w:r>
      <w:r>
        <w:rPr>
          <w:spacing w:val="-3"/>
          <w:sz w:val="22"/>
        </w:rPr>
        <w:t> </w:t>
      </w:r>
      <w:r>
        <w:rPr>
          <w:sz w:val="22"/>
        </w:rPr>
        <w:t>J.</w:t>
      </w:r>
      <w:r>
        <w:rPr>
          <w:spacing w:val="-3"/>
          <w:sz w:val="22"/>
        </w:rPr>
        <w:t> </w:t>
      </w:r>
      <w:r>
        <w:rPr>
          <w:sz w:val="22"/>
        </w:rPr>
        <w:t>Tierney,</w:t>
      </w:r>
      <w:r>
        <w:rPr>
          <w:spacing w:val="-3"/>
          <w:sz w:val="22"/>
        </w:rPr>
        <w:t> </w:t>
      </w:r>
      <w:r>
        <w:rPr>
          <w:sz w:val="22"/>
        </w:rPr>
        <w:t>Lydia</w:t>
      </w:r>
      <w:r>
        <w:rPr>
          <w:spacing w:val="-3"/>
          <w:sz w:val="22"/>
        </w:rPr>
        <w:t> </w:t>
      </w:r>
      <w:r>
        <w:rPr>
          <w:sz w:val="22"/>
        </w:rPr>
        <w:t>Vlasto,</w:t>
      </w:r>
      <w:r>
        <w:rPr>
          <w:spacing w:val="-3"/>
          <w:sz w:val="22"/>
        </w:rPr>
        <w:t> </w:t>
      </w:r>
      <w:r>
        <w:rPr>
          <w:sz w:val="22"/>
        </w:rPr>
        <w:t>Katherine</w:t>
      </w:r>
      <w:r>
        <w:rPr>
          <w:spacing w:val="-3"/>
          <w:sz w:val="22"/>
        </w:rPr>
        <w:t> </w:t>
      </w:r>
      <w:r>
        <w:rPr>
          <w:sz w:val="22"/>
        </w:rPr>
        <w:t>Walsh,</w:t>
      </w:r>
      <w:r>
        <w:rPr>
          <w:spacing w:val="-3"/>
          <w:sz w:val="22"/>
        </w:rPr>
        <w:t> </w:t>
      </w:r>
      <w:r>
        <w:rPr>
          <w:sz w:val="22"/>
        </w:rPr>
        <w:t>Fei</w:t>
      </w:r>
      <w:r>
        <w:rPr>
          <w:spacing w:val="-3"/>
          <w:sz w:val="22"/>
        </w:rPr>
        <w:t> </w:t>
      </w:r>
      <w:r>
        <w:rPr>
          <w:sz w:val="22"/>
        </w:rPr>
        <w:t>Wang,</w:t>
      </w:r>
      <w:r>
        <w:rPr>
          <w:spacing w:val="-3"/>
          <w:sz w:val="22"/>
        </w:rPr>
        <w:t> </w:t>
      </w:r>
      <w:r>
        <w:rPr>
          <w:sz w:val="22"/>
        </w:rPr>
        <w:t>Lincoln</w:t>
      </w:r>
      <w:r>
        <w:rPr>
          <w:spacing w:val="-3"/>
          <w:sz w:val="22"/>
        </w:rPr>
        <w:t> </w:t>
      </w:r>
      <w:r>
        <w:rPr>
          <w:sz w:val="22"/>
        </w:rPr>
        <w:t>Zaleski, and</w:t>
      </w:r>
      <w:r>
        <w:rPr>
          <w:spacing w:val="-4"/>
          <w:sz w:val="22"/>
        </w:rPr>
        <w:t> </w:t>
      </w:r>
      <w:r>
        <w:rPr>
          <w:sz w:val="22"/>
        </w:rPr>
        <w:t>Sheng</w:t>
      </w:r>
      <w:r>
        <w:rPr>
          <w:spacing w:val="-4"/>
          <w:sz w:val="22"/>
        </w:rPr>
        <w:t> </w:t>
      </w:r>
      <w:r>
        <w:rPr>
          <w:sz w:val="22"/>
        </w:rPr>
        <w:t>Zhang.</w:t>
      </w:r>
      <w:r>
        <w:rPr>
          <w:spacing w:val="-4"/>
          <w:sz w:val="22"/>
        </w:rPr>
        <w:t> </w:t>
      </w:r>
      <w:r>
        <w:rPr>
          <w:sz w:val="22"/>
        </w:rPr>
        <w:t>2023.</w:t>
      </w:r>
      <w:r>
        <w:rPr>
          <w:spacing w:val="-4"/>
          <w:sz w:val="22"/>
        </w:rPr>
        <w:t> </w:t>
      </w:r>
      <w:r>
        <w:rPr>
          <w:sz w:val="22"/>
        </w:rPr>
        <w:t>Tracking</w:t>
      </w:r>
      <w:r>
        <w:rPr>
          <w:spacing w:val="-4"/>
          <w:sz w:val="22"/>
        </w:rPr>
        <w:t> </w:t>
      </w:r>
      <w:r>
        <w:rPr>
          <w:sz w:val="22"/>
        </w:rPr>
        <w:t>Chinese</w:t>
      </w:r>
      <w:r>
        <w:rPr>
          <w:spacing w:val="-4"/>
          <w:sz w:val="22"/>
        </w:rPr>
        <w:t> </w:t>
      </w:r>
      <w:r>
        <w:rPr>
          <w:sz w:val="22"/>
        </w:rPr>
        <w:t>Development</w:t>
      </w:r>
      <w:r>
        <w:rPr>
          <w:spacing w:val="-4"/>
          <w:sz w:val="22"/>
        </w:rPr>
        <w:t> </w:t>
      </w:r>
      <w:r>
        <w:rPr>
          <w:sz w:val="22"/>
        </w:rPr>
        <w:t>Finance:</w:t>
      </w:r>
      <w:r>
        <w:rPr>
          <w:spacing w:val="-4"/>
          <w:sz w:val="22"/>
        </w:rPr>
        <w:t> </w:t>
      </w:r>
      <w:r>
        <w:rPr>
          <w:sz w:val="22"/>
        </w:rPr>
        <w:t>An</w:t>
      </w:r>
      <w:r>
        <w:rPr>
          <w:spacing w:val="-4"/>
          <w:sz w:val="22"/>
        </w:rPr>
        <w:t> </w:t>
      </w:r>
      <w:r>
        <w:rPr>
          <w:sz w:val="22"/>
        </w:rPr>
        <w:t>Application</w:t>
      </w:r>
      <w:r>
        <w:rPr>
          <w:spacing w:val="-4"/>
          <w:sz w:val="22"/>
        </w:rPr>
        <w:t> </w:t>
      </w:r>
      <w:r>
        <w:rPr>
          <w:sz w:val="22"/>
        </w:rPr>
        <w:t>of</w:t>
      </w:r>
      <w:r>
        <w:rPr>
          <w:spacing w:val="-4"/>
          <w:sz w:val="22"/>
        </w:rPr>
        <w:t> </w:t>
      </w:r>
      <w:r>
        <w:rPr>
          <w:sz w:val="22"/>
        </w:rPr>
        <w:t>AidData’s TUFF 3.0 Methodology. Williamsburg, VA: AidData at William &amp; Mary.</w:t>
      </w:r>
    </w:p>
    <w:p>
      <w:pPr>
        <w:pStyle w:val="BodyText"/>
        <w:spacing w:before="5"/>
      </w:pPr>
    </w:p>
    <w:p>
      <w:pPr>
        <w:spacing w:line="288" w:lineRule="auto" w:before="0"/>
        <w:ind w:left="400" w:right="0" w:firstLine="0"/>
        <w:jc w:val="left"/>
        <w:rPr>
          <w:sz w:val="22"/>
        </w:rPr>
      </w:pPr>
      <w:r>
        <w:rPr>
          <w:sz w:val="22"/>
        </w:rPr>
        <w:t>Dennis,</w:t>
      </w:r>
      <w:r>
        <w:rPr>
          <w:spacing w:val="-5"/>
          <w:sz w:val="22"/>
        </w:rPr>
        <w:t> </w:t>
      </w:r>
      <w:r>
        <w:rPr>
          <w:sz w:val="22"/>
        </w:rPr>
        <w:t>Steven</w:t>
      </w:r>
      <w:r>
        <w:rPr>
          <w:spacing w:val="-5"/>
          <w:sz w:val="22"/>
        </w:rPr>
        <w:t> </w:t>
      </w:r>
      <w:r>
        <w:rPr>
          <w:sz w:val="22"/>
        </w:rPr>
        <w:t>A.</w:t>
      </w:r>
      <w:r>
        <w:rPr>
          <w:spacing w:val="-5"/>
          <w:sz w:val="22"/>
        </w:rPr>
        <w:t> </w:t>
      </w:r>
      <w:r>
        <w:rPr>
          <w:sz w:val="22"/>
        </w:rPr>
        <w:t>and</w:t>
      </w:r>
      <w:r>
        <w:rPr>
          <w:spacing w:val="-5"/>
          <w:sz w:val="22"/>
        </w:rPr>
        <w:t> </w:t>
      </w:r>
      <w:r>
        <w:rPr>
          <w:sz w:val="22"/>
        </w:rPr>
        <w:t>Donald</w:t>
      </w:r>
      <w:r>
        <w:rPr>
          <w:spacing w:val="-5"/>
          <w:sz w:val="22"/>
        </w:rPr>
        <w:t> </w:t>
      </w:r>
      <w:r>
        <w:rPr>
          <w:sz w:val="22"/>
        </w:rPr>
        <w:t>J.</w:t>
      </w:r>
      <w:r>
        <w:rPr>
          <w:spacing w:val="-5"/>
          <w:sz w:val="22"/>
        </w:rPr>
        <w:t> </w:t>
      </w:r>
      <w:r>
        <w:rPr>
          <w:sz w:val="22"/>
        </w:rPr>
        <w:t>Mullineaux.</w:t>
      </w:r>
      <w:r>
        <w:rPr>
          <w:spacing w:val="-5"/>
          <w:sz w:val="22"/>
        </w:rPr>
        <w:t> </w:t>
      </w:r>
      <w:r>
        <w:rPr>
          <w:sz w:val="22"/>
        </w:rPr>
        <w:t>2000.</w:t>
      </w:r>
      <w:r>
        <w:rPr>
          <w:spacing w:val="-5"/>
          <w:sz w:val="22"/>
        </w:rPr>
        <w:t> </w:t>
      </w:r>
      <w:r>
        <w:rPr>
          <w:sz w:val="22"/>
        </w:rPr>
        <w:t>Syndicated</w:t>
      </w:r>
      <w:r>
        <w:rPr>
          <w:spacing w:val="-5"/>
          <w:sz w:val="22"/>
        </w:rPr>
        <w:t> </w:t>
      </w:r>
      <w:r>
        <w:rPr>
          <w:sz w:val="22"/>
        </w:rPr>
        <w:t>loans.</w:t>
      </w:r>
      <w:r>
        <w:rPr>
          <w:spacing w:val="-5"/>
          <w:sz w:val="22"/>
        </w:rPr>
        <w:t> </w:t>
      </w:r>
      <w:r>
        <w:rPr>
          <w:i/>
          <w:sz w:val="22"/>
        </w:rPr>
        <w:t>Journal</w:t>
      </w:r>
      <w:r>
        <w:rPr>
          <w:i/>
          <w:spacing w:val="-5"/>
          <w:sz w:val="22"/>
        </w:rPr>
        <w:t> </w:t>
      </w:r>
      <w:r>
        <w:rPr>
          <w:i/>
          <w:sz w:val="22"/>
        </w:rPr>
        <w:t>of</w:t>
      </w:r>
      <w:r>
        <w:rPr>
          <w:i/>
          <w:spacing w:val="-5"/>
          <w:sz w:val="22"/>
        </w:rPr>
        <w:t> </w:t>
      </w:r>
      <w:r>
        <w:rPr>
          <w:i/>
          <w:sz w:val="22"/>
        </w:rPr>
        <w:t>Financial</w:t>
      </w:r>
      <w:r>
        <w:rPr>
          <w:i/>
          <w:sz w:val="22"/>
        </w:rPr>
        <w:t> Intermediation </w:t>
      </w:r>
      <w:r>
        <w:rPr>
          <w:sz w:val="22"/>
        </w:rPr>
        <w:t>9(4): 404-426.</w:t>
      </w:r>
    </w:p>
    <w:p>
      <w:pPr>
        <w:pStyle w:val="BodyText"/>
        <w:spacing w:before="5"/>
      </w:pPr>
    </w:p>
    <w:p>
      <w:pPr>
        <w:spacing w:line="288" w:lineRule="auto" w:before="0"/>
        <w:ind w:left="400" w:right="767" w:firstLine="0"/>
        <w:jc w:val="left"/>
        <w:rPr>
          <w:sz w:val="22"/>
        </w:rPr>
      </w:pPr>
      <w:r>
        <w:rPr>
          <w:sz w:val="22"/>
        </w:rPr>
        <w:t>Do</w:t>
      </w:r>
      <w:r>
        <w:rPr>
          <w:spacing w:val="-7"/>
          <w:sz w:val="22"/>
        </w:rPr>
        <w:t> </w:t>
      </w:r>
      <w:r>
        <w:rPr>
          <w:sz w:val="22"/>
        </w:rPr>
        <w:t>Rosario,</w:t>
      </w:r>
      <w:r>
        <w:rPr>
          <w:spacing w:val="-7"/>
          <w:sz w:val="22"/>
        </w:rPr>
        <w:t> </w:t>
      </w:r>
      <w:r>
        <w:rPr>
          <w:sz w:val="22"/>
        </w:rPr>
        <w:t>Jorgelina</w:t>
      </w:r>
      <w:r>
        <w:rPr>
          <w:spacing w:val="-7"/>
          <w:sz w:val="22"/>
        </w:rPr>
        <w:t> </w:t>
      </w:r>
      <w:r>
        <w:rPr>
          <w:sz w:val="22"/>
        </w:rPr>
        <w:t>and</w:t>
      </w:r>
      <w:r>
        <w:rPr>
          <w:spacing w:val="-7"/>
          <w:sz w:val="22"/>
        </w:rPr>
        <w:t> </w:t>
      </w:r>
      <w:r>
        <w:rPr>
          <w:sz w:val="22"/>
        </w:rPr>
        <w:t>Karin</w:t>
      </w:r>
      <w:r>
        <w:rPr>
          <w:spacing w:val="-7"/>
          <w:sz w:val="22"/>
        </w:rPr>
        <w:t> </w:t>
      </w:r>
      <w:r>
        <w:rPr>
          <w:sz w:val="22"/>
        </w:rPr>
        <w:t>Strohecker.</w:t>
      </w:r>
      <w:r>
        <w:rPr>
          <w:spacing w:val="-7"/>
          <w:sz w:val="22"/>
        </w:rPr>
        <w:t> </w:t>
      </w:r>
      <w:r>
        <w:rPr>
          <w:sz w:val="22"/>
        </w:rPr>
        <w:t>2023.</w:t>
      </w:r>
      <w:r>
        <w:rPr>
          <w:spacing w:val="-7"/>
          <w:sz w:val="22"/>
        </w:rPr>
        <w:t> </w:t>
      </w:r>
      <w:r>
        <w:rPr>
          <w:sz w:val="22"/>
        </w:rPr>
        <w:t>Analysis:</w:t>
      </w:r>
      <w:r>
        <w:rPr>
          <w:spacing w:val="-7"/>
          <w:sz w:val="22"/>
        </w:rPr>
        <w:t> </w:t>
      </w:r>
      <w:r>
        <w:rPr>
          <w:sz w:val="22"/>
        </w:rPr>
        <w:t>China</w:t>
      </w:r>
      <w:r>
        <w:rPr>
          <w:spacing w:val="-7"/>
          <w:sz w:val="22"/>
        </w:rPr>
        <w:t> </w:t>
      </w:r>
      <w:r>
        <w:rPr>
          <w:sz w:val="22"/>
        </w:rPr>
        <w:t>holds</w:t>
      </w:r>
      <w:r>
        <w:rPr>
          <w:spacing w:val="-7"/>
          <w:sz w:val="22"/>
        </w:rPr>
        <w:t> </w:t>
      </w:r>
      <w:r>
        <w:rPr>
          <w:sz w:val="22"/>
        </w:rPr>
        <w:t>the</w:t>
      </w:r>
      <w:r>
        <w:rPr>
          <w:spacing w:val="-7"/>
          <w:sz w:val="22"/>
        </w:rPr>
        <w:t> </w:t>
      </w:r>
      <w:r>
        <w:rPr>
          <w:sz w:val="22"/>
        </w:rPr>
        <w:t>key</w:t>
      </w:r>
      <w:r>
        <w:rPr>
          <w:spacing w:val="-7"/>
          <w:sz w:val="22"/>
        </w:rPr>
        <w:t> </w:t>
      </w:r>
      <w:r>
        <w:rPr>
          <w:sz w:val="22"/>
        </w:rPr>
        <w:t>to</w:t>
      </w:r>
      <w:r>
        <w:rPr>
          <w:spacing w:val="-7"/>
          <w:sz w:val="22"/>
        </w:rPr>
        <w:t> </w:t>
      </w:r>
      <w:r>
        <w:rPr>
          <w:sz w:val="22"/>
        </w:rPr>
        <w:t>avoiding Argentina's IMF default. The price tag is unknown. </w:t>
      </w:r>
      <w:r>
        <w:rPr>
          <w:i/>
          <w:sz w:val="22"/>
        </w:rPr>
        <w:t>Reuters</w:t>
      </w:r>
      <w:r>
        <w:rPr>
          <w:sz w:val="22"/>
        </w:rPr>
        <w:t>. 2 August 2023 Accessed on 2 August 2023 at</w:t>
      </w:r>
    </w:p>
    <w:p>
      <w:pPr>
        <w:spacing w:line="288" w:lineRule="auto" w:before="1"/>
        <w:ind w:left="400" w:right="493" w:firstLine="0"/>
        <w:jc w:val="left"/>
        <w:rPr>
          <w:sz w:val="22"/>
        </w:rPr>
      </w:pPr>
      <w:hyperlink r:id="rId46">
        <w:r>
          <w:rPr>
            <w:color w:val="1154CC"/>
            <w:spacing w:val="-2"/>
            <w:sz w:val="22"/>
            <w:u w:val="thick" w:color="1154CC"/>
          </w:rPr>
          <w:t>https://www.reuters.com/markets/china-holds-key-avoiding-argentinas-imf-default-price-tag-is-</w:t>
        </w:r>
      </w:hyperlink>
      <w:r>
        <w:rPr>
          <w:color w:val="1154CC"/>
          <w:spacing w:val="40"/>
          <w:w w:val="105"/>
          <w:sz w:val="22"/>
        </w:rPr>
        <w:t> </w:t>
      </w:r>
      <w:hyperlink r:id="rId46">
        <w:r>
          <w:rPr>
            <w:color w:val="1154CC"/>
            <w:spacing w:val="-2"/>
            <w:w w:val="105"/>
            <w:sz w:val="22"/>
            <w:u w:val="thick" w:color="1154CC"/>
          </w:rPr>
          <w:t>unknown-2023-08-02/</w:t>
        </w:r>
      </w:hyperlink>
    </w:p>
    <w:p>
      <w:pPr>
        <w:pStyle w:val="BodyText"/>
        <w:spacing w:before="4"/>
      </w:pPr>
    </w:p>
    <w:p>
      <w:pPr>
        <w:spacing w:line="288" w:lineRule="auto" w:before="0"/>
        <w:ind w:left="400" w:right="504" w:firstLine="0"/>
        <w:jc w:val="left"/>
        <w:rPr>
          <w:sz w:val="22"/>
        </w:rPr>
      </w:pPr>
      <w:r>
        <w:rPr>
          <w:sz w:val="22"/>
        </w:rPr>
        <w:t>Do Rosario, Jorgelina and Rachel Savage. 2023. China development loans to emerging economies hit 13-year low in 2021. </w:t>
      </w:r>
      <w:r>
        <w:rPr>
          <w:i/>
          <w:sz w:val="22"/>
        </w:rPr>
        <w:t>Reuters</w:t>
      </w:r>
      <w:r>
        <w:rPr>
          <w:sz w:val="22"/>
        </w:rPr>
        <w:t>. 24 January 2023, Accessed on 17 July 2023 at </w:t>
      </w:r>
      <w:hyperlink r:id="rId47">
        <w:r>
          <w:rPr>
            <w:color w:val="1154CC"/>
            <w:spacing w:val="-2"/>
            <w:sz w:val="22"/>
            <w:u w:val="thick" w:color="1154CC"/>
          </w:rPr>
          <w:t>https://www.reuters.com/markets/asia/china-development-loans-emerging-economies-hit-13-y</w:t>
        </w:r>
      </w:hyperlink>
      <w:r>
        <w:rPr>
          <w:color w:val="1154CC"/>
          <w:spacing w:val="40"/>
          <w:w w:val="105"/>
          <w:sz w:val="22"/>
        </w:rPr>
        <w:t> </w:t>
      </w:r>
      <w:hyperlink r:id="rId47">
        <w:r>
          <w:rPr>
            <w:color w:val="1154CC"/>
            <w:spacing w:val="-2"/>
            <w:w w:val="105"/>
            <w:sz w:val="22"/>
            <w:u w:val="thick" w:color="1154CC"/>
          </w:rPr>
          <w:t>ear-low-2021-study-2023-01-24/</w:t>
        </w:r>
      </w:hyperlink>
    </w:p>
    <w:p>
      <w:pPr>
        <w:pStyle w:val="BodyText"/>
        <w:spacing w:before="5"/>
      </w:pPr>
    </w:p>
    <w:p>
      <w:pPr>
        <w:spacing w:line="288" w:lineRule="auto" w:before="0"/>
        <w:ind w:left="400" w:right="504" w:firstLine="0"/>
        <w:jc w:val="left"/>
        <w:rPr>
          <w:sz w:val="22"/>
        </w:rPr>
      </w:pPr>
      <w:r>
        <w:rPr>
          <w:sz w:val="22"/>
        </w:rPr>
        <w:t>Do Rosario, Jorgelina. 2023. Exclusive: Argentina to use IMF money to pay back part of a currency</w:t>
      </w:r>
      <w:r>
        <w:rPr>
          <w:spacing w:val="-11"/>
          <w:sz w:val="22"/>
        </w:rPr>
        <w:t> </w:t>
      </w:r>
      <w:r>
        <w:rPr>
          <w:sz w:val="22"/>
        </w:rPr>
        <w:t>swap</w:t>
      </w:r>
      <w:r>
        <w:rPr>
          <w:spacing w:val="-11"/>
          <w:sz w:val="22"/>
        </w:rPr>
        <w:t> </w:t>
      </w:r>
      <w:r>
        <w:rPr>
          <w:sz w:val="22"/>
        </w:rPr>
        <w:t>with</w:t>
      </w:r>
      <w:r>
        <w:rPr>
          <w:spacing w:val="-11"/>
          <w:sz w:val="22"/>
        </w:rPr>
        <w:t> </w:t>
      </w:r>
      <w:r>
        <w:rPr>
          <w:sz w:val="22"/>
        </w:rPr>
        <w:t>China,</w:t>
      </w:r>
      <w:r>
        <w:rPr>
          <w:spacing w:val="-11"/>
          <w:sz w:val="22"/>
        </w:rPr>
        <w:t> </w:t>
      </w:r>
      <w:r>
        <w:rPr>
          <w:sz w:val="22"/>
        </w:rPr>
        <w:t>sources</w:t>
      </w:r>
      <w:r>
        <w:rPr>
          <w:spacing w:val="-11"/>
          <w:sz w:val="22"/>
        </w:rPr>
        <w:t> </w:t>
      </w:r>
      <w:r>
        <w:rPr>
          <w:sz w:val="22"/>
        </w:rPr>
        <w:t>say.</w:t>
      </w:r>
      <w:r>
        <w:rPr>
          <w:spacing w:val="-11"/>
          <w:sz w:val="22"/>
        </w:rPr>
        <w:t> </w:t>
      </w:r>
      <w:r>
        <w:rPr>
          <w:i/>
          <w:sz w:val="22"/>
        </w:rPr>
        <w:t>Reuters</w:t>
      </w:r>
      <w:r>
        <w:rPr>
          <w:sz w:val="22"/>
        </w:rPr>
        <w:t>.</w:t>
      </w:r>
      <w:r>
        <w:rPr>
          <w:spacing w:val="-11"/>
          <w:sz w:val="22"/>
        </w:rPr>
        <w:t> </w:t>
      </w:r>
      <w:r>
        <w:rPr>
          <w:sz w:val="22"/>
        </w:rPr>
        <w:t>24</w:t>
      </w:r>
      <w:r>
        <w:rPr>
          <w:spacing w:val="-11"/>
          <w:sz w:val="22"/>
        </w:rPr>
        <w:t> </w:t>
      </w:r>
      <w:r>
        <w:rPr>
          <w:sz w:val="22"/>
        </w:rPr>
        <w:t>August</w:t>
      </w:r>
      <w:r>
        <w:rPr>
          <w:spacing w:val="-11"/>
          <w:sz w:val="22"/>
        </w:rPr>
        <w:t> </w:t>
      </w:r>
      <w:r>
        <w:rPr>
          <w:sz w:val="22"/>
        </w:rPr>
        <w:t>2023.</w:t>
      </w:r>
      <w:r>
        <w:rPr>
          <w:spacing w:val="-11"/>
          <w:sz w:val="22"/>
        </w:rPr>
        <w:t> </w:t>
      </w:r>
      <w:r>
        <w:rPr>
          <w:sz w:val="22"/>
        </w:rPr>
        <w:t>Accessed</w:t>
      </w:r>
      <w:r>
        <w:rPr>
          <w:spacing w:val="-11"/>
          <w:sz w:val="22"/>
        </w:rPr>
        <w:t> </w:t>
      </w:r>
      <w:r>
        <w:rPr>
          <w:sz w:val="22"/>
        </w:rPr>
        <w:t>on</w:t>
      </w:r>
      <w:r>
        <w:rPr>
          <w:spacing w:val="-11"/>
          <w:sz w:val="22"/>
        </w:rPr>
        <w:t> </w:t>
      </w:r>
      <w:r>
        <w:rPr>
          <w:sz w:val="22"/>
        </w:rPr>
        <w:t>24</w:t>
      </w:r>
      <w:r>
        <w:rPr>
          <w:spacing w:val="-11"/>
          <w:sz w:val="22"/>
        </w:rPr>
        <w:t> </w:t>
      </w:r>
      <w:r>
        <w:rPr>
          <w:sz w:val="22"/>
        </w:rPr>
        <w:t>August</w:t>
      </w:r>
      <w:r>
        <w:rPr>
          <w:spacing w:val="-11"/>
          <w:sz w:val="22"/>
        </w:rPr>
        <w:t> </w:t>
      </w:r>
      <w:r>
        <w:rPr>
          <w:sz w:val="22"/>
        </w:rPr>
        <w:t>2023 </w:t>
      </w:r>
      <w:r>
        <w:rPr>
          <w:spacing w:val="-6"/>
          <w:sz w:val="22"/>
        </w:rPr>
        <w:t>at</w:t>
      </w:r>
    </w:p>
    <w:p>
      <w:pPr>
        <w:spacing w:line="288" w:lineRule="auto" w:before="2"/>
        <w:ind w:left="400" w:right="472" w:firstLine="0"/>
        <w:jc w:val="left"/>
        <w:rPr>
          <w:sz w:val="22"/>
        </w:rPr>
      </w:pPr>
      <w:hyperlink r:id="rId48">
        <w:r>
          <w:rPr>
            <w:color w:val="1154CC"/>
            <w:spacing w:val="-2"/>
            <w:sz w:val="22"/>
            <w:u w:val="thick" w:color="1154CC"/>
          </w:rPr>
          <w:t>https://www.reuters.com/world/americas/argentina-use-imf-money-pay-back-part-currency-swa</w:t>
        </w:r>
      </w:hyperlink>
      <w:r>
        <w:rPr>
          <w:color w:val="1154CC"/>
          <w:spacing w:val="40"/>
          <w:w w:val="105"/>
          <w:sz w:val="22"/>
        </w:rPr>
        <w:t> </w:t>
      </w:r>
      <w:hyperlink r:id="rId48">
        <w:r>
          <w:rPr>
            <w:color w:val="1154CC"/>
            <w:spacing w:val="-2"/>
            <w:w w:val="105"/>
            <w:sz w:val="22"/>
            <w:u w:val="thick" w:color="1154CC"/>
          </w:rPr>
          <w:t>p-with-china-sources-2023-08-23/</w:t>
        </w:r>
      </w:hyperlink>
    </w:p>
    <w:p>
      <w:pPr>
        <w:pStyle w:val="BodyText"/>
        <w:spacing w:before="3"/>
      </w:pPr>
    </w:p>
    <w:p>
      <w:pPr>
        <w:spacing w:line="288" w:lineRule="auto" w:before="1"/>
        <w:ind w:left="400" w:right="468" w:firstLine="0"/>
        <w:jc w:val="left"/>
        <w:rPr>
          <w:sz w:val="22"/>
        </w:rPr>
      </w:pPr>
      <w:r>
        <w:rPr>
          <w:sz w:val="22"/>
        </w:rPr>
        <w:t>Douglas,</w:t>
      </w:r>
      <w:r>
        <w:rPr>
          <w:spacing w:val="-3"/>
          <w:sz w:val="22"/>
        </w:rPr>
        <w:t> </w:t>
      </w:r>
      <w:r>
        <w:rPr>
          <w:sz w:val="22"/>
        </w:rPr>
        <w:t>Jason.</w:t>
      </w:r>
      <w:r>
        <w:rPr>
          <w:spacing w:val="-3"/>
          <w:sz w:val="22"/>
        </w:rPr>
        <w:t> </w:t>
      </w:r>
      <w:r>
        <w:rPr>
          <w:sz w:val="22"/>
        </w:rPr>
        <w:t>2022.</w:t>
      </w:r>
      <w:r>
        <w:rPr>
          <w:spacing w:val="-3"/>
          <w:sz w:val="22"/>
        </w:rPr>
        <w:t> </w:t>
      </w:r>
      <w:r>
        <w:rPr>
          <w:sz w:val="22"/>
        </w:rPr>
        <w:t>China</w:t>
      </w:r>
      <w:r>
        <w:rPr>
          <w:spacing w:val="-3"/>
          <w:sz w:val="22"/>
        </w:rPr>
        <w:t> </w:t>
      </w:r>
      <w:r>
        <w:rPr>
          <w:sz w:val="22"/>
        </w:rPr>
        <w:t>Props</w:t>
      </w:r>
      <w:r>
        <w:rPr>
          <w:spacing w:val="-3"/>
          <w:sz w:val="22"/>
        </w:rPr>
        <w:t> </w:t>
      </w:r>
      <w:r>
        <w:rPr>
          <w:sz w:val="22"/>
        </w:rPr>
        <w:t>Up</w:t>
      </w:r>
      <w:r>
        <w:rPr>
          <w:spacing w:val="-3"/>
          <w:sz w:val="22"/>
        </w:rPr>
        <w:t> </w:t>
      </w:r>
      <w:r>
        <w:rPr>
          <w:sz w:val="22"/>
        </w:rPr>
        <w:t>Belt-and-Road</w:t>
      </w:r>
      <w:r>
        <w:rPr>
          <w:spacing w:val="-3"/>
          <w:sz w:val="22"/>
        </w:rPr>
        <w:t> </w:t>
      </w:r>
      <w:r>
        <w:rPr>
          <w:sz w:val="22"/>
        </w:rPr>
        <w:t>Borrowers</w:t>
      </w:r>
      <w:r>
        <w:rPr>
          <w:spacing w:val="-3"/>
          <w:sz w:val="22"/>
        </w:rPr>
        <w:t> </w:t>
      </w:r>
      <w:r>
        <w:rPr>
          <w:sz w:val="22"/>
        </w:rPr>
        <w:t>Via</w:t>
      </w:r>
      <w:r>
        <w:rPr>
          <w:spacing w:val="-3"/>
          <w:sz w:val="22"/>
        </w:rPr>
        <w:t> </w:t>
      </w:r>
      <w:r>
        <w:rPr>
          <w:sz w:val="22"/>
        </w:rPr>
        <w:t>Unusual</w:t>
      </w:r>
      <w:r>
        <w:rPr>
          <w:spacing w:val="-3"/>
          <w:sz w:val="22"/>
        </w:rPr>
        <w:t> </w:t>
      </w:r>
      <w:r>
        <w:rPr>
          <w:sz w:val="22"/>
        </w:rPr>
        <w:t>Channel.</w:t>
      </w:r>
      <w:r>
        <w:rPr>
          <w:spacing w:val="-3"/>
          <w:sz w:val="22"/>
        </w:rPr>
        <w:t> </w:t>
      </w:r>
      <w:r>
        <w:rPr>
          <w:sz w:val="22"/>
        </w:rPr>
        <w:t>11 December 2022. </w:t>
      </w:r>
      <w:r>
        <w:rPr>
          <w:i/>
          <w:sz w:val="22"/>
        </w:rPr>
        <w:t>Wall Street Journal</w:t>
      </w:r>
      <w:r>
        <w:rPr>
          <w:sz w:val="22"/>
        </w:rPr>
        <w:t>. Accessed on 1 August 2023 at </w:t>
      </w:r>
      <w:hyperlink r:id="rId49">
        <w:r>
          <w:rPr>
            <w:color w:val="1154CC"/>
            <w:spacing w:val="-2"/>
            <w:sz w:val="22"/>
            <w:u w:val="thick" w:color="1154CC"/>
          </w:rPr>
          <w:t>https://www.wsj.com/articles/china-props-up-belt-and-road-borrowers-via-unusual-channel-116</w:t>
        </w:r>
      </w:hyperlink>
      <w:r>
        <w:rPr>
          <w:color w:val="1154CC"/>
          <w:spacing w:val="-2"/>
          <w:sz w:val="22"/>
        </w:rPr>
        <w:t> </w:t>
      </w:r>
      <w:hyperlink r:id="rId49">
        <w:r>
          <w:rPr>
            <w:color w:val="1154CC"/>
            <w:spacing w:val="-2"/>
            <w:sz w:val="22"/>
            <w:u w:val="thick" w:color="1154CC"/>
          </w:rPr>
          <w:t>70727153</w:t>
        </w:r>
      </w:hyperlink>
    </w:p>
    <w:p>
      <w:pPr>
        <w:pStyle w:val="BodyText"/>
        <w:spacing w:before="5"/>
      </w:pPr>
    </w:p>
    <w:p>
      <w:pPr>
        <w:spacing w:line="288" w:lineRule="auto" w:before="0"/>
        <w:ind w:left="400" w:right="0" w:firstLine="0"/>
        <w:jc w:val="left"/>
        <w:rPr>
          <w:sz w:val="22"/>
        </w:rPr>
      </w:pPr>
      <w:r>
        <w:rPr>
          <w:sz w:val="22"/>
        </w:rPr>
        <w:t>Dreher,</w:t>
      </w:r>
      <w:r>
        <w:rPr>
          <w:spacing w:val="-11"/>
          <w:sz w:val="22"/>
        </w:rPr>
        <w:t> </w:t>
      </w:r>
      <w:r>
        <w:rPr>
          <w:sz w:val="22"/>
        </w:rPr>
        <w:t>Axel,</w:t>
      </w:r>
      <w:r>
        <w:rPr>
          <w:spacing w:val="-11"/>
          <w:sz w:val="22"/>
        </w:rPr>
        <w:t> </w:t>
      </w:r>
      <w:r>
        <w:rPr>
          <w:sz w:val="22"/>
        </w:rPr>
        <w:t>Andreas</w:t>
      </w:r>
      <w:r>
        <w:rPr>
          <w:spacing w:val="-11"/>
          <w:sz w:val="22"/>
        </w:rPr>
        <w:t> </w:t>
      </w:r>
      <w:r>
        <w:rPr>
          <w:sz w:val="22"/>
        </w:rPr>
        <w:t>Fuchs,</w:t>
      </w:r>
      <w:r>
        <w:rPr>
          <w:spacing w:val="-11"/>
          <w:sz w:val="22"/>
        </w:rPr>
        <w:t> </w:t>
      </w:r>
      <w:r>
        <w:rPr>
          <w:sz w:val="22"/>
        </w:rPr>
        <w:t>Bradley</w:t>
      </w:r>
      <w:r>
        <w:rPr>
          <w:spacing w:val="-11"/>
          <w:sz w:val="22"/>
        </w:rPr>
        <w:t> </w:t>
      </w:r>
      <w:r>
        <w:rPr>
          <w:sz w:val="22"/>
        </w:rPr>
        <w:t>Parks,</w:t>
      </w:r>
      <w:r>
        <w:rPr>
          <w:spacing w:val="-11"/>
          <w:sz w:val="22"/>
        </w:rPr>
        <w:t> </w:t>
      </w:r>
      <w:r>
        <w:rPr>
          <w:sz w:val="22"/>
        </w:rPr>
        <w:t>Austin</w:t>
      </w:r>
      <w:r>
        <w:rPr>
          <w:spacing w:val="-11"/>
          <w:sz w:val="22"/>
        </w:rPr>
        <w:t> </w:t>
      </w:r>
      <w:r>
        <w:rPr>
          <w:sz w:val="22"/>
        </w:rPr>
        <w:t>Strange,</w:t>
      </w:r>
      <w:r>
        <w:rPr>
          <w:spacing w:val="-11"/>
          <w:sz w:val="22"/>
        </w:rPr>
        <w:t> </w:t>
      </w:r>
      <w:r>
        <w:rPr>
          <w:sz w:val="22"/>
        </w:rPr>
        <w:t>and</w:t>
      </w:r>
      <w:r>
        <w:rPr>
          <w:spacing w:val="-11"/>
          <w:sz w:val="22"/>
        </w:rPr>
        <w:t> </w:t>
      </w:r>
      <w:r>
        <w:rPr>
          <w:sz w:val="22"/>
        </w:rPr>
        <w:t>Michael</w:t>
      </w:r>
      <w:r>
        <w:rPr>
          <w:spacing w:val="-11"/>
          <w:sz w:val="22"/>
        </w:rPr>
        <w:t> </w:t>
      </w:r>
      <w:r>
        <w:rPr>
          <w:sz w:val="22"/>
        </w:rPr>
        <w:t>J.</w:t>
      </w:r>
      <w:r>
        <w:rPr>
          <w:spacing w:val="-11"/>
          <w:sz w:val="22"/>
        </w:rPr>
        <w:t> </w:t>
      </w:r>
      <w:r>
        <w:rPr>
          <w:sz w:val="22"/>
        </w:rPr>
        <w:t>Tierney.</w:t>
      </w:r>
      <w:r>
        <w:rPr>
          <w:spacing w:val="-11"/>
          <w:sz w:val="22"/>
        </w:rPr>
        <w:t> </w:t>
      </w:r>
      <w:r>
        <w:rPr>
          <w:sz w:val="22"/>
        </w:rPr>
        <w:t>2021.</w:t>
      </w:r>
      <w:r>
        <w:rPr>
          <w:spacing w:val="-11"/>
          <w:sz w:val="22"/>
        </w:rPr>
        <w:t> </w:t>
      </w:r>
      <w:r>
        <w:rPr>
          <w:sz w:val="22"/>
        </w:rPr>
        <w:t>Aid, China, and Growth: Evidence from a New Global Development Finance Dataset. </w:t>
      </w:r>
      <w:r>
        <w:rPr>
          <w:i/>
          <w:sz w:val="22"/>
        </w:rPr>
        <w:t>American</w:t>
      </w:r>
      <w:r>
        <w:rPr>
          <w:i/>
          <w:sz w:val="22"/>
        </w:rPr>
        <w:t> Economic Journal: Economic Policy </w:t>
      </w:r>
      <w:r>
        <w:rPr>
          <w:sz w:val="22"/>
        </w:rPr>
        <w:t>13 (2): 135-174.</w:t>
      </w:r>
    </w:p>
    <w:p>
      <w:pPr>
        <w:pStyle w:val="BodyText"/>
        <w:spacing w:before="6"/>
      </w:pPr>
    </w:p>
    <w:p>
      <w:pPr>
        <w:spacing w:before="0"/>
        <w:ind w:left="400" w:right="0" w:firstLine="0"/>
        <w:jc w:val="left"/>
        <w:rPr>
          <w:sz w:val="22"/>
        </w:rPr>
      </w:pPr>
      <w:r>
        <w:rPr>
          <w:spacing w:val="-2"/>
          <w:sz w:val="22"/>
        </w:rPr>
        <w:t>Dreher,</w:t>
      </w:r>
      <w:r>
        <w:rPr>
          <w:spacing w:val="-8"/>
          <w:sz w:val="22"/>
        </w:rPr>
        <w:t> </w:t>
      </w:r>
      <w:r>
        <w:rPr>
          <w:spacing w:val="-2"/>
          <w:sz w:val="22"/>
        </w:rPr>
        <w:t>Axel,</w:t>
      </w:r>
      <w:r>
        <w:rPr>
          <w:spacing w:val="-7"/>
          <w:sz w:val="22"/>
        </w:rPr>
        <w:t> </w:t>
      </w:r>
      <w:r>
        <w:rPr>
          <w:spacing w:val="-2"/>
          <w:sz w:val="22"/>
        </w:rPr>
        <w:t>Andreas</w:t>
      </w:r>
      <w:r>
        <w:rPr>
          <w:spacing w:val="-8"/>
          <w:sz w:val="22"/>
        </w:rPr>
        <w:t> </w:t>
      </w:r>
      <w:r>
        <w:rPr>
          <w:spacing w:val="-2"/>
          <w:sz w:val="22"/>
        </w:rPr>
        <w:t>Fuchs,</w:t>
      </w:r>
      <w:r>
        <w:rPr>
          <w:spacing w:val="-7"/>
          <w:sz w:val="22"/>
        </w:rPr>
        <w:t> </w:t>
      </w:r>
      <w:r>
        <w:rPr>
          <w:spacing w:val="-2"/>
          <w:sz w:val="22"/>
        </w:rPr>
        <w:t>Bradley</w:t>
      </w:r>
      <w:r>
        <w:rPr>
          <w:spacing w:val="-8"/>
          <w:sz w:val="22"/>
        </w:rPr>
        <w:t> </w:t>
      </w:r>
      <w:r>
        <w:rPr>
          <w:spacing w:val="-2"/>
          <w:sz w:val="22"/>
        </w:rPr>
        <w:t>Parks,</w:t>
      </w:r>
      <w:r>
        <w:rPr>
          <w:spacing w:val="-7"/>
          <w:sz w:val="22"/>
        </w:rPr>
        <w:t> </w:t>
      </w:r>
      <w:r>
        <w:rPr>
          <w:spacing w:val="-2"/>
          <w:sz w:val="22"/>
        </w:rPr>
        <w:t>Austin</w:t>
      </w:r>
      <w:r>
        <w:rPr>
          <w:spacing w:val="-8"/>
          <w:sz w:val="22"/>
        </w:rPr>
        <w:t> </w:t>
      </w:r>
      <w:r>
        <w:rPr>
          <w:spacing w:val="-2"/>
          <w:sz w:val="22"/>
        </w:rPr>
        <w:t>Strange,</w:t>
      </w:r>
      <w:r>
        <w:rPr>
          <w:spacing w:val="-7"/>
          <w:sz w:val="22"/>
        </w:rPr>
        <w:t> </w:t>
      </w:r>
      <w:r>
        <w:rPr>
          <w:spacing w:val="-2"/>
          <w:sz w:val="22"/>
        </w:rPr>
        <w:t>and</w:t>
      </w:r>
      <w:r>
        <w:rPr>
          <w:spacing w:val="-8"/>
          <w:sz w:val="22"/>
        </w:rPr>
        <w:t> </w:t>
      </w:r>
      <w:r>
        <w:rPr>
          <w:spacing w:val="-2"/>
          <w:sz w:val="22"/>
        </w:rPr>
        <w:t>Michael</w:t>
      </w:r>
      <w:r>
        <w:rPr>
          <w:spacing w:val="-7"/>
          <w:sz w:val="22"/>
        </w:rPr>
        <w:t> </w:t>
      </w:r>
      <w:r>
        <w:rPr>
          <w:spacing w:val="-2"/>
          <w:sz w:val="22"/>
        </w:rPr>
        <w:t>J.</w:t>
      </w:r>
      <w:r>
        <w:rPr>
          <w:spacing w:val="-8"/>
          <w:sz w:val="22"/>
        </w:rPr>
        <w:t> </w:t>
      </w:r>
      <w:r>
        <w:rPr>
          <w:spacing w:val="-2"/>
          <w:sz w:val="22"/>
        </w:rPr>
        <w:t>Tierney.</w:t>
      </w:r>
      <w:r>
        <w:rPr>
          <w:spacing w:val="-7"/>
          <w:sz w:val="22"/>
        </w:rPr>
        <w:t> </w:t>
      </w:r>
      <w:r>
        <w:rPr>
          <w:spacing w:val="-2"/>
          <w:sz w:val="22"/>
        </w:rPr>
        <w:t>2022.</w:t>
      </w:r>
    </w:p>
    <w:p>
      <w:pPr>
        <w:spacing w:before="51"/>
        <w:ind w:left="400" w:right="0" w:firstLine="0"/>
        <w:jc w:val="left"/>
        <w:rPr>
          <w:i/>
          <w:sz w:val="22"/>
        </w:rPr>
      </w:pPr>
      <w:r>
        <w:rPr>
          <w:i/>
          <w:sz w:val="22"/>
        </w:rPr>
        <w:t>Banking</w:t>
      </w:r>
      <w:r>
        <w:rPr>
          <w:i/>
          <w:spacing w:val="-11"/>
          <w:sz w:val="22"/>
        </w:rPr>
        <w:t> </w:t>
      </w:r>
      <w:r>
        <w:rPr>
          <w:i/>
          <w:sz w:val="22"/>
        </w:rPr>
        <w:t>on</w:t>
      </w:r>
      <w:r>
        <w:rPr>
          <w:i/>
          <w:spacing w:val="-10"/>
          <w:sz w:val="22"/>
        </w:rPr>
        <w:t> </w:t>
      </w:r>
      <w:r>
        <w:rPr>
          <w:i/>
          <w:sz w:val="22"/>
        </w:rPr>
        <w:t>Beijing:</w:t>
      </w:r>
      <w:r>
        <w:rPr>
          <w:i/>
          <w:spacing w:val="-11"/>
          <w:sz w:val="22"/>
        </w:rPr>
        <w:t> </w:t>
      </w:r>
      <w:r>
        <w:rPr>
          <w:i/>
          <w:sz w:val="22"/>
        </w:rPr>
        <w:t>The</w:t>
      </w:r>
      <w:r>
        <w:rPr>
          <w:i/>
          <w:spacing w:val="-10"/>
          <w:sz w:val="22"/>
        </w:rPr>
        <w:t> </w:t>
      </w:r>
      <w:r>
        <w:rPr>
          <w:i/>
          <w:sz w:val="22"/>
        </w:rPr>
        <w:t>Aims</w:t>
      </w:r>
      <w:r>
        <w:rPr>
          <w:i/>
          <w:spacing w:val="-11"/>
          <w:sz w:val="22"/>
        </w:rPr>
        <w:t> </w:t>
      </w:r>
      <w:r>
        <w:rPr>
          <w:i/>
          <w:sz w:val="22"/>
        </w:rPr>
        <w:t>and</w:t>
      </w:r>
      <w:r>
        <w:rPr>
          <w:i/>
          <w:spacing w:val="-10"/>
          <w:sz w:val="22"/>
        </w:rPr>
        <w:t> </w:t>
      </w:r>
      <w:r>
        <w:rPr>
          <w:i/>
          <w:sz w:val="22"/>
        </w:rPr>
        <w:t>Impacts</w:t>
      </w:r>
      <w:r>
        <w:rPr>
          <w:i/>
          <w:spacing w:val="-11"/>
          <w:sz w:val="22"/>
        </w:rPr>
        <w:t> </w:t>
      </w:r>
      <w:r>
        <w:rPr>
          <w:i/>
          <w:sz w:val="22"/>
        </w:rPr>
        <w:t>of</w:t>
      </w:r>
      <w:r>
        <w:rPr>
          <w:i/>
          <w:spacing w:val="-10"/>
          <w:sz w:val="22"/>
        </w:rPr>
        <w:t> </w:t>
      </w:r>
      <w:r>
        <w:rPr>
          <w:i/>
          <w:sz w:val="22"/>
        </w:rPr>
        <w:t>China’s</w:t>
      </w:r>
      <w:r>
        <w:rPr>
          <w:i/>
          <w:spacing w:val="-11"/>
          <w:sz w:val="22"/>
        </w:rPr>
        <w:t> </w:t>
      </w:r>
      <w:r>
        <w:rPr>
          <w:i/>
          <w:sz w:val="22"/>
        </w:rPr>
        <w:t>Overseas</w:t>
      </w:r>
      <w:r>
        <w:rPr>
          <w:i/>
          <w:spacing w:val="-10"/>
          <w:sz w:val="22"/>
        </w:rPr>
        <w:t> </w:t>
      </w:r>
      <w:r>
        <w:rPr>
          <w:i/>
          <w:sz w:val="22"/>
        </w:rPr>
        <w:t>Development</w:t>
      </w:r>
      <w:r>
        <w:rPr>
          <w:i/>
          <w:spacing w:val="-11"/>
          <w:sz w:val="22"/>
        </w:rPr>
        <w:t> </w:t>
      </w:r>
      <w:r>
        <w:rPr>
          <w:i/>
          <w:spacing w:val="-2"/>
          <w:sz w:val="22"/>
        </w:rPr>
        <w:t>Program.</w:t>
      </w:r>
    </w:p>
    <w:p>
      <w:pPr>
        <w:spacing w:before="51"/>
        <w:ind w:left="400" w:right="0" w:firstLine="0"/>
        <w:jc w:val="left"/>
        <w:rPr>
          <w:sz w:val="22"/>
        </w:rPr>
      </w:pPr>
      <w:r>
        <w:rPr>
          <w:sz w:val="22"/>
        </w:rPr>
        <w:t>Cambridge,</w:t>
      </w:r>
      <w:r>
        <w:rPr>
          <w:spacing w:val="-5"/>
          <w:sz w:val="22"/>
        </w:rPr>
        <w:t> </w:t>
      </w:r>
      <w:r>
        <w:rPr>
          <w:sz w:val="22"/>
        </w:rPr>
        <w:t>UK:</w:t>
      </w:r>
      <w:r>
        <w:rPr>
          <w:spacing w:val="-5"/>
          <w:sz w:val="22"/>
        </w:rPr>
        <w:t> </w:t>
      </w:r>
      <w:r>
        <w:rPr>
          <w:sz w:val="22"/>
        </w:rPr>
        <w:t>Cambridge</w:t>
      </w:r>
      <w:r>
        <w:rPr>
          <w:spacing w:val="-4"/>
          <w:sz w:val="22"/>
        </w:rPr>
        <w:t> </w:t>
      </w:r>
      <w:r>
        <w:rPr>
          <w:sz w:val="22"/>
        </w:rPr>
        <w:t>University</w:t>
      </w:r>
      <w:r>
        <w:rPr>
          <w:spacing w:val="-5"/>
          <w:sz w:val="22"/>
        </w:rPr>
        <w:t> </w:t>
      </w:r>
      <w:r>
        <w:rPr>
          <w:spacing w:val="-2"/>
          <w:sz w:val="22"/>
        </w:rPr>
        <w:t>Press.</w:t>
      </w:r>
    </w:p>
    <w:p>
      <w:pPr>
        <w:spacing w:after="0"/>
        <w:jc w:val="left"/>
        <w:rPr>
          <w:sz w:val="22"/>
        </w:rPr>
        <w:sectPr>
          <w:footerReference w:type="default" r:id="rId45"/>
          <w:pgSz w:w="12240" w:h="15840"/>
          <w:pgMar w:footer="0" w:header="0" w:top="1400" w:bottom="280" w:left="1040" w:right="1040"/>
        </w:sectPr>
      </w:pPr>
    </w:p>
    <w:p>
      <w:pPr>
        <w:spacing w:line="288" w:lineRule="auto" w:before="44"/>
        <w:ind w:left="400" w:right="896" w:firstLine="0"/>
        <w:jc w:val="left"/>
        <w:rPr>
          <w:sz w:val="22"/>
        </w:rPr>
      </w:pPr>
      <w:r>
        <w:rPr>
          <w:sz w:val="22"/>
        </w:rPr>
        <w:t>Dyer,</w:t>
      </w:r>
      <w:r>
        <w:rPr>
          <w:spacing w:val="-5"/>
          <w:sz w:val="22"/>
        </w:rPr>
        <w:t> </w:t>
      </w:r>
      <w:r>
        <w:rPr>
          <w:sz w:val="22"/>
        </w:rPr>
        <w:t>Geoff,</w:t>
      </w:r>
      <w:r>
        <w:rPr>
          <w:spacing w:val="-5"/>
          <w:sz w:val="22"/>
        </w:rPr>
        <w:t> </w:t>
      </w:r>
      <w:r>
        <w:rPr>
          <w:sz w:val="22"/>
        </w:rPr>
        <w:t>Jamil</w:t>
      </w:r>
      <w:r>
        <w:rPr>
          <w:spacing w:val="-5"/>
          <w:sz w:val="22"/>
        </w:rPr>
        <w:t> </w:t>
      </w:r>
      <w:r>
        <w:rPr>
          <w:sz w:val="22"/>
        </w:rPr>
        <w:t>Anderlini,</w:t>
      </w:r>
      <w:r>
        <w:rPr>
          <w:spacing w:val="-5"/>
          <w:sz w:val="22"/>
        </w:rPr>
        <w:t> </w:t>
      </w:r>
      <w:r>
        <w:rPr>
          <w:sz w:val="22"/>
        </w:rPr>
        <w:t>and</w:t>
      </w:r>
      <w:r>
        <w:rPr>
          <w:spacing w:val="-5"/>
          <w:sz w:val="22"/>
        </w:rPr>
        <w:t> </w:t>
      </w:r>
      <w:r>
        <w:rPr>
          <w:sz w:val="22"/>
        </w:rPr>
        <w:t>Henny</w:t>
      </w:r>
      <w:r>
        <w:rPr>
          <w:spacing w:val="-5"/>
          <w:sz w:val="22"/>
        </w:rPr>
        <w:t> </w:t>
      </w:r>
      <w:r>
        <w:rPr>
          <w:sz w:val="22"/>
        </w:rPr>
        <w:t>Sender.</w:t>
      </w:r>
      <w:r>
        <w:rPr>
          <w:spacing w:val="-5"/>
          <w:sz w:val="22"/>
        </w:rPr>
        <w:t> </w:t>
      </w:r>
      <w:r>
        <w:rPr>
          <w:sz w:val="22"/>
        </w:rPr>
        <w:t>2011.</w:t>
      </w:r>
      <w:r>
        <w:rPr>
          <w:spacing w:val="-5"/>
          <w:sz w:val="22"/>
        </w:rPr>
        <w:t> </w:t>
      </w:r>
      <w:r>
        <w:rPr>
          <w:sz w:val="22"/>
        </w:rPr>
        <w:t>China’s</w:t>
      </w:r>
      <w:r>
        <w:rPr>
          <w:spacing w:val="-5"/>
          <w:sz w:val="22"/>
        </w:rPr>
        <w:t> </w:t>
      </w:r>
      <w:r>
        <w:rPr>
          <w:sz w:val="22"/>
        </w:rPr>
        <w:t>lending</w:t>
      </w:r>
      <w:r>
        <w:rPr>
          <w:spacing w:val="-5"/>
          <w:sz w:val="22"/>
        </w:rPr>
        <w:t> </w:t>
      </w:r>
      <w:r>
        <w:rPr>
          <w:sz w:val="22"/>
        </w:rPr>
        <w:t>hits</w:t>
      </w:r>
      <w:r>
        <w:rPr>
          <w:spacing w:val="-5"/>
          <w:sz w:val="22"/>
        </w:rPr>
        <w:t> </w:t>
      </w:r>
      <w:r>
        <w:rPr>
          <w:sz w:val="22"/>
        </w:rPr>
        <w:t>new</w:t>
      </w:r>
      <w:r>
        <w:rPr>
          <w:spacing w:val="-5"/>
          <w:sz w:val="22"/>
        </w:rPr>
        <w:t> </w:t>
      </w:r>
      <w:r>
        <w:rPr>
          <w:sz w:val="22"/>
        </w:rPr>
        <w:t>heights.</w:t>
      </w:r>
      <w:r>
        <w:rPr>
          <w:spacing w:val="-5"/>
          <w:sz w:val="22"/>
        </w:rPr>
        <w:t> </w:t>
      </w:r>
      <w:r>
        <w:rPr>
          <w:sz w:val="22"/>
        </w:rPr>
        <w:t>17 January 2011. </w:t>
      </w:r>
      <w:r>
        <w:rPr>
          <w:i/>
          <w:sz w:val="22"/>
        </w:rPr>
        <w:t>Financial Times. </w:t>
      </w:r>
      <w:r>
        <w:rPr>
          <w:sz w:val="22"/>
        </w:rPr>
        <w:t>Accessed on 3 August 2023 at </w:t>
      </w:r>
      <w:hyperlink r:id="rId51">
        <w:r>
          <w:rPr>
            <w:color w:val="1154CC"/>
            <w:spacing w:val="-2"/>
            <w:w w:val="105"/>
            <w:sz w:val="22"/>
            <w:u w:val="thick" w:color="1154CC"/>
          </w:rPr>
          <w:t>https://www.ft.com/content/488c60f4-2281-11e0-b6a2-00144feab49a</w:t>
        </w:r>
      </w:hyperlink>
    </w:p>
    <w:p>
      <w:pPr>
        <w:pStyle w:val="BodyText"/>
        <w:spacing w:before="5"/>
      </w:pPr>
    </w:p>
    <w:p>
      <w:pPr>
        <w:spacing w:line="288" w:lineRule="auto" w:before="0"/>
        <w:ind w:left="400" w:right="398" w:firstLine="0"/>
        <w:jc w:val="left"/>
        <w:rPr>
          <w:sz w:val="22"/>
        </w:rPr>
      </w:pPr>
      <w:r>
        <w:rPr>
          <w:sz w:val="22"/>
        </w:rPr>
        <w:t>Embassy</w:t>
      </w:r>
      <w:r>
        <w:rPr>
          <w:spacing w:val="-1"/>
          <w:sz w:val="22"/>
        </w:rPr>
        <w:t> </w:t>
      </w:r>
      <w:r>
        <w:rPr>
          <w:sz w:val="22"/>
        </w:rPr>
        <w:t>of</w:t>
      </w:r>
      <w:r>
        <w:rPr>
          <w:spacing w:val="-1"/>
          <w:sz w:val="22"/>
        </w:rPr>
        <w:t> </w:t>
      </w:r>
      <w:r>
        <w:rPr>
          <w:sz w:val="22"/>
        </w:rPr>
        <w:t>the</w:t>
      </w:r>
      <w:r>
        <w:rPr>
          <w:spacing w:val="-1"/>
          <w:sz w:val="22"/>
        </w:rPr>
        <w:t> </w:t>
      </w:r>
      <w:r>
        <w:rPr>
          <w:sz w:val="22"/>
        </w:rPr>
        <w:t>People's</w:t>
      </w:r>
      <w:r>
        <w:rPr>
          <w:spacing w:val="-1"/>
          <w:sz w:val="22"/>
        </w:rPr>
        <w:t> </w:t>
      </w:r>
      <w:r>
        <w:rPr>
          <w:sz w:val="22"/>
        </w:rPr>
        <w:t>Republic</w:t>
      </w:r>
      <w:r>
        <w:rPr>
          <w:spacing w:val="-1"/>
          <w:sz w:val="22"/>
        </w:rPr>
        <w:t> </w:t>
      </w:r>
      <w:r>
        <w:rPr>
          <w:sz w:val="22"/>
        </w:rPr>
        <w:t>of</w:t>
      </w:r>
      <w:r>
        <w:rPr>
          <w:spacing w:val="-1"/>
          <w:sz w:val="22"/>
        </w:rPr>
        <w:t> </w:t>
      </w:r>
      <w:r>
        <w:rPr>
          <w:sz w:val="22"/>
        </w:rPr>
        <w:t>China</w:t>
      </w:r>
      <w:r>
        <w:rPr>
          <w:spacing w:val="-1"/>
          <w:sz w:val="22"/>
        </w:rPr>
        <w:t> </w:t>
      </w:r>
      <w:r>
        <w:rPr>
          <w:sz w:val="22"/>
        </w:rPr>
        <w:t>in</w:t>
      </w:r>
      <w:r>
        <w:rPr>
          <w:spacing w:val="-1"/>
          <w:sz w:val="22"/>
        </w:rPr>
        <w:t> </w:t>
      </w:r>
      <w:r>
        <w:rPr>
          <w:sz w:val="22"/>
        </w:rPr>
        <w:t>the</w:t>
      </w:r>
      <w:r>
        <w:rPr>
          <w:spacing w:val="-1"/>
          <w:sz w:val="22"/>
        </w:rPr>
        <w:t> </w:t>
      </w:r>
      <w:r>
        <w:rPr>
          <w:sz w:val="22"/>
        </w:rPr>
        <w:t>Republic</w:t>
      </w:r>
      <w:r>
        <w:rPr>
          <w:spacing w:val="-1"/>
          <w:sz w:val="22"/>
        </w:rPr>
        <w:t> </w:t>
      </w:r>
      <w:r>
        <w:rPr>
          <w:sz w:val="22"/>
        </w:rPr>
        <w:t>of</w:t>
      </w:r>
      <w:r>
        <w:rPr>
          <w:spacing w:val="-1"/>
          <w:sz w:val="22"/>
        </w:rPr>
        <w:t> </w:t>
      </w:r>
      <w:r>
        <w:rPr>
          <w:sz w:val="22"/>
        </w:rPr>
        <w:t>the</w:t>
      </w:r>
      <w:r>
        <w:rPr>
          <w:spacing w:val="-1"/>
          <w:sz w:val="22"/>
        </w:rPr>
        <w:t> </w:t>
      </w:r>
      <w:r>
        <w:rPr>
          <w:sz w:val="22"/>
        </w:rPr>
        <w:t>Philippines.</w:t>
      </w:r>
      <w:r>
        <w:rPr>
          <w:spacing w:val="-1"/>
          <w:sz w:val="22"/>
        </w:rPr>
        <w:t> </w:t>
      </w:r>
      <w:r>
        <w:rPr>
          <w:sz w:val="22"/>
        </w:rPr>
        <w:t>2019.</w:t>
      </w:r>
      <w:r>
        <w:rPr>
          <w:spacing w:val="-1"/>
          <w:sz w:val="22"/>
        </w:rPr>
        <w:t> </w:t>
      </w:r>
      <w:r>
        <w:rPr>
          <w:sz w:val="22"/>
        </w:rPr>
        <w:t>Belt</w:t>
      </w:r>
      <w:r>
        <w:rPr>
          <w:spacing w:val="-1"/>
          <w:sz w:val="22"/>
        </w:rPr>
        <w:t> </w:t>
      </w:r>
      <w:r>
        <w:rPr>
          <w:sz w:val="22"/>
        </w:rPr>
        <w:t>and Road Primer. Accessed on 1 July 2023 at</w:t>
      </w:r>
    </w:p>
    <w:p>
      <w:pPr>
        <w:spacing w:before="0"/>
        <w:ind w:left="400" w:right="0" w:firstLine="0"/>
        <w:jc w:val="left"/>
        <w:rPr>
          <w:sz w:val="22"/>
        </w:rPr>
      </w:pPr>
      <w:r>
        <w:rPr>
          <w:spacing w:val="-2"/>
          <w:sz w:val="22"/>
        </w:rPr>
        <w:t>ph.china-embassy.gov.cn/eng/sgdt/201904/t20190411_1182334.htm</w:t>
      </w:r>
    </w:p>
    <w:p>
      <w:pPr>
        <w:pStyle w:val="BodyText"/>
        <w:spacing w:before="8"/>
        <w:rPr>
          <w:sz w:val="28"/>
        </w:rPr>
      </w:pPr>
    </w:p>
    <w:p>
      <w:pPr>
        <w:spacing w:line="338" w:lineRule="auto" w:before="0"/>
        <w:ind w:left="400" w:right="0" w:firstLine="0"/>
        <w:jc w:val="left"/>
        <w:rPr>
          <w:sz w:val="22"/>
        </w:rPr>
      </w:pPr>
      <w:r>
        <w:rPr>
          <w:sz w:val="22"/>
        </w:rPr>
        <w:t>Ferry,</w:t>
      </w:r>
      <w:r>
        <w:rPr>
          <w:spacing w:val="-2"/>
          <w:sz w:val="22"/>
        </w:rPr>
        <w:t> </w:t>
      </w:r>
      <w:r>
        <w:rPr>
          <w:sz w:val="22"/>
        </w:rPr>
        <w:t>Lauren</w:t>
      </w:r>
      <w:r>
        <w:rPr>
          <w:spacing w:val="-2"/>
          <w:sz w:val="22"/>
        </w:rPr>
        <w:t> </w:t>
      </w:r>
      <w:r>
        <w:rPr>
          <w:sz w:val="22"/>
        </w:rPr>
        <w:t>and</w:t>
      </w:r>
      <w:r>
        <w:rPr>
          <w:spacing w:val="-2"/>
          <w:sz w:val="22"/>
        </w:rPr>
        <w:t> </w:t>
      </w:r>
      <w:r>
        <w:rPr>
          <w:sz w:val="22"/>
        </w:rPr>
        <w:t>Alexandra</w:t>
      </w:r>
      <w:r>
        <w:rPr>
          <w:spacing w:val="-2"/>
          <w:sz w:val="22"/>
        </w:rPr>
        <w:t> </w:t>
      </w:r>
      <w:r>
        <w:rPr>
          <w:sz w:val="22"/>
        </w:rPr>
        <w:t>Zeitz.</w:t>
      </w:r>
      <w:r>
        <w:rPr>
          <w:spacing w:val="-2"/>
          <w:sz w:val="22"/>
        </w:rPr>
        <w:t> </w:t>
      </w:r>
      <w:r>
        <w:rPr>
          <w:sz w:val="22"/>
        </w:rPr>
        <w:t>2023.</w:t>
      </w:r>
      <w:r>
        <w:rPr>
          <w:spacing w:val="-2"/>
          <w:sz w:val="22"/>
        </w:rPr>
        <w:t> </w:t>
      </w:r>
      <w:r>
        <w:rPr>
          <w:sz w:val="22"/>
        </w:rPr>
        <w:t>China,</w:t>
      </w:r>
      <w:r>
        <w:rPr>
          <w:spacing w:val="-2"/>
          <w:sz w:val="22"/>
        </w:rPr>
        <w:t> </w:t>
      </w:r>
      <w:r>
        <w:rPr>
          <w:sz w:val="22"/>
        </w:rPr>
        <w:t>the</w:t>
      </w:r>
      <w:r>
        <w:rPr>
          <w:spacing w:val="-2"/>
          <w:sz w:val="22"/>
        </w:rPr>
        <w:t> </w:t>
      </w:r>
      <w:r>
        <w:rPr>
          <w:sz w:val="22"/>
        </w:rPr>
        <w:t>IMF,</w:t>
      </w:r>
      <w:r>
        <w:rPr>
          <w:spacing w:val="-2"/>
          <w:sz w:val="22"/>
        </w:rPr>
        <w:t> </w:t>
      </w:r>
      <w:r>
        <w:rPr>
          <w:sz w:val="22"/>
        </w:rPr>
        <w:t>and</w:t>
      </w:r>
      <w:r>
        <w:rPr>
          <w:spacing w:val="-2"/>
          <w:sz w:val="22"/>
        </w:rPr>
        <w:t> </w:t>
      </w:r>
      <w:r>
        <w:rPr>
          <w:sz w:val="22"/>
        </w:rPr>
        <w:t>Sovereign</w:t>
      </w:r>
      <w:r>
        <w:rPr>
          <w:spacing w:val="-2"/>
          <w:sz w:val="22"/>
        </w:rPr>
        <w:t> </w:t>
      </w:r>
      <w:r>
        <w:rPr>
          <w:sz w:val="22"/>
        </w:rPr>
        <w:t>Debt</w:t>
      </w:r>
      <w:r>
        <w:rPr>
          <w:spacing w:val="-2"/>
          <w:sz w:val="22"/>
        </w:rPr>
        <w:t> </w:t>
      </w:r>
      <w:r>
        <w:rPr>
          <w:sz w:val="22"/>
        </w:rPr>
        <w:t>Crisis.</w:t>
      </w:r>
      <w:r>
        <w:rPr>
          <w:spacing w:val="-2"/>
          <w:sz w:val="22"/>
        </w:rPr>
        <w:t> </w:t>
      </w:r>
      <w:r>
        <w:rPr>
          <w:sz w:val="22"/>
        </w:rPr>
        <w:t>Paper presented</w:t>
      </w:r>
      <w:r>
        <w:rPr>
          <w:spacing w:val="-1"/>
          <w:sz w:val="22"/>
        </w:rPr>
        <w:t> </w:t>
      </w:r>
      <w:r>
        <w:rPr>
          <w:sz w:val="22"/>
        </w:rPr>
        <w:t>at</w:t>
      </w:r>
      <w:r>
        <w:rPr>
          <w:spacing w:val="-1"/>
          <w:sz w:val="22"/>
        </w:rPr>
        <w:t> </w:t>
      </w:r>
      <w:r>
        <w:rPr>
          <w:sz w:val="22"/>
        </w:rPr>
        <w:t>the</w:t>
      </w:r>
      <w:r>
        <w:rPr>
          <w:spacing w:val="-1"/>
          <w:sz w:val="22"/>
        </w:rPr>
        <w:t> </w:t>
      </w:r>
      <w:r>
        <w:rPr>
          <w:sz w:val="22"/>
        </w:rPr>
        <w:t>6th</w:t>
      </w:r>
      <w:r>
        <w:rPr>
          <w:spacing w:val="-1"/>
          <w:sz w:val="22"/>
        </w:rPr>
        <w:t> </w:t>
      </w:r>
      <w:r>
        <w:rPr>
          <w:sz w:val="22"/>
        </w:rPr>
        <w:t>Interdisciplinary</w:t>
      </w:r>
      <w:r>
        <w:rPr>
          <w:spacing w:val="-1"/>
          <w:sz w:val="22"/>
        </w:rPr>
        <w:t> </w:t>
      </w:r>
      <w:r>
        <w:rPr>
          <w:sz w:val="22"/>
        </w:rPr>
        <w:t>Sovereign</w:t>
      </w:r>
      <w:r>
        <w:rPr>
          <w:spacing w:val="-1"/>
          <w:sz w:val="22"/>
        </w:rPr>
        <w:t> </w:t>
      </w:r>
      <w:r>
        <w:rPr>
          <w:sz w:val="22"/>
        </w:rPr>
        <w:t>Debt</w:t>
      </w:r>
      <w:r>
        <w:rPr>
          <w:spacing w:val="-1"/>
          <w:sz w:val="22"/>
        </w:rPr>
        <w:t> </w:t>
      </w:r>
      <w:r>
        <w:rPr>
          <w:sz w:val="22"/>
        </w:rPr>
        <w:t>Research</w:t>
      </w:r>
      <w:r>
        <w:rPr>
          <w:spacing w:val="-1"/>
          <w:sz w:val="22"/>
        </w:rPr>
        <w:t> </w:t>
      </w:r>
      <w:r>
        <w:rPr>
          <w:sz w:val="22"/>
        </w:rPr>
        <w:t>and</w:t>
      </w:r>
      <w:r>
        <w:rPr>
          <w:spacing w:val="-1"/>
          <w:sz w:val="22"/>
        </w:rPr>
        <w:t> </w:t>
      </w:r>
      <w:r>
        <w:rPr>
          <w:sz w:val="22"/>
        </w:rPr>
        <w:t>Management</w:t>
      </w:r>
      <w:r>
        <w:rPr>
          <w:spacing w:val="-1"/>
          <w:sz w:val="22"/>
        </w:rPr>
        <w:t> </w:t>
      </w:r>
      <w:r>
        <w:rPr>
          <w:sz w:val="22"/>
        </w:rPr>
        <w:t>Conference (DebtCon6) at Princeton University from 27-29 April 2023. Accessed on 1 August 2023 at </w:t>
      </w:r>
      <w:hyperlink r:id="rId52">
        <w:r>
          <w:rPr>
            <w:color w:val="1154CC"/>
            <w:spacing w:val="-2"/>
            <w:w w:val="105"/>
            <w:sz w:val="22"/>
            <w:u w:val="thick" w:color="1154CC"/>
          </w:rPr>
          <w:t>https://debtcon6.princeton.edu/sites/g/ﬁles/toruqf3611/ﬁles/documents/ferry.pdf</w:t>
        </w:r>
      </w:hyperlink>
    </w:p>
    <w:p>
      <w:pPr>
        <w:pStyle w:val="BodyText"/>
        <w:spacing w:before="3"/>
      </w:pPr>
    </w:p>
    <w:p>
      <w:pPr>
        <w:spacing w:line="288" w:lineRule="auto" w:before="0"/>
        <w:ind w:left="400" w:right="398" w:firstLine="0"/>
        <w:jc w:val="left"/>
        <w:rPr>
          <w:sz w:val="22"/>
        </w:rPr>
      </w:pPr>
      <w:r>
        <w:rPr>
          <w:sz w:val="22"/>
        </w:rPr>
        <w:t>Gallagher,</w:t>
      </w:r>
      <w:r>
        <w:rPr>
          <w:spacing w:val="-12"/>
          <w:sz w:val="22"/>
        </w:rPr>
        <w:t> </w:t>
      </w:r>
      <w:r>
        <w:rPr>
          <w:sz w:val="22"/>
        </w:rPr>
        <w:t>Kevin</w:t>
      </w:r>
      <w:r>
        <w:rPr>
          <w:spacing w:val="-12"/>
          <w:sz w:val="22"/>
        </w:rPr>
        <w:t> </w:t>
      </w:r>
      <w:r>
        <w:rPr>
          <w:sz w:val="22"/>
        </w:rPr>
        <w:t>P.</w:t>
      </w:r>
      <w:r>
        <w:rPr>
          <w:spacing w:val="-12"/>
          <w:sz w:val="22"/>
        </w:rPr>
        <w:t> </w:t>
      </w:r>
      <w:r>
        <w:rPr>
          <w:sz w:val="22"/>
        </w:rPr>
        <w:t>and</w:t>
      </w:r>
      <w:r>
        <w:rPr>
          <w:spacing w:val="-12"/>
          <w:sz w:val="22"/>
        </w:rPr>
        <w:t> </w:t>
      </w:r>
      <w:r>
        <w:rPr>
          <w:sz w:val="22"/>
        </w:rPr>
        <w:t>Rebecca</w:t>
      </w:r>
      <w:r>
        <w:rPr>
          <w:spacing w:val="-12"/>
          <w:sz w:val="22"/>
        </w:rPr>
        <w:t> </w:t>
      </w:r>
      <w:r>
        <w:rPr>
          <w:sz w:val="22"/>
        </w:rPr>
        <w:t>Ray.</w:t>
      </w:r>
      <w:r>
        <w:rPr>
          <w:spacing w:val="-12"/>
          <w:sz w:val="22"/>
        </w:rPr>
        <w:t> </w:t>
      </w:r>
      <w:r>
        <w:rPr>
          <w:sz w:val="22"/>
        </w:rPr>
        <w:t>2020.</w:t>
      </w:r>
      <w:r>
        <w:rPr>
          <w:spacing w:val="-12"/>
          <w:sz w:val="22"/>
        </w:rPr>
        <w:t> </w:t>
      </w:r>
      <w:r>
        <w:rPr>
          <w:sz w:val="22"/>
        </w:rPr>
        <w:t>Scope</w:t>
      </w:r>
      <w:r>
        <w:rPr>
          <w:spacing w:val="-12"/>
          <w:sz w:val="22"/>
        </w:rPr>
        <w:t> </w:t>
      </w:r>
      <w:r>
        <w:rPr>
          <w:sz w:val="22"/>
        </w:rPr>
        <w:t>and</w:t>
      </w:r>
      <w:r>
        <w:rPr>
          <w:spacing w:val="-12"/>
          <w:sz w:val="22"/>
        </w:rPr>
        <w:t> </w:t>
      </w:r>
      <w:r>
        <w:rPr>
          <w:sz w:val="22"/>
        </w:rPr>
        <w:t>Findings:</w:t>
      </w:r>
      <w:r>
        <w:rPr>
          <w:spacing w:val="-12"/>
          <w:sz w:val="22"/>
        </w:rPr>
        <w:t> </w:t>
      </w:r>
      <w:r>
        <w:rPr>
          <w:sz w:val="22"/>
        </w:rPr>
        <w:t>China’s</w:t>
      </w:r>
      <w:r>
        <w:rPr>
          <w:spacing w:val="-12"/>
          <w:sz w:val="22"/>
        </w:rPr>
        <w:t> </w:t>
      </w:r>
      <w:r>
        <w:rPr>
          <w:sz w:val="22"/>
        </w:rPr>
        <w:t>Overseas Development</w:t>
      </w:r>
      <w:r>
        <w:rPr>
          <w:spacing w:val="-4"/>
          <w:sz w:val="22"/>
        </w:rPr>
        <w:t> </w:t>
      </w:r>
      <w:r>
        <w:rPr>
          <w:sz w:val="22"/>
        </w:rPr>
        <w:t>Finance</w:t>
      </w:r>
      <w:r>
        <w:rPr>
          <w:spacing w:val="-4"/>
          <w:sz w:val="22"/>
        </w:rPr>
        <w:t> </w:t>
      </w:r>
      <w:r>
        <w:rPr>
          <w:sz w:val="22"/>
        </w:rPr>
        <w:t>Database.</w:t>
      </w:r>
      <w:r>
        <w:rPr>
          <w:spacing w:val="-4"/>
          <w:sz w:val="22"/>
        </w:rPr>
        <w:t> </w:t>
      </w:r>
      <w:r>
        <w:rPr>
          <w:sz w:val="22"/>
        </w:rPr>
        <w:t>BU</w:t>
      </w:r>
      <w:r>
        <w:rPr>
          <w:spacing w:val="-4"/>
          <w:sz w:val="22"/>
        </w:rPr>
        <w:t> </w:t>
      </w:r>
      <w:r>
        <w:rPr>
          <w:sz w:val="22"/>
        </w:rPr>
        <w:t>Global</w:t>
      </w:r>
      <w:r>
        <w:rPr>
          <w:spacing w:val="-4"/>
          <w:sz w:val="22"/>
        </w:rPr>
        <w:t> </w:t>
      </w:r>
      <w:r>
        <w:rPr>
          <w:sz w:val="22"/>
        </w:rPr>
        <w:t>Development</w:t>
      </w:r>
      <w:r>
        <w:rPr>
          <w:spacing w:val="-4"/>
          <w:sz w:val="22"/>
        </w:rPr>
        <w:t> </w:t>
      </w:r>
      <w:r>
        <w:rPr>
          <w:sz w:val="22"/>
        </w:rPr>
        <w:t>Policy</w:t>
      </w:r>
      <w:r>
        <w:rPr>
          <w:spacing w:val="-4"/>
          <w:sz w:val="22"/>
        </w:rPr>
        <w:t> </w:t>
      </w:r>
      <w:r>
        <w:rPr>
          <w:sz w:val="22"/>
        </w:rPr>
        <w:t>Center.</w:t>
      </w:r>
      <w:r>
        <w:rPr>
          <w:spacing w:val="-4"/>
          <w:sz w:val="22"/>
        </w:rPr>
        <w:t> </w:t>
      </w:r>
      <w:r>
        <w:rPr>
          <w:sz w:val="22"/>
        </w:rPr>
        <w:t>Accessed</w:t>
      </w:r>
      <w:r>
        <w:rPr>
          <w:spacing w:val="-4"/>
          <w:sz w:val="22"/>
        </w:rPr>
        <w:t> </w:t>
      </w:r>
      <w:r>
        <w:rPr>
          <w:sz w:val="22"/>
        </w:rPr>
        <w:t>on</w:t>
      </w:r>
      <w:r>
        <w:rPr>
          <w:spacing w:val="-4"/>
          <w:sz w:val="22"/>
        </w:rPr>
        <w:t> </w:t>
      </w:r>
      <w:r>
        <w:rPr>
          <w:sz w:val="22"/>
        </w:rPr>
        <w:t>17</w:t>
      </w:r>
      <w:r>
        <w:rPr>
          <w:spacing w:val="-4"/>
          <w:sz w:val="22"/>
        </w:rPr>
        <w:t> </w:t>
      </w:r>
      <w:r>
        <w:rPr>
          <w:sz w:val="22"/>
        </w:rPr>
        <w:t>July 2023 at</w:t>
      </w:r>
    </w:p>
    <w:p>
      <w:pPr>
        <w:spacing w:line="288" w:lineRule="auto" w:before="0"/>
        <w:ind w:left="400" w:right="498" w:firstLine="0"/>
        <w:jc w:val="left"/>
        <w:rPr>
          <w:sz w:val="22"/>
        </w:rPr>
      </w:pPr>
      <w:hyperlink r:id="rId53">
        <w:r>
          <w:rPr>
            <w:color w:val="1154CC"/>
            <w:spacing w:val="-2"/>
            <w:sz w:val="22"/>
            <w:u w:val="thick" w:color="1154CC"/>
          </w:rPr>
          <w:t>https://www.bu.edu/gdp/2020/12/13/scope-and-ﬁndings-chinas-overseas-development-ﬁnanc</w:t>
        </w:r>
      </w:hyperlink>
      <w:r>
        <w:rPr>
          <w:color w:val="1154CC"/>
          <w:spacing w:val="80"/>
          <w:w w:val="105"/>
          <w:sz w:val="22"/>
        </w:rPr>
        <w:t>  </w:t>
      </w:r>
      <w:hyperlink r:id="rId53">
        <w:r>
          <w:rPr>
            <w:color w:val="1154CC"/>
            <w:spacing w:val="-2"/>
            <w:w w:val="105"/>
            <w:sz w:val="22"/>
            <w:u w:val="thick" w:color="1154CC"/>
          </w:rPr>
          <w:t>e-database/</w:t>
        </w:r>
      </w:hyperlink>
    </w:p>
    <w:p>
      <w:pPr>
        <w:pStyle w:val="BodyText"/>
        <w:spacing w:before="4"/>
      </w:pPr>
    </w:p>
    <w:p>
      <w:pPr>
        <w:spacing w:line="288" w:lineRule="auto" w:before="0"/>
        <w:ind w:left="400" w:right="398" w:firstLine="0"/>
        <w:jc w:val="left"/>
        <w:rPr>
          <w:sz w:val="22"/>
        </w:rPr>
      </w:pPr>
      <w:r>
        <w:rPr>
          <w:sz w:val="22"/>
        </w:rPr>
        <w:t>Gardner,</w:t>
      </w:r>
      <w:r>
        <w:rPr>
          <w:spacing w:val="-8"/>
          <w:sz w:val="22"/>
        </w:rPr>
        <w:t> </w:t>
      </w:r>
      <w:r>
        <w:rPr>
          <w:sz w:val="22"/>
        </w:rPr>
        <w:t>Alysha,</w:t>
      </w:r>
      <w:r>
        <w:rPr>
          <w:spacing w:val="-8"/>
          <w:sz w:val="22"/>
        </w:rPr>
        <w:t> </w:t>
      </w:r>
      <w:r>
        <w:rPr>
          <w:sz w:val="22"/>
        </w:rPr>
        <w:t>Joyce</w:t>
      </w:r>
      <w:r>
        <w:rPr>
          <w:spacing w:val="-8"/>
          <w:sz w:val="22"/>
        </w:rPr>
        <w:t> </w:t>
      </w:r>
      <w:r>
        <w:rPr>
          <w:sz w:val="22"/>
        </w:rPr>
        <w:t>Lin,</w:t>
      </w:r>
      <w:r>
        <w:rPr>
          <w:spacing w:val="-8"/>
          <w:sz w:val="22"/>
        </w:rPr>
        <w:t> </w:t>
      </w:r>
      <w:r>
        <w:rPr>
          <w:sz w:val="22"/>
        </w:rPr>
        <w:t>Scott</w:t>
      </w:r>
      <w:r>
        <w:rPr>
          <w:spacing w:val="-8"/>
          <w:sz w:val="22"/>
        </w:rPr>
        <w:t> </w:t>
      </w:r>
      <w:r>
        <w:rPr>
          <w:sz w:val="22"/>
        </w:rPr>
        <w:t>Morris,</w:t>
      </w:r>
      <w:r>
        <w:rPr>
          <w:spacing w:val="-8"/>
          <w:sz w:val="22"/>
        </w:rPr>
        <w:t> </w:t>
      </w:r>
      <w:r>
        <w:rPr>
          <w:sz w:val="22"/>
        </w:rPr>
        <w:t>and</w:t>
      </w:r>
      <w:r>
        <w:rPr>
          <w:spacing w:val="-8"/>
          <w:sz w:val="22"/>
        </w:rPr>
        <w:t> </w:t>
      </w:r>
      <w:r>
        <w:rPr>
          <w:sz w:val="22"/>
        </w:rPr>
        <w:t>Bradley</w:t>
      </w:r>
      <w:r>
        <w:rPr>
          <w:spacing w:val="-8"/>
          <w:sz w:val="22"/>
        </w:rPr>
        <w:t> </w:t>
      </w:r>
      <w:r>
        <w:rPr>
          <w:sz w:val="22"/>
        </w:rPr>
        <w:t>Parks.</w:t>
      </w:r>
      <w:r>
        <w:rPr>
          <w:spacing w:val="-8"/>
          <w:sz w:val="22"/>
        </w:rPr>
        <w:t> </w:t>
      </w:r>
      <w:r>
        <w:rPr>
          <w:sz w:val="22"/>
        </w:rPr>
        <w:t>2021.</w:t>
      </w:r>
      <w:r>
        <w:rPr>
          <w:spacing w:val="-8"/>
          <w:sz w:val="22"/>
        </w:rPr>
        <w:t> </w:t>
      </w:r>
      <w:r>
        <w:rPr>
          <w:sz w:val="22"/>
        </w:rPr>
        <w:t>Bargaining</w:t>
      </w:r>
      <w:r>
        <w:rPr>
          <w:spacing w:val="-8"/>
          <w:sz w:val="22"/>
        </w:rPr>
        <w:t> </w:t>
      </w:r>
      <w:r>
        <w:rPr>
          <w:sz w:val="22"/>
        </w:rPr>
        <w:t>with</w:t>
      </w:r>
      <w:r>
        <w:rPr>
          <w:spacing w:val="-8"/>
          <w:sz w:val="22"/>
        </w:rPr>
        <w:t> </w:t>
      </w:r>
      <w:r>
        <w:rPr>
          <w:sz w:val="22"/>
        </w:rPr>
        <w:t>Beijing:</w:t>
      </w:r>
      <w:r>
        <w:rPr>
          <w:spacing w:val="-8"/>
          <w:sz w:val="22"/>
        </w:rPr>
        <w:t> </w:t>
      </w:r>
      <w:r>
        <w:rPr>
          <w:sz w:val="22"/>
        </w:rPr>
        <w:t>A </w:t>
      </w:r>
      <w:r>
        <w:rPr>
          <w:spacing w:val="-2"/>
          <w:w w:val="105"/>
          <w:sz w:val="22"/>
        </w:rPr>
        <w:t>Tale</w:t>
      </w:r>
      <w:r>
        <w:rPr>
          <w:spacing w:val="-10"/>
          <w:w w:val="105"/>
          <w:sz w:val="22"/>
        </w:rPr>
        <w:t> </w:t>
      </w:r>
      <w:r>
        <w:rPr>
          <w:spacing w:val="-2"/>
          <w:w w:val="105"/>
          <w:sz w:val="22"/>
        </w:rPr>
        <w:t>of</w:t>
      </w:r>
      <w:r>
        <w:rPr>
          <w:spacing w:val="-10"/>
          <w:w w:val="105"/>
          <w:sz w:val="22"/>
        </w:rPr>
        <w:t> </w:t>
      </w:r>
      <w:r>
        <w:rPr>
          <w:spacing w:val="-2"/>
          <w:w w:val="105"/>
          <w:sz w:val="22"/>
        </w:rPr>
        <w:t>Two</w:t>
      </w:r>
      <w:r>
        <w:rPr>
          <w:spacing w:val="-10"/>
          <w:w w:val="105"/>
          <w:sz w:val="22"/>
        </w:rPr>
        <w:t> </w:t>
      </w:r>
      <w:r>
        <w:rPr>
          <w:spacing w:val="-2"/>
          <w:w w:val="105"/>
          <w:sz w:val="22"/>
        </w:rPr>
        <w:t>Borrowers.</w:t>
      </w:r>
      <w:r>
        <w:rPr>
          <w:spacing w:val="-10"/>
          <w:w w:val="105"/>
          <w:sz w:val="22"/>
        </w:rPr>
        <w:t> </w:t>
      </w:r>
      <w:r>
        <w:rPr>
          <w:spacing w:val="-2"/>
          <w:w w:val="105"/>
          <w:sz w:val="22"/>
        </w:rPr>
        <w:t>Center</w:t>
      </w:r>
      <w:r>
        <w:rPr>
          <w:spacing w:val="-10"/>
          <w:w w:val="105"/>
          <w:sz w:val="22"/>
        </w:rPr>
        <w:t> </w:t>
      </w:r>
      <w:r>
        <w:rPr>
          <w:spacing w:val="-2"/>
          <w:w w:val="105"/>
          <w:sz w:val="22"/>
        </w:rPr>
        <w:t>for</w:t>
      </w:r>
      <w:r>
        <w:rPr>
          <w:spacing w:val="-10"/>
          <w:w w:val="105"/>
          <w:sz w:val="22"/>
        </w:rPr>
        <w:t> </w:t>
      </w:r>
      <w:r>
        <w:rPr>
          <w:spacing w:val="-2"/>
          <w:w w:val="105"/>
          <w:sz w:val="22"/>
        </w:rPr>
        <w:t>Global</w:t>
      </w:r>
      <w:r>
        <w:rPr>
          <w:spacing w:val="-10"/>
          <w:w w:val="105"/>
          <w:sz w:val="22"/>
        </w:rPr>
        <w:t> </w:t>
      </w:r>
      <w:r>
        <w:rPr>
          <w:spacing w:val="-2"/>
          <w:w w:val="105"/>
          <w:sz w:val="22"/>
        </w:rPr>
        <w:t>Development</w:t>
      </w:r>
      <w:r>
        <w:rPr>
          <w:spacing w:val="-10"/>
          <w:w w:val="105"/>
          <w:sz w:val="22"/>
        </w:rPr>
        <w:t> </w:t>
      </w:r>
      <w:r>
        <w:rPr>
          <w:spacing w:val="-2"/>
          <w:w w:val="105"/>
          <w:sz w:val="22"/>
        </w:rPr>
        <w:t>and</w:t>
      </w:r>
      <w:r>
        <w:rPr>
          <w:spacing w:val="-10"/>
          <w:w w:val="105"/>
          <w:sz w:val="22"/>
        </w:rPr>
        <w:t> </w:t>
      </w:r>
      <w:r>
        <w:rPr>
          <w:spacing w:val="-2"/>
          <w:w w:val="105"/>
          <w:sz w:val="22"/>
        </w:rPr>
        <w:t>AidData</w:t>
      </w:r>
      <w:r>
        <w:rPr>
          <w:spacing w:val="-10"/>
          <w:w w:val="105"/>
          <w:sz w:val="22"/>
        </w:rPr>
        <w:t> </w:t>
      </w:r>
      <w:r>
        <w:rPr>
          <w:spacing w:val="-2"/>
          <w:w w:val="105"/>
          <w:sz w:val="22"/>
        </w:rPr>
        <w:t>at</w:t>
      </w:r>
      <w:r>
        <w:rPr>
          <w:spacing w:val="-10"/>
          <w:w w:val="105"/>
          <w:sz w:val="22"/>
        </w:rPr>
        <w:t> </w:t>
      </w:r>
      <w:r>
        <w:rPr>
          <w:spacing w:val="-2"/>
          <w:w w:val="105"/>
          <w:sz w:val="22"/>
        </w:rPr>
        <w:t>William</w:t>
      </w:r>
      <w:r>
        <w:rPr>
          <w:spacing w:val="-10"/>
          <w:w w:val="105"/>
          <w:sz w:val="22"/>
        </w:rPr>
        <w:t> </w:t>
      </w:r>
      <w:r>
        <w:rPr>
          <w:spacing w:val="-2"/>
          <w:w w:val="105"/>
          <w:sz w:val="22"/>
        </w:rPr>
        <w:t>&amp;</w:t>
      </w:r>
      <w:r>
        <w:rPr>
          <w:spacing w:val="-10"/>
          <w:w w:val="105"/>
          <w:sz w:val="22"/>
        </w:rPr>
        <w:t> </w:t>
      </w:r>
      <w:r>
        <w:rPr>
          <w:spacing w:val="-2"/>
          <w:w w:val="105"/>
          <w:sz w:val="22"/>
        </w:rPr>
        <w:t>Mary.</w:t>
      </w:r>
    </w:p>
    <w:p>
      <w:pPr>
        <w:pStyle w:val="BodyText"/>
        <w:spacing w:before="4"/>
      </w:pPr>
    </w:p>
    <w:p>
      <w:pPr>
        <w:spacing w:line="288" w:lineRule="auto" w:before="1"/>
        <w:ind w:left="400" w:right="398" w:firstLine="0"/>
        <w:jc w:val="left"/>
        <w:rPr>
          <w:sz w:val="22"/>
        </w:rPr>
      </w:pPr>
      <w:r>
        <w:rPr>
          <w:sz w:val="22"/>
        </w:rPr>
        <w:t>Gelpern,</w:t>
      </w:r>
      <w:r>
        <w:rPr>
          <w:spacing w:val="-10"/>
          <w:sz w:val="22"/>
        </w:rPr>
        <w:t> </w:t>
      </w:r>
      <w:r>
        <w:rPr>
          <w:sz w:val="22"/>
        </w:rPr>
        <w:t>Anna,</w:t>
      </w:r>
      <w:r>
        <w:rPr>
          <w:spacing w:val="-10"/>
          <w:sz w:val="22"/>
        </w:rPr>
        <w:t> </w:t>
      </w:r>
      <w:r>
        <w:rPr>
          <w:sz w:val="22"/>
        </w:rPr>
        <w:t>Sebastian</w:t>
      </w:r>
      <w:r>
        <w:rPr>
          <w:spacing w:val="-10"/>
          <w:sz w:val="22"/>
        </w:rPr>
        <w:t> </w:t>
      </w:r>
      <w:r>
        <w:rPr>
          <w:sz w:val="22"/>
        </w:rPr>
        <w:t>Horn,</w:t>
      </w:r>
      <w:r>
        <w:rPr>
          <w:spacing w:val="-10"/>
          <w:sz w:val="22"/>
        </w:rPr>
        <w:t> </w:t>
      </w:r>
      <w:r>
        <w:rPr>
          <w:sz w:val="22"/>
        </w:rPr>
        <w:t>Scott</w:t>
      </w:r>
      <w:r>
        <w:rPr>
          <w:spacing w:val="-10"/>
          <w:sz w:val="22"/>
        </w:rPr>
        <w:t> </w:t>
      </w:r>
      <w:r>
        <w:rPr>
          <w:sz w:val="22"/>
        </w:rPr>
        <w:t>Morris,</w:t>
      </w:r>
      <w:r>
        <w:rPr>
          <w:spacing w:val="-10"/>
          <w:sz w:val="22"/>
        </w:rPr>
        <w:t> </w:t>
      </w:r>
      <w:r>
        <w:rPr>
          <w:sz w:val="22"/>
        </w:rPr>
        <w:t>Brad</w:t>
      </w:r>
      <w:r>
        <w:rPr>
          <w:spacing w:val="-10"/>
          <w:sz w:val="22"/>
        </w:rPr>
        <w:t> </w:t>
      </w:r>
      <w:r>
        <w:rPr>
          <w:sz w:val="22"/>
        </w:rPr>
        <w:t>Parks,</w:t>
      </w:r>
      <w:r>
        <w:rPr>
          <w:spacing w:val="-10"/>
          <w:sz w:val="22"/>
        </w:rPr>
        <w:t> </w:t>
      </w:r>
      <w:r>
        <w:rPr>
          <w:sz w:val="22"/>
        </w:rPr>
        <w:t>Christoph</w:t>
      </w:r>
      <w:r>
        <w:rPr>
          <w:spacing w:val="-10"/>
          <w:sz w:val="22"/>
        </w:rPr>
        <w:t> </w:t>
      </w:r>
      <w:r>
        <w:rPr>
          <w:sz w:val="22"/>
        </w:rPr>
        <w:t>Trebesch.</w:t>
      </w:r>
      <w:r>
        <w:rPr>
          <w:spacing w:val="-10"/>
          <w:sz w:val="22"/>
        </w:rPr>
        <w:t> </w:t>
      </w:r>
      <w:r>
        <w:rPr>
          <w:sz w:val="22"/>
        </w:rPr>
        <w:t>2021.</w:t>
      </w:r>
      <w:r>
        <w:rPr>
          <w:spacing w:val="-10"/>
          <w:sz w:val="22"/>
        </w:rPr>
        <w:t> </w:t>
      </w:r>
      <w:r>
        <w:rPr>
          <w:sz w:val="22"/>
        </w:rPr>
        <w:t>How</w:t>
      </w:r>
      <w:r>
        <w:rPr>
          <w:spacing w:val="-10"/>
          <w:sz w:val="22"/>
        </w:rPr>
        <w:t> </w:t>
      </w:r>
      <w:r>
        <w:rPr>
          <w:sz w:val="22"/>
        </w:rPr>
        <w:t>China Lends: A Rare Look into 100 Debt Contracts with Foreign Governments. Peterson Institute for International Economics, Kiel Institute for the World Economy, Center for Global Development, and AidData at William &amp; Mary.</w:t>
      </w:r>
    </w:p>
    <w:p>
      <w:pPr>
        <w:pStyle w:val="BodyText"/>
        <w:spacing w:before="3"/>
      </w:pPr>
    </w:p>
    <w:p>
      <w:pPr>
        <w:spacing w:line="288" w:lineRule="auto" w:before="1"/>
        <w:ind w:left="400" w:right="398" w:firstLine="0"/>
        <w:jc w:val="left"/>
        <w:rPr>
          <w:sz w:val="22"/>
        </w:rPr>
      </w:pPr>
      <w:r>
        <w:rPr>
          <w:sz w:val="22"/>
        </w:rPr>
        <w:t>Gelpern,</w:t>
      </w:r>
      <w:r>
        <w:rPr>
          <w:spacing w:val="-10"/>
          <w:sz w:val="22"/>
        </w:rPr>
        <w:t> </w:t>
      </w:r>
      <w:r>
        <w:rPr>
          <w:sz w:val="22"/>
        </w:rPr>
        <w:t>Anna,</w:t>
      </w:r>
      <w:r>
        <w:rPr>
          <w:spacing w:val="-10"/>
          <w:sz w:val="22"/>
        </w:rPr>
        <w:t> </w:t>
      </w:r>
      <w:r>
        <w:rPr>
          <w:sz w:val="22"/>
        </w:rPr>
        <w:t>Sebastian</w:t>
      </w:r>
      <w:r>
        <w:rPr>
          <w:spacing w:val="-10"/>
          <w:sz w:val="22"/>
        </w:rPr>
        <w:t> </w:t>
      </w:r>
      <w:r>
        <w:rPr>
          <w:sz w:val="22"/>
        </w:rPr>
        <w:t>Horn,</w:t>
      </w:r>
      <w:r>
        <w:rPr>
          <w:spacing w:val="-10"/>
          <w:sz w:val="22"/>
        </w:rPr>
        <w:t> </w:t>
      </w:r>
      <w:r>
        <w:rPr>
          <w:sz w:val="22"/>
        </w:rPr>
        <w:t>Scott</w:t>
      </w:r>
      <w:r>
        <w:rPr>
          <w:spacing w:val="-10"/>
          <w:sz w:val="22"/>
        </w:rPr>
        <w:t> </w:t>
      </w:r>
      <w:r>
        <w:rPr>
          <w:sz w:val="22"/>
        </w:rPr>
        <w:t>Morris,</w:t>
      </w:r>
      <w:r>
        <w:rPr>
          <w:spacing w:val="-10"/>
          <w:sz w:val="22"/>
        </w:rPr>
        <w:t> </w:t>
      </w:r>
      <w:r>
        <w:rPr>
          <w:sz w:val="22"/>
        </w:rPr>
        <w:t>Brad</w:t>
      </w:r>
      <w:r>
        <w:rPr>
          <w:spacing w:val="-10"/>
          <w:sz w:val="22"/>
        </w:rPr>
        <w:t> </w:t>
      </w:r>
      <w:r>
        <w:rPr>
          <w:sz w:val="22"/>
        </w:rPr>
        <w:t>Parks,</w:t>
      </w:r>
      <w:r>
        <w:rPr>
          <w:spacing w:val="-10"/>
          <w:sz w:val="22"/>
        </w:rPr>
        <w:t> </w:t>
      </w:r>
      <w:r>
        <w:rPr>
          <w:sz w:val="22"/>
        </w:rPr>
        <w:t>Christoph</w:t>
      </w:r>
      <w:r>
        <w:rPr>
          <w:spacing w:val="-10"/>
          <w:sz w:val="22"/>
        </w:rPr>
        <w:t> </w:t>
      </w:r>
      <w:r>
        <w:rPr>
          <w:sz w:val="22"/>
        </w:rPr>
        <w:t>Trebesch.</w:t>
      </w:r>
      <w:r>
        <w:rPr>
          <w:spacing w:val="-10"/>
          <w:sz w:val="22"/>
        </w:rPr>
        <w:t> </w:t>
      </w:r>
      <w:r>
        <w:rPr>
          <w:sz w:val="22"/>
        </w:rPr>
        <w:t>2022.</w:t>
      </w:r>
      <w:r>
        <w:rPr>
          <w:spacing w:val="-10"/>
          <w:sz w:val="22"/>
        </w:rPr>
        <w:t> </w:t>
      </w:r>
      <w:r>
        <w:rPr>
          <w:sz w:val="22"/>
        </w:rPr>
        <w:t>How</w:t>
      </w:r>
      <w:r>
        <w:rPr>
          <w:spacing w:val="-10"/>
          <w:sz w:val="22"/>
        </w:rPr>
        <w:t> </w:t>
      </w:r>
      <w:r>
        <w:rPr>
          <w:sz w:val="22"/>
        </w:rPr>
        <w:t>China Lends: A Rare Look into 100 Debt Contracts with Foreign Governments. </w:t>
      </w:r>
      <w:r>
        <w:rPr>
          <w:i/>
          <w:sz w:val="22"/>
        </w:rPr>
        <w:t>Economic Policy</w:t>
      </w:r>
      <w:r>
        <w:rPr>
          <w:i/>
          <w:sz w:val="22"/>
        </w:rPr>
        <w:t> </w:t>
      </w:r>
      <w:r>
        <w:rPr>
          <w:spacing w:val="-2"/>
          <w:sz w:val="22"/>
        </w:rPr>
        <w:t>eiac054.</w:t>
      </w:r>
    </w:p>
    <w:p>
      <w:pPr>
        <w:pStyle w:val="BodyText"/>
        <w:spacing w:before="5"/>
      </w:pPr>
    </w:p>
    <w:p>
      <w:pPr>
        <w:spacing w:line="288" w:lineRule="auto" w:before="1"/>
        <w:ind w:left="400" w:right="1013" w:firstLine="0"/>
        <w:jc w:val="left"/>
        <w:rPr>
          <w:sz w:val="22"/>
        </w:rPr>
      </w:pPr>
      <w:r>
        <w:rPr>
          <w:sz w:val="22"/>
        </w:rPr>
        <w:t>Gelpern,</w:t>
      </w:r>
      <w:r>
        <w:rPr>
          <w:spacing w:val="-5"/>
          <w:sz w:val="22"/>
        </w:rPr>
        <w:t> </w:t>
      </w:r>
      <w:r>
        <w:rPr>
          <w:sz w:val="22"/>
        </w:rPr>
        <w:t>Anna.</w:t>
      </w:r>
      <w:r>
        <w:rPr>
          <w:spacing w:val="-5"/>
          <w:sz w:val="22"/>
        </w:rPr>
        <w:t> </w:t>
      </w:r>
      <w:r>
        <w:rPr>
          <w:sz w:val="22"/>
        </w:rPr>
        <w:t>2016.</w:t>
      </w:r>
      <w:r>
        <w:rPr>
          <w:spacing w:val="-5"/>
          <w:sz w:val="22"/>
        </w:rPr>
        <w:t> </w:t>
      </w:r>
      <w:r>
        <w:rPr>
          <w:sz w:val="22"/>
        </w:rPr>
        <w:t>Sovereign</w:t>
      </w:r>
      <w:r>
        <w:rPr>
          <w:spacing w:val="-5"/>
          <w:sz w:val="22"/>
        </w:rPr>
        <w:t> </w:t>
      </w:r>
      <w:r>
        <w:rPr>
          <w:sz w:val="22"/>
        </w:rPr>
        <w:t>debt:</w:t>
      </w:r>
      <w:r>
        <w:rPr>
          <w:spacing w:val="-5"/>
          <w:sz w:val="22"/>
        </w:rPr>
        <w:t> </w:t>
      </w:r>
      <w:r>
        <w:rPr>
          <w:sz w:val="22"/>
        </w:rPr>
        <w:t>now</w:t>
      </w:r>
      <w:r>
        <w:rPr>
          <w:spacing w:val="-5"/>
          <w:sz w:val="22"/>
        </w:rPr>
        <w:t> </w:t>
      </w:r>
      <w:r>
        <w:rPr>
          <w:sz w:val="22"/>
        </w:rPr>
        <w:t>what?</w:t>
      </w:r>
      <w:r>
        <w:rPr>
          <w:spacing w:val="-5"/>
          <w:sz w:val="22"/>
        </w:rPr>
        <w:t> </w:t>
      </w:r>
      <w:r>
        <w:rPr>
          <w:i/>
          <w:sz w:val="22"/>
        </w:rPr>
        <w:t>Yale</w:t>
      </w:r>
      <w:r>
        <w:rPr>
          <w:i/>
          <w:spacing w:val="-5"/>
          <w:sz w:val="22"/>
        </w:rPr>
        <w:t> </w:t>
      </w:r>
      <w:r>
        <w:rPr>
          <w:i/>
          <w:sz w:val="22"/>
        </w:rPr>
        <w:t>Journal</w:t>
      </w:r>
      <w:r>
        <w:rPr>
          <w:i/>
          <w:spacing w:val="-5"/>
          <w:sz w:val="22"/>
        </w:rPr>
        <w:t> </w:t>
      </w:r>
      <w:r>
        <w:rPr>
          <w:i/>
          <w:sz w:val="22"/>
        </w:rPr>
        <w:t>of</w:t>
      </w:r>
      <w:r>
        <w:rPr>
          <w:i/>
          <w:spacing w:val="-5"/>
          <w:sz w:val="22"/>
        </w:rPr>
        <w:t> </w:t>
      </w:r>
      <w:r>
        <w:rPr>
          <w:i/>
          <w:sz w:val="22"/>
        </w:rPr>
        <w:t>International</w:t>
      </w:r>
      <w:r>
        <w:rPr>
          <w:i/>
          <w:spacing w:val="-5"/>
          <w:sz w:val="22"/>
        </w:rPr>
        <w:t> </w:t>
      </w:r>
      <w:r>
        <w:rPr>
          <w:i/>
          <w:sz w:val="22"/>
        </w:rPr>
        <w:t>Law</w:t>
      </w:r>
      <w:r>
        <w:rPr>
          <w:i/>
          <w:spacing w:val="-5"/>
          <w:sz w:val="22"/>
        </w:rPr>
        <w:t> </w:t>
      </w:r>
      <w:r>
        <w:rPr>
          <w:sz w:val="22"/>
        </w:rPr>
        <w:t>41</w:t>
      </w:r>
      <w:r>
        <w:rPr>
          <w:spacing w:val="-5"/>
          <w:sz w:val="22"/>
        </w:rPr>
        <w:t> </w:t>
      </w:r>
      <w:r>
        <w:rPr>
          <w:sz w:val="22"/>
        </w:rPr>
        <w:t>(2): </w:t>
      </w:r>
      <w:r>
        <w:rPr>
          <w:spacing w:val="-2"/>
          <w:sz w:val="22"/>
        </w:rPr>
        <w:t>45-96.</w:t>
      </w:r>
    </w:p>
    <w:p>
      <w:pPr>
        <w:pStyle w:val="BodyText"/>
        <w:spacing w:before="4"/>
      </w:pPr>
    </w:p>
    <w:p>
      <w:pPr>
        <w:spacing w:line="288" w:lineRule="auto" w:before="0"/>
        <w:ind w:left="400" w:right="504" w:firstLine="0"/>
        <w:jc w:val="left"/>
        <w:rPr>
          <w:sz w:val="22"/>
        </w:rPr>
      </w:pPr>
      <w:r>
        <w:rPr>
          <w:sz w:val="22"/>
        </w:rPr>
        <w:t>Gilchrist,</w:t>
      </w:r>
      <w:r>
        <w:rPr>
          <w:spacing w:val="-14"/>
          <w:sz w:val="22"/>
        </w:rPr>
        <w:t> </w:t>
      </w:r>
      <w:r>
        <w:rPr>
          <w:sz w:val="22"/>
        </w:rPr>
        <w:t>Simon,</w:t>
      </w:r>
      <w:r>
        <w:rPr>
          <w:spacing w:val="-14"/>
          <w:sz w:val="22"/>
        </w:rPr>
        <w:t> </w:t>
      </w:r>
      <w:r>
        <w:rPr>
          <w:sz w:val="22"/>
        </w:rPr>
        <w:t>Bin</w:t>
      </w:r>
      <w:r>
        <w:rPr>
          <w:spacing w:val="-14"/>
          <w:sz w:val="22"/>
        </w:rPr>
        <w:t> </w:t>
      </w:r>
      <w:r>
        <w:rPr>
          <w:sz w:val="22"/>
        </w:rPr>
        <w:t>Wei,</w:t>
      </w:r>
      <w:r>
        <w:rPr>
          <w:spacing w:val="-14"/>
          <w:sz w:val="22"/>
        </w:rPr>
        <w:t> </w:t>
      </w:r>
      <w:r>
        <w:rPr>
          <w:sz w:val="22"/>
        </w:rPr>
        <w:t>Vivian</w:t>
      </w:r>
      <w:r>
        <w:rPr>
          <w:spacing w:val="-14"/>
          <w:sz w:val="22"/>
        </w:rPr>
        <w:t> </w:t>
      </w:r>
      <w:r>
        <w:rPr>
          <w:sz w:val="22"/>
        </w:rPr>
        <w:t>Z.</w:t>
      </w:r>
      <w:r>
        <w:rPr>
          <w:spacing w:val="-14"/>
          <w:sz w:val="22"/>
        </w:rPr>
        <w:t> </w:t>
      </w:r>
      <w:r>
        <w:rPr>
          <w:sz w:val="22"/>
        </w:rPr>
        <w:t>Yue,</w:t>
      </w:r>
      <w:r>
        <w:rPr>
          <w:spacing w:val="-14"/>
          <w:sz w:val="22"/>
        </w:rPr>
        <w:t> </w:t>
      </w:r>
      <w:r>
        <w:rPr>
          <w:sz w:val="22"/>
        </w:rPr>
        <w:t>and</w:t>
      </w:r>
      <w:r>
        <w:rPr>
          <w:spacing w:val="-14"/>
          <w:sz w:val="22"/>
        </w:rPr>
        <w:t> </w:t>
      </w:r>
      <w:r>
        <w:rPr>
          <w:sz w:val="22"/>
        </w:rPr>
        <w:t>Egon</w:t>
      </w:r>
      <w:r>
        <w:rPr>
          <w:spacing w:val="-14"/>
          <w:sz w:val="22"/>
        </w:rPr>
        <w:t> </w:t>
      </w:r>
      <w:r>
        <w:rPr>
          <w:sz w:val="22"/>
        </w:rPr>
        <w:t>Zakrajšek.</w:t>
      </w:r>
      <w:r>
        <w:rPr>
          <w:spacing w:val="-14"/>
          <w:sz w:val="22"/>
        </w:rPr>
        <w:t> </w:t>
      </w:r>
      <w:r>
        <w:rPr>
          <w:sz w:val="22"/>
        </w:rPr>
        <w:t>2022.</w:t>
      </w:r>
      <w:r>
        <w:rPr>
          <w:spacing w:val="-14"/>
          <w:sz w:val="22"/>
        </w:rPr>
        <w:t> </w:t>
      </w:r>
      <w:r>
        <w:rPr>
          <w:sz w:val="22"/>
        </w:rPr>
        <w:t>Sovereign</w:t>
      </w:r>
      <w:r>
        <w:rPr>
          <w:spacing w:val="-14"/>
          <w:sz w:val="22"/>
        </w:rPr>
        <w:t> </w:t>
      </w:r>
      <w:r>
        <w:rPr>
          <w:sz w:val="22"/>
        </w:rPr>
        <w:t>risk</w:t>
      </w:r>
      <w:r>
        <w:rPr>
          <w:spacing w:val="-14"/>
          <w:sz w:val="22"/>
        </w:rPr>
        <w:t> </w:t>
      </w:r>
      <w:r>
        <w:rPr>
          <w:sz w:val="22"/>
        </w:rPr>
        <w:t>and</w:t>
      </w:r>
      <w:r>
        <w:rPr>
          <w:spacing w:val="-14"/>
          <w:sz w:val="22"/>
        </w:rPr>
        <w:t> </w:t>
      </w:r>
      <w:r>
        <w:rPr>
          <w:sz w:val="22"/>
        </w:rPr>
        <w:t>ﬁnancial risk. </w:t>
      </w:r>
      <w:r>
        <w:rPr>
          <w:i/>
          <w:sz w:val="22"/>
        </w:rPr>
        <w:t>Journal of International Economics </w:t>
      </w:r>
      <w:r>
        <w:rPr>
          <w:sz w:val="22"/>
        </w:rPr>
        <w:t>136 (C): 103603.</w:t>
      </w:r>
    </w:p>
    <w:p>
      <w:pPr>
        <w:pStyle w:val="BodyText"/>
        <w:spacing w:before="5"/>
      </w:pPr>
    </w:p>
    <w:p>
      <w:pPr>
        <w:spacing w:line="288" w:lineRule="auto" w:before="0"/>
        <w:ind w:left="400" w:right="398" w:firstLine="0"/>
        <w:jc w:val="left"/>
        <w:rPr>
          <w:sz w:val="22"/>
        </w:rPr>
      </w:pPr>
      <w:r>
        <w:rPr>
          <w:sz w:val="22"/>
        </w:rPr>
        <w:t>Government</w:t>
      </w:r>
      <w:r>
        <w:rPr>
          <w:spacing w:val="-3"/>
          <w:sz w:val="22"/>
        </w:rPr>
        <w:t> </w:t>
      </w:r>
      <w:r>
        <w:rPr>
          <w:sz w:val="22"/>
        </w:rPr>
        <w:t>of</w:t>
      </w:r>
      <w:r>
        <w:rPr>
          <w:spacing w:val="-3"/>
          <w:sz w:val="22"/>
        </w:rPr>
        <w:t> </w:t>
      </w:r>
      <w:r>
        <w:rPr>
          <w:sz w:val="22"/>
        </w:rPr>
        <w:t>Costa</w:t>
      </w:r>
      <w:r>
        <w:rPr>
          <w:spacing w:val="-3"/>
          <w:sz w:val="22"/>
        </w:rPr>
        <w:t> </w:t>
      </w:r>
      <w:r>
        <w:rPr>
          <w:sz w:val="22"/>
        </w:rPr>
        <w:t>Rica.</w:t>
      </w:r>
      <w:r>
        <w:rPr>
          <w:spacing w:val="-3"/>
          <w:sz w:val="22"/>
        </w:rPr>
        <w:t> </w:t>
      </w:r>
      <w:r>
        <w:rPr>
          <w:sz w:val="22"/>
        </w:rPr>
        <w:t>2007.</w:t>
      </w:r>
      <w:r>
        <w:rPr>
          <w:spacing w:val="-3"/>
          <w:sz w:val="22"/>
        </w:rPr>
        <w:t> </w:t>
      </w:r>
      <w:r>
        <w:rPr>
          <w:sz w:val="22"/>
        </w:rPr>
        <w:t>Establecimiento</w:t>
      </w:r>
      <w:r>
        <w:rPr>
          <w:spacing w:val="-3"/>
          <w:sz w:val="22"/>
        </w:rPr>
        <w:t> </w:t>
      </w:r>
      <w:r>
        <w:rPr>
          <w:sz w:val="22"/>
        </w:rPr>
        <w:t>de</w:t>
      </w:r>
      <w:r>
        <w:rPr>
          <w:spacing w:val="-3"/>
          <w:sz w:val="22"/>
        </w:rPr>
        <w:t> </w:t>
      </w:r>
      <w:r>
        <w:rPr>
          <w:sz w:val="22"/>
        </w:rPr>
        <w:t>relaciones</w:t>
      </w:r>
      <w:r>
        <w:rPr>
          <w:spacing w:val="-3"/>
          <w:sz w:val="22"/>
        </w:rPr>
        <w:t> </w:t>
      </w:r>
      <w:r>
        <w:rPr>
          <w:sz w:val="22"/>
        </w:rPr>
        <w:t>diplomáticas</w:t>
      </w:r>
      <w:r>
        <w:rPr>
          <w:spacing w:val="-3"/>
          <w:sz w:val="22"/>
        </w:rPr>
        <w:t> </w:t>
      </w:r>
      <w:r>
        <w:rPr>
          <w:sz w:val="22"/>
        </w:rPr>
        <w:t>con</w:t>
      </w:r>
      <w:r>
        <w:rPr>
          <w:spacing w:val="-3"/>
          <w:sz w:val="22"/>
        </w:rPr>
        <w:t> </w:t>
      </w:r>
      <w:r>
        <w:rPr>
          <w:sz w:val="22"/>
        </w:rPr>
        <w:t>la</w:t>
      </w:r>
      <w:r>
        <w:rPr>
          <w:spacing w:val="-3"/>
          <w:sz w:val="22"/>
        </w:rPr>
        <w:t> </w:t>
      </w:r>
      <w:r>
        <w:rPr>
          <w:sz w:val="22"/>
        </w:rPr>
        <w:t>República Popular</w:t>
      </w:r>
      <w:r>
        <w:rPr>
          <w:spacing w:val="-2"/>
          <w:sz w:val="22"/>
        </w:rPr>
        <w:t> </w:t>
      </w:r>
      <w:r>
        <w:rPr>
          <w:sz w:val="22"/>
        </w:rPr>
        <w:t>China</w:t>
      </w:r>
      <w:r>
        <w:rPr>
          <w:spacing w:val="-2"/>
          <w:sz w:val="22"/>
        </w:rPr>
        <w:t> </w:t>
      </w:r>
      <w:r>
        <w:rPr>
          <w:sz w:val="22"/>
        </w:rPr>
        <w:t>ha</w:t>
      </w:r>
      <w:r>
        <w:rPr>
          <w:spacing w:val="-2"/>
          <w:sz w:val="22"/>
        </w:rPr>
        <w:t> </w:t>
      </w:r>
      <w:r>
        <w:rPr>
          <w:sz w:val="22"/>
        </w:rPr>
        <w:t>resultado</w:t>
      </w:r>
      <w:r>
        <w:rPr>
          <w:spacing w:val="-2"/>
          <w:sz w:val="22"/>
        </w:rPr>
        <w:t> </w:t>
      </w:r>
      <w:r>
        <w:rPr>
          <w:sz w:val="22"/>
        </w:rPr>
        <w:t>beneﬁcioso</w:t>
      </w:r>
      <w:r>
        <w:rPr>
          <w:spacing w:val="-2"/>
          <w:sz w:val="22"/>
        </w:rPr>
        <w:t> </w:t>
      </w:r>
      <w:r>
        <w:rPr>
          <w:sz w:val="22"/>
        </w:rPr>
        <w:t>para</w:t>
      </w:r>
      <w:r>
        <w:rPr>
          <w:spacing w:val="-2"/>
          <w:sz w:val="22"/>
        </w:rPr>
        <w:t> </w:t>
      </w:r>
      <w:r>
        <w:rPr>
          <w:sz w:val="22"/>
        </w:rPr>
        <w:t>el</w:t>
      </w:r>
      <w:r>
        <w:rPr>
          <w:spacing w:val="-2"/>
          <w:sz w:val="22"/>
        </w:rPr>
        <w:t> </w:t>
      </w:r>
      <w:r>
        <w:rPr>
          <w:sz w:val="22"/>
        </w:rPr>
        <w:t>país.</w:t>
      </w:r>
      <w:r>
        <w:rPr>
          <w:spacing w:val="-2"/>
          <w:sz w:val="22"/>
        </w:rPr>
        <w:t> </w:t>
      </w:r>
      <w:r>
        <w:rPr>
          <w:sz w:val="22"/>
        </w:rPr>
        <w:t>10</w:t>
      </w:r>
      <w:r>
        <w:rPr>
          <w:spacing w:val="-2"/>
          <w:sz w:val="22"/>
        </w:rPr>
        <w:t> </w:t>
      </w:r>
      <w:r>
        <w:rPr>
          <w:sz w:val="22"/>
        </w:rPr>
        <w:t>September</w:t>
      </w:r>
      <w:r>
        <w:rPr>
          <w:spacing w:val="-2"/>
          <w:sz w:val="22"/>
        </w:rPr>
        <w:t> </w:t>
      </w:r>
      <w:r>
        <w:rPr>
          <w:sz w:val="22"/>
        </w:rPr>
        <w:t>2007.</w:t>
      </w:r>
      <w:r>
        <w:rPr>
          <w:spacing w:val="-2"/>
          <w:sz w:val="22"/>
        </w:rPr>
        <w:t> </w:t>
      </w:r>
      <w:r>
        <w:rPr>
          <w:sz w:val="22"/>
        </w:rPr>
        <w:t>San</w:t>
      </w:r>
      <w:r>
        <w:rPr>
          <w:spacing w:val="-2"/>
          <w:sz w:val="22"/>
        </w:rPr>
        <w:t> </w:t>
      </w:r>
      <w:r>
        <w:rPr>
          <w:sz w:val="22"/>
        </w:rPr>
        <w:t>Jose:</w:t>
      </w:r>
      <w:r>
        <w:rPr>
          <w:spacing w:val="-2"/>
          <w:sz w:val="22"/>
        </w:rPr>
        <w:t> </w:t>
      </w:r>
      <w:r>
        <w:rPr>
          <w:sz w:val="22"/>
        </w:rPr>
        <w:t>Ministerio de Relaciones Exteriores y Culto Dirección de Comunicación Institucional. Accessed on 2 August 2023 at</w:t>
      </w:r>
    </w:p>
    <w:p>
      <w:pPr>
        <w:spacing w:after="0" w:line="288" w:lineRule="auto"/>
        <w:jc w:val="left"/>
        <w:rPr>
          <w:sz w:val="22"/>
        </w:rPr>
        <w:sectPr>
          <w:footerReference w:type="default" r:id="rId50"/>
          <w:pgSz w:w="12240" w:h="15840"/>
          <w:pgMar w:footer="0" w:header="0" w:top="1400" w:bottom="280" w:left="1040" w:right="1040"/>
        </w:sectPr>
      </w:pPr>
    </w:p>
    <w:p>
      <w:pPr>
        <w:spacing w:line="288" w:lineRule="auto" w:before="44"/>
        <w:ind w:left="400" w:right="759" w:firstLine="0"/>
        <w:jc w:val="left"/>
        <w:rPr>
          <w:sz w:val="22"/>
        </w:rPr>
      </w:pPr>
      <w:hyperlink r:id="rId55">
        <w:r>
          <w:rPr>
            <w:color w:val="1154CC"/>
            <w:spacing w:val="-2"/>
            <w:sz w:val="22"/>
            <w:u w:val="thick" w:color="1154CC"/>
          </w:rPr>
          <w:t>https://www.dropbox.com/scl/ﬁ/g8kkmicps7o8z9vdxcn5d/1243-RPCH-beneﬁcios.pdf?rlkey=3u</w:t>
        </w:r>
      </w:hyperlink>
      <w:r>
        <w:rPr>
          <w:color w:val="1154CC"/>
          <w:spacing w:val="40"/>
          <w:sz w:val="22"/>
        </w:rPr>
        <w:t> </w:t>
      </w:r>
      <w:hyperlink r:id="rId55">
        <w:r>
          <w:rPr>
            <w:color w:val="1154CC"/>
            <w:spacing w:val="-2"/>
            <w:sz w:val="22"/>
            <w:u w:val="thick" w:color="1154CC"/>
          </w:rPr>
          <w:t>5afpnqeeg6myy358wxj2kn9&amp;dl=0</w:t>
        </w:r>
      </w:hyperlink>
    </w:p>
    <w:p>
      <w:pPr>
        <w:pStyle w:val="BodyText"/>
        <w:spacing w:before="4"/>
      </w:pPr>
    </w:p>
    <w:p>
      <w:pPr>
        <w:spacing w:line="288" w:lineRule="auto" w:before="0"/>
        <w:ind w:left="400" w:right="398" w:firstLine="0"/>
        <w:jc w:val="left"/>
        <w:rPr>
          <w:sz w:val="22"/>
        </w:rPr>
      </w:pPr>
      <w:r>
        <w:rPr>
          <w:sz w:val="22"/>
        </w:rPr>
        <w:t>Government of Costa Rica. 2008. Letter from Costa Rican Minister of Finance Guillermo E. Zúñiga</w:t>
      </w:r>
      <w:r>
        <w:rPr>
          <w:spacing w:val="-5"/>
          <w:sz w:val="22"/>
        </w:rPr>
        <w:t> </w:t>
      </w:r>
      <w:r>
        <w:rPr>
          <w:sz w:val="22"/>
        </w:rPr>
        <w:t>to</w:t>
      </w:r>
      <w:r>
        <w:rPr>
          <w:spacing w:val="-5"/>
          <w:sz w:val="22"/>
        </w:rPr>
        <w:t> </w:t>
      </w:r>
      <w:r>
        <w:rPr>
          <w:sz w:val="22"/>
        </w:rPr>
        <w:t>SAFE</w:t>
      </w:r>
      <w:r>
        <w:rPr>
          <w:spacing w:val="-5"/>
          <w:sz w:val="22"/>
        </w:rPr>
        <w:t> </w:t>
      </w:r>
      <w:r>
        <w:rPr>
          <w:sz w:val="22"/>
        </w:rPr>
        <w:t>Deputy</w:t>
      </w:r>
      <w:r>
        <w:rPr>
          <w:spacing w:val="-5"/>
          <w:sz w:val="22"/>
        </w:rPr>
        <w:t> </w:t>
      </w:r>
      <w:r>
        <w:rPr>
          <w:sz w:val="22"/>
        </w:rPr>
        <w:t>Administrator</w:t>
      </w:r>
      <w:r>
        <w:rPr>
          <w:spacing w:val="-5"/>
          <w:sz w:val="22"/>
        </w:rPr>
        <w:t> </w:t>
      </w:r>
      <w:r>
        <w:rPr>
          <w:sz w:val="22"/>
        </w:rPr>
        <w:t>Fang</w:t>
      </w:r>
      <w:r>
        <w:rPr>
          <w:spacing w:val="-5"/>
          <w:sz w:val="22"/>
        </w:rPr>
        <w:t> </w:t>
      </w:r>
      <w:r>
        <w:rPr>
          <w:sz w:val="22"/>
        </w:rPr>
        <w:t>Shangpu.</w:t>
      </w:r>
      <w:r>
        <w:rPr>
          <w:spacing w:val="-5"/>
          <w:sz w:val="22"/>
        </w:rPr>
        <w:t> </w:t>
      </w:r>
      <w:r>
        <w:rPr>
          <w:sz w:val="22"/>
        </w:rPr>
        <w:t>7</w:t>
      </w:r>
      <w:r>
        <w:rPr>
          <w:spacing w:val="-5"/>
          <w:sz w:val="22"/>
        </w:rPr>
        <w:t> </w:t>
      </w:r>
      <w:r>
        <w:rPr>
          <w:sz w:val="22"/>
        </w:rPr>
        <w:t>January</w:t>
      </w:r>
      <w:r>
        <w:rPr>
          <w:spacing w:val="-5"/>
          <w:sz w:val="22"/>
        </w:rPr>
        <w:t> </w:t>
      </w:r>
      <w:r>
        <w:rPr>
          <w:sz w:val="22"/>
        </w:rPr>
        <w:t>2008.</w:t>
      </w:r>
      <w:r>
        <w:rPr>
          <w:spacing w:val="-5"/>
          <w:sz w:val="22"/>
        </w:rPr>
        <w:t> </w:t>
      </w:r>
      <w:r>
        <w:rPr>
          <w:sz w:val="22"/>
        </w:rPr>
        <w:t>Accessed</w:t>
      </w:r>
      <w:r>
        <w:rPr>
          <w:spacing w:val="-5"/>
          <w:sz w:val="22"/>
        </w:rPr>
        <w:t> </w:t>
      </w:r>
      <w:r>
        <w:rPr>
          <w:sz w:val="22"/>
        </w:rPr>
        <w:t>on</w:t>
      </w:r>
      <w:r>
        <w:rPr>
          <w:spacing w:val="-5"/>
          <w:sz w:val="22"/>
        </w:rPr>
        <w:t> </w:t>
      </w:r>
      <w:r>
        <w:rPr>
          <w:sz w:val="22"/>
        </w:rPr>
        <w:t>13</w:t>
      </w:r>
      <w:r>
        <w:rPr>
          <w:spacing w:val="-5"/>
          <w:sz w:val="22"/>
        </w:rPr>
        <w:t> </w:t>
      </w:r>
      <w:r>
        <w:rPr>
          <w:sz w:val="22"/>
        </w:rPr>
        <w:t>August </w:t>
      </w:r>
      <w:r>
        <w:rPr>
          <w:w w:val="105"/>
          <w:sz w:val="22"/>
        </w:rPr>
        <w:t>2023 at</w:t>
      </w:r>
    </w:p>
    <w:p>
      <w:pPr>
        <w:spacing w:before="0"/>
        <w:ind w:left="400" w:right="0" w:firstLine="0"/>
        <w:jc w:val="left"/>
        <w:rPr>
          <w:sz w:val="22"/>
        </w:rPr>
      </w:pPr>
      <w:hyperlink r:id="rId12">
        <w:r>
          <w:rPr>
            <w:color w:val="1154CC"/>
            <w:sz w:val="22"/>
            <w:u w:val="thick" w:color="1154CC"/>
          </w:rPr>
          <w:t>https://www.dropbox.com/scl/ﬁ/48qdeslzwim9t6dqhyk0m/7-January-2008-Letter-from-</w:t>
        </w:r>
        <w:r>
          <w:rPr>
            <w:color w:val="1154CC"/>
            <w:spacing w:val="-2"/>
            <w:sz w:val="22"/>
            <w:u w:val="thick" w:color="1154CC"/>
          </w:rPr>
          <w:t>Minister</w:t>
        </w:r>
      </w:hyperlink>
    </w:p>
    <w:p>
      <w:pPr>
        <w:spacing w:before="50"/>
        <w:ind w:left="400" w:right="0" w:firstLine="0"/>
        <w:jc w:val="left"/>
        <w:rPr>
          <w:sz w:val="22"/>
        </w:rPr>
      </w:pPr>
      <w:hyperlink r:id="rId12">
        <w:r>
          <w:rPr>
            <w:color w:val="1154CC"/>
            <w:spacing w:val="-4"/>
            <w:sz w:val="22"/>
            <w:u w:val="thick" w:color="1154CC"/>
          </w:rPr>
          <w:t>-of-Finance-of-Costa-Rica-to-SAFE.pdf?rlkey=pr3p4advi1wfzzwjr5t8gva5m&amp;dl=0</w:t>
        </w:r>
      </w:hyperlink>
    </w:p>
    <w:p>
      <w:pPr>
        <w:pStyle w:val="BodyText"/>
        <w:spacing w:before="9"/>
        <w:rPr>
          <w:sz w:val="28"/>
        </w:rPr>
      </w:pPr>
    </w:p>
    <w:p>
      <w:pPr>
        <w:spacing w:line="288" w:lineRule="auto" w:before="0"/>
        <w:ind w:left="400" w:right="504" w:firstLine="0"/>
        <w:jc w:val="left"/>
        <w:rPr>
          <w:sz w:val="22"/>
        </w:rPr>
      </w:pPr>
      <w:r>
        <w:rPr>
          <w:sz w:val="22"/>
        </w:rPr>
        <w:t>Gurara, Daniel, Andrea Presbitero, and Miguel Sarmiento. 2020. Borrowing costs and the role of multilateral development banks: Evidence from cross-border bank syndicated lending.</w:t>
      </w:r>
    </w:p>
    <w:p>
      <w:pPr>
        <w:spacing w:before="1"/>
        <w:ind w:left="400" w:right="0" w:firstLine="0"/>
        <w:jc w:val="left"/>
        <w:rPr>
          <w:sz w:val="22"/>
        </w:rPr>
      </w:pPr>
      <w:r>
        <w:rPr>
          <w:i/>
          <w:sz w:val="22"/>
        </w:rPr>
        <w:t>Journal</w:t>
      </w:r>
      <w:r>
        <w:rPr>
          <w:i/>
          <w:spacing w:val="-5"/>
          <w:sz w:val="22"/>
        </w:rPr>
        <w:t> </w:t>
      </w:r>
      <w:r>
        <w:rPr>
          <w:i/>
          <w:sz w:val="22"/>
        </w:rPr>
        <w:t>of</w:t>
      </w:r>
      <w:r>
        <w:rPr>
          <w:i/>
          <w:spacing w:val="-4"/>
          <w:sz w:val="22"/>
        </w:rPr>
        <w:t> </w:t>
      </w:r>
      <w:r>
        <w:rPr>
          <w:i/>
          <w:sz w:val="22"/>
        </w:rPr>
        <w:t>International</w:t>
      </w:r>
      <w:r>
        <w:rPr>
          <w:i/>
          <w:spacing w:val="-4"/>
          <w:sz w:val="22"/>
        </w:rPr>
        <w:t> </w:t>
      </w:r>
      <w:r>
        <w:rPr>
          <w:i/>
          <w:sz w:val="22"/>
        </w:rPr>
        <w:t>Money</w:t>
      </w:r>
      <w:r>
        <w:rPr>
          <w:i/>
          <w:spacing w:val="-4"/>
          <w:sz w:val="22"/>
        </w:rPr>
        <w:t> </w:t>
      </w:r>
      <w:r>
        <w:rPr>
          <w:i/>
          <w:sz w:val="22"/>
        </w:rPr>
        <w:t>and</w:t>
      </w:r>
      <w:r>
        <w:rPr>
          <w:i/>
          <w:spacing w:val="-4"/>
          <w:sz w:val="22"/>
        </w:rPr>
        <w:t> </w:t>
      </w:r>
      <w:r>
        <w:rPr>
          <w:i/>
          <w:sz w:val="22"/>
        </w:rPr>
        <w:t>Finance</w:t>
      </w:r>
      <w:r>
        <w:rPr>
          <w:i/>
          <w:spacing w:val="-4"/>
          <w:sz w:val="22"/>
        </w:rPr>
        <w:t> </w:t>
      </w:r>
      <w:r>
        <w:rPr>
          <w:sz w:val="22"/>
        </w:rPr>
        <w:t>100:</w:t>
      </w:r>
      <w:r>
        <w:rPr>
          <w:spacing w:val="-5"/>
          <w:sz w:val="22"/>
        </w:rPr>
        <w:t> </w:t>
      </w:r>
      <w:r>
        <w:rPr>
          <w:spacing w:val="-2"/>
          <w:sz w:val="22"/>
        </w:rPr>
        <w:t>102090.</w:t>
      </w:r>
    </w:p>
    <w:p>
      <w:pPr>
        <w:pStyle w:val="BodyText"/>
        <w:spacing w:before="9"/>
        <w:rPr>
          <w:sz w:val="28"/>
        </w:rPr>
      </w:pPr>
    </w:p>
    <w:p>
      <w:pPr>
        <w:spacing w:line="288" w:lineRule="auto" w:before="0"/>
        <w:ind w:left="400" w:right="504" w:firstLine="0"/>
        <w:jc w:val="left"/>
        <w:rPr>
          <w:sz w:val="22"/>
        </w:rPr>
      </w:pPr>
      <w:r>
        <w:rPr>
          <w:sz w:val="22"/>
        </w:rPr>
        <w:t>Horn,</w:t>
      </w:r>
      <w:r>
        <w:rPr>
          <w:spacing w:val="-15"/>
          <w:sz w:val="22"/>
        </w:rPr>
        <w:t> </w:t>
      </w:r>
      <w:r>
        <w:rPr>
          <w:sz w:val="22"/>
        </w:rPr>
        <w:t>Sebastian,</w:t>
      </w:r>
      <w:r>
        <w:rPr>
          <w:spacing w:val="-15"/>
          <w:sz w:val="22"/>
        </w:rPr>
        <w:t> </w:t>
      </w:r>
      <w:r>
        <w:rPr>
          <w:sz w:val="22"/>
        </w:rPr>
        <w:t>Bradley</w:t>
      </w:r>
      <w:r>
        <w:rPr>
          <w:spacing w:val="-15"/>
          <w:sz w:val="22"/>
        </w:rPr>
        <w:t> </w:t>
      </w:r>
      <w:r>
        <w:rPr>
          <w:sz w:val="22"/>
        </w:rPr>
        <w:t>C.</w:t>
      </w:r>
      <w:r>
        <w:rPr>
          <w:spacing w:val="-15"/>
          <w:sz w:val="22"/>
        </w:rPr>
        <w:t> </w:t>
      </w:r>
      <w:r>
        <w:rPr>
          <w:sz w:val="22"/>
        </w:rPr>
        <w:t>Parks,</w:t>
      </w:r>
      <w:r>
        <w:rPr>
          <w:spacing w:val="-15"/>
          <w:sz w:val="22"/>
        </w:rPr>
        <w:t> </w:t>
      </w:r>
      <w:r>
        <w:rPr>
          <w:sz w:val="22"/>
        </w:rPr>
        <w:t>Carmen</w:t>
      </w:r>
      <w:r>
        <w:rPr>
          <w:spacing w:val="-15"/>
          <w:sz w:val="22"/>
        </w:rPr>
        <w:t> </w:t>
      </w:r>
      <w:r>
        <w:rPr>
          <w:sz w:val="22"/>
        </w:rPr>
        <w:t>M.</w:t>
      </w:r>
      <w:r>
        <w:rPr>
          <w:spacing w:val="-15"/>
          <w:sz w:val="22"/>
        </w:rPr>
        <w:t> </w:t>
      </w:r>
      <w:r>
        <w:rPr>
          <w:sz w:val="22"/>
        </w:rPr>
        <w:t>Reinhart,</w:t>
      </w:r>
      <w:r>
        <w:rPr>
          <w:spacing w:val="-15"/>
          <w:sz w:val="22"/>
        </w:rPr>
        <w:t> </w:t>
      </w:r>
      <w:r>
        <w:rPr>
          <w:sz w:val="22"/>
        </w:rPr>
        <w:t>and</w:t>
      </w:r>
      <w:r>
        <w:rPr>
          <w:spacing w:val="-15"/>
          <w:sz w:val="22"/>
        </w:rPr>
        <w:t> </w:t>
      </w:r>
      <w:r>
        <w:rPr>
          <w:sz w:val="22"/>
        </w:rPr>
        <w:t>Christoph</w:t>
      </w:r>
      <w:r>
        <w:rPr>
          <w:spacing w:val="-15"/>
          <w:sz w:val="22"/>
        </w:rPr>
        <w:t> </w:t>
      </w:r>
      <w:r>
        <w:rPr>
          <w:sz w:val="22"/>
        </w:rPr>
        <w:t>Trebesch.</w:t>
      </w:r>
      <w:r>
        <w:rPr>
          <w:spacing w:val="-15"/>
          <w:sz w:val="22"/>
        </w:rPr>
        <w:t> </w:t>
      </w:r>
      <w:r>
        <w:rPr>
          <w:sz w:val="22"/>
        </w:rPr>
        <w:t>2023a.</w:t>
      </w:r>
      <w:r>
        <w:rPr>
          <w:spacing w:val="-15"/>
          <w:sz w:val="22"/>
        </w:rPr>
        <w:t> </w:t>
      </w:r>
      <w:r>
        <w:rPr>
          <w:sz w:val="22"/>
        </w:rPr>
        <w:t>China as an International Lender of Last Resort. NBER Working Paper #31105. Cambridge, MA: </w:t>
      </w:r>
      <w:r>
        <w:rPr>
          <w:spacing w:val="-2"/>
          <w:sz w:val="22"/>
        </w:rPr>
        <w:t>NBER.</w:t>
      </w:r>
    </w:p>
    <w:p>
      <w:pPr>
        <w:pStyle w:val="BodyText"/>
        <w:spacing w:before="4"/>
      </w:pPr>
    </w:p>
    <w:p>
      <w:pPr>
        <w:spacing w:line="288" w:lineRule="auto" w:before="0"/>
        <w:ind w:left="400" w:right="517" w:firstLine="0"/>
        <w:jc w:val="left"/>
        <w:rPr>
          <w:sz w:val="22"/>
        </w:rPr>
      </w:pPr>
      <w:r>
        <w:rPr>
          <w:sz w:val="22"/>
        </w:rPr>
        <w:t>Horn,</w:t>
      </w:r>
      <w:r>
        <w:rPr>
          <w:spacing w:val="-4"/>
          <w:sz w:val="22"/>
        </w:rPr>
        <w:t> </w:t>
      </w:r>
      <w:r>
        <w:rPr>
          <w:sz w:val="22"/>
        </w:rPr>
        <w:t>Sebastian,</w:t>
      </w:r>
      <w:r>
        <w:rPr>
          <w:spacing w:val="-4"/>
          <w:sz w:val="22"/>
        </w:rPr>
        <w:t> </w:t>
      </w:r>
      <w:r>
        <w:rPr>
          <w:sz w:val="22"/>
        </w:rPr>
        <w:t>Bradley</w:t>
      </w:r>
      <w:r>
        <w:rPr>
          <w:spacing w:val="-4"/>
          <w:sz w:val="22"/>
        </w:rPr>
        <w:t> </w:t>
      </w:r>
      <w:r>
        <w:rPr>
          <w:sz w:val="22"/>
        </w:rPr>
        <w:t>C.</w:t>
      </w:r>
      <w:r>
        <w:rPr>
          <w:spacing w:val="-4"/>
          <w:sz w:val="22"/>
        </w:rPr>
        <w:t> </w:t>
      </w:r>
      <w:r>
        <w:rPr>
          <w:sz w:val="22"/>
        </w:rPr>
        <w:t>Parks,</w:t>
      </w:r>
      <w:r>
        <w:rPr>
          <w:spacing w:val="-4"/>
          <w:sz w:val="22"/>
        </w:rPr>
        <w:t> </w:t>
      </w:r>
      <w:r>
        <w:rPr>
          <w:sz w:val="22"/>
        </w:rPr>
        <w:t>Carmen</w:t>
      </w:r>
      <w:r>
        <w:rPr>
          <w:spacing w:val="-4"/>
          <w:sz w:val="22"/>
        </w:rPr>
        <w:t> </w:t>
      </w:r>
      <w:r>
        <w:rPr>
          <w:sz w:val="22"/>
        </w:rPr>
        <w:t>M.</w:t>
      </w:r>
      <w:r>
        <w:rPr>
          <w:spacing w:val="-4"/>
          <w:sz w:val="22"/>
        </w:rPr>
        <w:t> </w:t>
      </w:r>
      <w:r>
        <w:rPr>
          <w:sz w:val="22"/>
        </w:rPr>
        <w:t>Reinhart,</w:t>
      </w:r>
      <w:r>
        <w:rPr>
          <w:spacing w:val="-4"/>
          <w:sz w:val="22"/>
        </w:rPr>
        <w:t> </w:t>
      </w:r>
      <w:r>
        <w:rPr>
          <w:sz w:val="22"/>
        </w:rPr>
        <w:t>and</w:t>
      </w:r>
      <w:r>
        <w:rPr>
          <w:spacing w:val="-4"/>
          <w:sz w:val="22"/>
        </w:rPr>
        <w:t> </w:t>
      </w:r>
      <w:r>
        <w:rPr>
          <w:sz w:val="22"/>
        </w:rPr>
        <w:t>Christoph</w:t>
      </w:r>
      <w:r>
        <w:rPr>
          <w:spacing w:val="-4"/>
          <w:sz w:val="22"/>
        </w:rPr>
        <w:t> </w:t>
      </w:r>
      <w:r>
        <w:rPr>
          <w:sz w:val="22"/>
        </w:rPr>
        <w:t>Trebesch.</w:t>
      </w:r>
      <w:r>
        <w:rPr>
          <w:spacing w:val="-4"/>
          <w:sz w:val="22"/>
        </w:rPr>
        <w:t> </w:t>
      </w:r>
      <w:r>
        <w:rPr>
          <w:sz w:val="22"/>
        </w:rPr>
        <w:t>2023b.</w:t>
      </w:r>
      <w:r>
        <w:rPr>
          <w:spacing w:val="-4"/>
          <w:sz w:val="22"/>
        </w:rPr>
        <w:t> </w:t>
      </w:r>
      <w:r>
        <w:rPr>
          <w:sz w:val="22"/>
        </w:rPr>
        <w:t>Debt Distress</w:t>
      </w:r>
      <w:r>
        <w:rPr>
          <w:spacing w:val="-13"/>
          <w:sz w:val="22"/>
        </w:rPr>
        <w:t> </w:t>
      </w:r>
      <w:r>
        <w:rPr>
          <w:sz w:val="22"/>
        </w:rPr>
        <w:t>on</w:t>
      </w:r>
      <w:r>
        <w:rPr>
          <w:spacing w:val="-13"/>
          <w:sz w:val="22"/>
        </w:rPr>
        <w:t> </w:t>
      </w:r>
      <w:r>
        <w:rPr>
          <w:sz w:val="22"/>
        </w:rPr>
        <w:t>China’s</w:t>
      </w:r>
      <w:r>
        <w:rPr>
          <w:spacing w:val="-13"/>
          <w:sz w:val="22"/>
        </w:rPr>
        <w:t> </w:t>
      </w:r>
      <w:r>
        <w:rPr>
          <w:sz w:val="22"/>
        </w:rPr>
        <w:t>Belt</w:t>
      </w:r>
      <w:r>
        <w:rPr>
          <w:spacing w:val="-13"/>
          <w:sz w:val="22"/>
        </w:rPr>
        <w:t> </w:t>
      </w:r>
      <w:r>
        <w:rPr>
          <w:sz w:val="22"/>
        </w:rPr>
        <w:t>and</w:t>
      </w:r>
      <w:r>
        <w:rPr>
          <w:spacing w:val="-13"/>
          <w:sz w:val="22"/>
        </w:rPr>
        <w:t> </w:t>
      </w:r>
      <w:r>
        <w:rPr>
          <w:sz w:val="22"/>
        </w:rPr>
        <w:t>Road.</w:t>
      </w:r>
      <w:r>
        <w:rPr>
          <w:spacing w:val="-13"/>
          <w:sz w:val="22"/>
        </w:rPr>
        <w:t> </w:t>
      </w:r>
      <w:r>
        <w:rPr>
          <w:i/>
          <w:sz w:val="22"/>
        </w:rPr>
        <w:t>American</w:t>
      </w:r>
      <w:r>
        <w:rPr>
          <w:i/>
          <w:spacing w:val="-13"/>
          <w:sz w:val="22"/>
        </w:rPr>
        <w:t> </w:t>
      </w:r>
      <w:r>
        <w:rPr>
          <w:i/>
          <w:sz w:val="22"/>
        </w:rPr>
        <w:t>Economic</w:t>
      </w:r>
      <w:r>
        <w:rPr>
          <w:i/>
          <w:spacing w:val="-13"/>
          <w:sz w:val="22"/>
        </w:rPr>
        <w:t> </w:t>
      </w:r>
      <w:r>
        <w:rPr>
          <w:i/>
          <w:sz w:val="22"/>
        </w:rPr>
        <w:t>Association</w:t>
      </w:r>
      <w:r>
        <w:rPr>
          <w:i/>
          <w:spacing w:val="-13"/>
          <w:sz w:val="22"/>
        </w:rPr>
        <w:t> </w:t>
      </w:r>
      <w:r>
        <w:rPr>
          <w:i/>
          <w:sz w:val="22"/>
        </w:rPr>
        <w:t>Papers</w:t>
      </w:r>
      <w:r>
        <w:rPr>
          <w:i/>
          <w:spacing w:val="-13"/>
          <w:sz w:val="22"/>
        </w:rPr>
        <w:t> </w:t>
      </w:r>
      <w:r>
        <w:rPr>
          <w:i/>
          <w:sz w:val="22"/>
        </w:rPr>
        <w:t>&amp;</w:t>
      </w:r>
      <w:r>
        <w:rPr>
          <w:i/>
          <w:spacing w:val="-13"/>
          <w:sz w:val="22"/>
        </w:rPr>
        <w:t> </w:t>
      </w:r>
      <w:r>
        <w:rPr>
          <w:i/>
          <w:sz w:val="22"/>
        </w:rPr>
        <w:t>Proceedings</w:t>
      </w:r>
      <w:r>
        <w:rPr>
          <w:i/>
          <w:spacing w:val="-13"/>
          <w:sz w:val="22"/>
        </w:rPr>
        <w:t> </w:t>
      </w:r>
      <w:r>
        <w:rPr>
          <w:sz w:val="22"/>
        </w:rPr>
        <w:t>113: </w:t>
      </w:r>
      <w:r>
        <w:rPr>
          <w:spacing w:val="-2"/>
          <w:sz w:val="22"/>
        </w:rPr>
        <w:t>131-34.</w:t>
      </w:r>
    </w:p>
    <w:p>
      <w:pPr>
        <w:pStyle w:val="BodyText"/>
        <w:spacing w:before="5"/>
      </w:pPr>
    </w:p>
    <w:p>
      <w:pPr>
        <w:spacing w:line="288" w:lineRule="auto" w:before="0"/>
        <w:ind w:left="400" w:right="767" w:firstLine="0"/>
        <w:jc w:val="left"/>
        <w:rPr>
          <w:sz w:val="22"/>
        </w:rPr>
      </w:pPr>
      <w:r>
        <w:rPr>
          <w:sz w:val="22"/>
        </w:rPr>
        <w:t>Horn,</w:t>
      </w:r>
      <w:r>
        <w:rPr>
          <w:spacing w:val="-4"/>
          <w:sz w:val="22"/>
        </w:rPr>
        <w:t> </w:t>
      </w:r>
      <w:r>
        <w:rPr>
          <w:sz w:val="22"/>
        </w:rPr>
        <w:t>Sebastian,</w:t>
      </w:r>
      <w:r>
        <w:rPr>
          <w:spacing w:val="-4"/>
          <w:sz w:val="22"/>
        </w:rPr>
        <w:t> </w:t>
      </w:r>
      <w:r>
        <w:rPr>
          <w:sz w:val="22"/>
        </w:rPr>
        <w:t>Carmen</w:t>
      </w:r>
      <w:r>
        <w:rPr>
          <w:spacing w:val="-4"/>
          <w:sz w:val="22"/>
        </w:rPr>
        <w:t> </w:t>
      </w:r>
      <w:r>
        <w:rPr>
          <w:sz w:val="22"/>
        </w:rPr>
        <w:t>M.</w:t>
      </w:r>
      <w:r>
        <w:rPr>
          <w:spacing w:val="-4"/>
          <w:sz w:val="22"/>
        </w:rPr>
        <w:t> </w:t>
      </w:r>
      <w:r>
        <w:rPr>
          <w:sz w:val="22"/>
        </w:rPr>
        <w:t>Reinhart,</w:t>
      </w:r>
      <w:r>
        <w:rPr>
          <w:spacing w:val="-4"/>
          <w:sz w:val="22"/>
        </w:rPr>
        <w:t> </w:t>
      </w:r>
      <w:r>
        <w:rPr>
          <w:sz w:val="22"/>
        </w:rPr>
        <w:t>and</w:t>
      </w:r>
      <w:r>
        <w:rPr>
          <w:spacing w:val="-4"/>
          <w:sz w:val="22"/>
        </w:rPr>
        <w:t> </w:t>
      </w:r>
      <w:r>
        <w:rPr>
          <w:sz w:val="22"/>
        </w:rPr>
        <w:t>Christoph</w:t>
      </w:r>
      <w:r>
        <w:rPr>
          <w:spacing w:val="-4"/>
          <w:sz w:val="22"/>
        </w:rPr>
        <w:t> </w:t>
      </w:r>
      <w:r>
        <w:rPr>
          <w:sz w:val="22"/>
        </w:rPr>
        <w:t>Trebesch.</w:t>
      </w:r>
      <w:r>
        <w:rPr>
          <w:spacing w:val="-4"/>
          <w:sz w:val="22"/>
        </w:rPr>
        <w:t> </w:t>
      </w:r>
      <w:r>
        <w:rPr>
          <w:sz w:val="22"/>
        </w:rPr>
        <w:t>2019.</w:t>
      </w:r>
      <w:r>
        <w:rPr>
          <w:spacing w:val="-4"/>
          <w:sz w:val="22"/>
        </w:rPr>
        <w:t> </w:t>
      </w:r>
      <w:r>
        <w:rPr>
          <w:sz w:val="22"/>
        </w:rPr>
        <w:t>China’s</w:t>
      </w:r>
      <w:r>
        <w:rPr>
          <w:spacing w:val="-4"/>
          <w:sz w:val="22"/>
        </w:rPr>
        <w:t> </w:t>
      </w:r>
      <w:r>
        <w:rPr>
          <w:sz w:val="22"/>
        </w:rPr>
        <w:t>Overseas Lending. NBER Working Paper No. 26050. Cambridge, MA: National Bureau of Economic </w:t>
      </w:r>
      <w:r>
        <w:rPr>
          <w:spacing w:val="-2"/>
          <w:sz w:val="22"/>
        </w:rPr>
        <w:t>Research.</w:t>
      </w:r>
    </w:p>
    <w:p>
      <w:pPr>
        <w:pStyle w:val="BodyText"/>
        <w:spacing w:before="4"/>
      </w:pPr>
    </w:p>
    <w:p>
      <w:pPr>
        <w:spacing w:line="288" w:lineRule="auto" w:before="0"/>
        <w:ind w:left="400" w:right="973" w:firstLine="0"/>
        <w:jc w:val="left"/>
        <w:rPr>
          <w:sz w:val="22"/>
        </w:rPr>
      </w:pPr>
      <w:r>
        <w:rPr>
          <w:sz w:val="22"/>
        </w:rPr>
        <w:t>Horn,</w:t>
      </w:r>
      <w:r>
        <w:rPr>
          <w:spacing w:val="-5"/>
          <w:sz w:val="22"/>
        </w:rPr>
        <w:t> </w:t>
      </w:r>
      <w:r>
        <w:rPr>
          <w:sz w:val="22"/>
        </w:rPr>
        <w:t>Sebastian,</w:t>
      </w:r>
      <w:r>
        <w:rPr>
          <w:spacing w:val="-5"/>
          <w:sz w:val="22"/>
        </w:rPr>
        <w:t> </w:t>
      </w:r>
      <w:r>
        <w:rPr>
          <w:sz w:val="22"/>
        </w:rPr>
        <w:t>Carmen</w:t>
      </w:r>
      <w:r>
        <w:rPr>
          <w:spacing w:val="-5"/>
          <w:sz w:val="22"/>
        </w:rPr>
        <w:t> </w:t>
      </w:r>
      <w:r>
        <w:rPr>
          <w:sz w:val="22"/>
        </w:rPr>
        <w:t>M.</w:t>
      </w:r>
      <w:r>
        <w:rPr>
          <w:spacing w:val="-5"/>
          <w:sz w:val="22"/>
        </w:rPr>
        <w:t> </w:t>
      </w:r>
      <w:r>
        <w:rPr>
          <w:sz w:val="22"/>
        </w:rPr>
        <w:t>Reinhart,</w:t>
      </w:r>
      <w:r>
        <w:rPr>
          <w:spacing w:val="-5"/>
          <w:sz w:val="22"/>
        </w:rPr>
        <w:t> </w:t>
      </w:r>
      <w:r>
        <w:rPr>
          <w:sz w:val="22"/>
        </w:rPr>
        <w:t>and</w:t>
      </w:r>
      <w:r>
        <w:rPr>
          <w:spacing w:val="-5"/>
          <w:sz w:val="22"/>
        </w:rPr>
        <w:t> </w:t>
      </w:r>
      <w:r>
        <w:rPr>
          <w:sz w:val="22"/>
        </w:rPr>
        <w:t>Christoph</w:t>
      </w:r>
      <w:r>
        <w:rPr>
          <w:spacing w:val="-5"/>
          <w:sz w:val="22"/>
        </w:rPr>
        <w:t> </w:t>
      </w:r>
      <w:r>
        <w:rPr>
          <w:sz w:val="22"/>
        </w:rPr>
        <w:t>Trebesch.</w:t>
      </w:r>
      <w:r>
        <w:rPr>
          <w:spacing w:val="-5"/>
          <w:sz w:val="22"/>
        </w:rPr>
        <w:t> </w:t>
      </w:r>
      <w:r>
        <w:rPr>
          <w:sz w:val="22"/>
        </w:rPr>
        <w:t>2020a.</w:t>
      </w:r>
      <w:r>
        <w:rPr>
          <w:spacing w:val="-5"/>
          <w:sz w:val="22"/>
        </w:rPr>
        <w:t> </w:t>
      </w:r>
      <w:r>
        <w:rPr>
          <w:sz w:val="22"/>
        </w:rPr>
        <w:t>China’s</w:t>
      </w:r>
      <w:r>
        <w:rPr>
          <w:spacing w:val="-5"/>
          <w:sz w:val="22"/>
        </w:rPr>
        <w:t> </w:t>
      </w:r>
      <w:r>
        <w:rPr>
          <w:sz w:val="22"/>
        </w:rPr>
        <w:t>Overseas </w:t>
      </w:r>
      <w:r>
        <w:rPr>
          <w:spacing w:val="-2"/>
          <w:w w:val="105"/>
          <w:sz w:val="22"/>
        </w:rPr>
        <w:t>Lending:</w:t>
      </w:r>
      <w:r>
        <w:rPr>
          <w:spacing w:val="-8"/>
          <w:w w:val="105"/>
          <w:sz w:val="22"/>
        </w:rPr>
        <w:t> </w:t>
      </w:r>
      <w:r>
        <w:rPr>
          <w:spacing w:val="-2"/>
          <w:w w:val="105"/>
          <w:sz w:val="22"/>
        </w:rPr>
        <w:t>A</w:t>
      </w:r>
      <w:r>
        <w:rPr>
          <w:spacing w:val="-8"/>
          <w:w w:val="105"/>
          <w:sz w:val="22"/>
        </w:rPr>
        <w:t> </w:t>
      </w:r>
      <w:r>
        <w:rPr>
          <w:spacing w:val="-2"/>
          <w:w w:val="105"/>
          <w:sz w:val="22"/>
        </w:rPr>
        <w:t>Response</w:t>
      </w:r>
      <w:r>
        <w:rPr>
          <w:spacing w:val="-8"/>
          <w:w w:val="105"/>
          <w:sz w:val="22"/>
        </w:rPr>
        <w:t> </w:t>
      </w:r>
      <w:r>
        <w:rPr>
          <w:spacing w:val="-2"/>
          <w:w w:val="105"/>
          <w:sz w:val="22"/>
        </w:rPr>
        <w:t>to</w:t>
      </w:r>
      <w:r>
        <w:rPr>
          <w:spacing w:val="-8"/>
          <w:w w:val="105"/>
          <w:sz w:val="22"/>
        </w:rPr>
        <w:t> </w:t>
      </w:r>
      <w:r>
        <w:rPr>
          <w:spacing w:val="-2"/>
          <w:w w:val="105"/>
          <w:sz w:val="22"/>
        </w:rPr>
        <w:t>Our</w:t>
      </w:r>
      <w:r>
        <w:rPr>
          <w:spacing w:val="-8"/>
          <w:w w:val="105"/>
          <w:sz w:val="22"/>
        </w:rPr>
        <w:t> </w:t>
      </w:r>
      <w:r>
        <w:rPr>
          <w:spacing w:val="-2"/>
          <w:w w:val="105"/>
          <w:sz w:val="22"/>
        </w:rPr>
        <w:t>Critics.</w:t>
      </w:r>
      <w:r>
        <w:rPr>
          <w:spacing w:val="-8"/>
          <w:w w:val="105"/>
          <w:sz w:val="22"/>
        </w:rPr>
        <w:t> </w:t>
      </w:r>
      <w:r>
        <w:rPr>
          <w:spacing w:val="-2"/>
          <w:w w:val="105"/>
          <w:sz w:val="22"/>
        </w:rPr>
        <w:t>CGD</w:t>
      </w:r>
      <w:r>
        <w:rPr>
          <w:spacing w:val="-8"/>
          <w:w w:val="105"/>
          <w:sz w:val="22"/>
        </w:rPr>
        <w:t> </w:t>
      </w:r>
      <w:r>
        <w:rPr>
          <w:spacing w:val="-2"/>
          <w:w w:val="105"/>
          <w:sz w:val="22"/>
        </w:rPr>
        <w:t>Note.</w:t>
      </w:r>
      <w:r>
        <w:rPr>
          <w:spacing w:val="-8"/>
          <w:w w:val="105"/>
          <w:sz w:val="22"/>
        </w:rPr>
        <w:t> </w:t>
      </w:r>
      <w:r>
        <w:rPr>
          <w:spacing w:val="-2"/>
          <w:w w:val="105"/>
          <w:sz w:val="22"/>
        </w:rPr>
        <w:t>Washington</w:t>
      </w:r>
      <w:r>
        <w:rPr>
          <w:spacing w:val="-8"/>
          <w:w w:val="105"/>
          <w:sz w:val="22"/>
        </w:rPr>
        <w:t> </w:t>
      </w:r>
      <w:r>
        <w:rPr>
          <w:spacing w:val="-2"/>
          <w:w w:val="105"/>
          <w:sz w:val="22"/>
        </w:rPr>
        <w:t>DC:</w:t>
      </w:r>
      <w:r>
        <w:rPr>
          <w:spacing w:val="-8"/>
          <w:w w:val="105"/>
          <w:sz w:val="22"/>
        </w:rPr>
        <w:t> </w:t>
      </w:r>
      <w:r>
        <w:rPr>
          <w:spacing w:val="-2"/>
          <w:w w:val="105"/>
          <w:sz w:val="22"/>
        </w:rPr>
        <w:t>Center</w:t>
      </w:r>
      <w:r>
        <w:rPr>
          <w:spacing w:val="-8"/>
          <w:w w:val="105"/>
          <w:sz w:val="22"/>
        </w:rPr>
        <w:t> </w:t>
      </w:r>
      <w:r>
        <w:rPr>
          <w:spacing w:val="-2"/>
          <w:w w:val="105"/>
          <w:sz w:val="22"/>
        </w:rPr>
        <w:t>for</w:t>
      </w:r>
      <w:r>
        <w:rPr>
          <w:spacing w:val="-8"/>
          <w:w w:val="105"/>
          <w:sz w:val="22"/>
        </w:rPr>
        <w:t> </w:t>
      </w:r>
      <w:r>
        <w:rPr>
          <w:spacing w:val="-2"/>
          <w:w w:val="105"/>
          <w:sz w:val="22"/>
        </w:rPr>
        <w:t>Global </w:t>
      </w:r>
      <w:r>
        <w:rPr>
          <w:w w:val="105"/>
          <w:sz w:val="22"/>
        </w:rPr>
        <w:t>Development</w:t>
      </w:r>
      <w:r>
        <w:rPr>
          <w:spacing w:val="-17"/>
          <w:w w:val="105"/>
          <w:sz w:val="22"/>
        </w:rPr>
        <w:t> </w:t>
      </w:r>
      <w:r>
        <w:rPr>
          <w:w w:val="105"/>
          <w:sz w:val="22"/>
        </w:rPr>
        <w:t>(CGD).</w:t>
      </w:r>
      <w:r>
        <w:rPr>
          <w:spacing w:val="-16"/>
          <w:w w:val="105"/>
          <w:sz w:val="22"/>
        </w:rPr>
        <w:t> </w:t>
      </w:r>
      <w:r>
        <w:rPr>
          <w:w w:val="105"/>
          <w:sz w:val="22"/>
        </w:rPr>
        <w:t>Accessed</w:t>
      </w:r>
      <w:r>
        <w:rPr>
          <w:spacing w:val="-16"/>
          <w:w w:val="105"/>
          <w:sz w:val="22"/>
        </w:rPr>
        <w:t> </w:t>
      </w:r>
      <w:r>
        <w:rPr>
          <w:w w:val="105"/>
          <w:sz w:val="22"/>
        </w:rPr>
        <w:t>on</w:t>
      </w:r>
      <w:r>
        <w:rPr>
          <w:spacing w:val="-16"/>
          <w:w w:val="105"/>
          <w:sz w:val="22"/>
        </w:rPr>
        <w:t> </w:t>
      </w:r>
      <w:r>
        <w:rPr>
          <w:w w:val="105"/>
          <w:sz w:val="22"/>
        </w:rPr>
        <w:t>19</w:t>
      </w:r>
      <w:r>
        <w:rPr>
          <w:spacing w:val="-16"/>
          <w:w w:val="105"/>
          <w:sz w:val="22"/>
        </w:rPr>
        <w:t> </w:t>
      </w:r>
      <w:r>
        <w:rPr>
          <w:w w:val="105"/>
          <w:sz w:val="22"/>
        </w:rPr>
        <w:t>July</w:t>
      </w:r>
      <w:r>
        <w:rPr>
          <w:spacing w:val="-16"/>
          <w:w w:val="105"/>
          <w:sz w:val="22"/>
        </w:rPr>
        <w:t> </w:t>
      </w:r>
      <w:r>
        <w:rPr>
          <w:w w:val="105"/>
          <w:sz w:val="22"/>
        </w:rPr>
        <w:t>2023</w:t>
      </w:r>
      <w:r>
        <w:rPr>
          <w:spacing w:val="-16"/>
          <w:w w:val="105"/>
          <w:sz w:val="22"/>
        </w:rPr>
        <w:t> </w:t>
      </w:r>
      <w:r>
        <w:rPr>
          <w:w w:val="105"/>
          <w:sz w:val="22"/>
        </w:rPr>
        <w:t>at </w:t>
      </w:r>
      <w:hyperlink r:id="rId56">
        <w:r>
          <w:rPr>
            <w:color w:val="1154CC"/>
            <w:spacing w:val="-2"/>
            <w:sz w:val="22"/>
            <w:u w:val="thick" w:color="1154CC"/>
          </w:rPr>
          <w:t>https://www.cgdev.org/sites/default/ﬁles/chinas-overseas-lending-response-our-critics.pdf</w:t>
        </w:r>
      </w:hyperlink>
    </w:p>
    <w:p>
      <w:pPr>
        <w:pStyle w:val="BodyText"/>
        <w:spacing w:before="4"/>
      </w:pPr>
    </w:p>
    <w:p>
      <w:pPr>
        <w:spacing w:line="288" w:lineRule="auto" w:before="0"/>
        <w:ind w:left="400" w:right="398" w:firstLine="0"/>
        <w:jc w:val="left"/>
        <w:rPr>
          <w:sz w:val="22"/>
        </w:rPr>
      </w:pPr>
      <w:r>
        <w:rPr>
          <w:sz w:val="22"/>
        </w:rPr>
        <w:t>Horn,</w:t>
      </w:r>
      <w:r>
        <w:rPr>
          <w:spacing w:val="-7"/>
          <w:sz w:val="22"/>
        </w:rPr>
        <w:t> </w:t>
      </w:r>
      <w:r>
        <w:rPr>
          <w:sz w:val="22"/>
        </w:rPr>
        <w:t>Sebastian,</w:t>
      </w:r>
      <w:r>
        <w:rPr>
          <w:spacing w:val="-7"/>
          <w:sz w:val="22"/>
        </w:rPr>
        <w:t> </w:t>
      </w:r>
      <w:r>
        <w:rPr>
          <w:sz w:val="22"/>
        </w:rPr>
        <w:t>Carmen</w:t>
      </w:r>
      <w:r>
        <w:rPr>
          <w:spacing w:val="-7"/>
          <w:sz w:val="22"/>
        </w:rPr>
        <w:t> </w:t>
      </w:r>
      <w:r>
        <w:rPr>
          <w:sz w:val="22"/>
        </w:rPr>
        <w:t>M.</w:t>
      </w:r>
      <w:r>
        <w:rPr>
          <w:spacing w:val="-7"/>
          <w:sz w:val="22"/>
        </w:rPr>
        <w:t> </w:t>
      </w:r>
      <w:r>
        <w:rPr>
          <w:sz w:val="22"/>
        </w:rPr>
        <w:t>Reinhart,</w:t>
      </w:r>
      <w:r>
        <w:rPr>
          <w:spacing w:val="-7"/>
          <w:sz w:val="22"/>
        </w:rPr>
        <w:t> </w:t>
      </w:r>
      <w:r>
        <w:rPr>
          <w:sz w:val="22"/>
        </w:rPr>
        <w:t>and</w:t>
      </w:r>
      <w:r>
        <w:rPr>
          <w:spacing w:val="-7"/>
          <w:sz w:val="22"/>
        </w:rPr>
        <w:t> </w:t>
      </w:r>
      <w:r>
        <w:rPr>
          <w:sz w:val="22"/>
        </w:rPr>
        <w:t>Christoph</w:t>
      </w:r>
      <w:r>
        <w:rPr>
          <w:spacing w:val="-7"/>
          <w:sz w:val="22"/>
        </w:rPr>
        <w:t> </w:t>
      </w:r>
      <w:r>
        <w:rPr>
          <w:sz w:val="22"/>
        </w:rPr>
        <w:t>Trebesch.</w:t>
      </w:r>
      <w:r>
        <w:rPr>
          <w:spacing w:val="-7"/>
          <w:sz w:val="22"/>
        </w:rPr>
        <w:t> </w:t>
      </w:r>
      <w:r>
        <w:rPr>
          <w:sz w:val="22"/>
        </w:rPr>
        <w:t>2020b.</w:t>
      </w:r>
      <w:r>
        <w:rPr>
          <w:spacing w:val="-7"/>
          <w:sz w:val="22"/>
        </w:rPr>
        <w:t> </w:t>
      </w:r>
      <w:r>
        <w:rPr>
          <w:sz w:val="22"/>
        </w:rPr>
        <w:t>Coping</w:t>
      </w:r>
      <w:r>
        <w:rPr>
          <w:spacing w:val="-7"/>
          <w:sz w:val="22"/>
        </w:rPr>
        <w:t> </w:t>
      </w:r>
      <w:r>
        <w:rPr>
          <w:sz w:val="22"/>
        </w:rPr>
        <w:t>with</w:t>
      </w:r>
      <w:r>
        <w:rPr>
          <w:spacing w:val="-7"/>
          <w:sz w:val="22"/>
        </w:rPr>
        <w:t> </w:t>
      </w:r>
      <w:r>
        <w:rPr>
          <w:sz w:val="22"/>
        </w:rPr>
        <w:t>Disasters: Two Centuries of International Ofﬁcial Lending. NBER Working Paper No. 27343.</w:t>
      </w:r>
    </w:p>
    <w:p>
      <w:pPr>
        <w:pStyle w:val="BodyText"/>
        <w:spacing w:before="4"/>
      </w:pPr>
    </w:p>
    <w:p>
      <w:pPr>
        <w:spacing w:line="288" w:lineRule="auto" w:before="0"/>
        <w:ind w:left="400" w:right="767" w:firstLine="0"/>
        <w:jc w:val="left"/>
        <w:rPr>
          <w:sz w:val="22"/>
        </w:rPr>
      </w:pPr>
      <w:r>
        <w:rPr>
          <w:sz w:val="22"/>
        </w:rPr>
        <w:t>Horn,</w:t>
      </w:r>
      <w:r>
        <w:rPr>
          <w:spacing w:val="-16"/>
          <w:sz w:val="22"/>
        </w:rPr>
        <w:t> </w:t>
      </w:r>
      <w:r>
        <w:rPr>
          <w:sz w:val="22"/>
        </w:rPr>
        <w:t>Sebastian,</w:t>
      </w:r>
      <w:r>
        <w:rPr>
          <w:spacing w:val="-15"/>
          <w:sz w:val="22"/>
        </w:rPr>
        <w:t> </w:t>
      </w:r>
      <w:r>
        <w:rPr>
          <w:sz w:val="22"/>
        </w:rPr>
        <w:t>Carmen</w:t>
      </w:r>
      <w:r>
        <w:rPr>
          <w:spacing w:val="-15"/>
          <w:sz w:val="22"/>
        </w:rPr>
        <w:t> </w:t>
      </w:r>
      <w:r>
        <w:rPr>
          <w:sz w:val="22"/>
        </w:rPr>
        <w:t>M.</w:t>
      </w:r>
      <w:r>
        <w:rPr>
          <w:spacing w:val="-16"/>
          <w:sz w:val="22"/>
        </w:rPr>
        <w:t> </w:t>
      </w:r>
      <w:r>
        <w:rPr>
          <w:sz w:val="22"/>
        </w:rPr>
        <w:t>Reinhart,</w:t>
      </w:r>
      <w:r>
        <w:rPr>
          <w:spacing w:val="-15"/>
          <w:sz w:val="22"/>
        </w:rPr>
        <w:t> </w:t>
      </w:r>
      <w:r>
        <w:rPr>
          <w:sz w:val="22"/>
        </w:rPr>
        <w:t>and</w:t>
      </w:r>
      <w:r>
        <w:rPr>
          <w:spacing w:val="-15"/>
          <w:sz w:val="22"/>
        </w:rPr>
        <w:t> </w:t>
      </w:r>
      <w:r>
        <w:rPr>
          <w:sz w:val="22"/>
        </w:rPr>
        <w:t>Christoph</w:t>
      </w:r>
      <w:r>
        <w:rPr>
          <w:spacing w:val="-15"/>
          <w:sz w:val="22"/>
        </w:rPr>
        <w:t> </w:t>
      </w:r>
      <w:r>
        <w:rPr>
          <w:sz w:val="22"/>
        </w:rPr>
        <w:t>Trebesch.</w:t>
      </w:r>
      <w:r>
        <w:rPr>
          <w:spacing w:val="-16"/>
          <w:sz w:val="22"/>
        </w:rPr>
        <w:t> </w:t>
      </w:r>
      <w:r>
        <w:rPr>
          <w:sz w:val="22"/>
        </w:rPr>
        <w:t>2021.</w:t>
      </w:r>
      <w:r>
        <w:rPr>
          <w:spacing w:val="-15"/>
          <w:sz w:val="22"/>
        </w:rPr>
        <w:t> </w:t>
      </w:r>
      <w:r>
        <w:rPr>
          <w:sz w:val="22"/>
        </w:rPr>
        <w:t>China’s</w:t>
      </w:r>
      <w:r>
        <w:rPr>
          <w:spacing w:val="-15"/>
          <w:sz w:val="22"/>
        </w:rPr>
        <w:t> </w:t>
      </w:r>
      <w:r>
        <w:rPr>
          <w:sz w:val="22"/>
        </w:rPr>
        <w:t>Overseas Lending. </w:t>
      </w:r>
      <w:r>
        <w:rPr>
          <w:i/>
          <w:sz w:val="22"/>
        </w:rPr>
        <w:t>Journal of International Economics </w:t>
      </w:r>
      <w:r>
        <w:rPr>
          <w:sz w:val="22"/>
        </w:rPr>
        <w:t>133: 103539.</w:t>
      </w:r>
    </w:p>
    <w:p>
      <w:pPr>
        <w:pStyle w:val="BodyText"/>
        <w:spacing w:before="5"/>
      </w:pPr>
    </w:p>
    <w:p>
      <w:pPr>
        <w:spacing w:line="288" w:lineRule="auto" w:before="0"/>
        <w:ind w:left="400" w:right="398" w:firstLine="0"/>
        <w:jc w:val="left"/>
        <w:rPr>
          <w:sz w:val="22"/>
        </w:rPr>
      </w:pPr>
      <w:r>
        <w:rPr>
          <w:sz w:val="22"/>
        </w:rPr>
        <w:t>Horn,</w:t>
      </w:r>
      <w:r>
        <w:rPr>
          <w:spacing w:val="-6"/>
          <w:sz w:val="22"/>
        </w:rPr>
        <w:t> </w:t>
      </w:r>
      <w:r>
        <w:rPr>
          <w:sz w:val="22"/>
        </w:rPr>
        <w:t>Sebastian,</w:t>
      </w:r>
      <w:r>
        <w:rPr>
          <w:spacing w:val="-6"/>
          <w:sz w:val="22"/>
        </w:rPr>
        <w:t> </w:t>
      </w:r>
      <w:r>
        <w:rPr>
          <w:sz w:val="22"/>
        </w:rPr>
        <w:t>Carmen</w:t>
      </w:r>
      <w:r>
        <w:rPr>
          <w:spacing w:val="-6"/>
          <w:sz w:val="22"/>
        </w:rPr>
        <w:t> </w:t>
      </w:r>
      <w:r>
        <w:rPr>
          <w:sz w:val="22"/>
        </w:rPr>
        <w:t>M.</w:t>
      </w:r>
      <w:r>
        <w:rPr>
          <w:spacing w:val="-6"/>
          <w:sz w:val="22"/>
        </w:rPr>
        <w:t> </w:t>
      </w:r>
      <w:r>
        <w:rPr>
          <w:sz w:val="22"/>
        </w:rPr>
        <w:t>Reinhart,</w:t>
      </w:r>
      <w:r>
        <w:rPr>
          <w:spacing w:val="-6"/>
          <w:sz w:val="22"/>
        </w:rPr>
        <w:t> </w:t>
      </w:r>
      <w:r>
        <w:rPr>
          <w:sz w:val="22"/>
        </w:rPr>
        <w:t>and</w:t>
      </w:r>
      <w:r>
        <w:rPr>
          <w:spacing w:val="-6"/>
          <w:sz w:val="22"/>
        </w:rPr>
        <w:t> </w:t>
      </w:r>
      <w:r>
        <w:rPr>
          <w:sz w:val="22"/>
        </w:rPr>
        <w:t>Christoph</w:t>
      </w:r>
      <w:r>
        <w:rPr>
          <w:spacing w:val="-6"/>
          <w:sz w:val="22"/>
        </w:rPr>
        <w:t> </w:t>
      </w:r>
      <w:r>
        <w:rPr>
          <w:sz w:val="22"/>
        </w:rPr>
        <w:t>Trebesch.</w:t>
      </w:r>
      <w:r>
        <w:rPr>
          <w:spacing w:val="-6"/>
          <w:sz w:val="22"/>
        </w:rPr>
        <w:t> </w:t>
      </w:r>
      <w:r>
        <w:rPr>
          <w:sz w:val="22"/>
        </w:rPr>
        <w:t>2022a.</w:t>
      </w:r>
      <w:r>
        <w:rPr>
          <w:spacing w:val="-6"/>
          <w:sz w:val="22"/>
        </w:rPr>
        <w:t> </w:t>
      </w:r>
      <w:r>
        <w:rPr>
          <w:sz w:val="22"/>
        </w:rPr>
        <w:t>Hidden</w:t>
      </w:r>
      <w:r>
        <w:rPr>
          <w:spacing w:val="-6"/>
          <w:sz w:val="22"/>
        </w:rPr>
        <w:t> </w:t>
      </w:r>
      <w:r>
        <w:rPr>
          <w:sz w:val="22"/>
        </w:rPr>
        <w:t>Defaults.</w:t>
      </w:r>
      <w:r>
        <w:rPr>
          <w:spacing w:val="-6"/>
          <w:sz w:val="22"/>
        </w:rPr>
        <w:t> </w:t>
      </w:r>
      <w:r>
        <w:rPr>
          <w:sz w:val="22"/>
        </w:rPr>
        <w:t>World Bank</w:t>
      </w:r>
      <w:r>
        <w:rPr>
          <w:spacing w:val="-4"/>
          <w:sz w:val="22"/>
        </w:rPr>
        <w:t> </w:t>
      </w:r>
      <w:r>
        <w:rPr>
          <w:sz w:val="22"/>
        </w:rPr>
        <w:t>Policy</w:t>
      </w:r>
      <w:r>
        <w:rPr>
          <w:spacing w:val="-4"/>
          <w:sz w:val="22"/>
        </w:rPr>
        <w:t> </w:t>
      </w:r>
      <w:r>
        <w:rPr>
          <w:sz w:val="22"/>
        </w:rPr>
        <w:t>Research</w:t>
      </w:r>
      <w:r>
        <w:rPr>
          <w:spacing w:val="-4"/>
          <w:sz w:val="22"/>
        </w:rPr>
        <w:t> </w:t>
      </w:r>
      <w:r>
        <w:rPr>
          <w:sz w:val="22"/>
        </w:rPr>
        <w:t>Working</w:t>
      </w:r>
      <w:r>
        <w:rPr>
          <w:spacing w:val="-4"/>
          <w:sz w:val="22"/>
        </w:rPr>
        <w:t> </w:t>
      </w:r>
      <w:r>
        <w:rPr>
          <w:sz w:val="22"/>
        </w:rPr>
        <w:t>Paper</w:t>
      </w:r>
      <w:r>
        <w:rPr>
          <w:spacing w:val="-4"/>
          <w:sz w:val="22"/>
        </w:rPr>
        <w:t> </w:t>
      </w:r>
      <w:r>
        <w:rPr>
          <w:sz w:val="22"/>
        </w:rPr>
        <w:t>Series</w:t>
      </w:r>
      <w:r>
        <w:rPr>
          <w:spacing w:val="-4"/>
          <w:sz w:val="22"/>
        </w:rPr>
        <w:t> </w:t>
      </w:r>
      <w:r>
        <w:rPr>
          <w:sz w:val="22"/>
        </w:rPr>
        <w:t>9925.</w:t>
      </w:r>
      <w:r>
        <w:rPr>
          <w:spacing w:val="-4"/>
          <w:sz w:val="22"/>
        </w:rPr>
        <w:t> </w:t>
      </w:r>
      <w:r>
        <w:rPr>
          <w:sz w:val="22"/>
        </w:rPr>
        <w:t>Washington</w:t>
      </w:r>
      <w:r>
        <w:rPr>
          <w:spacing w:val="-4"/>
          <w:sz w:val="22"/>
        </w:rPr>
        <w:t> </w:t>
      </w:r>
      <w:r>
        <w:rPr>
          <w:sz w:val="22"/>
        </w:rPr>
        <w:t>DC:</w:t>
      </w:r>
      <w:r>
        <w:rPr>
          <w:spacing w:val="-4"/>
          <w:sz w:val="22"/>
        </w:rPr>
        <w:t> </w:t>
      </w:r>
      <w:r>
        <w:rPr>
          <w:sz w:val="22"/>
        </w:rPr>
        <w:t>World</w:t>
      </w:r>
      <w:r>
        <w:rPr>
          <w:spacing w:val="-4"/>
          <w:sz w:val="22"/>
        </w:rPr>
        <w:t> </w:t>
      </w:r>
      <w:r>
        <w:rPr>
          <w:sz w:val="22"/>
        </w:rPr>
        <w:t>Bank.</w:t>
      </w:r>
    </w:p>
    <w:p>
      <w:pPr>
        <w:pStyle w:val="BodyText"/>
        <w:spacing w:before="5"/>
      </w:pPr>
    </w:p>
    <w:p>
      <w:pPr>
        <w:spacing w:line="288" w:lineRule="auto" w:before="0"/>
        <w:ind w:left="400" w:right="398" w:firstLine="0"/>
        <w:jc w:val="left"/>
        <w:rPr>
          <w:sz w:val="22"/>
        </w:rPr>
      </w:pPr>
      <w:r>
        <w:rPr>
          <w:sz w:val="22"/>
        </w:rPr>
        <w:t>Horn,</w:t>
      </w:r>
      <w:r>
        <w:rPr>
          <w:spacing w:val="-6"/>
          <w:sz w:val="22"/>
        </w:rPr>
        <w:t> </w:t>
      </w:r>
      <w:r>
        <w:rPr>
          <w:sz w:val="22"/>
        </w:rPr>
        <w:t>Sebastian,</w:t>
      </w:r>
      <w:r>
        <w:rPr>
          <w:spacing w:val="-6"/>
          <w:sz w:val="22"/>
        </w:rPr>
        <w:t> </w:t>
      </w:r>
      <w:r>
        <w:rPr>
          <w:sz w:val="22"/>
        </w:rPr>
        <w:t>Carmen</w:t>
      </w:r>
      <w:r>
        <w:rPr>
          <w:spacing w:val="-6"/>
          <w:sz w:val="22"/>
        </w:rPr>
        <w:t> </w:t>
      </w:r>
      <w:r>
        <w:rPr>
          <w:sz w:val="22"/>
        </w:rPr>
        <w:t>M.</w:t>
      </w:r>
      <w:r>
        <w:rPr>
          <w:spacing w:val="-6"/>
          <w:sz w:val="22"/>
        </w:rPr>
        <w:t> </w:t>
      </w:r>
      <w:r>
        <w:rPr>
          <w:sz w:val="22"/>
        </w:rPr>
        <w:t>Reinhart,</w:t>
      </w:r>
      <w:r>
        <w:rPr>
          <w:spacing w:val="-6"/>
          <w:sz w:val="22"/>
        </w:rPr>
        <w:t> </w:t>
      </w:r>
      <w:r>
        <w:rPr>
          <w:sz w:val="22"/>
        </w:rPr>
        <w:t>and</w:t>
      </w:r>
      <w:r>
        <w:rPr>
          <w:spacing w:val="-6"/>
          <w:sz w:val="22"/>
        </w:rPr>
        <w:t> </w:t>
      </w:r>
      <w:r>
        <w:rPr>
          <w:sz w:val="22"/>
        </w:rPr>
        <w:t>Christoph</w:t>
      </w:r>
      <w:r>
        <w:rPr>
          <w:spacing w:val="-6"/>
          <w:sz w:val="22"/>
        </w:rPr>
        <w:t> </w:t>
      </w:r>
      <w:r>
        <w:rPr>
          <w:sz w:val="22"/>
        </w:rPr>
        <w:t>Trebesch.</w:t>
      </w:r>
      <w:r>
        <w:rPr>
          <w:spacing w:val="-6"/>
          <w:sz w:val="22"/>
        </w:rPr>
        <w:t> </w:t>
      </w:r>
      <w:r>
        <w:rPr>
          <w:sz w:val="22"/>
        </w:rPr>
        <w:t>2022b.</w:t>
      </w:r>
      <w:r>
        <w:rPr>
          <w:spacing w:val="-6"/>
          <w:sz w:val="22"/>
        </w:rPr>
        <w:t> </w:t>
      </w:r>
      <w:r>
        <w:rPr>
          <w:sz w:val="22"/>
        </w:rPr>
        <w:t>Hidden</w:t>
      </w:r>
      <w:r>
        <w:rPr>
          <w:spacing w:val="-6"/>
          <w:sz w:val="22"/>
        </w:rPr>
        <w:t> </w:t>
      </w:r>
      <w:r>
        <w:rPr>
          <w:sz w:val="22"/>
        </w:rPr>
        <w:t>Defaults.</w:t>
      </w:r>
      <w:r>
        <w:rPr>
          <w:spacing w:val="-6"/>
          <w:sz w:val="22"/>
        </w:rPr>
        <w:t> </w:t>
      </w:r>
      <w:r>
        <w:rPr>
          <w:i/>
          <w:sz w:val="22"/>
        </w:rPr>
        <w:t>AEA</w:t>
      </w:r>
      <w:r>
        <w:rPr>
          <w:i/>
          <w:sz w:val="22"/>
        </w:rPr>
        <w:t> Papers and Proceedings </w:t>
      </w:r>
      <w:r>
        <w:rPr>
          <w:sz w:val="22"/>
        </w:rPr>
        <w:t>112: 531–35.</w:t>
      </w:r>
    </w:p>
    <w:p>
      <w:pPr>
        <w:spacing w:after="0" w:line="288" w:lineRule="auto"/>
        <w:jc w:val="left"/>
        <w:rPr>
          <w:sz w:val="22"/>
        </w:rPr>
        <w:sectPr>
          <w:footerReference w:type="default" r:id="rId54"/>
          <w:pgSz w:w="12240" w:h="15840"/>
          <w:pgMar w:footer="0" w:header="0" w:top="1400" w:bottom="280" w:left="1040" w:right="1040"/>
        </w:sectPr>
      </w:pPr>
    </w:p>
    <w:p>
      <w:pPr>
        <w:spacing w:line="288" w:lineRule="auto" w:before="44"/>
        <w:ind w:left="400" w:right="498" w:firstLine="0"/>
        <w:jc w:val="left"/>
        <w:rPr>
          <w:sz w:val="22"/>
        </w:rPr>
      </w:pPr>
      <w:r>
        <w:rPr>
          <w:sz w:val="22"/>
        </w:rPr>
        <w:t>Hwang,</w:t>
      </w:r>
      <w:r>
        <w:rPr>
          <w:spacing w:val="-13"/>
          <w:sz w:val="22"/>
        </w:rPr>
        <w:t> </w:t>
      </w:r>
      <w:r>
        <w:rPr>
          <w:sz w:val="22"/>
        </w:rPr>
        <w:t>Jyhjong,,</w:t>
      </w:r>
      <w:r>
        <w:rPr>
          <w:spacing w:val="-13"/>
          <w:sz w:val="22"/>
        </w:rPr>
        <w:t> </w:t>
      </w:r>
      <w:r>
        <w:rPr>
          <w:sz w:val="22"/>
        </w:rPr>
        <w:t>Oyintarelado</w:t>
      </w:r>
      <w:r>
        <w:rPr>
          <w:spacing w:val="-13"/>
          <w:sz w:val="22"/>
        </w:rPr>
        <w:t> </w:t>
      </w:r>
      <w:r>
        <w:rPr>
          <w:sz w:val="22"/>
        </w:rPr>
        <w:t>Moses,</w:t>
      </w:r>
      <w:r>
        <w:rPr>
          <w:spacing w:val="-13"/>
          <w:sz w:val="22"/>
        </w:rPr>
        <w:t> </w:t>
      </w:r>
      <w:r>
        <w:rPr>
          <w:sz w:val="22"/>
        </w:rPr>
        <w:t>Lucas</w:t>
      </w:r>
      <w:r>
        <w:rPr>
          <w:spacing w:val="-13"/>
          <w:sz w:val="22"/>
        </w:rPr>
        <w:t> </w:t>
      </w:r>
      <w:r>
        <w:rPr>
          <w:sz w:val="22"/>
        </w:rPr>
        <w:t>Engel,</w:t>
      </w:r>
      <w:r>
        <w:rPr>
          <w:spacing w:val="-13"/>
          <w:sz w:val="22"/>
        </w:rPr>
        <w:t> </w:t>
      </w:r>
      <w:r>
        <w:rPr>
          <w:sz w:val="22"/>
        </w:rPr>
        <w:t>and</w:t>
      </w:r>
      <w:r>
        <w:rPr>
          <w:spacing w:val="-13"/>
          <w:sz w:val="22"/>
        </w:rPr>
        <w:t> </w:t>
      </w:r>
      <w:r>
        <w:rPr>
          <w:sz w:val="22"/>
        </w:rPr>
        <w:t>Sobia</w:t>
      </w:r>
      <w:r>
        <w:rPr>
          <w:spacing w:val="-13"/>
          <w:sz w:val="22"/>
        </w:rPr>
        <w:t> </w:t>
      </w:r>
      <w:r>
        <w:rPr>
          <w:sz w:val="22"/>
        </w:rPr>
        <w:t>Shadbar.</w:t>
      </w:r>
      <w:r>
        <w:rPr>
          <w:spacing w:val="-13"/>
          <w:sz w:val="22"/>
        </w:rPr>
        <w:t> </w:t>
      </w:r>
      <w:r>
        <w:rPr>
          <w:sz w:val="22"/>
        </w:rPr>
        <w:t>2022.</w:t>
      </w:r>
      <w:r>
        <w:rPr>
          <w:spacing w:val="-13"/>
          <w:sz w:val="22"/>
        </w:rPr>
        <w:t> </w:t>
      </w:r>
      <w:r>
        <w:rPr>
          <w:sz w:val="22"/>
        </w:rPr>
        <w:t>Chinese</w:t>
      </w:r>
      <w:r>
        <w:rPr>
          <w:spacing w:val="-13"/>
          <w:sz w:val="22"/>
        </w:rPr>
        <w:t> </w:t>
      </w:r>
      <w:r>
        <w:rPr>
          <w:sz w:val="22"/>
        </w:rPr>
        <w:t>Loans to Africa During the COVID-19 Pandemic. BU Global Development Policy Center. GCI Policy </w:t>
      </w:r>
      <w:r>
        <w:rPr>
          <w:w w:val="105"/>
          <w:sz w:val="22"/>
        </w:rPr>
        <w:t>Brief</w:t>
      </w:r>
      <w:r>
        <w:rPr>
          <w:spacing w:val="-12"/>
          <w:w w:val="105"/>
          <w:sz w:val="22"/>
        </w:rPr>
        <w:t> </w:t>
      </w:r>
      <w:r>
        <w:rPr>
          <w:w w:val="105"/>
          <w:sz w:val="22"/>
        </w:rPr>
        <w:t>012.</w:t>
      </w:r>
      <w:r>
        <w:rPr>
          <w:spacing w:val="-12"/>
          <w:w w:val="105"/>
          <w:sz w:val="22"/>
        </w:rPr>
        <w:t> </w:t>
      </w:r>
      <w:r>
        <w:rPr>
          <w:w w:val="105"/>
          <w:sz w:val="22"/>
        </w:rPr>
        <w:t>Accessed</w:t>
      </w:r>
      <w:r>
        <w:rPr>
          <w:spacing w:val="-12"/>
          <w:w w:val="105"/>
          <w:sz w:val="22"/>
        </w:rPr>
        <w:t> </w:t>
      </w:r>
      <w:r>
        <w:rPr>
          <w:w w:val="105"/>
          <w:sz w:val="22"/>
        </w:rPr>
        <w:t>on</w:t>
      </w:r>
      <w:r>
        <w:rPr>
          <w:spacing w:val="-12"/>
          <w:w w:val="105"/>
          <w:sz w:val="22"/>
        </w:rPr>
        <w:t> </w:t>
      </w:r>
      <w:r>
        <w:rPr>
          <w:w w:val="105"/>
          <w:sz w:val="22"/>
        </w:rPr>
        <w:t>17</w:t>
      </w:r>
      <w:r>
        <w:rPr>
          <w:spacing w:val="-12"/>
          <w:w w:val="105"/>
          <w:sz w:val="22"/>
        </w:rPr>
        <w:t> </w:t>
      </w:r>
      <w:r>
        <w:rPr>
          <w:w w:val="105"/>
          <w:sz w:val="22"/>
        </w:rPr>
        <w:t>July</w:t>
      </w:r>
      <w:r>
        <w:rPr>
          <w:spacing w:val="-12"/>
          <w:w w:val="105"/>
          <w:sz w:val="22"/>
        </w:rPr>
        <w:t> </w:t>
      </w:r>
      <w:r>
        <w:rPr>
          <w:w w:val="105"/>
          <w:sz w:val="22"/>
        </w:rPr>
        <w:t>2023</w:t>
      </w:r>
      <w:r>
        <w:rPr>
          <w:spacing w:val="-12"/>
          <w:w w:val="105"/>
          <w:sz w:val="22"/>
        </w:rPr>
        <w:t> </w:t>
      </w:r>
      <w:r>
        <w:rPr>
          <w:w w:val="105"/>
          <w:sz w:val="22"/>
        </w:rPr>
        <w:t>at </w:t>
      </w:r>
      <w:hyperlink r:id="rId58">
        <w:r>
          <w:rPr>
            <w:color w:val="1154CC"/>
            <w:spacing w:val="-2"/>
            <w:w w:val="105"/>
            <w:sz w:val="22"/>
            <w:u w:val="thick" w:color="1154CC"/>
          </w:rPr>
          <w:t>https://www.bu.edu/gdp/ﬁles/2022/11/GCI_PB_012_EN_FIN.pdf</w:t>
        </w:r>
      </w:hyperlink>
    </w:p>
    <w:p>
      <w:pPr>
        <w:pStyle w:val="BodyText"/>
        <w:spacing w:before="4"/>
      </w:pPr>
    </w:p>
    <w:p>
      <w:pPr>
        <w:spacing w:line="288" w:lineRule="auto" w:before="0"/>
        <w:ind w:left="400" w:right="0" w:firstLine="0"/>
        <w:jc w:val="left"/>
        <w:rPr>
          <w:sz w:val="22"/>
        </w:rPr>
      </w:pPr>
      <w:r>
        <w:rPr>
          <w:sz w:val="22"/>
        </w:rPr>
        <w:t>International</w:t>
      </w:r>
      <w:r>
        <w:rPr>
          <w:spacing w:val="-2"/>
          <w:sz w:val="22"/>
        </w:rPr>
        <w:t> </w:t>
      </w:r>
      <w:r>
        <w:rPr>
          <w:sz w:val="22"/>
        </w:rPr>
        <w:t>Monetary</w:t>
      </w:r>
      <w:r>
        <w:rPr>
          <w:spacing w:val="-2"/>
          <w:sz w:val="22"/>
        </w:rPr>
        <w:t> </w:t>
      </w:r>
      <w:r>
        <w:rPr>
          <w:sz w:val="22"/>
        </w:rPr>
        <w:t>Fund</w:t>
      </w:r>
      <w:r>
        <w:rPr>
          <w:spacing w:val="-2"/>
          <w:sz w:val="22"/>
        </w:rPr>
        <w:t> </w:t>
      </w:r>
      <w:r>
        <w:rPr>
          <w:sz w:val="22"/>
        </w:rPr>
        <w:t>(IMF).</w:t>
      </w:r>
      <w:r>
        <w:rPr>
          <w:spacing w:val="-2"/>
          <w:sz w:val="22"/>
        </w:rPr>
        <w:t> </w:t>
      </w:r>
      <w:r>
        <w:rPr>
          <w:sz w:val="22"/>
        </w:rPr>
        <w:t>2020.</w:t>
      </w:r>
      <w:r>
        <w:rPr>
          <w:spacing w:val="-2"/>
          <w:sz w:val="22"/>
        </w:rPr>
        <w:t> </w:t>
      </w:r>
      <w:r>
        <w:rPr>
          <w:sz w:val="22"/>
        </w:rPr>
        <w:t>IMF</w:t>
      </w:r>
      <w:r>
        <w:rPr>
          <w:spacing w:val="-2"/>
          <w:sz w:val="22"/>
        </w:rPr>
        <w:t> </w:t>
      </w:r>
      <w:r>
        <w:rPr>
          <w:sz w:val="22"/>
        </w:rPr>
        <w:t>Policy</w:t>
      </w:r>
      <w:r>
        <w:rPr>
          <w:spacing w:val="-2"/>
          <w:sz w:val="22"/>
        </w:rPr>
        <w:t> </w:t>
      </w:r>
      <w:r>
        <w:rPr>
          <w:sz w:val="22"/>
        </w:rPr>
        <w:t>Paper:</w:t>
      </w:r>
      <w:r>
        <w:rPr>
          <w:spacing w:val="-2"/>
          <w:sz w:val="22"/>
        </w:rPr>
        <w:t> </w:t>
      </w:r>
      <w:r>
        <w:rPr>
          <w:sz w:val="22"/>
        </w:rPr>
        <w:t>The</w:t>
      </w:r>
      <w:r>
        <w:rPr>
          <w:spacing w:val="-2"/>
          <w:sz w:val="22"/>
        </w:rPr>
        <w:t> </w:t>
      </w:r>
      <w:r>
        <w:rPr>
          <w:sz w:val="22"/>
        </w:rPr>
        <w:t>Evolution</w:t>
      </w:r>
      <w:r>
        <w:rPr>
          <w:spacing w:val="-2"/>
          <w:sz w:val="22"/>
        </w:rPr>
        <w:t> </w:t>
      </w:r>
      <w:r>
        <w:rPr>
          <w:sz w:val="22"/>
        </w:rPr>
        <w:t>of</w:t>
      </w:r>
      <w:r>
        <w:rPr>
          <w:spacing w:val="-2"/>
          <w:sz w:val="22"/>
        </w:rPr>
        <w:t> </w:t>
      </w:r>
      <w:r>
        <w:rPr>
          <w:sz w:val="22"/>
        </w:rPr>
        <w:t>Public</w:t>
      </w:r>
      <w:r>
        <w:rPr>
          <w:spacing w:val="-2"/>
          <w:sz w:val="22"/>
        </w:rPr>
        <w:t> </w:t>
      </w:r>
      <w:r>
        <w:rPr>
          <w:sz w:val="22"/>
        </w:rPr>
        <w:t>Debt Vulnerabilities in Lower Income Economies. Washington DC: IMF.</w:t>
      </w:r>
    </w:p>
    <w:p>
      <w:pPr>
        <w:pStyle w:val="BodyText"/>
        <w:spacing w:before="4"/>
      </w:pPr>
    </w:p>
    <w:p>
      <w:pPr>
        <w:spacing w:line="288" w:lineRule="auto" w:before="0"/>
        <w:ind w:left="400" w:right="759" w:firstLine="0"/>
        <w:jc w:val="left"/>
        <w:rPr>
          <w:sz w:val="22"/>
        </w:rPr>
      </w:pPr>
      <w:r>
        <w:rPr>
          <w:sz w:val="22"/>
        </w:rPr>
        <w:t>International Monetary Fund (IMF). 2021. Request for an Extended Arrangement Under the Extended</w:t>
      </w:r>
      <w:r>
        <w:rPr>
          <w:spacing w:val="-10"/>
          <w:sz w:val="22"/>
        </w:rPr>
        <w:t> </w:t>
      </w:r>
      <w:r>
        <w:rPr>
          <w:sz w:val="22"/>
        </w:rPr>
        <w:t>Fund</w:t>
      </w:r>
      <w:r>
        <w:rPr>
          <w:spacing w:val="-10"/>
          <w:sz w:val="22"/>
        </w:rPr>
        <w:t> </w:t>
      </w:r>
      <w:r>
        <w:rPr>
          <w:sz w:val="22"/>
        </w:rPr>
        <w:t>Facility</w:t>
      </w:r>
      <w:r>
        <w:rPr>
          <w:spacing w:val="-10"/>
          <w:sz w:val="22"/>
        </w:rPr>
        <w:t> </w:t>
      </w:r>
      <w:r>
        <w:rPr>
          <w:sz w:val="22"/>
        </w:rPr>
        <w:t>--</w:t>
      </w:r>
      <w:r>
        <w:rPr>
          <w:spacing w:val="-10"/>
          <w:sz w:val="22"/>
        </w:rPr>
        <w:t> </w:t>
      </w:r>
      <w:r>
        <w:rPr>
          <w:sz w:val="22"/>
        </w:rPr>
        <w:t>Press</w:t>
      </w:r>
      <w:r>
        <w:rPr>
          <w:spacing w:val="-10"/>
          <w:sz w:val="22"/>
        </w:rPr>
        <w:t> </w:t>
      </w:r>
      <w:r>
        <w:rPr>
          <w:sz w:val="22"/>
        </w:rPr>
        <w:t>Release;</w:t>
      </w:r>
      <w:r>
        <w:rPr>
          <w:spacing w:val="-10"/>
          <w:sz w:val="22"/>
        </w:rPr>
        <w:t> </w:t>
      </w:r>
      <w:r>
        <w:rPr>
          <w:sz w:val="22"/>
        </w:rPr>
        <w:t>Staff</w:t>
      </w:r>
      <w:r>
        <w:rPr>
          <w:spacing w:val="-10"/>
          <w:sz w:val="22"/>
        </w:rPr>
        <w:t> </w:t>
      </w:r>
      <w:r>
        <w:rPr>
          <w:sz w:val="22"/>
        </w:rPr>
        <w:t>Report;</w:t>
      </w:r>
      <w:r>
        <w:rPr>
          <w:spacing w:val="-10"/>
          <w:sz w:val="22"/>
        </w:rPr>
        <w:t> </w:t>
      </w:r>
      <w:r>
        <w:rPr>
          <w:sz w:val="22"/>
        </w:rPr>
        <w:t>Staff</w:t>
      </w:r>
      <w:r>
        <w:rPr>
          <w:spacing w:val="-10"/>
          <w:sz w:val="22"/>
        </w:rPr>
        <w:t> </w:t>
      </w:r>
      <w:r>
        <w:rPr>
          <w:sz w:val="22"/>
        </w:rPr>
        <w:t>Statement;</w:t>
      </w:r>
      <w:r>
        <w:rPr>
          <w:spacing w:val="-10"/>
          <w:sz w:val="22"/>
        </w:rPr>
        <w:t> </w:t>
      </w:r>
      <w:r>
        <w:rPr>
          <w:sz w:val="22"/>
        </w:rPr>
        <w:t>and</w:t>
      </w:r>
      <w:r>
        <w:rPr>
          <w:spacing w:val="-10"/>
          <w:sz w:val="22"/>
        </w:rPr>
        <w:t> </w:t>
      </w:r>
      <w:r>
        <w:rPr>
          <w:sz w:val="22"/>
        </w:rPr>
        <w:t>Statement</w:t>
      </w:r>
      <w:r>
        <w:rPr>
          <w:spacing w:val="-10"/>
          <w:sz w:val="22"/>
        </w:rPr>
        <w:t> </w:t>
      </w:r>
      <w:r>
        <w:rPr>
          <w:sz w:val="22"/>
        </w:rPr>
        <w:t>by</w:t>
      </w:r>
      <w:r>
        <w:rPr>
          <w:spacing w:val="-10"/>
          <w:sz w:val="22"/>
        </w:rPr>
        <w:t> </w:t>
      </w:r>
      <w:r>
        <w:rPr>
          <w:sz w:val="22"/>
        </w:rPr>
        <w:t>the Executive Director for Suriname. IMF Country Report No. 21/280. Washington DC: IMF.</w:t>
      </w:r>
    </w:p>
    <w:p>
      <w:pPr>
        <w:spacing w:before="0"/>
        <w:ind w:left="400" w:right="0" w:firstLine="0"/>
        <w:jc w:val="left"/>
        <w:rPr>
          <w:sz w:val="22"/>
        </w:rPr>
      </w:pPr>
      <w:r>
        <w:rPr>
          <w:spacing w:val="-4"/>
          <w:sz w:val="22"/>
        </w:rPr>
        <w:t>Accessed</w:t>
      </w:r>
      <w:r>
        <w:rPr>
          <w:spacing w:val="-7"/>
          <w:sz w:val="22"/>
        </w:rPr>
        <w:t> </w:t>
      </w:r>
      <w:r>
        <w:rPr>
          <w:spacing w:val="-5"/>
          <w:sz w:val="22"/>
        </w:rPr>
        <w:t>at</w:t>
      </w:r>
    </w:p>
    <w:p>
      <w:pPr>
        <w:spacing w:before="51"/>
        <w:ind w:left="400" w:right="0" w:firstLine="0"/>
        <w:jc w:val="left"/>
        <w:rPr>
          <w:sz w:val="22"/>
        </w:rPr>
      </w:pPr>
      <w:hyperlink r:id="rId59">
        <w:r>
          <w:rPr>
            <w:color w:val="1154CC"/>
            <w:sz w:val="22"/>
            <w:u w:val="thick" w:color="1154CC"/>
          </w:rPr>
          <w:t>https://www.imf.org/-</w:t>
        </w:r>
        <w:r>
          <w:rPr>
            <w:color w:val="1154CC"/>
            <w:spacing w:val="-2"/>
            <w:sz w:val="22"/>
            <w:u w:val="thick" w:color="1154CC"/>
          </w:rPr>
          <w:t>/media/Files/Publications/CR/2021/English/1SUREA2021001.ashx</w:t>
        </w:r>
      </w:hyperlink>
    </w:p>
    <w:p>
      <w:pPr>
        <w:pStyle w:val="BodyText"/>
        <w:spacing w:before="9"/>
        <w:rPr>
          <w:sz w:val="28"/>
        </w:rPr>
      </w:pPr>
    </w:p>
    <w:p>
      <w:pPr>
        <w:spacing w:line="288" w:lineRule="auto" w:before="0"/>
        <w:ind w:left="400" w:right="0" w:firstLine="0"/>
        <w:jc w:val="left"/>
        <w:rPr>
          <w:sz w:val="22"/>
        </w:rPr>
      </w:pPr>
      <w:r>
        <w:rPr>
          <w:sz w:val="22"/>
        </w:rPr>
        <w:t>Ivashina,</w:t>
      </w:r>
      <w:r>
        <w:rPr>
          <w:spacing w:val="-5"/>
          <w:sz w:val="22"/>
        </w:rPr>
        <w:t> </w:t>
      </w:r>
      <w:r>
        <w:rPr>
          <w:sz w:val="22"/>
        </w:rPr>
        <w:t>Victoria.</w:t>
      </w:r>
      <w:r>
        <w:rPr>
          <w:spacing w:val="-5"/>
          <w:sz w:val="22"/>
        </w:rPr>
        <w:t> </w:t>
      </w:r>
      <w:r>
        <w:rPr>
          <w:sz w:val="22"/>
        </w:rPr>
        <w:t>2009.</w:t>
      </w:r>
      <w:r>
        <w:rPr>
          <w:spacing w:val="-5"/>
          <w:sz w:val="22"/>
        </w:rPr>
        <w:t> </w:t>
      </w:r>
      <w:r>
        <w:rPr>
          <w:sz w:val="22"/>
        </w:rPr>
        <w:t>Asymmetric</w:t>
      </w:r>
      <w:r>
        <w:rPr>
          <w:spacing w:val="-5"/>
          <w:sz w:val="22"/>
        </w:rPr>
        <w:t> </w:t>
      </w:r>
      <w:r>
        <w:rPr>
          <w:sz w:val="22"/>
        </w:rPr>
        <w:t>information</w:t>
      </w:r>
      <w:r>
        <w:rPr>
          <w:spacing w:val="-5"/>
          <w:sz w:val="22"/>
        </w:rPr>
        <w:t> </w:t>
      </w:r>
      <w:r>
        <w:rPr>
          <w:sz w:val="22"/>
        </w:rPr>
        <w:t>effects</w:t>
      </w:r>
      <w:r>
        <w:rPr>
          <w:spacing w:val="-5"/>
          <w:sz w:val="22"/>
        </w:rPr>
        <w:t> </w:t>
      </w:r>
      <w:r>
        <w:rPr>
          <w:sz w:val="22"/>
        </w:rPr>
        <w:t>on</w:t>
      </w:r>
      <w:r>
        <w:rPr>
          <w:spacing w:val="-5"/>
          <w:sz w:val="22"/>
        </w:rPr>
        <w:t> </w:t>
      </w:r>
      <w:r>
        <w:rPr>
          <w:sz w:val="22"/>
        </w:rPr>
        <w:t>loan</w:t>
      </w:r>
      <w:r>
        <w:rPr>
          <w:spacing w:val="-5"/>
          <w:sz w:val="22"/>
        </w:rPr>
        <w:t> </w:t>
      </w:r>
      <w:r>
        <w:rPr>
          <w:sz w:val="22"/>
        </w:rPr>
        <w:t>spreads.</w:t>
      </w:r>
      <w:r>
        <w:rPr>
          <w:spacing w:val="-5"/>
          <w:sz w:val="22"/>
        </w:rPr>
        <w:t> </w:t>
      </w:r>
      <w:r>
        <w:rPr>
          <w:i/>
          <w:sz w:val="22"/>
        </w:rPr>
        <w:t>Journal</w:t>
      </w:r>
      <w:r>
        <w:rPr>
          <w:i/>
          <w:spacing w:val="-5"/>
          <w:sz w:val="22"/>
        </w:rPr>
        <w:t> </w:t>
      </w:r>
      <w:r>
        <w:rPr>
          <w:i/>
          <w:sz w:val="22"/>
        </w:rPr>
        <w:t>of</w:t>
      </w:r>
      <w:r>
        <w:rPr>
          <w:i/>
          <w:spacing w:val="-5"/>
          <w:sz w:val="22"/>
        </w:rPr>
        <w:t> </w:t>
      </w:r>
      <w:r>
        <w:rPr>
          <w:i/>
          <w:sz w:val="22"/>
        </w:rPr>
        <w:t>Financial</w:t>
      </w:r>
      <w:r>
        <w:rPr>
          <w:i/>
          <w:sz w:val="22"/>
        </w:rPr>
        <w:t> Economics </w:t>
      </w:r>
      <w:r>
        <w:rPr>
          <w:sz w:val="22"/>
        </w:rPr>
        <w:t>92 (2): 300–319.</w:t>
      </w:r>
    </w:p>
    <w:p>
      <w:pPr>
        <w:pStyle w:val="BodyText"/>
        <w:spacing w:before="6"/>
      </w:pPr>
    </w:p>
    <w:p>
      <w:pPr>
        <w:spacing w:line="288" w:lineRule="auto" w:before="0"/>
        <w:ind w:left="400" w:right="504" w:firstLine="0"/>
        <w:jc w:val="left"/>
        <w:rPr>
          <w:sz w:val="22"/>
        </w:rPr>
      </w:pPr>
      <w:r>
        <w:rPr>
          <w:sz w:val="22"/>
        </w:rPr>
        <w:t>Jia, Chen. 2015. Policy banks get $90b cash infusion. 19 August 2015. </w:t>
      </w:r>
      <w:r>
        <w:rPr>
          <w:i/>
          <w:sz w:val="22"/>
        </w:rPr>
        <w:t>China Daily. </w:t>
      </w:r>
      <w:r>
        <w:rPr>
          <w:sz w:val="22"/>
        </w:rPr>
        <w:t>Accessed</w:t>
      </w:r>
      <w:r>
        <w:rPr>
          <w:sz w:val="22"/>
        </w:rPr>
        <w:t> on</w:t>
      </w:r>
      <w:r>
        <w:rPr>
          <w:spacing w:val="-7"/>
          <w:sz w:val="22"/>
        </w:rPr>
        <w:t> </w:t>
      </w:r>
      <w:r>
        <w:rPr>
          <w:sz w:val="22"/>
        </w:rPr>
        <w:t>10</w:t>
      </w:r>
      <w:r>
        <w:rPr>
          <w:spacing w:val="-6"/>
          <w:sz w:val="22"/>
        </w:rPr>
        <w:t> </w:t>
      </w:r>
      <w:r>
        <w:rPr>
          <w:sz w:val="22"/>
        </w:rPr>
        <w:t>July</w:t>
      </w:r>
      <w:r>
        <w:rPr>
          <w:spacing w:val="-6"/>
          <w:sz w:val="22"/>
        </w:rPr>
        <w:t> </w:t>
      </w:r>
      <w:r>
        <w:rPr>
          <w:sz w:val="22"/>
        </w:rPr>
        <w:t>2023</w:t>
      </w:r>
      <w:r>
        <w:rPr>
          <w:spacing w:val="-6"/>
          <w:sz w:val="22"/>
        </w:rPr>
        <w:t> </w:t>
      </w:r>
      <w:r>
        <w:rPr>
          <w:sz w:val="22"/>
        </w:rPr>
        <w:t>at</w:t>
      </w:r>
      <w:r>
        <w:rPr>
          <w:spacing w:val="-6"/>
          <w:sz w:val="22"/>
        </w:rPr>
        <w:t> </w:t>
      </w:r>
      <w:hyperlink r:id="rId60">
        <w:r>
          <w:rPr>
            <w:color w:val="1154CC"/>
            <w:sz w:val="22"/>
            <w:u w:val="thick" w:color="1154CC"/>
          </w:rPr>
          <w:t>https://www.chinadaily.com.cn/business/2015-</w:t>
        </w:r>
        <w:r>
          <w:rPr>
            <w:color w:val="1154CC"/>
            <w:spacing w:val="-2"/>
            <w:sz w:val="22"/>
            <w:u w:val="thick" w:color="1154CC"/>
          </w:rPr>
          <w:t>08/19/content_21643373.htm</w:t>
        </w:r>
      </w:hyperlink>
    </w:p>
    <w:p>
      <w:pPr>
        <w:pStyle w:val="BodyText"/>
        <w:spacing w:before="4"/>
      </w:pPr>
    </w:p>
    <w:p>
      <w:pPr>
        <w:spacing w:line="288" w:lineRule="auto" w:before="0"/>
        <w:ind w:left="400" w:right="111" w:firstLine="0"/>
        <w:jc w:val="left"/>
        <w:rPr>
          <w:sz w:val="22"/>
        </w:rPr>
      </w:pPr>
      <w:r>
        <w:rPr>
          <w:sz w:val="22"/>
        </w:rPr>
        <w:t>Joosse,</w:t>
      </w:r>
      <w:r>
        <w:rPr>
          <w:spacing w:val="-5"/>
          <w:sz w:val="22"/>
        </w:rPr>
        <w:t> </w:t>
      </w:r>
      <w:r>
        <w:rPr>
          <w:sz w:val="22"/>
        </w:rPr>
        <w:t>Alexandra,</w:t>
      </w:r>
      <w:r>
        <w:rPr>
          <w:spacing w:val="-5"/>
          <w:sz w:val="22"/>
        </w:rPr>
        <w:t> </w:t>
      </w:r>
      <w:r>
        <w:rPr>
          <w:sz w:val="22"/>
        </w:rPr>
        <w:t>Ammar</w:t>
      </w:r>
      <w:r>
        <w:rPr>
          <w:spacing w:val="-5"/>
          <w:sz w:val="22"/>
        </w:rPr>
        <w:t> </w:t>
      </w:r>
      <w:r>
        <w:rPr>
          <w:sz w:val="22"/>
        </w:rPr>
        <w:t>A.</w:t>
      </w:r>
      <w:r>
        <w:rPr>
          <w:spacing w:val="-5"/>
          <w:sz w:val="22"/>
        </w:rPr>
        <w:t> </w:t>
      </w:r>
      <w:r>
        <w:rPr>
          <w:sz w:val="22"/>
        </w:rPr>
        <w:t>Malik,</w:t>
      </w:r>
      <w:r>
        <w:rPr>
          <w:spacing w:val="-5"/>
          <w:sz w:val="22"/>
        </w:rPr>
        <w:t> </w:t>
      </w:r>
      <w:r>
        <w:rPr>
          <w:sz w:val="22"/>
        </w:rPr>
        <w:t>Sheng</w:t>
      </w:r>
      <w:r>
        <w:rPr>
          <w:spacing w:val="-5"/>
          <w:sz w:val="22"/>
        </w:rPr>
        <w:t> </w:t>
      </w:r>
      <w:r>
        <w:rPr>
          <w:sz w:val="22"/>
        </w:rPr>
        <w:t>Zhang,</w:t>
      </w:r>
      <w:r>
        <w:rPr>
          <w:spacing w:val="-5"/>
          <w:sz w:val="22"/>
        </w:rPr>
        <w:t> </w:t>
      </w:r>
      <w:r>
        <w:rPr>
          <w:sz w:val="22"/>
        </w:rPr>
        <w:t>and</w:t>
      </w:r>
      <w:r>
        <w:rPr>
          <w:spacing w:val="-5"/>
          <w:sz w:val="22"/>
        </w:rPr>
        <w:t> </w:t>
      </w:r>
      <w:r>
        <w:rPr>
          <w:sz w:val="22"/>
        </w:rPr>
        <w:t>Thai-Binh</w:t>
      </w:r>
      <w:r>
        <w:rPr>
          <w:spacing w:val="-5"/>
          <w:sz w:val="22"/>
        </w:rPr>
        <w:t> </w:t>
      </w:r>
      <w:r>
        <w:rPr>
          <w:sz w:val="22"/>
        </w:rPr>
        <w:t>Elston.</w:t>
      </w:r>
      <w:r>
        <w:rPr>
          <w:spacing w:val="-5"/>
          <w:sz w:val="22"/>
        </w:rPr>
        <w:t> </w:t>
      </w:r>
      <w:r>
        <w:rPr>
          <w:sz w:val="22"/>
        </w:rPr>
        <w:t>2023.</w:t>
      </w:r>
      <w:r>
        <w:rPr>
          <w:spacing w:val="-5"/>
          <w:sz w:val="22"/>
        </w:rPr>
        <w:t> </w:t>
      </w:r>
      <w:r>
        <w:rPr>
          <w:sz w:val="22"/>
        </w:rPr>
        <w:t>Networks</w:t>
      </w:r>
      <w:r>
        <w:rPr>
          <w:spacing w:val="-5"/>
          <w:sz w:val="22"/>
        </w:rPr>
        <w:t> </w:t>
      </w:r>
      <w:r>
        <w:rPr>
          <w:sz w:val="22"/>
        </w:rPr>
        <w:t>of</w:t>
      </w:r>
      <w:r>
        <w:rPr>
          <w:spacing w:val="-5"/>
          <w:sz w:val="22"/>
        </w:rPr>
        <w:t> </w:t>
      </w:r>
      <w:r>
        <w:rPr>
          <w:sz w:val="22"/>
        </w:rPr>
        <w:t>the Belt &amp; Road: The Hidden Role of Financial Brokers. Mimeo.</w:t>
      </w:r>
    </w:p>
    <w:p>
      <w:pPr>
        <w:pStyle w:val="BodyText"/>
        <w:spacing w:before="4"/>
      </w:pPr>
    </w:p>
    <w:p>
      <w:pPr>
        <w:spacing w:before="0"/>
        <w:ind w:left="400" w:right="0" w:firstLine="0"/>
        <w:jc w:val="left"/>
        <w:rPr>
          <w:sz w:val="22"/>
        </w:rPr>
      </w:pPr>
      <w:r>
        <w:rPr>
          <w:sz w:val="22"/>
        </w:rPr>
        <w:t>Kaminsky,</w:t>
      </w:r>
      <w:r>
        <w:rPr>
          <w:spacing w:val="-13"/>
          <w:sz w:val="22"/>
        </w:rPr>
        <w:t> </w:t>
      </w:r>
      <w:r>
        <w:rPr>
          <w:sz w:val="22"/>
        </w:rPr>
        <w:t>Graciela</w:t>
      </w:r>
      <w:r>
        <w:rPr>
          <w:spacing w:val="-13"/>
          <w:sz w:val="22"/>
        </w:rPr>
        <w:t> </w:t>
      </w:r>
      <w:r>
        <w:rPr>
          <w:sz w:val="22"/>
        </w:rPr>
        <w:t>and</w:t>
      </w:r>
      <w:r>
        <w:rPr>
          <w:spacing w:val="-13"/>
          <w:sz w:val="22"/>
        </w:rPr>
        <w:t> </w:t>
      </w:r>
      <w:r>
        <w:rPr>
          <w:sz w:val="22"/>
        </w:rPr>
        <w:t>Carmen</w:t>
      </w:r>
      <w:r>
        <w:rPr>
          <w:spacing w:val="-13"/>
          <w:sz w:val="22"/>
        </w:rPr>
        <w:t> </w:t>
      </w:r>
      <w:r>
        <w:rPr>
          <w:sz w:val="22"/>
        </w:rPr>
        <w:t>M.</w:t>
      </w:r>
      <w:r>
        <w:rPr>
          <w:spacing w:val="-13"/>
          <w:sz w:val="22"/>
        </w:rPr>
        <w:t> </w:t>
      </w:r>
      <w:r>
        <w:rPr>
          <w:sz w:val="22"/>
        </w:rPr>
        <w:t>Reinhart.</w:t>
      </w:r>
      <w:r>
        <w:rPr>
          <w:spacing w:val="-12"/>
          <w:sz w:val="22"/>
        </w:rPr>
        <w:t> </w:t>
      </w:r>
      <w:r>
        <w:rPr>
          <w:sz w:val="22"/>
        </w:rPr>
        <w:t>2000.</w:t>
      </w:r>
      <w:r>
        <w:rPr>
          <w:spacing w:val="-13"/>
          <w:sz w:val="22"/>
        </w:rPr>
        <w:t> </w:t>
      </w:r>
      <w:r>
        <w:rPr>
          <w:sz w:val="22"/>
        </w:rPr>
        <w:t>On</w:t>
      </w:r>
      <w:r>
        <w:rPr>
          <w:spacing w:val="-13"/>
          <w:sz w:val="22"/>
        </w:rPr>
        <w:t> </w:t>
      </w:r>
      <w:r>
        <w:rPr>
          <w:sz w:val="22"/>
        </w:rPr>
        <w:t>Crises,</w:t>
      </w:r>
      <w:r>
        <w:rPr>
          <w:spacing w:val="-13"/>
          <w:sz w:val="22"/>
        </w:rPr>
        <w:t> </w:t>
      </w:r>
      <w:r>
        <w:rPr>
          <w:sz w:val="22"/>
        </w:rPr>
        <w:t>Contagion</w:t>
      </w:r>
      <w:r>
        <w:rPr>
          <w:spacing w:val="-13"/>
          <w:sz w:val="22"/>
        </w:rPr>
        <w:t> </w:t>
      </w:r>
      <w:r>
        <w:rPr>
          <w:sz w:val="22"/>
        </w:rPr>
        <w:t>and</w:t>
      </w:r>
      <w:r>
        <w:rPr>
          <w:spacing w:val="-12"/>
          <w:sz w:val="22"/>
        </w:rPr>
        <w:t> </w:t>
      </w:r>
      <w:r>
        <w:rPr>
          <w:spacing w:val="-2"/>
          <w:sz w:val="22"/>
        </w:rPr>
        <w:t>Confusion.</w:t>
      </w:r>
    </w:p>
    <w:p>
      <w:pPr>
        <w:spacing w:before="52"/>
        <w:ind w:left="400" w:right="0" w:firstLine="0"/>
        <w:jc w:val="left"/>
        <w:rPr>
          <w:sz w:val="22"/>
        </w:rPr>
      </w:pPr>
      <w:r>
        <w:rPr>
          <w:i/>
          <w:sz w:val="22"/>
        </w:rPr>
        <w:t>Journal</w:t>
      </w:r>
      <w:r>
        <w:rPr>
          <w:i/>
          <w:spacing w:val="-13"/>
          <w:sz w:val="22"/>
        </w:rPr>
        <w:t> </w:t>
      </w:r>
      <w:r>
        <w:rPr>
          <w:i/>
          <w:sz w:val="22"/>
        </w:rPr>
        <w:t>of</w:t>
      </w:r>
      <w:r>
        <w:rPr>
          <w:i/>
          <w:spacing w:val="-13"/>
          <w:sz w:val="22"/>
        </w:rPr>
        <w:t> </w:t>
      </w:r>
      <w:r>
        <w:rPr>
          <w:i/>
          <w:sz w:val="22"/>
        </w:rPr>
        <w:t>International</w:t>
      </w:r>
      <w:r>
        <w:rPr>
          <w:i/>
          <w:spacing w:val="-12"/>
          <w:sz w:val="22"/>
        </w:rPr>
        <w:t> </w:t>
      </w:r>
      <w:r>
        <w:rPr>
          <w:i/>
          <w:sz w:val="22"/>
        </w:rPr>
        <w:t>Economics</w:t>
      </w:r>
      <w:r>
        <w:rPr>
          <w:i/>
          <w:spacing w:val="-13"/>
          <w:sz w:val="22"/>
        </w:rPr>
        <w:t> </w:t>
      </w:r>
      <w:r>
        <w:rPr>
          <w:sz w:val="22"/>
        </w:rPr>
        <w:t>51</w:t>
      </w:r>
      <w:r>
        <w:rPr>
          <w:spacing w:val="-12"/>
          <w:sz w:val="22"/>
        </w:rPr>
        <w:t> </w:t>
      </w:r>
      <w:r>
        <w:rPr>
          <w:sz w:val="22"/>
        </w:rPr>
        <w:t>(1):</w:t>
      </w:r>
      <w:r>
        <w:rPr>
          <w:spacing w:val="-13"/>
          <w:sz w:val="22"/>
        </w:rPr>
        <w:t> </w:t>
      </w:r>
      <w:r>
        <w:rPr>
          <w:sz w:val="22"/>
        </w:rPr>
        <w:t>145-</w:t>
      </w:r>
      <w:r>
        <w:rPr>
          <w:spacing w:val="-4"/>
          <w:sz w:val="22"/>
        </w:rPr>
        <w:t>168.</w:t>
      </w:r>
    </w:p>
    <w:p>
      <w:pPr>
        <w:pStyle w:val="BodyText"/>
        <w:spacing w:before="9"/>
        <w:rPr>
          <w:sz w:val="28"/>
        </w:rPr>
      </w:pPr>
    </w:p>
    <w:p>
      <w:pPr>
        <w:spacing w:line="288" w:lineRule="auto" w:before="0"/>
        <w:ind w:left="400" w:right="461" w:firstLine="0"/>
        <w:jc w:val="left"/>
        <w:rPr>
          <w:sz w:val="22"/>
        </w:rPr>
      </w:pPr>
      <w:r>
        <w:rPr>
          <w:sz w:val="22"/>
        </w:rPr>
        <w:t>Kondo,</w:t>
      </w:r>
      <w:r>
        <w:rPr>
          <w:spacing w:val="-4"/>
          <w:sz w:val="22"/>
        </w:rPr>
        <w:t> </w:t>
      </w:r>
      <w:r>
        <w:rPr>
          <w:sz w:val="22"/>
        </w:rPr>
        <w:t>Illenin</w:t>
      </w:r>
      <w:r>
        <w:rPr>
          <w:spacing w:val="-4"/>
          <w:sz w:val="22"/>
        </w:rPr>
        <w:t> </w:t>
      </w:r>
      <w:r>
        <w:rPr>
          <w:sz w:val="22"/>
        </w:rPr>
        <w:t>O.,</w:t>
      </w:r>
      <w:r>
        <w:rPr>
          <w:spacing w:val="-4"/>
          <w:sz w:val="22"/>
        </w:rPr>
        <w:t> </w:t>
      </w:r>
      <w:r>
        <w:rPr>
          <w:sz w:val="22"/>
        </w:rPr>
        <w:t>Astghik</w:t>
      </w:r>
      <w:r>
        <w:rPr>
          <w:spacing w:val="-4"/>
          <w:sz w:val="22"/>
        </w:rPr>
        <w:t> </w:t>
      </w:r>
      <w:r>
        <w:rPr>
          <w:sz w:val="22"/>
        </w:rPr>
        <w:t>Mkhitaryan,</w:t>
      </w:r>
      <w:r>
        <w:rPr>
          <w:spacing w:val="-4"/>
          <w:sz w:val="22"/>
        </w:rPr>
        <w:t> </w:t>
      </w:r>
      <w:r>
        <w:rPr>
          <w:sz w:val="22"/>
        </w:rPr>
        <w:t>and</w:t>
      </w:r>
      <w:r>
        <w:rPr>
          <w:spacing w:val="-4"/>
          <w:sz w:val="22"/>
        </w:rPr>
        <w:t> </w:t>
      </w:r>
      <w:r>
        <w:rPr>
          <w:sz w:val="22"/>
        </w:rPr>
        <w:t>Cesar</w:t>
      </w:r>
      <w:r>
        <w:rPr>
          <w:spacing w:val="-4"/>
          <w:sz w:val="22"/>
        </w:rPr>
        <w:t> </w:t>
      </w:r>
      <w:r>
        <w:rPr>
          <w:sz w:val="22"/>
        </w:rPr>
        <w:t>Sosa-Padilla.</w:t>
      </w:r>
      <w:r>
        <w:rPr>
          <w:spacing w:val="-4"/>
          <w:sz w:val="22"/>
        </w:rPr>
        <w:t> </w:t>
      </w:r>
      <w:r>
        <w:rPr>
          <w:sz w:val="22"/>
        </w:rPr>
        <w:t>2022.</w:t>
      </w:r>
      <w:r>
        <w:rPr>
          <w:spacing w:val="-4"/>
          <w:sz w:val="22"/>
        </w:rPr>
        <w:t> </w:t>
      </w:r>
      <w:r>
        <w:rPr>
          <w:sz w:val="22"/>
        </w:rPr>
        <w:t>Borrowing</w:t>
      </w:r>
      <w:r>
        <w:rPr>
          <w:spacing w:val="-4"/>
          <w:sz w:val="22"/>
        </w:rPr>
        <w:t> </w:t>
      </w:r>
      <w:r>
        <w:rPr>
          <w:sz w:val="22"/>
        </w:rPr>
        <w:t>in</w:t>
      </w:r>
      <w:r>
        <w:rPr>
          <w:spacing w:val="-4"/>
          <w:sz w:val="22"/>
        </w:rPr>
        <w:t> </w:t>
      </w:r>
      <w:r>
        <w:rPr>
          <w:sz w:val="22"/>
        </w:rPr>
        <w:t>the</w:t>
      </w:r>
      <w:r>
        <w:rPr>
          <w:spacing w:val="-4"/>
          <w:sz w:val="22"/>
        </w:rPr>
        <w:t> </w:t>
      </w:r>
      <w:r>
        <w:rPr>
          <w:sz w:val="22"/>
        </w:rPr>
        <w:t>Shadow of China. Mimeo.</w:t>
      </w:r>
    </w:p>
    <w:p>
      <w:pPr>
        <w:pStyle w:val="BodyText"/>
        <w:spacing w:before="4"/>
      </w:pPr>
    </w:p>
    <w:p>
      <w:pPr>
        <w:spacing w:line="288" w:lineRule="auto" w:before="0"/>
        <w:ind w:left="400" w:right="767" w:firstLine="0"/>
        <w:jc w:val="left"/>
        <w:rPr>
          <w:sz w:val="22"/>
        </w:rPr>
      </w:pPr>
      <w:r>
        <w:rPr>
          <w:sz w:val="22"/>
        </w:rPr>
        <w:t>Kong,</w:t>
      </w:r>
      <w:r>
        <w:rPr>
          <w:spacing w:val="-12"/>
          <w:sz w:val="22"/>
        </w:rPr>
        <w:t> </w:t>
      </w:r>
      <w:r>
        <w:rPr>
          <w:sz w:val="22"/>
        </w:rPr>
        <w:t>Bo,</w:t>
      </w:r>
      <w:r>
        <w:rPr>
          <w:spacing w:val="-12"/>
          <w:sz w:val="22"/>
        </w:rPr>
        <w:t> </w:t>
      </w:r>
      <w:r>
        <w:rPr>
          <w:sz w:val="22"/>
        </w:rPr>
        <w:t>and</w:t>
      </w:r>
      <w:r>
        <w:rPr>
          <w:spacing w:val="-12"/>
          <w:sz w:val="22"/>
        </w:rPr>
        <w:t> </w:t>
      </w:r>
      <w:r>
        <w:rPr>
          <w:sz w:val="22"/>
        </w:rPr>
        <w:t>Kevin</w:t>
      </w:r>
      <w:r>
        <w:rPr>
          <w:spacing w:val="-12"/>
          <w:sz w:val="22"/>
        </w:rPr>
        <w:t> </w:t>
      </w:r>
      <w:r>
        <w:rPr>
          <w:sz w:val="22"/>
        </w:rPr>
        <w:t>P.</w:t>
      </w:r>
      <w:r>
        <w:rPr>
          <w:spacing w:val="-12"/>
          <w:sz w:val="22"/>
        </w:rPr>
        <w:t> </w:t>
      </w:r>
      <w:r>
        <w:rPr>
          <w:sz w:val="22"/>
        </w:rPr>
        <w:t>Gallagher.</w:t>
      </w:r>
      <w:r>
        <w:rPr>
          <w:spacing w:val="-12"/>
          <w:sz w:val="22"/>
        </w:rPr>
        <w:t> </w:t>
      </w:r>
      <w:r>
        <w:rPr>
          <w:sz w:val="22"/>
        </w:rPr>
        <w:t>2017.</w:t>
      </w:r>
      <w:r>
        <w:rPr>
          <w:spacing w:val="-12"/>
          <w:sz w:val="22"/>
        </w:rPr>
        <w:t> </w:t>
      </w:r>
      <w:r>
        <w:rPr>
          <w:sz w:val="22"/>
        </w:rPr>
        <w:t>Globalizing</w:t>
      </w:r>
      <w:r>
        <w:rPr>
          <w:spacing w:val="-12"/>
          <w:sz w:val="22"/>
        </w:rPr>
        <w:t> </w:t>
      </w:r>
      <w:r>
        <w:rPr>
          <w:sz w:val="22"/>
        </w:rPr>
        <w:t>Chinese</w:t>
      </w:r>
      <w:r>
        <w:rPr>
          <w:spacing w:val="-12"/>
          <w:sz w:val="22"/>
        </w:rPr>
        <w:t> </w:t>
      </w:r>
      <w:r>
        <w:rPr>
          <w:sz w:val="22"/>
        </w:rPr>
        <w:t>Energy</w:t>
      </w:r>
      <w:r>
        <w:rPr>
          <w:spacing w:val="-12"/>
          <w:sz w:val="22"/>
        </w:rPr>
        <w:t> </w:t>
      </w:r>
      <w:r>
        <w:rPr>
          <w:sz w:val="22"/>
        </w:rPr>
        <w:t>Finance:</w:t>
      </w:r>
      <w:r>
        <w:rPr>
          <w:spacing w:val="-12"/>
          <w:sz w:val="22"/>
        </w:rPr>
        <w:t> </w:t>
      </w:r>
      <w:r>
        <w:rPr>
          <w:sz w:val="22"/>
        </w:rPr>
        <w:t>The</w:t>
      </w:r>
      <w:r>
        <w:rPr>
          <w:spacing w:val="-12"/>
          <w:sz w:val="22"/>
        </w:rPr>
        <w:t> </w:t>
      </w:r>
      <w:r>
        <w:rPr>
          <w:sz w:val="22"/>
        </w:rPr>
        <w:t>Role</w:t>
      </w:r>
      <w:r>
        <w:rPr>
          <w:spacing w:val="-12"/>
          <w:sz w:val="22"/>
        </w:rPr>
        <w:t> </w:t>
      </w:r>
      <w:r>
        <w:rPr>
          <w:sz w:val="22"/>
        </w:rPr>
        <w:t>of Policy Banks. </w:t>
      </w:r>
      <w:r>
        <w:rPr>
          <w:i/>
          <w:sz w:val="22"/>
        </w:rPr>
        <w:t>Journal of Contemporary China </w:t>
      </w:r>
      <w:r>
        <w:rPr>
          <w:sz w:val="22"/>
        </w:rPr>
        <w:t>26 (108): 834–851.</w:t>
      </w:r>
    </w:p>
    <w:p>
      <w:pPr>
        <w:pStyle w:val="BodyText"/>
        <w:spacing w:before="5"/>
      </w:pPr>
    </w:p>
    <w:p>
      <w:pPr>
        <w:spacing w:line="288" w:lineRule="auto" w:before="0"/>
        <w:ind w:left="400" w:right="1034" w:firstLine="0"/>
        <w:jc w:val="left"/>
        <w:rPr>
          <w:sz w:val="22"/>
        </w:rPr>
      </w:pPr>
      <w:r>
        <w:rPr>
          <w:sz w:val="22"/>
        </w:rPr>
        <w:t>Kose,</w:t>
      </w:r>
      <w:r>
        <w:rPr>
          <w:spacing w:val="-1"/>
          <w:sz w:val="22"/>
        </w:rPr>
        <w:t> </w:t>
      </w:r>
      <w:r>
        <w:rPr>
          <w:sz w:val="22"/>
        </w:rPr>
        <w:t>M.</w:t>
      </w:r>
      <w:r>
        <w:rPr>
          <w:spacing w:val="-1"/>
          <w:sz w:val="22"/>
        </w:rPr>
        <w:t> </w:t>
      </w:r>
      <w:r>
        <w:rPr>
          <w:sz w:val="22"/>
        </w:rPr>
        <w:t>Ayhan,</w:t>
      </w:r>
      <w:r>
        <w:rPr>
          <w:spacing w:val="-1"/>
          <w:sz w:val="22"/>
        </w:rPr>
        <w:t> </w:t>
      </w:r>
      <w:r>
        <w:rPr>
          <w:sz w:val="22"/>
        </w:rPr>
        <w:t>Sergio</w:t>
      </w:r>
      <w:r>
        <w:rPr>
          <w:spacing w:val="-1"/>
          <w:sz w:val="22"/>
        </w:rPr>
        <w:t> </w:t>
      </w:r>
      <w:r>
        <w:rPr>
          <w:sz w:val="22"/>
        </w:rPr>
        <w:t>Kurlat,</w:t>
      </w:r>
      <w:r>
        <w:rPr>
          <w:spacing w:val="-1"/>
          <w:sz w:val="22"/>
        </w:rPr>
        <w:t> </w:t>
      </w:r>
      <w:r>
        <w:rPr>
          <w:sz w:val="22"/>
        </w:rPr>
        <w:t>Franziska</w:t>
      </w:r>
      <w:r>
        <w:rPr>
          <w:spacing w:val="-1"/>
          <w:sz w:val="22"/>
        </w:rPr>
        <w:t> </w:t>
      </w:r>
      <w:r>
        <w:rPr>
          <w:sz w:val="22"/>
        </w:rPr>
        <w:t>Ohnsorge,</w:t>
      </w:r>
      <w:r>
        <w:rPr>
          <w:spacing w:val="-1"/>
          <w:sz w:val="22"/>
        </w:rPr>
        <w:t> </w:t>
      </w:r>
      <w:r>
        <w:rPr>
          <w:sz w:val="22"/>
        </w:rPr>
        <w:t>and</w:t>
      </w:r>
      <w:r>
        <w:rPr>
          <w:spacing w:val="-1"/>
          <w:sz w:val="22"/>
        </w:rPr>
        <w:t> </w:t>
      </w:r>
      <w:r>
        <w:rPr>
          <w:sz w:val="22"/>
        </w:rPr>
        <w:t>Naotaka</w:t>
      </w:r>
      <w:r>
        <w:rPr>
          <w:spacing w:val="-1"/>
          <w:sz w:val="22"/>
        </w:rPr>
        <w:t> </w:t>
      </w:r>
      <w:r>
        <w:rPr>
          <w:sz w:val="22"/>
        </w:rPr>
        <w:t>Sugawara.</w:t>
      </w:r>
      <w:r>
        <w:rPr>
          <w:spacing w:val="-1"/>
          <w:sz w:val="22"/>
        </w:rPr>
        <w:t> </w:t>
      </w:r>
      <w:r>
        <w:rPr>
          <w:sz w:val="22"/>
        </w:rPr>
        <w:t>2022.</w:t>
      </w:r>
      <w:r>
        <w:rPr>
          <w:spacing w:val="-1"/>
          <w:sz w:val="22"/>
        </w:rPr>
        <w:t> </w:t>
      </w:r>
      <w:r>
        <w:rPr>
          <w:sz w:val="22"/>
        </w:rPr>
        <w:t>A Cross-Country</w:t>
      </w:r>
      <w:r>
        <w:rPr>
          <w:spacing w:val="-8"/>
          <w:sz w:val="22"/>
        </w:rPr>
        <w:t> </w:t>
      </w:r>
      <w:r>
        <w:rPr>
          <w:sz w:val="22"/>
        </w:rPr>
        <w:t>Database</w:t>
      </w:r>
      <w:r>
        <w:rPr>
          <w:spacing w:val="-8"/>
          <w:sz w:val="22"/>
        </w:rPr>
        <w:t> </w:t>
      </w:r>
      <w:r>
        <w:rPr>
          <w:sz w:val="22"/>
        </w:rPr>
        <w:t>of</w:t>
      </w:r>
      <w:r>
        <w:rPr>
          <w:spacing w:val="-8"/>
          <w:sz w:val="22"/>
        </w:rPr>
        <w:t> </w:t>
      </w:r>
      <w:r>
        <w:rPr>
          <w:sz w:val="22"/>
        </w:rPr>
        <w:t>Fiscal</w:t>
      </w:r>
      <w:r>
        <w:rPr>
          <w:spacing w:val="-8"/>
          <w:sz w:val="22"/>
        </w:rPr>
        <w:t> </w:t>
      </w:r>
      <w:r>
        <w:rPr>
          <w:sz w:val="22"/>
        </w:rPr>
        <w:t>Space.</w:t>
      </w:r>
      <w:r>
        <w:rPr>
          <w:spacing w:val="-8"/>
          <w:sz w:val="22"/>
        </w:rPr>
        <w:t> </w:t>
      </w:r>
      <w:r>
        <w:rPr>
          <w:i/>
          <w:sz w:val="22"/>
        </w:rPr>
        <w:t>Journal</w:t>
      </w:r>
      <w:r>
        <w:rPr>
          <w:i/>
          <w:spacing w:val="-8"/>
          <w:sz w:val="22"/>
        </w:rPr>
        <w:t> </w:t>
      </w:r>
      <w:r>
        <w:rPr>
          <w:i/>
          <w:sz w:val="22"/>
        </w:rPr>
        <w:t>of</w:t>
      </w:r>
      <w:r>
        <w:rPr>
          <w:i/>
          <w:spacing w:val="-8"/>
          <w:sz w:val="22"/>
        </w:rPr>
        <w:t> </w:t>
      </w:r>
      <w:r>
        <w:rPr>
          <w:i/>
          <w:sz w:val="22"/>
        </w:rPr>
        <w:t>International</w:t>
      </w:r>
      <w:r>
        <w:rPr>
          <w:i/>
          <w:spacing w:val="-8"/>
          <w:sz w:val="22"/>
        </w:rPr>
        <w:t> </w:t>
      </w:r>
      <w:r>
        <w:rPr>
          <w:i/>
          <w:sz w:val="22"/>
        </w:rPr>
        <w:t>Money</w:t>
      </w:r>
      <w:r>
        <w:rPr>
          <w:i/>
          <w:spacing w:val="-8"/>
          <w:sz w:val="22"/>
        </w:rPr>
        <w:t> </w:t>
      </w:r>
      <w:r>
        <w:rPr>
          <w:i/>
          <w:sz w:val="22"/>
        </w:rPr>
        <w:t>and</w:t>
      </w:r>
      <w:r>
        <w:rPr>
          <w:i/>
          <w:spacing w:val="-8"/>
          <w:sz w:val="22"/>
        </w:rPr>
        <w:t> </w:t>
      </w:r>
      <w:r>
        <w:rPr>
          <w:i/>
          <w:sz w:val="22"/>
        </w:rPr>
        <w:t>Finance</w:t>
      </w:r>
      <w:r>
        <w:rPr>
          <w:i/>
          <w:spacing w:val="-8"/>
          <w:sz w:val="22"/>
        </w:rPr>
        <w:t> </w:t>
      </w:r>
      <w:r>
        <w:rPr>
          <w:sz w:val="22"/>
        </w:rPr>
        <w:t>128 (November): 102682.</w:t>
      </w:r>
    </w:p>
    <w:p>
      <w:pPr>
        <w:pStyle w:val="BodyText"/>
        <w:spacing w:before="6"/>
      </w:pPr>
    </w:p>
    <w:p>
      <w:pPr>
        <w:spacing w:line="288" w:lineRule="auto" w:before="0"/>
        <w:ind w:left="400" w:right="767" w:firstLine="0"/>
        <w:jc w:val="left"/>
        <w:rPr>
          <w:sz w:val="22"/>
        </w:rPr>
      </w:pPr>
      <w:r>
        <w:rPr>
          <w:sz w:val="22"/>
        </w:rPr>
        <w:t>Liu,</w:t>
      </w:r>
      <w:r>
        <w:rPr>
          <w:spacing w:val="-9"/>
          <w:sz w:val="22"/>
        </w:rPr>
        <w:t> </w:t>
      </w:r>
      <w:r>
        <w:rPr>
          <w:sz w:val="22"/>
        </w:rPr>
        <w:t>Zongyuan</w:t>
      </w:r>
      <w:r>
        <w:rPr>
          <w:spacing w:val="-9"/>
          <w:sz w:val="22"/>
        </w:rPr>
        <w:t> </w:t>
      </w:r>
      <w:r>
        <w:rPr>
          <w:sz w:val="22"/>
        </w:rPr>
        <w:t>Zoe.</w:t>
      </w:r>
      <w:r>
        <w:rPr>
          <w:spacing w:val="-9"/>
          <w:sz w:val="22"/>
        </w:rPr>
        <w:t> </w:t>
      </w:r>
      <w:r>
        <w:rPr>
          <w:sz w:val="22"/>
        </w:rPr>
        <w:t>2023.</w:t>
      </w:r>
      <w:r>
        <w:rPr>
          <w:spacing w:val="-9"/>
          <w:sz w:val="22"/>
        </w:rPr>
        <w:t> </w:t>
      </w:r>
      <w:r>
        <w:rPr>
          <w:i/>
          <w:sz w:val="22"/>
        </w:rPr>
        <w:t>Sovereign</w:t>
      </w:r>
      <w:r>
        <w:rPr>
          <w:i/>
          <w:spacing w:val="-9"/>
          <w:sz w:val="22"/>
        </w:rPr>
        <w:t> </w:t>
      </w:r>
      <w:r>
        <w:rPr>
          <w:i/>
          <w:sz w:val="22"/>
        </w:rPr>
        <w:t>Funds:</w:t>
      </w:r>
      <w:r>
        <w:rPr>
          <w:i/>
          <w:spacing w:val="-9"/>
          <w:sz w:val="22"/>
        </w:rPr>
        <w:t> </w:t>
      </w:r>
      <w:r>
        <w:rPr>
          <w:i/>
          <w:sz w:val="22"/>
        </w:rPr>
        <w:t>How</w:t>
      </w:r>
      <w:r>
        <w:rPr>
          <w:i/>
          <w:spacing w:val="-9"/>
          <w:sz w:val="22"/>
        </w:rPr>
        <w:t> </w:t>
      </w:r>
      <w:r>
        <w:rPr>
          <w:i/>
          <w:sz w:val="22"/>
        </w:rPr>
        <w:t>the</w:t>
      </w:r>
      <w:r>
        <w:rPr>
          <w:i/>
          <w:spacing w:val="-9"/>
          <w:sz w:val="22"/>
        </w:rPr>
        <w:t> </w:t>
      </w:r>
      <w:r>
        <w:rPr>
          <w:i/>
          <w:sz w:val="22"/>
        </w:rPr>
        <w:t>Communist</w:t>
      </w:r>
      <w:r>
        <w:rPr>
          <w:i/>
          <w:spacing w:val="-9"/>
          <w:sz w:val="22"/>
        </w:rPr>
        <w:t> </w:t>
      </w:r>
      <w:r>
        <w:rPr>
          <w:i/>
          <w:sz w:val="22"/>
        </w:rPr>
        <w:t>Party</w:t>
      </w:r>
      <w:r>
        <w:rPr>
          <w:i/>
          <w:spacing w:val="-9"/>
          <w:sz w:val="22"/>
        </w:rPr>
        <w:t> </w:t>
      </w:r>
      <w:r>
        <w:rPr>
          <w:i/>
          <w:sz w:val="22"/>
        </w:rPr>
        <w:t>of</w:t>
      </w:r>
      <w:r>
        <w:rPr>
          <w:i/>
          <w:spacing w:val="-9"/>
          <w:sz w:val="22"/>
        </w:rPr>
        <w:t> </w:t>
      </w:r>
      <w:r>
        <w:rPr>
          <w:i/>
          <w:sz w:val="22"/>
        </w:rPr>
        <w:t>China</w:t>
      </w:r>
      <w:r>
        <w:rPr>
          <w:i/>
          <w:spacing w:val="-9"/>
          <w:sz w:val="22"/>
        </w:rPr>
        <w:t> </w:t>
      </w:r>
      <w:r>
        <w:rPr>
          <w:i/>
          <w:sz w:val="22"/>
        </w:rPr>
        <w:t>Finances</w:t>
      </w:r>
      <w:r>
        <w:rPr>
          <w:i/>
          <w:spacing w:val="-9"/>
          <w:sz w:val="22"/>
        </w:rPr>
        <w:t> </w:t>
      </w:r>
      <w:r>
        <w:rPr>
          <w:i/>
          <w:sz w:val="22"/>
        </w:rPr>
        <w:t>Its</w:t>
      </w:r>
      <w:r>
        <w:rPr>
          <w:i/>
          <w:sz w:val="22"/>
        </w:rPr>
        <w:t> Global Ambitions</w:t>
      </w:r>
      <w:r>
        <w:rPr>
          <w:sz w:val="22"/>
        </w:rPr>
        <w:t>. Cambridge, MA: Harvard University Press.</w:t>
      </w:r>
    </w:p>
    <w:p>
      <w:pPr>
        <w:pStyle w:val="BodyText"/>
        <w:spacing w:before="5"/>
      </w:pPr>
    </w:p>
    <w:p>
      <w:pPr>
        <w:spacing w:line="288" w:lineRule="auto" w:before="0"/>
        <w:ind w:left="400" w:right="1123" w:firstLine="0"/>
        <w:jc w:val="both"/>
        <w:rPr>
          <w:sz w:val="22"/>
        </w:rPr>
      </w:pPr>
      <w:r>
        <w:rPr>
          <w:sz w:val="22"/>
        </w:rPr>
        <w:t>Longstaff,</w:t>
      </w:r>
      <w:r>
        <w:rPr>
          <w:spacing w:val="-13"/>
          <w:sz w:val="22"/>
        </w:rPr>
        <w:t> </w:t>
      </w:r>
      <w:r>
        <w:rPr>
          <w:sz w:val="22"/>
        </w:rPr>
        <w:t>Francis</w:t>
      </w:r>
      <w:r>
        <w:rPr>
          <w:spacing w:val="-13"/>
          <w:sz w:val="22"/>
        </w:rPr>
        <w:t> </w:t>
      </w:r>
      <w:r>
        <w:rPr>
          <w:sz w:val="22"/>
        </w:rPr>
        <w:t>A.,</w:t>
      </w:r>
      <w:r>
        <w:rPr>
          <w:spacing w:val="-13"/>
          <w:sz w:val="22"/>
        </w:rPr>
        <w:t> </w:t>
      </w:r>
      <w:r>
        <w:rPr>
          <w:sz w:val="22"/>
        </w:rPr>
        <w:t>Pan,</w:t>
      </w:r>
      <w:r>
        <w:rPr>
          <w:spacing w:val="-13"/>
          <w:sz w:val="22"/>
        </w:rPr>
        <w:t> </w:t>
      </w:r>
      <w:r>
        <w:rPr>
          <w:sz w:val="22"/>
        </w:rPr>
        <w:t>Jun,</w:t>
      </w:r>
      <w:r>
        <w:rPr>
          <w:spacing w:val="-13"/>
          <w:sz w:val="22"/>
        </w:rPr>
        <w:t> </w:t>
      </w:r>
      <w:r>
        <w:rPr>
          <w:sz w:val="22"/>
        </w:rPr>
        <w:t>Pedersen,</w:t>
      </w:r>
      <w:r>
        <w:rPr>
          <w:spacing w:val="-13"/>
          <w:sz w:val="22"/>
        </w:rPr>
        <w:t> </w:t>
      </w:r>
      <w:r>
        <w:rPr>
          <w:sz w:val="22"/>
        </w:rPr>
        <w:t>Lasse</w:t>
      </w:r>
      <w:r>
        <w:rPr>
          <w:spacing w:val="-13"/>
          <w:sz w:val="22"/>
        </w:rPr>
        <w:t> </w:t>
      </w:r>
      <w:r>
        <w:rPr>
          <w:sz w:val="22"/>
        </w:rPr>
        <w:t>H.</w:t>
      </w:r>
      <w:r>
        <w:rPr>
          <w:spacing w:val="-13"/>
          <w:sz w:val="22"/>
        </w:rPr>
        <w:t> </w:t>
      </w:r>
      <w:r>
        <w:rPr>
          <w:sz w:val="22"/>
        </w:rPr>
        <w:t>and</w:t>
      </w:r>
      <w:r>
        <w:rPr>
          <w:spacing w:val="-13"/>
          <w:sz w:val="22"/>
        </w:rPr>
        <w:t> </w:t>
      </w:r>
      <w:r>
        <w:rPr>
          <w:sz w:val="22"/>
        </w:rPr>
        <w:t>Singleton,</w:t>
      </w:r>
      <w:r>
        <w:rPr>
          <w:spacing w:val="-13"/>
          <w:sz w:val="22"/>
        </w:rPr>
        <w:t> </w:t>
      </w:r>
      <w:r>
        <w:rPr>
          <w:sz w:val="22"/>
        </w:rPr>
        <w:t>Kenneth</w:t>
      </w:r>
      <w:r>
        <w:rPr>
          <w:spacing w:val="-13"/>
          <w:sz w:val="22"/>
        </w:rPr>
        <w:t> </w:t>
      </w:r>
      <w:r>
        <w:rPr>
          <w:sz w:val="22"/>
        </w:rPr>
        <w:t>J.</w:t>
      </w:r>
      <w:r>
        <w:rPr>
          <w:spacing w:val="-13"/>
          <w:sz w:val="22"/>
        </w:rPr>
        <w:t> </w:t>
      </w:r>
      <w:r>
        <w:rPr>
          <w:sz w:val="22"/>
        </w:rPr>
        <w:t>2011.</w:t>
      </w:r>
      <w:r>
        <w:rPr>
          <w:spacing w:val="-13"/>
          <w:sz w:val="22"/>
        </w:rPr>
        <w:t> </w:t>
      </w:r>
      <w:r>
        <w:rPr>
          <w:sz w:val="22"/>
        </w:rPr>
        <w:t>How Sovereign</w:t>
      </w:r>
      <w:r>
        <w:rPr>
          <w:spacing w:val="-10"/>
          <w:sz w:val="22"/>
        </w:rPr>
        <w:t> </w:t>
      </w:r>
      <w:r>
        <w:rPr>
          <w:sz w:val="22"/>
        </w:rPr>
        <w:t>Is</w:t>
      </w:r>
      <w:r>
        <w:rPr>
          <w:spacing w:val="-10"/>
          <w:sz w:val="22"/>
        </w:rPr>
        <w:t> </w:t>
      </w:r>
      <w:r>
        <w:rPr>
          <w:sz w:val="22"/>
        </w:rPr>
        <w:t>Sovereign</w:t>
      </w:r>
      <w:r>
        <w:rPr>
          <w:spacing w:val="-10"/>
          <w:sz w:val="22"/>
        </w:rPr>
        <w:t> </w:t>
      </w:r>
      <w:r>
        <w:rPr>
          <w:sz w:val="22"/>
        </w:rPr>
        <w:t>Credit</w:t>
      </w:r>
      <w:r>
        <w:rPr>
          <w:spacing w:val="-10"/>
          <w:sz w:val="22"/>
        </w:rPr>
        <w:t> </w:t>
      </w:r>
      <w:r>
        <w:rPr>
          <w:sz w:val="22"/>
        </w:rPr>
        <w:t>Risk?</w:t>
      </w:r>
      <w:r>
        <w:rPr>
          <w:spacing w:val="-10"/>
          <w:sz w:val="22"/>
        </w:rPr>
        <w:t> </w:t>
      </w:r>
      <w:r>
        <w:rPr>
          <w:i/>
          <w:sz w:val="22"/>
        </w:rPr>
        <w:t>American</w:t>
      </w:r>
      <w:r>
        <w:rPr>
          <w:i/>
          <w:spacing w:val="-10"/>
          <w:sz w:val="22"/>
        </w:rPr>
        <w:t> </w:t>
      </w:r>
      <w:r>
        <w:rPr>
          <w:i/>
          <w:sz w:val="22"/>
        </w:rPr>
        <w:t>Economic</w:t>
      </w:r>
      <w:r>
        <w:rPr>
          <w:i/>
          <w:spacing w:val="-10"/>
          <w:sz w:val="22"/>
        </w:rPr>
        <w:t> </w:t>
      </w:r>
      <w:r>
        <w:rPr>
          <w:i/>
          <w:sz w:val="22"/>
        </w:rPr>
        <w:t>Journal:</w:t>
      </w:r>
      <w:r>
        <w:rPr>
          <w:i/>
          <w:spacing w:val="-10"/>
          <w:sz w:val="22"/>
        </w:rPr>
        <w:t> </w:t>
      </w:r>
      <w:r>
        <w:rPr>
          <w:i/>
          <w:sz w:val="22"/>
        </w:rPr>
        <w:t>Macroeconomics</w:t>
      </w:r>
      <w:r>
        <w:rPr>
          <w:i/>
          <w:spacing w:val="-10"/>
          <w:sz w:val="22"/>
        </w:rPr>
        <w:t> </w:t>
      </w:r>
      <w:r>
        <w:rPr>
          <w:sz w:val="22"/>
        </w:rPr>
        <w:t>3</w:t>
      </w:r>
      <w:r>
        <w:rPr>
          <w:spacing w:val="-10"/>
          <w:sz w:val="22"/>
        </w:rPr>
        <w:t> </w:t>
      </w:r>
      <w:r>
        <w:rPr>
          <w:sz w:val="22"/>
        </w:rPr>
        <w:t>(2): </w:t>
      </w:r>
      <w:r>
        <w:rPr>
          <w:spacing w:val="-2"/>
          <w:sz w:val="22"/>
        </w:rPr>
        <w:t>75-103.</w:t>
      </w:r>
    </w:p>
    <w:p>
      <w:pPr>
        <w:spacing w:after="0" w:line="288" w:lineRule="auto"/>
        <w:jc w:val="both"/>
        <w:rPr>
          <w:sz w:val="22"/>
        </w:rPr>
        <w:sectPr>
          <w:footerReference w:type="default" r:id="rId57"/>
          <w:pgSz w:w="12240" w:h="15840"/>
          <w:pgMar w:footer="0" w:header="0" w:top="1400" w:bottom="280" w:left="1040" w:right="1040"/>
        </w:sectPr>
      </w:pPr>
    </w:p>
    <w:p>
      <w:pPr>
        <w:spacing w:before="45"/>
        <w:ind w:left="400" w:right="0" w:firstLine="0"/>
        <w:jc w:val="left"/>
        <w:rPr>
          <w:sz w:val="22"/>
        </w:rPr>
      </w:pPr>
      <w:r>
        <w:rPr>
          <w:sz w:val="22"/>
        </w:rPr>
        <w:t>Lu,</w:t>
      </w:r>
      <w:r>
        <w:rPr>
          <w:spacing w:val="-13"/>
          <w:sz w:val="22"/>
        </w:rPr>
        <w:t> </w:t>
      </w:r>
      <w:r>
        <w:rPr>
          <w:sz w:val="22"/>
        </w:rPr>
        <w:t>Christina.</w:t>
      </w:r>
      <w:r>
        <w:rPr>
          <w:spacing w:val="-12"/>
          <w:sz w:val="22"/>
        </w:rPr>
        <w:t> </w:t>
      </w:r>
      <w:r>
        <w:rPr>
          <w:sz w:val="22"/>
        </w:rPr>
        <w:t>2023.</w:t>
      </w:r>
      <w:r>
        <w:rPr>
          <w:spacing w:val="-13"/>
          <w:sz w:val="22"/>
        </w:rPr>
        <w:t> </w:t>
      </w:r>
      <w:r>
        <w:rPr>
          <w:sz w:val="22"/>
        </w:rPr>
        <w:t>China’s</w:t>
      </w:r>
      <w:r>
        <w:rPr>
          <w:spacing w:val="-12"/>
          <w:sz w:val="22"/>
        </w:rPr>
        <w:t> </w:t>
      </w:r>
      <w:r>
        <w:rPr>
          <w:sz w:val="22"/>
        </w:rPr>
        <w:t>Belt</w:t>
      </w:r>
      <w:r>
        <w:rPr>
          <w:spacing w:val="-12"/>
          <w:sz w:val="22"/>
        </w:rPr>
        <w:t> </w:t>
      </w:r>
      <w:r>
        <w:rPr>
          <w:sz w:val="22"/>
        </w:rPr>
        <w:t>and</w:t>
      </w:r>
      <w:r>
        <w:rPr>
          <w:spacing w:val="-13"/>
          <w:sz w:val="22"/>
        </w:rPr>
        <w:t> </w:t>
      </w:r>
      <w:r>
        <w:rPr>
          <w:sz w:val="22"/>
        </w:rPr>
        <w:t>Road</w:t>
      </w:r>
      <w:r>
        <w:rPr>
          <w:spacing w:val="-12"/>
          <w:sz w:val="22"/>
        </w:rPr>
        <w:t> </w:t>
      </w:r>
      <w:r>
        <w:rPr>
          <w:sz w:val="22"/>
        </w:rPr>
        <w:t>to</w:t>
      </w:r>
      <w:r>
        <w:rPr>
          <w:spacing w:val="-12"/>
          <w:sz w:val="22"/>
        </w:rPr>
        <w:t> </w:t>
      </w:r>
      <w:r>
        <w:rPr>
          <w:sz w:val="22"/>
        </w:rPr>
        <w:t>Nowhere.</w:t>
      </w:r>
      <w:r>
        <w:rPr>
          <w:spacing w:val="-13"/>
          <w:sz w:val="22"/>
        </w:rPr>
        <w:t> </w:t>
      </w:r>
      <w:r>
        <w:rPr>
          <w:i/>
          <w:sz w:val="22"/>
        </w:rPr>
        <w:t>Foreign</w:t>
      </w:r>
      <w:r>
        <w:rPr>
          <w:i/>
          <w:spacing w:val="-12"/>
          <w:sz w:val="22"/>
        </w:rPr>
        <w:t> </w:t>
      </w:r>
      <w:r>
        <w:rPr>
          <w:i/>
          <w:sz w:val="22"/>
        </w:rPr>
        <w:t>Policy.</w:t>
      </w:r>
      <w:r>
        <w:rPr>
          <w:i/>
          <w:spacing w:val="-12"/>
          <w:sz w:val="22"/>
        </w:rPr>
        <w:t> </w:t>
      </w:r>
      <w:r>
        <w:rPr>
          <w:sz w:val="22"/>
        </w:rPr>
        <w:t>13</w:t>
      </w:r>
      <w:r>
        <w:rPr>
          <w:spacing w:val="-13"/>
          <w:sz w:val="22"/>
        </w:rPr>
        <w:t> </w:t>
      </w:r>
      <w:r>
        <w:rPr>
          <w:sz w:val="22"/>
        </w:rPr>
        <w:t>February</w:t>
      </w:r>
      <w:r>
        <w:rPr>
          <w:spacing w:val="-12"/>
          <w:sz w:val="22"/>
        </w:rPr>
        <w:t> </w:t>
      </w:r>
      <w:r>
        <w:rPr>
          <w:spacing w:val="-2"/>
          <w:sz w:val="22"/>
        </w:rPr>
        <w:t>2023.</w:t>
      </w:r>
    </w:p>
    <w:p>
      <w:pPr>
        <w:spacing w:before="50"/>
        <w:ind w:left="400" w:right="0" w:firstLine="0"/>
        <w:jc w:val="left"/>
        <w:rPr>
          <w:sz w:val="22"/>
        </w:rPr>
      </w:pPr>
      <w:r>
        <w:rPr>
          <w:sz w:val="22"/>
        </w:rPr>
        <w:t>Accessed</w:t>
      </w:r>
      <w:r>
        <w:rPr>
          <w:spacing w:val="-12"/>
          <w:sz w:val="22"/>
        </w:rPr>
        <w:t> </w:t>
      </w:r>
      <w:r>
        <w:rPr>
          <w:sz w:val="22"/>
        </w:rPr>
        <w:t>on</w:t>
      </w:r>
      <w:r>
        <w:rPr>
          <w:spacing w:val="-12"/>
          <w:sz w:val="22"/>
        </w:rPr>
        <w:t> </w:t>
      </w:r>
      <w:r>
        <w:rPr>
          <w:sz w:val="22"/>
        </w:rPr>
        <w:t>10</w:t>
      </w:r>
      <w:r>
        <w:rPr>
          <w:spacing w:val="-11"/>
          <w:sz w:val="22"/>
        </w:rPr>
        <w:t> </w:t>
      </w:r>
      <w:r>
        <w:rPr>
          <w:sz w:val="22"/>
        </w:rPr>
        <w:t>July</w:t>
      </w:r>
      <w:r>
        <w:rPr>
          <w:spacing w:val="-12"/>
          <w:sz w:val="22"/>
        </w:rPr>
        <w:t> </w:t>
      </w:r>
      <w:r>
        <w:rPr>
          <w:sz w:val="22"/>
        </w:rPr>
        <w:t>2023</w:t>
      </w:r>
      <w:r>
        <w:rPr>
          <w:spacing w:val="-11"/>
          <w:sz w:val="22"/>
        </w:rPr>
        <w:t> </w:t>
      </w:r>
      <w:r>
        <w:rPr>
          <w:spacing w:val="-5"/>
          <w:sz w:val="22"/>
        </w:rPr>
        <w:t>at</w:t>
      </w:r>
    </w:p>
    <w:p>
      <w:pPr>
        <w:spacing w:before="51"/>
        <w:ind w:left="400" w:right="0" w:firstLine="0"/>
        <w:jc w:val="left"/>
        <w:rPr>
          <w:sz w:val="22"/>
        </w:rPr>
      </w:pPr>
      <w:hyperlink r:id="rId62">
        <w:r>
          <w:rPr>
            <w:color w:val="1154CC"/>
            <w:sz w:val="22"/>
            <w:u w:val="thick" w:color="1154CC"/>
          </w:rPr>
          <w:t>https://foreignpolicy.com/2023/02/13/china-belt-and-road-initiative-infrastructure-</w:t>
        </w:r>
        <w:r>
          <w:rPr>
            <w:color w:val="1154CC"/>
            <w:spacing w:val="-2"/>
            <w:sz w:val="22"/>
            <w:u w:val="thick" w:color="1154CC"/>
          </w:rPr>
          <w:t>development</w:t>
        </w:r>
      </w:hyperlink>
    </w:p>
    <w:p>
      <w:pPr>
        <w:spacing w:before="51"/>
        <w:ind w:left="400" w:right="0" w:firstLine="0"/>
        <w:jc w:val="left"/>
        <w:rPr>
          <w:sz w:val="22"/>
        </w:rPr>
      </w:pPr>
      <w:hyperlink r:id="rId62">
        <w:r>
          <w:rPr>
            <w:color w:val="1154CC"/>
            <w:spacing w:val="-2"/>
            <w:sz w:val="22"/>
            <w:u w:val="thick" w:color="1154CC"/>
          </w:rPr>
          <w:t>-geopolitics/</w:t>
        </w:r>
      </w:hyperlink>
    </w:p>
    <w:p>
      <w:pPr>
        <w:pStyle w:val="BodyText"/>
        <w:spacing w:before="9"/>
        <w:rPr>
          <w:sz w:val="28"/>
        </w:rPr>
      </w:pPr>
    </w:p>
    <w:p>
      <w:pPr>
        <w:spacing w:line="288" w:lineRule="auto" w:before="0"/>
        <w:ind w:left="400" w:right="859" w:firstLine="0"/>
        <w:jc w:val="left"/>
        <w:rPr>
          <w:sz w:val="22"/>
        </w:rPr>
      </w:pPr>
      <w:r>
        <w:rPr>
          <w:sz w:val="22"/>
        </w:rPr>
        <w:t>Ma,</w:t>
      </w:r>
      <w:r>
        <w:rPr>
          <w:spacing w:val="-11"/>
          <w:sz w:val="22"/>
        </w:rPr>
        <w:t> </w:t>
      </w:r>
      <w:r>
        <w:rPr>
          <w:sz w:val="22"/>
        </w:rPr>
        <w:t>Guonan.</w:t>
      </w:r>
      <w:r>
        <w:rPr>
          <w:spacing w:val="-11"/>
          <w:sz w:val="22"/>
        </w:rPr>
        <w:t> </w:t>
      </w:r>
      <w:r>
        <w:rPr>
          <w:sz w:val="22"/>
        </w:rPr>
        <w:t>2006.</w:t>
      </w:r>
      <w:r>
        <w:rPr>
          <w:spacing w:val="-11"/>
          <w:sz w:val="22"/>
        </w:rPr>
        <w:t> </w:t>
      </w:r>
      <w:r>
        <w:rPr>
          <w:sz w:val="22"/>
        </w:rPr>
        <w:t>Sharing</w:t>
      </w:r>
      <w:r>
        <w:rPr>
          <w:spacing w:val="-11"/>
          <w:sz w:val="22"/>
        </w:rPr>
        <w:t> </w:t>
      </w:r>
      <w:r>
        <w:rPr>
          <w:sz w:val="22"/>
        </w:rPr>
        <w:t>China’s</w:t>
      </w:r>
      <w:r>
        <w:rPr>
          <w:spacing w:val="-11"/>
          <w:sz w:val="22"/>
        </w:rPr>
        <w:t> </w:t>
      </w:r>
      <w:r>
        <w:rPr>
          <w:sz w:val="22"/>
        </w:rPr>
        <w:t>Bank</w:t>
      </w:r>
      <w:r>
        <w:rPr>
          <w:spacing w:val="-11"/>
          <w:sz w:val="22"/>
        </w:rPr>
        <w:t> </w:t>
      </w:r>
      <w:r>
        <w:rPr>
          <w:sz w:val="22"/>
        </w:rPr>
        <w:t>Restructuring</w:t>
      </w:r>
      <w:r>
        <w:rPr>
          <w:spacing w:val="-11"/>
          <w:sz w:val="22"/>
        </w:rPr>
        <w:t> </w:t>
      </w:r>
      <w:r>
        <w:rPr>
          <w:sz w:val="22"/>
        </w:rPr>
        <w:t>Bill.</w:t>
      </w:r>
      <w:r>
        <w:rPr>
          <w:spacing w:val="-11"/>
          <w:sz w:val="22"/>
        </w:rPr>
        <w:t> </w:t>
      </w:r>
      <w:r>
        <w:rPr>
          <w:i/>
          <w:sz w:val="22"/>
        </w:rPr>
        <w:t>China</w:t>
      </w:r>
      <w:r>
        <w:rPr>
          <w:i/>
          <w:spacing w:val="-11"/>
          <w:sz w:val="22"/>
        </w:rPr>
        <w:t> </w:t>
      </w:r>
      <w:r>
        <w:rPr>
          <w:i/>
          <w:sz w:val="22"/>
        </w:rPr>
        <w:t>&amp;</w:t>
      </w:r>
      <w:r>
        <w:rPr>
          <w:i/>
          <w:spacing w:val="-11"/>
          <w:sz w:val="22"/>
        </w:rPr>
        <w:t> </w:t>
      </w:r>
      <w:r>
        <w:rPr>
          <w:i/>
          <w:sz w:val="22"/>
        </w:rPr>
        <w:t>World</w:t>
      </w:r>
      <w:r>
        <w:rPr>
          <w:i/>
          <w:spacing w:val="-11"/>
          <w:sz w:val="22"/>
        </w:rPr>
        <w:t> </w:t>
      </w:r>
      <w:r>
        <w:rPr>
          <w:i/>
          <w:sz w:val="22"/>
        </w:rPr>
        <w:t>Economy</w:t>
      </w:r>
      <w:r>
        <w:rPr>
          <w:i/>
          <w:spacing w:val="-11"/>
          <w:sz w:val="22"/>
        </w:rPr>
        <w:t> </w:t>
      </w:r>
      <w:r>
        <w:rPr>
          <w:sz w:val="22"/>
        </w:rPr>
        <w:t>14</w:t>
      </w:r>
      <w:r>
        <w:rPr>
          <w:spacing w:val="-11"/>
          <w:sz w:val="22"/>
        </w:rPr>
        <w:t> </w:t>
      </w:r>
      <w:r>
        <w:rPr>
          <w:sz w:val="22"/>
        </w:rPr>
        <w:t>(3): </w:t>
      </w:r>
      <w:r>
        <w:rPr>
          <w:spacing w:val="-2"/>
          <w:sz w:val="22"/>
        </w:rPr>
        <w:t>19-37.</w:t>
      </w:r>
    </w:p>
    <w:p>
      <w:pPr>
        <w:pStyle w:val="BodyText"/>
        <w:spacing w:before="4"/>
      </w:pPr>
    </w:p>
    <w:p>
      <w:pPr>
        <w:spacing w:line="288" w:lineRule="auto" w:before="0"/>
        <w:ind w:left="400" w:right="398" w:firstLine="0"/>
        <w:jc w:val="left"/>
        <w:rPr>
          <w:sz w:val="22"/>
        </w:rPr>
      </w:pPr>
      <w:r>
        <w:rPr>
          <w:sz w:val="22"/>
        </w:rPr>
        <w:t>Malik,</w:t>
      </w:r>
      <w:r>
        <w:rPr>
          <w:spacing w:val="-1"/>
          <w:sz w:val="22"/>
        </w:rPr>
        <w:t> </w:t>
      </w:r>
      <w:r>
        <w:rPr>
          <w:sz w:val="22"/>
        </w:rPr>
        <w:t>Ammar</w:t>
      </w:r>
      <w:r>
        <w:rPr>
          <w:spacing w:val="-1"/>
          <w:sz w:val="22"/>
        </w:rPr>
        <w:t> </w:t>
      </w:r>
      <w:r>
        <w:rPr>
          <w:sz w:val="22"/>
        </w:rPr>
        <w:t>A.</w:t>
      </w:r>
      <w:r>
        <w:rPr>
          <w:spacing w:val="-1"/>
          <w:sz w:val="22"/>
        </w:rPr>
        <w:t> </w:t>
      </w:r>
      <w:r>
        <w:rPr>
          <w:sz w:val="22"/>
        </w:rPr>
        <w:t>and</w:t>
      </w:r>
      <w:r>
        <w:rPr>
          <w:spacing w:val="-1"/>
          <w:sz w:val="22"/>
        </w:rPr>
        <w:t> </w:t>
      </w:r>
      <w:r>
        <w:rPr>
          <w:sz w:val="22"/>
        </w:rPr>
        <w:t>Bradley</w:t>
      </w:r>
      <w:r>
        <w:rPr>
          <w:spacing w:val="-1"/>
          <w:sz w:val="22"/>
        </w:rPr>
        <w:t> </w:t>
      </w:r>
      <w:r>
        <w:rPr>
          <w:sz w:val="22"/>
        </w:rPr>
        <w:t>C.</w:t>
      </w:r>
      <w:r>
        <w:rPr>
          <w:spacing w:val="-1"/>
          <w:sz w:val="22"/>
        </w:rPr>
        <w:t> </w:t>
      </w:r>
      <w:r>
        <w:rPr>
          <w:sz w:val="22"/>
        </w:rPr>
        <w:t>Parks.</w:t>
      </w:r>
      <w:r>
        <w:rPr>
          <w:spacing w:val="-1"/>
          <w:sz w:val="22"/>
        </w:rPr>
        <w:t> </w:t>
      </w:r>
      <w:r>
        <w:rPr>
          <w:sz w:val="22"/>
        </w:rPr>
        <w:t>2021.</w:t>
      </w:r>
      <w:r>
        <w:rPr>
          <w:spacing w:val="-1"/>
          <w:sz w:val="22"/>
        </w:rPr>
        <w:t> </w:t>
      </w:r>
      <w:r>
        <w:rPr>
          <w:sz w:val="22"/>
        </w:rPr>
        <w:t>Hidden</w:t>
      </w:r>
      <w:r>
        <w:rPr>
          <w:spacing w:val="-1"/>
          <w:sz w:val="22"/>
        </w:rPr>
        <w:t> </w:t>
      </w:r>
      <w:r>
        <w:rPr>
          <w:sz w:val="22"/>
        </w:rPr>
        <w:t>debt</w:t>
      </w:r>
      <w:r>
        <w:rPr>
          <w:spacing w:val="-1"/>
          <w:sz w:val="22"/>
        </w:rPr>
        <w:t> </w:t>
      </w:r>
      <w:r>
        <w:rPr>
          <w:sz w:val="22"/>
        </w:rPr>
        <w:t>exposure</w:t>
      </w:r>
      <w:r>
        <w:rPr>
          <w:spacing w:val="-1"/>
          <w:sz w:val="22"/>
        </w:rPr>
        <w:t> </w:t>
      </w:r>
      <w:r>
        <w:rPr>
          <w:sz w:val="22"/>
        </w:rPr>
        <w:t>to</w:t>
      </w:r>
      <w:r>
        <w:rPr>
          <w:spacing w:val="-1"/>
          <w:sz w:val="22"/>
        </w:rPr>
        <w:t> </w:t>
      </w:r>
      <w:r>
        <w:rPr>
          <w:sz w:val="22"/>
        </w:rPr>
        <w:t>China:</w:t>
      </w:r>
      <w:r>
        <w:rPr>
          <w:spacing w:val="-1"/>
          <w:sz w:val="22"/>
        </w:rPr>
        <w:t> </w:t>
      </w:r>
      <w:r>
        <w:rPr>
          <w:sz w:val="22"/>
        </w:rPr>
        <w:t>What</w:t>
      </w:r>
      <w:r>
        <w:rPr>
          <w:spacing w:val="-1"/>
          <w:sz w:val="22"/>
        </w:rPr>
        <w:t> </w:t>
      </w:r>
      <w:r>
        <w:rPr>
          <w:sz w:val="22"/>
        </w:rPr>
        <w:t>is</w:t>
      </w:r>
      <w:r>
        <w:rPr>
          <w:spacing w:val="-1"/>
          <w:sz w:val="22"/>
        </w:rPr>
        <w:t> </w:t>
      </w:r>
      <w:r>
        <w:rPr>
          <w:sz w:val="22"/>
        </w:rPr>
        <w:t>it,</w:t>
      </w:r>
      <w:r>
        <w:rPr>
          <w:spacing w:val="-1"/>
          <w:sz w:val="22"/>
        </w:rPr>
        <w:t> </w:t>
      </w:r>
      <w:r>
        <w:rPr>
          <w:sz w:val="22"/>
        </w:rPr>
        <w:t>where is it, and should we be concerned? Williamsburg, VA: AidData at William &amp; Mary.</w:t>
      </w:r>
    </w:p>
    <w:p>
      <w:pPr>
        <w:pStyle w:val="BodyText"/>
        <w:spacing w:before="4"/>
      </w:pPr>
    </w:p>
    <w:p>
      <w:pPr>
        <w:spacing w:line="288" w:lineRule="auto" w:before="0"/>
        <w:ind w:left="400" w:right="493" w:firstLine="0"/>
        <w:jc w:val="left"/>
        <w:rPr>
          <w:sz w:val="22"/>
        </w:rPr>
      </w:pPr>
      <w:r>
        <w:rPr>
          <w:sz w:val="22"/>
        </w:rPr>
        <w:t>Malik,</w:t>
      </w:r>
      <w:r>
        <w:rPr>
          <w:spacing w:val="-15"/>
          <w:sz w:val="22"/>
        </w:rPr>
        <w:t> </w:t>
      </w:r>
      <w:r>
        <w:rPr>
          <w:sz w:val="22"/>
        </w:rPr>
        <w:t>Ammar</w:t>
      </w:r>
      <w:r>
        <w:rPr>
          <w:spacing w:val="-15"/>
          <w:sz w:val="22"/>
        </w:rPr>
        <w:t> </w:t>
      </w:r>
      <w:r>
        <w:rPr>
          <w:sz w:val="22"/>
        </w:rPr>
        <w:t>A.,</w:t>
      </w:r>
      <w:r>
        <w:rPr>
          <w:spacing w:val="-15"/>
          <w:sz w:val="22"/>
        </w:rPr>
        <w:t> </w:t>
      </w:r>
      <w:r>
        <w:rPr>
          <w:sz w:val="22"/>
        </w:rPr>
        <w:t>Bradley</w:t>
      </w:r>
      <w:r>
        <w:rPr>
          <w:spacing w:val="-15"/>
          <w:sz w:val="22"/>
        </w:rPr>
        <w:t> </w:t>
      </w:r>
      <w:r>
        <w:rPr>
          <w:sz w:val="22"/>
        </w:rPr>
        <w:t>C.</w:t>
      </w:r>
      <w:r>
        <w:rPr>
          <w:spacing w:val="-15"/>
          <w:sz w:val="22"/>
        </w:rPr>
        <w:t> </w:t>
      </w:r>
      <w:r>
        <w:rPr>
          <w:sz w:val="22"/>
        </w:rPr>
        <w:t>Parks,</w:t>
      </w:r>
      <w:r>
        <w:rPr>
          <w:spacing w:val="-15"/>
          <w:sz w:val="22"/>
        </w:rPr>
        <w:t> </w:t>
      </w:r>
      <w:r>
        <w:rPr>
          <w:sz w:val="22"/>
        </w:rPr>
        <w:t>Brooke</w:t>
      </w:r>
      <w:r>
        <w:rPr>
          <w:spacing w:val="-15"/>
          <w:sz w:val="22"/>
        </w:rPr>
        <w:t> </w:t>
      </w:r>
      <w:r>
        <w:rPr>
          <w:sz w:val="22"/>
        </w:rPr>
        <w:t>Russell,</w:t>
      </w:r>
      <w:r>
        <w:rPr>
          <w:spacing w:val="-15"/>
          <w:sz w:val="22"/>
        </w:rPr>
        <w:t> </w:t>
      </w:r>
      <w:r>
        <w:rPr>
          <w:sz w:val="22"/>
        </w:rPr>
        <w:t>Joyce</w:t>
      </w:r>
      <w:r>
        <w:rPr>
          <w:spacing w:val="-15"/>
          <w:sz w:val="22"/>
        </w:rPr>
        <w:t> </w:t>
      </w:r>
      <w:r>
        <w:rPr>
          <w:sz w:val="22"/>
        </w:rPr>
        <w:t>Lin,</w:t>
      </w:r>
      <w:r>
        <w:rPr>
          <w:spacing w:val="-15"/>
          <w:sz w:val="22"/>
        </w:rPr>
        <w:t> </w:t>
      </w:r>
      <w:r>
        <w:rPr>
          <w:sz w:val="22"/>
        </w:rPr>
        <w:t>Katherine</w:t>
      </w:r>
      <w:r>
        <w:rPr>
          <w:spacing w:val="-15"/>
          <w:sz w:val="22"/>
        </w:rPr>
        <w:t> </w:t>
      </w:r>
      <w:r>
        <w:rPr>
          <w:sz w:val="22"/>
        </w:rPr>
        <w:t>Walsh,</w:t>
      </w:r>
      <w:r>
        <w:rPr>
          <w:spacing w:val="-15"/>
          <w:sz w:val="22"/>
        </w:rPr>
        <w:t> </w:t>
      </w:r>
      <w:r>
        <w:rPr>
          <w:sz w:val="22"/>
        </w:rPr>
        <w:t>Kyra</w:t>
      </w:r>
      <w:r>
        <w:rPr>
          <w:spacing w:val="-15"/>
          <w:sz w:val="22"/>
        </w:rPr>
        <w:t> </w:t>
      </w:r>
      <w:r>
        <w:rPr>
          <w:sz w:val="22"/>
        </w:rPr>
        <w:t>Solomon, Sheng Zhang, Thai-Binh Elston, and Seth Goodman. 2021. Banking on the Belt and Road: Insights from a New Global Dataset of 13,427 Chinese Development Projects. Williamsburg, VA: AidData at William &amp; Mary.</w:t>
      </w:r>
    </w:p>
    <w:p>
      <w:pPr>
        <w:pStyle w:val="BodyText"/>
        <w:spacing w:before="5"/>
      </w:pPr>
    </w:p>
    <w:p>
      <w:pPr>
        <w:spacing w:line="288" w:lineRule="auto" w:before="0"/>
        <w:ind w:left="400" w:right="0" w:firstLine="0"/>
        <w:jc w:val="left"/>
        <w:rPr>
          <w:sz w:val="22"/>
        </w:rPr>
      </w:pPr>
      <w:r>
        <w:rPr>
          <w:sz w:val="22"/>
        </w:rPr>
        <w:t>Mfula,</w:t>
      </w:r>
      <w:r>
        <w:rPr>
          <w:spacing w:val="-3"/>
          <w:sz w:val="22"/>
        </w:rPr>
        <w:t> </w:t>
      </w:r>
      <w:r>
        <w:rPr>
          <w:sz w:val="22"/>
        </w:rPr>
        <w:t>Chris.</w:t>
      </w:r>
      <w:r>
        <w:rPr>
          <w:spacing w:val="-3"/>
          <w:sz w:val="22"/>
        </w:rPr>
        <w:t> </w:t>
      </w:r>
      <w:r>
        <w:rPr>
          <w:sz w:val="22"/>
        </w:rPr>
        <w:t>IMF's</w:t>
      </w:r>
      <w:r>
        <w:rPr>
          <w:spacing w:val="-3"/>
          <w:sz w:val="22"/>
        </w:rPr>
        <w:t> </w:t>
      </w:r>
      <w:r>
        <w:rPr>
          <w:sz w:val="22"/>
        </w:rPr>
        <w:t>Georgieva</w:t>
      </w:r>
      <w:r>
        <w:rPr>
          <w:spacing w:val="-3"/>
          <w:sz w:val="22"/>
        </w:rPr>
        <w:t> </w:t>
      </w:r>
      <w:r>
        <w:rPr>
          <w:sz w:val="22"/>
        </w:rPr>
        <w:t>sees</w:t>
      </w:r>
      <w:r>
        <w:rPr>
          <w:spacing w:val="-3"/>
          <w:sz w:val="22"/>
        </w:rPr>
        <w:t> </w:t>
      </w:r>
      <w:r>
        <w:rPr>
          <w:sz w:val="22"/>
        </w:rPr>
        <w:t>broad</w:t>
      </w:r>
      <w:r>
        <w:rPr>
          <w:spacing w:val="-3"/>
          <w:sz w:val="22"/>
        </w:rPr>
        <w:t> </w:t>
      </w:r>
      <w:r>
        <w:rPr>
          <w:sz w:val="22"/>
        </w:rPr>
        <w:t>deal</w:t>
      </w:r>
      <w:r>
        <w:rPr>
          <w:spacing w:val="-3"/>
          <w:sz w:val="22"/>
        </w:rPr>
        <w:t> </w:t>
      </w:r>
      <w:r>
        <w:rPr>
          <w:sz w:val="22"/>
        </w:rPr>
        <w:t>with</w:t>
      </w:r>
      <w:r>
        <w:rPr>
          <w:spacing w:val="-3"/>
          <w:sz w:val="22"/>
        </w:rPr>
        <w:t> </w:t>
      </w:r>
      <w:r>
        <w:rPr>
          <w:sz w:val="22"/>
        </w:rPr>
        <w:t>China</w:t>
      </w:r>
      <w:r>
        <w:rPr>
          <w:spacing w:val="-3"/>
          <w:sz w:val="22"/>
        </w:rPr>
        <w:t> </w:t>
      </w:r>
      <w:r>
        <w:rPr>
          <w:sz w:val="22"/>
        </w:rPr>
        <w:t>on</w:t>
      </w:r>
      <w:r>
        <w:rPr>
          <w:spacing w:val="-3"/>
          <w:sz w:val="22"/>
        </w:rPr>
        <w:t> </w:t>
      </w:r>
      <w:r>
        <w:rPr>
          <w:sz w:val="22"/>
        </w:rPr>
        <w:t>debt</w:t>
      </w:r>
      <w:r>
        <w:rPr>
          <w:spacing w:val="-3"/>
          <w:sz w:val="22"/>
        </w:rPr>
        <w:t> </w:t>
      </w:r>
      <w:r>
        <w:rPr>
          <w:sz w:val="22"/>
        </w:rPr>
        <w:t>restructurings.</w:t>
      </w:r>
      <w:r>
        <w:rPr>
          <w:spacing w:val="-3"/>
          <w:sz w:val="22"/>
        </w:rPr>
        <w:t> </w:t>
      </w:r>
      <w:r>
        <w:rPr>
          <w:i/>
          <w:sz w:val="22"/>
        </w:rPr>
        <w:t>Reuters</w:t>
      </w:r>
      <w:r>
        <w:rPr>
          <w:sz w:val="22"/>
        </w:rPr>
        <w:t>.</w:t>
      </w:r>
      <w:r>
        <w:rPr>
          <w:spacing w:val="-3"/>
          <w:sz w:val="22"/>
        </w:rPr>
        <w:t> </w:t>
      </w:r>
      <w:r>
        <w:rPr>
          <w:sz w:val="22"/>
        </w:rPr>
        <w:t>24 January 2023. Accessed on 30 July 2023 at</w:t>
      </w:r>
    </w:p>
    <w:p>
      <w:pPr>
        <w:spacing w:before="1"/>
        <w:ind w:left="400" w:right="0" w:firstLine="0"/>
        <w:jc w:val="left"/>
        <w:rPr>
          <w:sz w:val="22"/>
        </w:rPr>
      </w:pPr>
      <w:hyperlink r:id="rId63">
        <w:r>
          <w:rPr>
            <w:color w:val="1154CC"/>
            <w:spacing w:val="-2"/>
            <w:sz w:val="22"/>
            <w:u w:val="thick" w:color="1154CC"/>
          </w:rPr>
          <w:t>https://www.reuters.com/world/africa/imf-chief-says-its-time-creditors-restructure-zambias-</w:t>
        </w:r>
        <w:r>
          <w:rPr>
            <w:color w:val="1154CC"/>
            <w:spacing w:val="-4"/>
            <w:sz w:val="22"/>
            <w:u w:val="thick" w:color="1154CC"/>
          </w:rPr>
          <w:t>debt</w:t>
        </w:r>
      </w:hyperlink>
    </w:p>
    <w:p>
      <w:pPr>
        <w:spacing w:before="50"/>
        <w:ind w:left="400" w:right="0" w:firstLine="0"/>
        <w:jc w:val="left"/>
        <w:rPr>
          <w:sz w:val="22"/>
        </w:rPr>
      </w:pPr>
      <w:hyperlink r:id="rId63">
        <w:r>
          <w:rPr>
            <w:color w:val="1154CC"/>
            <w:spacing w:val="-4"/>
            <w:sz w:val="22"/>
            <w:u w:val="thick" w:color="1154CC"/>
          </w:rPr>
          <w:t>-2023-01-</w:t>
        </w:r>
        <w:r>
          <w:rPr>
            <w:color w:val="1154CC"/>
            <w:spacing w:val="-5"/>
            <w:sz w:val="22"/>
            <w:u w:val="thick" w:color="1154CC"/>
          </w:rPr>
          <w:t>24/</w:t>
        </w:r>
      </w:hyperlink>
    </w:p>
    <w:p>
      <w:pPr>
        <w:pStyle w:val="BodyText"/>
        <w:spacing w:before="9"/>
        <w:rPr>
          <w:sz w:val="28"/>
        </w:rPr>
      </w:pPr>
    </w:p>
    <w:p>
      <w:pPr>
        <w:spacing w:line="288" w:lineRule="auto" w:before="0"/>
        <w:ind w:left="400" w:right="0" w:firstLine="0"/>
        <w:jc w:val="left"/>
        <w:rPr>
          <w:sz w:val="22"/>
        </w:rPr>
      </w:pPr>
      <w:r>
        <w:rPr>
          <w:sz w:val="22"/>
        </w:rPr>
        <w:t>Mingey, Matthew and Agatha Kratz. 2021. China’s Belt and Road: Down but not Out. Rhodium </w:t>
      </w:r>
      <w:r>
        <w:rPr>
          <w:w w:val="105"/>
          <w:sz w:val="22"/>
        </w:rPr>
        <w:t>Group</w:t>
      </w:r>
      <w:r>
        <w:rPr>
          <w:spacing w:val="-14"/>
          <w:w w:val="105"/>
          <w:sz w:val="22"/>
        </w:rPr>
        <w:t> </w:t>
      </w:r>
      <w:r>
        <w:rPr>
          <w:w w:val="105"/>
          <w:sz w:val="22"/>
        </w:rPr>
        <w:t>Note.</w:t>
      </w:r>
      <w:r>
        <w:rPr>
          <w:spacing w:val="-14"/>
          <w:w w:val="105"/>
          <w:sz w:val="22"/>
        </w:rPr>
        <w:t> </w:t>
      </w:r>
      <w:r>
        <w:rPr>
          <w:w w:val="105"/>
          <w:sz w:val="22"/>
        </w:rPr>
        <w:t>Accessed</w:t>
      </w:r>
      <w:r>
        <w:rPr>
          <w:spacing w:val="-14"/>
          <w:w w:val="105"/>
          <w:sz w:val="22"/>
        </w:rPr>
        <w:t> </w:t>
      </w:r>
      <w:r>
        <w:rPr>
          <w:w w:val="105"/>
          <w:sz w:val="22"/>
        </w:rPr>
        <w:t>on</w:t>
      </w:r>
      <w:r>
        <w:rPr>
          <w:spacing w:val="-14"/>
          <w:w w:val="105"/>
          <w:sz w:val="22"/>
        </w:rPr>
        <w:t> </w:t>
      </w:r>
      <w:r>
        <w:rPr>
          <w:w w:val="105"/>
          <w:sz w:val="22"/>
        </w:rPr>
        <w:t>21</w:t>
      </w:r>
      <w:r>
        <w:rPr>
          <w:spacing w:val="-14"/>
          <w:w w:val="105"/>
          <w:sz w:val="22"/>
        </w:rPr>
        <w:t> </w:t>
      </w:r>
      <w:r>
        <w:rPr>
          <w:w w:val="105"/>
          <w:sz w:val="22"/>
        </w:rPr>
        <w:t>July</w:t>
      </w:r>
      <w:r>
        <w:rPr>
          <w:spacing w:val="-14"/>
          <w:w w:val="105"/>
          <w:sz w:val="22"/>
        </w:rPr>
        <w:t> </w:t>
      </w:r>
      <w:r>
        <w:rPr>
          <w:w w:val="105"/>
          <w:sz w:val="22"/>
        </w:rPr>
        <w:t>2023</w:t>
      </w:r>
      <w:r>
        <w:rPr>
          <w:spacing w:val="-14"/>
          <w:w w:val="105"/>
          <w:sz w:val="22"/>
        </w:rPr>
        <w:t> </w:t>
      </w:r>
      <w:r>
        <w:rPr>
          <w:w w:val="105"/>
          <w:sz w:val="22"/>
        </w:rPr>
        <w:t>at</w:t>
      </w:r>
      <w:r>
        <w:rPr>
          <w:spacing w:val="-14"/>
          <w:w w:val="105"/>
          <w:sz w:val="22"/>
        </w:rPr>
        <w:t> </w:t>
      </w:r>
      <w:hyperlink r:id="rId64">
        <w:r>
          <w:rPr>
            <w:color w:val="1154CC"/>
            <w:w w:val="105"/>
            <w:sz w:val="22"/>
            <w:u w:val="thick" w:color="1154CC"/>
          </w:rPr>
          <w:t>https://rhg.com/research/bri-down-out/</w:t>
        </w:r>
      </w:hyperlink>
    </w:p>
    <w:p>
      <w:pPr>
        <w:pStyle w:val="BodyText"/>
        <w:spacing w:before="4"/>
      </w:pPr>
    </w:p>
    <w:p>
      <w:pPr>
        <w:spacing w:before="0"/>
        <w:ind w:left="400" w:right="0" w:firstLine="0"/>
        <w:jc w:val="left"/>
        <w:rPr>
          <w:sz w:val="22"/>
        </w:rPr>
      </w:pPr>
      <w:r>
        <w:rPr>
          <w:sz w:val="22"/>
        </w:rPr>
        <w:t>Mingey,</w:t>
      </w:r>
      <w:r>
        <w:rPr>
          <w:spacing w:val="-4"/>
          <w:sz w:val="22"/>
        </w:rPr>
        <w:t> </w:t>
      </w:r>
      <w:r>
        <w:rPr>
          <w:sz w:val="22"/>
        </w:rPr>
        <w:t>Matthew</w:t>
      </w:r>
      <w:r>
        <w:rPr>
          <w:spacing w:val="-3"/>
          <w:sz w:val="22"/>
        </w:rPr>
        <w:t> </w:t>
      </w:r>
      <w:r>
        <w:rPr>
          <w:sz w:val="22"/>
        </w:rPr>
        <w:t>and</w:t>
      </w:r>
      <w:r>
        <w:rPr>
          <w:spacing w:val="-3"/>
          <w:sz w:val="22"/>
        </w:rPr>
        <w:t> </w:t>
      </w:r>
      <w:r>
        <w:rPr>
          <w:sz w:val="22"/>
        </w:rPr>
        <w:t>Logan</w:t>
      </w:r>
      <w:r>
        <w:rPr>
          <w:spacing w:val="-3"/>
          <w:sz w:val="22"/>
        </w:rPr>
        <w:t> </w:t>
      </w:r>
      <w:r>
        <w:rPr>
          <w:sz w:val="22"/>
        </w:rPr>
        <w:t>Wright.</w:t>
      </w:r>
      <w:r>
        <w:rPr>
          <w:spacing w:val="-3"/>
          <w:sz w:val="22"/>
        </w:rPr>
        <w:t> </w:t>
      </w:r>
      <w:r>
        <w:rPr>
          <w:sz w:val="22"/>
        </w:rPr>
        <w:t>2023</w:t>
      </w:r>
      <w:r>
        <w:rPr>
          <w:spacing w:val="-3"/>
          <w:sz w:val="22"/>
        </w:rPr>
        <w:t> </w:t>
      </w:r>
      <w:r>
        <w:rPr>
          <w:sz w:val="22"/>
        </w:rPr>
        <w:t>China’s</w:t>
      </w:r>
      <w:r>
        <w:rPr>
          <w:spacing w:val="-3"/>
          <w:sz w:val="22"/>
        </w:rPr>
        <w:t> </w:t>
      </w:r>
      <w:r>
        <w:rPr>
          <w:sz w:val="22"/>
        </w:rPr>
        <w:t>External</w:t>
      </w:r>
      <w:r>
        <w:rPr>
          <w:spacing w:val="-4"/>
          <w:sz w:val="22"/>
        </w:rPr>
        <w:t> </w:t>
      </w:r>
      <w:r>
        <w:rPr>
          <w:sz w:val="22"/>
        </w:rPr>
        <w:t>Debt</w:t>
      </w:r>
      <w:r>
        <w:rPr>
          <w:spacing w:val="-3"/>
          <w:sz w:val="22"/>
        </w:rPr>
        <w:t> </w:t>
      </w:r>
      <w:r>
        <w:rPr>
          <w:sz w:val="22"/>
        </w:rPr>
        <w:t>Renegotiations</w:t>
      </w:r>
      <w:r>
        <w:rPr>
          <w:spacing w:val="-3"/>
          <w:sz w:val="22"/>
        </w:rPr>
        <w:t> </w:t>
      </w:r>
      <w:r>
        <w:rPr>
          <w:sz w:val="22"/>
        </w:rPr>
        <w:t>After</w:t>
      </w:r>
      <w:r>
        <w:rPr>
          <w:spacing w:val="-3"/>
          <w:sz w:val="22"/>
        </w:rPr>
        <w:t> </w:t>
      </w:r>
      <w:r>
        <w:rPr>
          <w:spacing w:val="-2"/>
          <w:sz w:val="22"/>
        </w:rPr>
        <w:t>Zambia.</w:t>
      </w:r>
    </w:p>
    <w:p>
      <w:pPr>
        <w:spacing w:line="288" w:lineRule="auto" w:before="51"/>
        <w:ind w:left="400" w:right="2386" w:firstLine="0"/>
        <w:jc w:val="left"/>
        <w:rPr>
          <w:sz w:val="22"/>
        </w:rPr>
      </w:pPr>
      <w:r>
        <w:rPr>
          <w:w w:val="105"/>
          <w:sz w:val="22"/>
        </w:rPr>
        <w:t>Rhodium</w:t>
      </w:r>
      <w:r>
        <w:rPr>
          <w:spacing w:val="-12"/>
          <w:w w:val="105"/>
          <w:sz w:val="22"/>
        </w:rPr>
        <w:t> </w:t>
      </w:r>
      <w:r>
        <w:rPr>
          <w:w w:val="105"/>
          <w:sz w:val="22"/>
        </w:rPr>
        <w:t>Group</w:t>
      </w:r>
      <w:r>
        <w:rPr>
          <w:spacing w:val="-12"/>
          <w:w w:val="105"/>
          <w:sz w:val="22"/>
        </w:rPr>
        <w:t> </w:t>
      </w:r>
      <w:r>
        <w:rPr>
          <w:w w:val="105"/>
          <w:sz w:val="22"/>
        </w:rPr>
        <w:t>Note.</w:t>
      </w:r>
      <w:r>
        <w:rPr>
          <w:spacing w:val="-12"/>
          <w:w w:val="105"/>
          <w:sz w:val="22"/>
        </w:rPr>
        <w:t> </w:t>
      </w:r>
      <w:r>
        <w:rPr>
          <w:w w:val="105"/>
          <w:sz w:val="22"/>
        </w:rPr>
        <w:t>Accessed</w:t>
      </w:r>
      <w:r>
        <w:rPr>
          <w:spacing w:val="-12"/>
          <w:w w:val="105"/>
          <w:sz w:val="22"/>
        </w:rPr>
        <w:t> </w:t>
      </w:r>
      <w:r>
        <w:rPr>
          <w:w w:val="105"/>
          <w:sz w:val="22"/>
        </w:rPr>
        <w:t>on</w:t>
      </w:r>
      <w:r>
        <w:rPr>
          <w:spacing w:val="-12"/>
          <w:w w:val="105"/>
          <w:sz w:val="22"/>
        </w:rPr>
        <w:t> </w:t>
      </w:r>
      <w:r>
        <w:rPr>
          <w:w w:val="105"/>
          <w:sz w:val="22"/>
        </w:rPr>
        <w:t>1</w:t>
      </w:r>
      <w:r>
        <w:rPr>
          <w:spacing w:val="-12"/>
          <w:w w:val="105"/>
          <w:sz w:val="22"/>
        </w:rPr>
        <w:t> </w:t>
      </w:r>
      <w:r>
        <w:rPr>
          <w:w w:val="105"/>
          <w:sz w:val="22"/>
        </w:rPr>
        <w:t>August</w:t>
      </w:r>
      <w:r>
        <w:rPr>
          <w:spacing w:val="-12"/>
          <w:w w:val="105"/>
          <w:sz w:val="22"/>
        </w:rPr>
        <w:t> </w:t>
      </w:r>
      <w:r>
        <w:rPr>
          <w:w w:val="105"/>
          <w:sz w:val="22"/>
        </w:rPr>
        <w:t>2023</w:t>
      </w:r>
      <w:r>
        <w:rPr>
          <w:spacing w:val="-12"/>
          <w:w w:val="105"/>
          <w:sz w:val="22"/>
        </w:rPr>
        <w:t> </w:t>
      </w:r>
      <w:r>
        <w:rPr>
          <w:w w:val="105"/>
          <w:sz w:val="22"/>
        </w:rPr>
        <w:t>at </w:t>
      </w:r>
      <w:hyperlink r:id="rId65">
        <w:r>
          <w:rPr>
            <w:color w:val="1154CC"/>
            <w:spacing w:val="-2"/>
            <w:sz w:val="22"/>
            <w:u w:val="thick" w:color="1154CC"/>
          </w:rPr>
          <w:t>https://rhg.com/research/chinas-external-debt-renegotiations-after-zambia/</w:t>
        </w:r>
      </w:hyperlink>
    </w:p>
    <w:p>
      <w:pPr>
        <w:pStyle w:val="BodyText"/>
        <w:spacing w:before="3"/>
      </w:pPr>
    </w:p>
    <w:p>
      <w:pPr>
        <w:spacing w:line="288" w:lineRule="auto" w:before="1"/>
        <w:ind w:left="400" w:right="398" w:firstLine="0"/>
        <w:jc w:val="left"/>
        <w:rPr>
          <w:sz w:val="22"/>
        </w:rPr>
      </w:pPr>
      <w:r>
        <w:rPr>
          <w:sz w:val="22"/>
        </w:rPr>
        <w:t>Ministry of Finance and Economic Development (MOFED). 2022. Annual Public Debt Bulletin 2021 Financial Year. Harare, Zimbabwe: Ministry of Finance and Economic Development (MOFED). Accessed on 20 July 2023 at </w:t>
      </w:r>
      <w:hyperlink r:id="rId66">
        <w:r>
          <w:rPr>
            <w:color w:val="1154CC"/>
            <w:spacing w:val="-2"/>
            <w:sz w:val="22"/>
            <w:u w:val="thick" w:color="1154CC"/>
          </w:rPr>
          <w:t>https://veritaszim.net/sites/veritas_d/ﬁles/2021%20Annual%20Public%20Debt%20Bulletin.pdf</w:t>
        </w:r>
      </w:hyperlink>
    </w:p>
    <w:p>
      <w:pPr>
        <w:pStyle w:val="BodyText"/>
        <w:spacing w:before="4"/>
      </w:pPr>
    </w:p>
    <w:p>
      <w:pPr>
        <w:spacing w:line="288" w:lineRule="auto" w:before="0"/>
        <w:ind w:left="400" w:right="398" w:firstLine="0"/>
        <w:jc w:val="left"/>
        <w:rPr>
          <w:sz w:val="22"/>
        </w:rPr>
      </w:pPr>
      <w:r>
        <w:rPr>
          <w:spacing w:val="-2"/>
          <w:w w:val="105"/>
          <w:sz w:val="22"/>
        </w:rPr>
        <w:t>Ministry</w:t>
      </w:r>
      <w:r>
        <w:rPr>
          <w:spacing w:val="-11"/>
          <w:w w:val="105"/>
          <w:sz w:val="22"/>
        </w:rPr>
        <w:t> </w:t>
      </w:r>
      <w:r>
        <w:rPr>
          <w:spacing w:val="-2"/>
          <w:w w:val="105"/>
          <w:sz w:val="22"/>
        </w:rPr>
        <w:t>of</w:t>
      </w:r>
      <w:r>
        <w:rPr>
          <w:spacing w:val="-11"/>
          <w:w w:val="105"/>
          <w:sz w:val="22"/>
        </w:rPr>
        <w:t> </w:t>
      </w:r>
      <w:r>
        <w:rPr>
          <w:spacing w:val="-2"/>
          <w:w w:val="105"/>
          <w:sz w:val="22"/>
        </w:rPr>
        <w:t>Finance</w:t>
      </w:r>
      <w:r>
        <w:rPr>
          <w:spacing w:val="-11"/>
          <w:w w:val="105"/>
          <w:sz w:val="22"/>
        </w:rPr>
        <w:t> </w:t>
      </w:r>
      <w:r>
        <w:rPr>
          <w:spacing w:val="-2"/>
          <w:w w:val="105"/>
          <w:sz w:val="22"/>
        </w:rPr>
        <w:t>of</w:t>
      </w:r>
      <w:r>
        <w:rPr>
          <w:spacing w:val="-11"/>
          <w:w w:val="105"/>
          <w:sz w:val="22"/>
        </w:rPr>
        <w:t> </w:t>
      </w:r>
      <w:r>
        <w:rPr>
          <w:spacing w:val="-2"/>
          <w:w w:val="105"/>
          <w:sz w:val="22"/>
        </w:rPr>
        <w:t>the</w:t>
      </w:r>
      <w:r>
        <w:rPr>
          <w:spacing w:val="-11"/>
          <w:w w:val="105"/>
          <w:sz w:val="22"/>
        </w:rPr>
        <w:t> </w:t>
      </w:r>
      <w:r>
        <w:rPr>
          <w:spacing w:val="-2"/>
          <w:w w:val="105"/>
          <w:sz w:val="22"/>
        </w:rPr>
        <w:t>People's</w:t>
      </w:r>
      <w:r>
        <w:rPr>
          <w:spacing w:val="-11"/>
          <w:w w:val="105"/>
          <w:sz w:val="22"/>
        </w:rPr>
        <w:t> </w:t>
      </w:r>
      <w:r>
        <w:rPr>
          <w:spacing w:val="-2"/>
          <w:w w:val="105"/>
          <w:sz w:val="22"/>
        </w:rPr>
        <w:t>Republic</w:t>
      </w:r>
      <w:r>
        <w:rPr>
          <w:spacing w:val="-11"/>
          <w:w w:val="105"/>
          <w:sz w:val="22"/>
        </w:rPr>
        <w:t> </w:t>
      </w:r>
      <w:r>
        <w:rPr>
          <w:spacing w:val="-2"/>
          <w:w w:val="105"/>
          <w:sz w:val="22"/>
        </w:rPr>
        <w:t>of</w:t>
      </w:r>
      <w:r>
        <w:rPr>
          <w:spacing w:val="-11"/>
          <w:w w:val="105"/>
          <w:sz w:val="22"/>
        </w:rPr>
        <w:t> </w:t>
      </w:r>
      <w:r>
        <w:rPr>
          <w:spacing w:val="-2"/>
          <w:w w:val="105"/>
          <w:sz w:val="22"/>
        </w:rPr>
        <w:t>China.</w:t>
      </w:r>
      <w:r>
        <w:rPr>
          <w:spacing w:val="-11"/>
          <w:w w:val="105"/>
          <w:sz w:val="22"/>
        </w:rPr>
        <w:t> </w:t>
      </w:r>
      <w:r>
        <w:rPr>
          <w:spacing w:val="-2"/>
          <w:w w:val="105"/>
          <w:sz w:val="22"/>
        </w:rPr>
        <w:t>2020.</w:t>
      </w:r>
      <w:r>
        <w:rPr>
          <w:spacing w:val="-11"/>
          <w:w w:val="105"/>
          <w:sz w:val="22"/>
        </w:rPr>
        <w:t> </w:t>
      </w:r>
      <w:r>
        <w:rPr>
          <w:spacing w:val="-2"/>
          <w:w w:val="105"/>
          <w:sz w:val="22"/>
        </w:rPr>
        <w:t>Written</w:t>
      </w:r>
      <w:r>
        <w:rPr>
          <w:spacing w:val="-11"/>
          <w:w w:val="105"/>
          <w:sz w:val="22"/>
        </w:rPr>
        <w:t> </w:t>
      </w:r>
      <w:r>
        <w:rPr>
          <w:spacing w:val="-2"/>
          <w:w w:val="105"/>
          <w:sz w:val="22"/>
        </w:rPr>
        <w:t>Interview</w:t>
      </w:r>
      <w:r>
        <w:rPr>
          <w:spacing w:val="-11"/>
          <w:w w:val="105"/>
          <w:sz w:val="22"/>
        </w:rPr>
        <w:t> </w:t>
      </w:r>
      <w:r>
        <w:rPr>
          <w:spacing w:val="-2"/>
          <w:w w:val="105"/>
          <w:sz w:val="22"/>
        </w:rPr>
        <w:t>with</w:t>
      </w:r>
      <w:r>
        <w:rPr>
          <w:spacing w:val="-11"/>
          <w:w w:val="105"/>
          <w:sz w:val="22"/>
        </w:rPr>
        <w:t> </w:t>
      </w:r>
      <w:r>
        <w:rPr>
          <w:spacing w:val="-2"/>
          <w:w w:val="105"/>
          <w:sz w:val="22"/>
        </w:rPr>
        <w:t>Finance </w:t>
      </w:r>
      <w:r>
        <w:rPr>
          <w:sz w:val="22"/>
        </w:rPr>
        <w:t>Minister Liu Kun on G20 Debt Agenda. Beijing: Ministry of Finance of the People's Republic of </w:t>
      </w:r>
      <w:r>
        <w:rPr>
          <w:w w:val="105"/>
          <w:sz w:val="22"/>
        </w:rPr>
        <w:t>China.</w:t>
      </w:r>
      <w:r>
        <w:rPr>
          <w:spacing w:val="-11"/>
          <w:w w:val="105"/>
          <w:sz w:val="22"/>
        </w:rPr>
        <w:t> </w:t>
      </w:r>
      <w:r>
        <w:rPr>
          <w:w w:val="105"/>
          <w:sz w:val="22"/>
        </w:rPr>
        <w:t>Accessed</w:t>
      </w:r>
      <w:r>
        <w:rPr>
          <w:spacing w:val="-11"/>
          <w:w w:val="105"/>
          <w:sz w:val="22"/>
        </w:rPr>
        <w:t> </w:t>
      </w:r>
      <w:r>
        <w:rPr>
          <w:w w:val="105"/>
          <w:sz w:val="22"/>
        </w:rPr>
        <w:t>on</w:t>
      </w:r>
      <w:r>
        <w:rPr>
          <w:spacing w:val="-11"/>
          <w:w w:val="105"/>
          <w:sz w:val="22"/>
        </w:rPr>
        <w:t> </w:t>
      </w:r>
      <w:r>
        <w:rPr>
          <w:w w:val="105"/>
          <w:sz w:val="22"/>
        </w:rPr>
        <w:t>1</w:t>
      </w:r>
      <w:r>
        <w:rPr>
          <w:spacing w:val="-11"/>
          <w:w w:val="105"/>
          <w:sz w:val="22"/>
        </w:rPr>
        <w:t> </w:t>
      </w:r>
      <w:r>
        <w:rPr>
          <w:w w:val="105"/>
          <w:sz w:val="22"/>
        </w:rPr>
        <w:t>August</w:t>
      </w:r>
      <w:r>
        <w:rPr>
          <w:spacing w:val="-11"/>
          <w:w w:val="105"/>
          <w:sz w:val="22"/>
        </w:rPr>
        <w:t> </w:t>
      </w:r>
      <w:r>
        <w:rPr>
          <w:w w:val="105"/>
          <w:sz w:val="22"/>
        </w:rPr>
        <w:t>2023 </w:t>
      </w:r>
      <w:hyperlink r:id="rId67">
        <w:r>
          <w:rPr>
            <w:color w:val="1154CC"/>
            <w:spacing w:val="-2"/>
            <w:w w:val="105"/>
            <w:sz w:val="22"/>
            <w:u w:val="thick" w:color="1154CC"/>
          </w:rPr>
          <w:t>atwww.mof.gov.cn/en/news/spe/202011/t20201120_3626593.htm</w:t>
        </w:r>
      </w:hyperlink>
    </w:p>
    <w:p>
      <w:pPr>
        <w:pStyle w:val="BodyText"/>
        <w:spacing w:before="4"/>
      </w:pPr>
    </w:p>
    <w:p>
      <w:pPr>
        <w:spacing w:line="288" w:lineRule="auto" w:before="0"/>
        <w:ind w:left="400" w:right="570" w:firstLine="0"/>
        <w:jc w:val="left"/>
        <w:rPr>
          <w:sz w:val="22"/>
        </w:rPr>
      </w:pPr>
      <w:r>
        <w:rPr>
          <w:sz w:val="22"/>
        </w:rPr>
        <w:t>Morris,</w:t>
      </w:r>
      <w:r>
        <w:rPr>
          <w:spacing w:val="-13"/>
          <w:sz w:val="22"/>
        </w:rPr>
        <w:t> </w:t>
      </w:r>
      <w:r>
        <w:rPr>
          <w:sz w:val="22"/>
        </w:rPr>
        <w:t>Scott,</w:t>
      </w:r>
      <w:r>
        <w:rPr>
          <w:spacing w:val="-13"/>
          <w:sz w:val="22"/>
        </w:rPr>
        <w:t> </w:t>
      </w:r>
      <w:r>
        <w:rPr>
          <w:sz w:val="22"/>
        </w:rPr>
        <w:t>Brad</w:t>
      </w:r>
      <w:r>
        <w:rPr>
          <w:spacing w:val="-13"/>
          <w:sz w:val="22"/>
        </w:rPr>
        <w:t> </w:t>
      </w:r>
      <w:r>
        <w:rPr>
          <w:sz w:val="22"/>
        </w:rPr>
        <w:t>Parks,</w:t>
      </w:r>
      <w:r>
        <w:rPr>
          <w:spacing w:val="-13"/>
          <w:sz w:val="22"/>
        </w:rPr>
        <w:t> </w:t>
      </w:r>
      <w:r>
        <w:rPr>
          <w:sz w:val="22"/>
        </w:rPr>
        <w:t>and</w:t>
      </w:r>
      <w:r>
        <w:rPr>
          <w:spacing w:val="-13"/>
          <w:sz w:val="22"/>
        </w:rPr>
        <w:t> </w:t>
      </w:r>
      <w:r>
        <w:rPr>
          <w:sz w:val="22"/>
        </w:rPr>
        <w:t>Alysha</w:t>
      </w:r>
      <w:r>
        <w:rPr>
          <w:spacing w:val="-13"/>
          <w:sz w:val="22"/>
        </w:rPr>
        <w:t> </w:t>
      </w:r>
      <w:r>
        <w:rPr>
          <w:sz w:val="22"/>
        </w:rPr>
        <w:t>Gardner.</w:t>
      </w:r>
      <w:r>
        <w:rPr>
          <w:spacing w:val="-13"/>
          <w:sz w:val="22"/>
        </w:rPr>
        <w:t> </w:t>
      </w:r>
      <w:r>
        <w:rPr>
          <w:sz w:val="22"/>
        </w:rPr>
        <w:t>2020.</w:t>
      </w:r>
      <w:r>
        <w:rPr>
          <w:spacing w:val="-13"/>
          <w:sz w:val="22"/>
        </w:rPr>
        <w:t> </w:t>
      </w:r>
      <w:r>
        <w:rPr>
          <w:sz w:val="22"/>
        </w:rPr>
        <w:t>Chinese</w:t>
      </w:r>
      <w:r>
        <w:rPr>
          <w:spacing w:val="-13"/>
          <w:sz w:val="22"/>
        </w:rPr>
        <w:t> </w:t>
      </w:r>
      <w:r>
        <w:rPr>
          <w:sz w:val="22"/>
        </w:rPr>
        <w:t>and</w:t>
      </w:r>
      <w:r>
        <w:rPr>
          <w:spacing w:val="-13"/>
          <w:sz w:val="22"/>
        </w:rPr>
        <w:t> </w:t>
      </w:r>
      <w:r>
        <w:rPr>
          <w:sz w:val="22"/>
        </w:rPr>
        <w:t>World</w:t>
      </w:r>
      <w:r>
        <w:rPr>
          <w:spacing w:val="-13"/>
          <w:sz w:val="22"/>
        </w:rPr>
        <w:t> </w:t>
      </w:r>
      <w:r>
        <w:rPr>
          <w:sz w:val="22"/>
        </w:rPr>
        <w:t>Bank</w:t>
      </w:r>
      <w:r>
        <w:rPr>
          <w:spacing w:val="-13"/>
          <w:sz w:val="22"/>
        </w:rPr>
        <w:t> </w:t>
      </w:r>
      <w:r>
        <w:rPr>
          <w:sz w:val="22"/>
        </w:rPr>
        <w:t>Lending</w:t>
      </w:r>
      <w:r>
        <w:rPr>
          <w:spacing w:val="-13"/>
          <w:sz w:val="22"/>
        </w:rPr>
        <w:t> </w:t>
      </w:r>
      <w:r>
        <w:rPr>
          <w:sz w:val="22"/>
        </w:rPr>
        <w:t>Terms: A</w:t>
      </w:r>
      <w:r>
        <w:rPr>
          <w:spacing w:val="-4"/>
          <w:sz w:val="22"/>
        </w:rPr>
        <w:t> </w:t>
      </w:r>
      <w:r>
        <w:rPr>
          <w:sz w:val="22"/>
        </w:rPr>
        <w:t>Systematic</w:t>
      </w:r>
      <w:r>
        <w:rPr>
          <w:spacing w:val="-4"/>
          <w:sz w:val="22"/>
        </w:rPr>
        <w:t> </w:t>
      </w:r>
      <w:r>
        <w:rPr>
          <w:sz w:val="22"/>
        </w:rPr>
        <w:t>Comparison</w:t>
      </w:r>
      <w:r>
        <w:rPr>
          <w:spacing w:val="-4"/>
          <w:sz w:val="22"/>
        </w:rPr>
        <w:t> </w:t>
      </w:r>
      <w:r>
        <w:rPr>
          <w:sz w:val="22"/>
        </w:rPr>
        <w:t>across</w:t>
      </w:r>
      <w:r>
        <w:rPr>
          <w:spacing w:val="-4"/>
          <w:sz w:val="22"/>
        </w:rPr>
        <w:t> </w:t>
      </w:r>
      <w:r>
        <w:rPr>
          <w:sz w:val="22"/>
        </w:rPr>
        <w:t>157</w:t>
      </w:r>
      <w:r>
        <w:rPr>
          <w:spacing w:val="-4"/>
          <w:sz w:val="22"/>
        </w:rPr>
        <w:t> </w:t>
      </w:r>
      <w:r>
        <w:rPr>
          <w:sz w:val="22"/>
        </w:rPr>
        <w:t>Countries</w:t>
      </w:r>
      <w:r>
        <w:rPr>
          <w:spacing w:val="-4"/>
          <w:sz w:val="22"/>
        </w:rPr>
        <w:t> </w:t>
      </w:r>
      <w:r>
        <w:rPr>
          <w:sz w:val="22"/>
        </w:rPr>
        <w:t>and</w:t>
      </w:r>
      <w:r>
        <w:rPr>
          <w:spacing w:val="-4"/>
          <w:sz w:val="22"/>
        </w:rPr>
        <w:t> </w:t>
      </w:r>
      <w:r>
        <w:rPr>
          <w:sz w:val="22"/>
        </w:rPr>
        <w:t>15</w:t>
      </w:r>
      <w:r>
        <w:rPr>
          <w:spacing w:val="-4"/>
          <w:sz w:val="22"/>
        </w:rPr>
        <w:t> </w:t>
      </w:r>
      <w:r>
        <w:rPr>
          <w:sz w:val="22"/>
        </w:rPr>
        <w:t>Years.</w:t>
      </w:r>
      <w:r>
        <w:rPr>
          <w:spacing w:val="-4"/>
          <w:sz w:val="22"/>
        </w:rPr>
        <w:t> </w:t>
      </w:r>
      <w:r>
        <w:rPr>
          <w:sz w:val="22"/>
        </w:rPr>
        <w:t>CGD</w:t>
      </w:r>
      <w:r>
        <w:rPr>
          <w:spacing w:val="-4"/>
          <w:sz w:val="22"/>
        </w:rPr>
        <w:t> </w:t>
      </w:r>
      <w:r>
        <w:rPr>
          <w:sz w:val="22"/>
        </w:rPr>
        <w:t>Policy</w:t>
      </w:r>
      <w:r>
        <w:rPr>
          <w:spacing w:val="-4"/>
          <w:sz w:val="22"/>
        </w:rPr>
        <w:t> </w:t>
      </w:r>
      <w:r>
        <w:rPr>
          <w:sz w:val="22"/>
        </w:rPr>
        <w:t>Paper</w:t>
      </w:r>
      <w:r>
        <w:rPr>
          <w:spacing w:val="-4"/>
          <w:sz w:val="22"/>
        </w:rPr>
        <w:t> </w:t>
      </w:r>
      <w:r>
        <w:rPr>
          <w:sz w:val="22"/>
        </w:rPr>
        <w:t>170.</w:t>
      </w:r>
    </w:p>
    <w:p>
      <w:pPr>
        <w:spacing w:before="0"/>
        <w:ind w:left="400" w:right="0" w:firstLine="0"/>
        <w:jc w:val="left"/>
        <w:rPr>
          <w:sz w:val="22"/>
        </w:rPr>
      </w:pPr>
      <w:r>
        <w:rPr>
          <w:sz w:val="22"/>
        </w:rPr>
        <w:t>Washington,</w:t>
      </w:r>
      <w:r>
        <w:rPr>
          <w:spacing w:val="-1"/>
          <w:sz w:val="22"/>
        </w:rPr>
        <w:t> </w:t>
      </w:r>
      <w:r>
        <w:rPr>
          <w:sz w:val="22"/>
        </w:rPr>
        <w:t>DC:</w:t>
      </w:r>
      <w:r>
        <w:rPr>
          <w:spacing w:val="-1"/>
          <w:sz w:val="22"/>
        </w:rPr>
        <w:t> </w:t>
      </w:r>
      <w:r>
        <w:rPr>
          <w:sz w:val="22"/>
        </w:rPr>
        <w:t>Center for</w:t>
      </w:r>
      <w:r>
        <w:rPr>
          <w:spacing w:val="-1"/>
          <w:sz w:val="22"/>
        </w:rPr>
        <w:t> </w:t>
      </w:r>
      <w:r>
        <w:rPr>
          <w:sz w:val="22"/>
        </w:rPr>
        <w:t>Global</w:t>
      </w:r>
      <w:r>
        <w:rPr>
          <w:spacing w:val="-1"/>
          <w:sz w:val="22"/>
        </w:rPr>
        <w:t> </w:t>
      </w:r>
      <w:r>
        <w:rPr>
          <w:spacing w:val="-2"/>
          <w:sz w:val="22"/>
        </w:rPr>
        <w:t>Development.</w:t>
      </w:r>
    </w:p>
    <w:p>
      <w:pPr>
        <w:spacing w:after="0"/>
        <w:jc w:val="left"/>
        <w:rPr>
          <w:sz w:val="22"/>
        </w:rPr>
        <w:sectPr>
          <w:footerReference w:type="default" r:id="rId61"/>
          <w:pgSz w:w="12240" w:h="15840"/>
          <w:pgMar w:footer="0" w:header="0" w:top="1400" w:bottom="280" w:left="1040" w:right="1040"/>
        </w:sectPr>
      </w:pPr>
    </w:p>
    <w:p>
      <w:pPr>
        <w:spacing w:line="288" w:lineRule="auto" w:before="44"/>
        <w:ind w:left="400" w:right="767" w:firstLine="0"/>
        <w:jc w:val="left"/>
        <w:rPr>
          <w:sz w:val="22"/>
        </w:rPr>
      </w:pPr>
      <w:r>
        <w:rPr>
          <w:sz w:val="22"/>
        </w:rPr>
        <w:t>Moses,</w:t>
      </w:r>
      <w:r>
        <w:rPr>
          <w:spacing w:val="-6"/>
          <w:sz w:val="22"/>
        </w:rPr>
        <w:t> </w:t>
      </w:r>
      <w:r>
        <w:rPr>
          <w:sz w:val="22"/>
        </w:rPr>
        <w:t>Oyintarelado</w:t>
      </w:r>
      <w:r>
        <w:rPr>
          <w:spacing w:val="-6"/>
          <w:sz w:val="22"/>
        </w:rPr>
        <w:t> </w:t>
      </w:r>
      <w:r>
        <w:rPr>
          <w:sz w:val="22"/>
        </w:rPr>
        <w:t>Jyhjong</w:t>
      </w:r>
      <w:r>
        <w:rPr>
          <w:spacing w:val="-6"/>
          <w:sz w:val="22"/>
        </w:rPr>
        <w:t> </w:t>
      </w:r>
      <w:r>
        <w:rPr>
          <w:sz w:val="22"/>
        </w:rPr>
        <w:t>Hwang,</w:t>
      </w:r>
      <w:r>
        <w:rPr>
          <w:spacing w:val="-6"/>
          <w:sz w:val="22"/>
        </w:rPr>
        <w:t> </w:t>
      </w:r>
      <w:r>
        <w:rPr>
          <w:sz w:val="22"/>
        </w:rPr>
        <w:t>Lucas</w:t>
      </w:r>
      <w:r>
        <w:rPr>
          <w:spacing w:val="-6"/>
          <w:sz w:val="22"/>
        </w:rPr>
        <w:t> </w:t>
      </w:r>
      <w:r>
        <w:rPr>
          <w:sz w:val="22"/>
        </w:rPr>
        <w:t>Engel,</w:t>
      </w:r>
      <w:r>
        <w:rPr>
          <w:spacing w:val="-6"/>
          <w:sz w:val="22"/>
        </w:rPr>
        <w:t> </w:t>
      </w:r>
      <w:r>
        <w:rPr>
          <w:sz w:val="22"/>
        </w:rPr>
        <w:t>and</w:t>
      </w:r>
      <w:r>
        <w:rPr>
          <w:spacing w:val="-6"/>
          <w:sz w:val="22"/>
        </w:rPr>
        <w:t> </w:t>
      </w:r>
      <w:r>
        <w:rPr>
          <w:sz w:val="22"/>
        </w:rPr>
        <w:t>Victoria</w:t>
      </w:r>
      <w:r>
        <w:rPr>
          <w:spacing w:val="-6"/>
          <w:sz w:val="22"/>
        </w:rPr>
        <w:t> </w:t>
      </w:r>
      <w:r>
        <w:rPr>
          <w:sz w:val="22"/>
        </w:rPr>
        <w:t>Yvonne</w:t>
      </w:r>
      <w:r>
        <w:rPr>
          <w:spacing w:val="-6"/>
          <w:sz w:val="22"/>
        </w:rPr>
        <w:t> </w:t>
      </w:r>
      <w:r>
        <w:rPr>
          <w:sz w:val="22"/>
        </w:rPr>
        <w:t>Bien-Aimé.</w:t>
      </w:r>
      <w:r>
        <w:rPr>
          <w:spacing w:val="-6"/>
          <w:sz w:val="22"/>
        </w:rPr>
        <w:t> </w:t>
      </w:r>
      <w:r>
        <w:rPr>
          <w:sz w:val="22"/>
        </w:rPr>
        <w:t>2023.</w:t>
      </w:r>
      <w:r>
        <w:rPr>
          <w:spacing w:val="-6"/>
          <w:sz w:val="22"/>
        </w:rPr>
        <w:t> </w:t>
      </w:r>
      <w:r>
        <w:rPr>
          <w:sz w:val="22"/>
        </w:rPr>
        <w:t>A New State of Lending: Chinese Loans to Africa. GCI Policy Brief 019. Boston, MA: Boston University's Global Development Policy Center.</w:t>
      </w:r>
    </w:p>
    <w:p>
      <w:pPr>
        <w:pStyle w:val="BodyText"/>
        <w:spacing w:before="4"/>
      </w:pPr>
    </w:p>
    <w:p>
      <w:pPr>
        <w:spacing w:line="288" w:lineRule="auto" w:before="0"/>
        <w:ind w:left="400" w:right="398" w:firstLine="0"/>
        <w:jc w:val="left"/>
        <w:rPr>
          <w:sz w:val="22"/>
        </w:rPr>
      </w:pPr>
      <w:r>
        <w:rPr>
          <w:sz w:val="22"/>
        </w:rPr>
        <w:t>Myers, Margaret and Rebecca Ray. 2023. At a Crossroads: Chinese Development Finance to Latin America and the Caribbean, 2022. InterAmerican Dialogue and BU Global Development Policy Center. Accessed on 17 July 2023 at</w:t>
      </w:r>
    </w:p>
    <w:p>
      <w:pPr>
        <w:spacing w:line="288" w:lineRule="auto" w:before="0"/>
        <w:ind w:left="400" w:right="425" w:firstLine="0"/>
        <w:jc w:val="left"/>
        <w:rPr>
          <w:sz w:val="22"/>
        </w:rPr>
      </w:pPr>
      <w:hyperlink r:id="rId69">
        <w:r>
          <w:rPr>
            <w:color w:val="1154CC"/>
            <w:spacing w:val="-2"/>
            <w:sz w:val="22"/>
            <w:u w:val="thick" w:color="1154CC"/>
          </w:rPr>
          <w:t>https://www.thedialogue.org/wp-content/uploads/2023/03/Chinese-Development-Finance-202</w:t>
        </w:r>
      </w:hyperlink>
      <w:r>
        <w:rPr>
          <w:color w:val="1154CC"/>
          <w:spacing w:val="80"/>
          <w:w w:val="105"/>
          <w:sz w:val="22"/>
        </w:rPr>
        <w:t>  </w:t>
      </w:r>
      <w:hyperlink r:id="rId69">
        <w:r>
          <w:rPr>
            <w:color w:val="1154CC"/>
            <w:spacing w:val="-2"/>
            <w:w w:val="105"/>
            <w:sz w:val="22"/>
            <w:u w:val="thick" w:color="1154CC"/>
          </w:rPr>
          <w:t>3-FINAL.pdf</w:t>
        </w:r>
      </w:hyperlink>
    </w:p>
    <w:p>
      <w:pPr>
        <w:pStyle w:val="BodyText"/>
        <w:spacing w:before="4"/>
      </w:pPr>
    </w:p>
    <w:p>
      <w:pPr>
        <w:spacing w:line="288" w:lineRule="auto" w:before="0"/>
        <w:ind w:left="400" w:right="418" w:firstLine="0"/>
        <w:jc w:val="left"/>
        <w:rPr>
          <w:sz w:val="22"/>
        </w:rPr>
      </w:pPr>
      <w:r>
        <w:rPr>
          <w:sz w:val="22"/>
        </w:rPr>
        <w:t>National Bank of Serbia (NBS). 2007. Financial Statements prepared in accordance with International Financial Reporting Standards for the year ended 31 December 2006 with </w:t>
      </w:r>
      <w:r>
        <w:rPr>
          <w:spacing w:val="-2"/>
          <w:w w:val="105"/>
          <w:sz w:val="22"/>
        </w:rPr>
        <w:t>Independent</w:t>
      </w:r>
      <w:r>
        <w:rPr>
          <w:spacing w:val="-12"/>
          <w:w w:val="105"/>
          <w:sz w:val="22"/>
        </w:rPr>
        <w:t> </w:t>
      </w:r>
      <w:r>
        <w:rPr>
          <w:spacing w:val="-2"/>
          <w:w w:val="105"/>
          <w:sz w:val="22"/>
        </w:rPr>
        <w:t>Auditor's</w:t>
      </w:r>
      <w:r>
        <w:rPr>
          <w:spacing w:val="-12"/>
          <w:w w:val="105"/>
          <w:sz w:val="22"/>
        </w:rPr>
        <w:t> </w:t>
      </w:r>
      <w:r>
        <w:rPr>
          <w:spacing w:val="-2"/>
          <w:w w:val="105"/>
          <w:sz w:val="22"/>
        </w:rPr>
        <w:t>Report.</w:t>
      </w:r>
      <w:r>
        <w:rPr>
          <w:spacing w:val="-12"/>
          <w:w w:val="105"/>
          <w:sz w:val="22"/>
        </w:rPr>
        <w:t> </w:t>
      </w:r>
      <w:r>
        <w:rPr>
          <w:spacing w:val="-2"/>
          <w:w w:val="105"/>
          <w:sz w:val="22"/>
        </w:rPr>
        <w:t>Belgrade,</w:t>
      </w:r>
      <w:r>
        <w:rPr>
          <w:spacing w:val="-12"/>
          <w:w w:val="105"/>
          <w:sz w:val="22"/>
        </w:rPr>
        <w:t> </w:t>
      </w:r>
      <w:r>
        <w:rPr>
          <w:spacing w:val="-2"/>
          <w:w w:val="105"/>
          <w:sz w:val="22"/>
        </w:rPr>
        <w:t>Serbia:</w:t>
      </w:r>
      <w:r>
        <w:rPr>
          <w:spacing w:val="-12"/>
          <w:w w:val="105"/>
          <w:sz w:val="22"/>
        </w:rPr>
        <w:t> </w:t>
      </w:r>
      <w:r>
        <w:rPr>
          <w:spacing w:val="-2"/>
          <w:w w:val="105"/>
          <w:sz w:val="22"/>
        </w:rPr>
        <w:t>NBS.</w:t>
      </w:r>
      <w:r>
        <w:rPr>
          <w:spacing w:val="-12"/>
          <w:w w:val="105"/>
          <w:sz w:val="22"/>
        </w:rPr>
        <w:t> </w:t>
      </w:r>
      <w:r>
        <w:rPr>
          <w:spacing w:val="-2"/>
          <w:w w:val="105"/>
          <w:sz w:val="22"/>
        </w:rPr>
        <w:t>Accessed</w:t>
      </w:r>
      <w:r>
        <w:rPr>
          <w:spacing w:val="-12"/>
          <w:w w:val="105"/>
          <w:sz w:val="22"/>
        </w:rPr>
        <w:t> </w:t>
      </w:r>
      <w:r>
        <w:rPr>
          <w:spacing w:val="-2"/>
          <w:w w:val="105"/>
          <w:sz w:val="22"/>
        </w:rPr>
        <w:t>on</w:t>
      </w:r>
      <w:r>
        <w:rPr>
          <w:spacing w:val="-12"/>
          <w:w w:val="105"/>
          <w:sz w:val="22"/>
        </w:rPr>
        <w:t> </w:t>
      </w:r>
      <w:r>
        <w:rPr>
          <w:spacing w:val="-2"/>
          <w:w w:val="105"/>
          <w:sz w:val="22"/>
        </w:rPr>
        <w:t>1</w:t>
      </w:r>
      <w:r>
        <w:rPr>
          <w:spacing w:val="-12"/>
          <w:w w:val="105"/>
          <w:sz w:val="22"/>
        </w:rPr>
        <w:t> </w:t>
      </w:r>
      <w:r>
        <w:rPr>
          <w:spacing w:val="-2"/>
          <w:w w:val="105"/>
          <w:sz w:val="22"/>
        </w:rPr>
        <w:t>July</w:t>
      </w:r>
      <w:r>
        <w:rPr>
          <w:spacing w:val="-12"/>
          <w:w w:val="105"/>
          <w:sz w:val="22"/>
        </w:rPr>
        <w:t> </w:t>
      </w:r>
      <w:r>
        <w:rPr>
          <w:spacing w:val="-2"/>
          <w:w w:val="105"/>
          <w:sz w:val="22"/>
        </w:rPr>
        <w:t>2023</w:t>
      </w:r>
      <w:r>
        <w:rPr>
          <w:spacing w:val="-12"/>
          <w:w w:val="105"/>
          <w:sz w:val="22"/>
        </w:rPr>
        <w:t> </w:t>
      </w:r>
      <w:r>
        <w:rPr>
          <w:spacing w:val="-2"/>
          <w:w w:val="105"/>
          <w:sz w:val="22"/>
        </w:rPr>
        <w:t>at </w:t>
      </w:r>
      <w:hyperlink r:id="rId70">
        <w:r>
          <w:rPr>
            <w:color w:val="1154CC"/>
            <w:spacing w:val="-2"/>
            <w:sz w:val="22"/>
            <w:u w:val="thick" w:color="1154CC"/>
          </w:rPr>
          <w:t>https://nbs.rs/export/sites/NBS_site/documents-eng/onbs-poslovanje/NBS_IAS_Report_2006.p</w:t>
        </w:r>
      </w:hyperlink>
      <w:r>
        <w:rPr>
          <w:color w:val="1154CC"/>
          <w:spacing w:val="80"/>
          <w:w w:val="150"/>
          <w:sz w:val="22"/>
        </w:rPr>
        <w:t> </w:t>
      </w:r>
      <w:hyperlink r:id="rId70">
        <w:r>
          <w:rPr>
            <w:color w:val="1154CC"/>
            <w:spacing w:val="-6"/>
            <w:w w:val="105"/>
            <w:sz w:val="22"/>
            <w:u w:val="thick" w:color="1154CC"/>
          </w:rPr>
          <w:t>df</w:t>
        </w:r>
      </w:hyperlink>
    </w:p>
    <w:p>
      <w:pPr>
        <w:pStyle w:val="BodyText"/>
        <w:spacing w:before="5"/>
      </w:pPr>
    </w:p>
    <w:p>
      <w:pPr>
        <w:spacing w:line="288" w:lineRule="auto" w:before="0"/>
        <w:ind w:left="400" w:right="398" w:firstLine="0"/>
        <w:jc w:val="left"/>
        <w:rPr>
          <w:sz w:val="22"/>
        </w:rPr>
      </w:pPr>
      <w:r>
        <w:rPr>
          <w:sz w:val="22"/>
        </w:rPr>
        <w:t>Nugent, Clara. 2023a. Argentina reaches last-minute deal with IMF to avoid default. </w:t>
      </w:r>
      <w:r>
        <w:rPr>
          <w:i/>
          <w:sz w:val="22"/>
        </w:rPr>
        <w:t>Financial</w:t>
      </w:r>
      <w:r>
        <w:rPr>
          <w:i/>
          <w:sz w:val="22"/>
        </w:rPr>
        <w:t> Times</w:t>
      </w:r>
      <w:r>
        <w:rPr>
          <w:sz w:val="22"/>
        </w:rPr>
        <w:t>. 28 July 2023. Accessed on 2 August 2023 at</w:t>
      </w:r>
    </w:p>
    <w:p>
      <w:pPr>
        <w:spacing w:before="1"/>
        <w:ind w:left="400" w:right="0" w:firstLine="0"/>
        <w:jc w:val="left"/>
        <w:rPr>
          <w:sz w:val="22"/>
        </w:rPr>
      </w:pPr>
      <w:hyperlink r:id="rId71">
        <w:r>
          <w:rPr>
            <w:color w:val="1154CC"/>
            <w:sz w:val="22"/>
            <w:u w:val="thick" w:color="1154CC"/>
          </w:rPr>
          <w:t>https://www.ft.com/content/42c509a8-d75e-4350-b448-</w:t>
        </w:r>
        <w:r>
          <w:rPr>
            <w:color w:val="1154CC"/>
            <w:spacing w:val="-2"/>
            <w:sz w:val="22"/>
            <w:u w:val="thick" w:color="1154CC"/>
          </w:rPr>
          <w:t>b6b8db13942a</w:t>
        </w:r>
      </w:hyperlink>
    </w:p>
    <w:p>
      <w:pPr>
        <w:pStyle w:val="BodyText"/>
        <w:spacing w:before="9"/>
        <w:rPr>
          <w:sz w:val="28"/>
        </w:rPr>
      </w:pPr>
    </w:p>
    <w:p>
      <w:pPr>
        <w:spacing w:line="288" w:lineRule="auto" w:before="0"/>
        <w:ind w:left="400" w:right="1109" w:firstLine="0"/>
        <w:jc w:val="left"/>
        <w:rPr>
          <w:sz w:val="22"/>
        </w:rPr>
      </w:pPr>
      <w:r>
        <w:rPr>
          <w:sz w:val="22"/>
        </w:rPr>
        <w:t>Nugent, Ciara. 2023b. Argentina taps Chinese credit line to keep economy aﬂoat during </w:t>
      </w:r>
      <w:r>
        <w:rPr>
          <w:spacing w:val="-2"/>
          <w:w w:val="105"/>
          <w:sz w:val="22"/>
        </w:rPr>
        <w:t>elections.</w:t>
      </w:r>
      <w:r>
        <w:rPr>
          <w:spacing w:val="-11"/>
          <w:w w:val="105"/>
          <w:sz w:val="22"/>
        </w:rPr>
        <w:t> </w:t>
      </w:r>
      <w:r>
        <w:rPr>
          <w:i/>
          <w:spacing w:val="-2"/>
          <w:w w:val="105"/>
          <w:sz w:val="22"/>
        </w:rPr>
        <w:t>Financial</w:t>
      </w:r>
      <w:r>
        <w:rPr>
          <w:i/>
          <w:spacing w:val="-11"/>
          <w:w w:val="105"/>
          <w:sz w:val="22"/>
        </w:rPr>
        <w:t> </w:t>
      </w:r>
      <w:r>
        <w:rPr>
          <w:i/>
          <w:spacing w:val="-2"/>
          <w:w w:val="105"/>
          <w:sz w:val="22"/>
        </w:rPr>
        <w:t>Times</w:t>
      </w:r>
      <w:r>
        <w:rPr>
          <w:spacing w:val="-2"/>
          <w:w w:val="105"/>
          <w:sz w:val="22"/>
        </w:rPr>
        <w:t>.</w:t>
      </w:r>
      <w:r>
        <w:rPr>
          <w:spacing w:val="-11"/>
          <w:w w:val="105"/>
          <w:sz w:val="22"/>
        </w:rPr>
        <w:t> </w:t>
      </w:r>
      <w:r>
        <w:rPr>
          <w:spacing w:val="-2"/>
          <w:w w:val="105"/>
          <w:sz w:val="22"/>
        </w:rPr>
        <w:t>18</w:t>
      </w:r>
      <w:r>
        <w:rPr>
          <w:spacing w:val="-11"/>
          <w:w w:val="105"/>
          <w:sz w:val="22"/>
        </w:rPr>
        <w:t> </w:t>
      </w:r>
      <w:r>
        <w:rPr>
          <w:spacing w:val="-2"/>
          <w:w w:val="105"/>
          <w:sz w:val="22"/>
        </w:rPr>
        <w:t>October</w:t>
      </w:r>
      <w:r>
        <w:rPr>
          <w:spacing w:val="-11"/>
          <w:w w:val="105"/>
          <w:sz w:val="22"/>
        </w:rPr>
        <w:t> </w:t>
      </w:r>
      <w:r>
        <w:rPr>
          <w:spacing w:val="-2"/>
          <w:w w:val="105"/>
          <w:sz w:val="22"/>
        </w:rPr>
        <w:t>2023.</w:t>
      </w:r>
      <w:r>
        <w:rPr>
          <w:spacing w:val="-11"/>
          <w:w w:val="105"/>
          <w:sz w:val="22"/>
        </w:rPr>
        <w:t> </w:t>
      </w:r>
      <w:r>
        <w:rPr>
          <w:spacing w:val="-2"/>
          <w:w w:val="105"/>
          <w:sz w:val="22"/>
        </w:rPr>
        <w:t>Accessed</w:t>
      </w:r>
      <w:r>
        <w:rPr>
          <w:spacing w:val="-11"/>
          <w:w w:val="105"/>
          <w:sz w:val="22"/>
        </w:rPr>
        <w:t> </w:t>
      </w:r>
      <w:r>
        <w:rPr>
          <w:spacing w:val="-2"/>
          <w:w w:val="105"/>
          <w:sz w:val="22"/>
        </w:rPr>
        <w:t>on</w:t>
      </w:r>
      <w:r>
        <w:rPr>
          <w:spacing w:val="-11"/>
          <w:w w:val="105"/>
          <w:sz w:val="22"/>
        </w:rPr>
        <w:t> </w:t>
      </w:r>
      <w:r>
        <w:rPr>
          <w:spacing w:val="-2"/>
          <w:w w:val="105"/>
          <w:sz w:val="22"/>
        </w:rPr>
        <w:t>19</w:t>
      </w:r>
      <w:r>
        <w:rPr>
          <w:spacing w:val="-11"/>
          <w:w w:val="105"/>
          <w:sz w:val="22"/>
        </w:rPr>
        <w:t> </w:t>
      </w:r>
      <w:r>
        <w:rPr>
          <w:spacing w:val="-2"/>
          <w:w w:val="105"/>
          <w:sz w:val="22"/>
        </w:rPr>
        <w:t>October</w:t>
      </w:r>
      <w:r>
        <w:rPr>
          <w:spacing w:val="-11"/>
          <w:w w:val="105"/>
          <w:sz w:val="22"/>
        </w:rPr>
        <w:t> </w:t>
      </w:r>
      <w:r>
        <w:rPr>
          <w:spacing w:val="-2"/>
          <w:w w:val="105"/>
          <w:sz w:val="22"/>
        </w:rPr>
        <w:t>2023</w:t>
      </w:r>
      <w:r>
        <w:rPr>
          <w:spacing w:val="-11"/>
          <w:w w:val="105"/>
          <w:sz w:val="22"/>
        </w:rPr>
        <w:t> </w:t>
      </w:r>
      <w:r>
        <w:rPr>
          <w:spacing w:val="-2"/>
          <w:w w:val="105"/>
          <w:sz w:val="22"/>
        </w:rPr>
        <w:t>at </w:t>
      </w:r>
      <w:hyperlink r:id="rId72">
        <w:r>
          <w:rPr>
            <w:color w:val="1154CC"/>
            <w:spacing w:val="-2"/>
            <w:w w:val="105"/>
            <w:sz w:val="22"/>
            <w:u w:val="thick" w:color="1154CC"/>
          </w:rPr>
          <w:t>https://www.ft.com/content/c92e56b7-e619-4cbb-b615-e401140c10cc</w:t>
        </w:r>
      </w:hyperlink>
    </w:p>
    <w:p>
      <w:pPr>
        <w:pStyle w:val="BodyText"/>
        <w:spacing w:before="5"/>
      </w:pPr>
    </w:p>
    <w:p>
      <w:pPr>
        <w:spacing w:line="288" w:lineRule="auto" w:before="0"/>
        <w:ind w:left="400" w:right="398" w:firstLine="0"/>
        <w:jc w:val="left"/>
        <w:rPr>
          <w:sz w:val="22"/>
        </w:rPr>
      </w:pPr>
      <w:r>
        <w:rPr>
          <w:spacing w:val="-2"/>
          <w:w w:val="105"/>
          <w:sz w:val="22"/>
        </w:rPr>
        <w:t>Organisation</w:t>
      </w:r>
      <w:r>
        <w:rPr>
          <w:spacing w:val="-11"/>
          <w:w w:val="105"/>
          <w:sz w:val="22"/>
        </w:rPr>
        <w:t> </w:t>
      </w:r>
      <w:r>
        <w:rPr>
          <w:spacing w:val="-2"/>
          <w:w w:val="105"/>
          <w:sz w:val="22"/>
        </w:rPr>
        <w:t>for</w:t>
      </w:r>
      <w:r>
        <w:rPr>
          <w:spacing w:val="-11"/>
          <w:w w:val="105"/>
          <w:sz w:val="22"/>
        </w:rPr>
        <w:t> </w:t>
      </w:r>
      <w:r>
        <w:rPr>
          <w:spacing w:val="-2"/>
          <w:w w:val="105"/>
          <w:sz w:val="22"/>
        </w:rPr>
        <w:t>Economic</w:t>
      </w:r>
      <w:r>
        <w:rPr>
          <w:spacing w:val="-11"/>
          <w:w w:val="105"/>
          <w:sz w:val="22"/>
        </w:rPr>
        <w:t> </w:t>
      </w:r>
      <w:r>
        <w:rPr>
          <w:spacing w:val="-2"/>
          <w:w w:val="105"/>
          <w:sz w:val="22"/>
        </w:rPr>
        <w:t>Co-operation</w:t>
      </w:r>
      <w:r>
        <w:rPr>
          <w:spacing w:val="-11"/>
          <w:w w:val="105"/>
          <w:sz w:val="22"/>
        </w:rPr>
        <w:t> </w:t>
      </w:r>
      <w:r>
        <w:rPr>
          <w:spacing w:val="-2"/>
          <w:w w:val="105"/>
          <w:sz w:val="22"/>
        </w:rPr>
        <w:t>and</w:t>
      </w:r>
      <w:r>
        <w:rPr>
          <w:spacing w:val="-11"/>
          <w:w w:val="105"/>
          <w:sz w:val="22"/>
        </w:rPr>
        <w:t> </w:t>
      </w:r>
      <w:r>
        <w:rPr>
          <w:spacing w:val="-2"/>
          <w:w w:val="105"/>
          <w:sz w:val="22"/>
        </w:rPr>
        <w:t>Development</w:t>
      </w:r>
      <w:r>
        <w:rPr>
          <w:spacing w:val="-11"/>
          <w:w w:val="105"/>
          <w:sz w:val="22"/>
        </w:rPr>
        <w:t> </w:t>
      </w:r>
      <w:r>
        <w:rPr>
          <w:spacing w:val="-2"/>
          <w:w w:val="105"/>
          <w:sz w:val="22"/>
        </w:rPr>
        <w:t>(OECD).</w:t>
      </w:r>
      <w:r>
        <w:rPr>
          <w:spacing w:val="-11"/>
          <w:w w:val="105"/>
          <w:sz w:val="22"/>
        </w:rPr>
        <w:t> </w:t>
      </w:r>
      <w:r>
        <w:rPr>
          <w:spacing w:val="-2"/>
          <w:w w:val="105"/>
          <w:sz w:val="22"/>
        </w:rPr>
        <w:t>2023b.</w:t>
      </w:r>
      <w:r>
        <w:rPr>
          <w:spacing w:val="-11"/>
          <w:w w:val="105"/>
          <w:sz w:val="22"/>
        </w:rPr>
        <w:t> </w:t>
      </w:r>
      <w:r>
        <w:rPr>
          <w:spacing w:val="-2"/>
          <w:w w:val="105"/>
          <w:sz w:val="22"/>
        </w:rPr>
        <w:t>Converged </w:t>
      </w:r>
      <w:r>
        <w:rPr>
          <w:sz w:val="22"/>
        </w:rPr>
        <w:t>Statistical</w:t>
      </w:r>
      <w:r>
        <w:rPr>
          <w:spacing w:val="-3"/>
          <w:sz w:val="22"/>
        </w:rPr>
        <w:t> </w:t>
      </w:r>
      <w:r>
        <w:rPr>
          <w:sz w:val="22"/>
        </w:rPr>
        <w:t>Reporting</w:t>
      </w:r>
      <w:r>
        <w:rPr>
          <w:spacing w:val="-3"/>
          <w:sz w:val="22"/>
        </w:rPr>
        <w:t> </w:t>
      </w:r>
      <w:r>
        <w:rPr>
          <w:sz w:val="22"/>
        </w:rPr>
        <w:t>Directives</w:t>
      </w:r>
      <w:r>
        <w:rPr>
          <w:spacing w:val="-3"/>
          <w:sz w:val="22"/>
        </w:rPr>
        <w:t> </w:t>
      </w:r>
      <w:r>
        <w:rPr>
          <w:sz w:val="22"/>
        </w:rPr>
        <w:t>for</w:t>
      </w:r>
      <w:r>
        <w:rPr>
          <w:spacing w:val="-3"/>
          <w:sz w:val="22"/>
        </w:rPr>
        <w:t> </w:t>
      </w:r>
      <w:r>
        <w:rPr>
          <w:sz w:val="22"/>
        </w:rPr>
        <w:t>the</w:t>
      </w:r>
      <w:r>
        <w:rPr>
          <w:spacing w:val="-3"/>
          <w:sz w:val="22"/>
        </w:rPr>
        <w:t> </w:t>
      </w:r>
      <w:r>
        <w:rPr>
          <w:sz w:val="22"/>
        </w:rPr>
        <w:t>Creditor</w:t>
      </w:r>
      <w:r>
        <w:rPr>
          <w:spacing w:val="-3"/>
          <w:sz w:val="22"/>
        </w:rPr>
        <w:t> </w:t>
      </w:r>
      <w:r>
        <w:rPr>
          <w:sz w:val="22"/>
        </w:rPr>
        <w:t>Reporting</w:t>
      </w:r>
      <w:r>
        <w:rPr>
          <w:spacing w:val="-3"/>
          <w:sz w:val="22"/>
        </w:rPr>
        <w:t> </w:t>
      </w:r>
      <w:r>
        <w:rPr>
          <w:sz w:val="22"/>
        </w:rPr>
        <w:t>System</w:t>
      </w:r>
      <w:r>
        <w:rPr>
          <w:spacing w:val="-3"/>
          <w:sz w:val="22"/>
        </w:rPr>
        <w:t> </w:t>
      </w:r>
      <w:r>
        <w:rPr>
          <w:sz w:val="22"/>
        </w:rPr>
        <w:t>(CRS)</w:t>
      </w:r>
      <w:r>
        <w:rPr>
          <w:spacing w:val="-3"/>
          <w:sz w:val="22"/>
        </w:rPr>
        <w:t> </w:t>
      </w:r>
      <w:r>
        <w:rPr>
          <w:sz w:val="22"/>
        </w:rPr>
        <w:t>and</w:t>
      </w:r>
      <w:r>
        <w:rPr>
          <w:spacing w:val="-3"/>
          <w:sz w:val="22"/>
        </w:rPr>
        <w:t> </w:t>
      </w:r>
      <w:r>
        <w:rPr>
          <w:sz w:val="22"/>
        </w:rPr>
        <w:t>the</w:t>
      </w:r>
      <w:r>
        <w:rPr>
          <w:spacing w:val="-3"/>
          <w:sz w:val="22"/>
        </w:rPr>
        <w:t> </w:t>
      </w:r>
      <w:r>
        <w:rPr>
          <w:sz w:val="22"/>
        </w:rPr>
        <w:t>Annual</w:t>
      </w:r>
      <w:r>
        <w:rPr>
          <w:spacing w:val="-3"/>
          <w:sz w:val="22"/>
        </w:rPr>
        <w:t> </w:t>
      </w:r>
      <w:r>
        <w:rPr>
          <w:sz w:val="22"/>
        </w:rPr>
        <w:t>DAC Questionnaire,</w:t>
      </w:r>
      <w:r>
        <w:rPr>
          <w:spacing w:val="-3"/>
          <w:sz w:val="22"/>
        </w:rPr>
        <w:t> </w:t>
      </w:r>
      <w:r>
        <w:rPr>
          <w:sz w:val="22"/>
        </w:rPr>
        <w:t>Chapter</w:t>
      </w:r>
      <w:r>
        <w:rPr>
          <w:spacing w:val="-4"/>
          <w:sz w:val="22"/>
        </w:rPr>
        <w:t> </w:t>
      </w:r>
      <w:r>
        <w:rPr>
          <w:sz w:val="22"/>
        </w:rPr>
        <w:t>1-6.</w:t>
      </w:r>
      <w:r>
        <w:rPr>
          <w:spacing w:val="-3"/>
          <w:sz w:val="22"/>
        </w:rPr>
        <w:t> </w:t>
      </w:r>
      <w:r>
        <w:rPr>
          <w:sz w:val="22"/>
        </w:rPr>
        <w:t>27</w:t>
      </w:r>
      <w:r>
        <w:rPr>
          <w:spacing w:val="-4"/>
          <w:sz w:val="22"/>
        </w:rPr>
        <w:t> </w:t>
      </w:r>
      <w:r>
        <w:rPr>
          <w:sz w:val="22"/>
        </w:rPr>
        <w:t>April</w:t>
      </w:r>
      <w:r>
        <w:rPr>
          <w:spacing w:val="-3"/>
          <w:sz w:val="22"/>
        </w:rPr>
        <w:t> </w:t>
      </w:r>
      <w:r>
        <w:rPr>
          <w:sz w:val="22"/>
        </w:rPr>
        <w:t>2023.</w:t>
      </w:r>
      <w:r>
        <w:rPr>
          <w:spacing w:val="-4"/>
          <w:sz w:val="22"/>
        </w:rPr>
        <w:t> </w:t>
      </w:r>
      <w:r>
        <w:rPr>
          <w:sz w:val="22"/>
        </w:rPr>
        <w:t>Paris:</w:t>
      </w:r>
      <w:r>
        <w:rPr>
          <w:spacing w:val="-3"/>
          <w:sz w:val="22"/>
        </w:rPr>
        <w:t> </w:t>
      </w:r>
      <w:r>
        <w:rPr>
          <w:sz w:val="22"/>
        </w:rPr>
        <w:t>OECD.</w:t>
      </w:r>
      <w:r>
        <w:rPr>
          <w:spacing w:val="-4"/>
          <w:sz w:val="22"/>
        </w:rPr>
        <w:t> </w:t>
      </w:r>
      <w:r>
        <w:rPr>
          <w:sz w:val="22"/>
        </w:rPr>
        <w:t>Accessed</w:t>
      </w:r>
      <w:r>
        <w:rPr>
          <w:spacing w:val="-3"/>
          <w:sz w:val="22"/>
        </w:rPr>
        <w:t> </w:t>
      </w:r>
      <w:r>
        <w:rPr>
          <w:sz w:val="22"/>
        </w:rPr>
        <w:t>on</w:t>
      </w:r>
      <w:r>
        <w:rPr>
          <w:spacing w:val="-4"/>
          <w:sz w:val="22"/>
        </w:rPr>
        <w:t> </w:t>
      </w:r>
      <w:r>
        <w:rPr>
          <w:sz w:val="22"/>
        </w:rPr>
        <w:t>14</w:t>
      </w:r>
      <w:r>
        <w:rPr>
          <w:spacing w:val="-3"/>
          <w:sz w:val="22"/>
        </w:rPr>
        <w:t> </w:t>
      </w:r>
      <w:r>
        <w:rPr>
          <w:sz w:val="22"/>
        </w:rPr>
        <w:t>September</w:t>
      </w:r>
      <w:r>
        <w:rPr>
          <w:spacing w:val="-4"/>
          <w:sz w:val="22"/>
        </w:rPr>
        <w:t> </w:t>
      </w:r>
      <w:r>
        <w:rPr>
          <w:sz w:val="22"/>
        </w:rPr>
        <w:t>2023</w:t>
      </w:r>
      <w:r>
        <w:rPr>
          <w:spacing w:val="-3"/>
          <w:sz w:val="22"/>
        </w:rPr>
        <w:t> </w:t>
      </w:r>
      <w:r>
        <w:rPr>
          <w:sz w:val="22"/>
        </w:rPr>
        <w:t>at </w:t>
      </w:r>
      <w:r>
        <w:rPr>
          <w:spacing w:val="-2"/>
          <w:w w:val="105"/>
          <w:sz w:val="22"/>
        </w:rPr>
        <w:t>https://one.oecd.org/document/DCD/DAC/STAT(2023)9/FINAL/en/pdf</w:t>
      </w:r>
    </w:p>
    <w:p>
      <w:pPr>
        <w:pStyle w:val="BodyText"/>
        <w:spacing w:before="4"/>
      </w:pPr>
    </w:p>
    <w:p>
      <w:pPr>
        <w:spacing w:line="288" w:lineRule="auto" w:before="0"/>
        <w:ind w:left="400" w:right="398" w:firstLine="0"/>
        <w:jc w:val="left"/>
        <w:rPr>
          <w:sz w:val="22"/>
        </w:rPr>
      </w:pPr>
      <w:r>
        <w:rPr>
          <w:w w:val="105"/>
          <w:sz w:val="22"/>
        </w:rPr>
        <w:t>Ofﬁce</w:t>
      </w:r>
      <w:r>
        <w:rPr>
          <w:spacing w:val="-15"/>
          <w:w w:val="105"/>
          <w:sz w:val="22"/>
        </w:rPr>
        <w:t> </w:t>
      </w:r>
      <w:r>
        <w:rPr>
          <w:w w:val="105"/>
          <w:sz w:val="22"/>
        </w:rPr>
        <w:t>of</w:t>
      </w:r>
      <w:r>
        <w:rPr>
          <w:spacing w:val="-15"/>
          <w:w w:val="105"/>
          <w:sz w:val="22"/>
        </w:rPr>
        <w:t> </w:t>
      </w:r>
      <w:r>
        <w:rPr>
          <w:w w:val="105"/>
          <w:sz w:val="22"/>
        </w:rPr>
        <w:t>the</w:t>
      </w:r>
      <w:r>
        <w:rPr>
          <w:spacing w:val="-15"/>
          <w:w w:val="105"/>
          <w:sz w:val="22"/>
        </w:rPr>
        <w:t> </w:t>
      </w:r>
      <w:r>
        <w:rPr>
          <w:w w:val="105"/>
          <w:sz w:val="22"/>
        </w:rPr>
        <w:t>Leading</w:t>
      </w:r>
      <w:r>
        <w:rPr>
          <w:spacing w:val="-15"/>
          <w:w w:val="105"/>
          <w:sz w:val="22"/>
        </w:rPr>
        <w:t> </w:t>
      </w:r>
      <w:r>
        <w:rPr>
          <w:w w:val="105"/>
          <w:sz w:val="22"/>
        </w:rPr>
        <w:t>Group</w:t>
      </w:r>
      <w:r>
        <w:rPr>
          <w:spacing w:val="-15"/>
          <w:w w:val="105"/>
          <w:sz w:val="22"/>
        </w:rPr>
        <w:t> </w:t>
      </w:r>
      <w:r>
        <w:rPr>
          <w:w w:val="105"/>
          <w:sz w:val="22"/>
        </w:rPr>
        <w:t>for</w:t>
      </w:r>
      <w:r>
        <w:rPr>
          <w:spacing w:val="-15"/>
          <w:w w:val="105"/>
          <w:sz w:val="22"/>
        </w:rPr>
        <w:t> </w:t>
      </w:r>
      <w:r>
        <w:rPr>
          <w:w w:val="105"/>
          <w:sz w:val="22"/>
        </w:rPr>
        <w:t>Promoting</w:t>
      </w:r>
      <w:r>
        <w:rPr>
          <w:spacing w:val="-15"/>
          <w:w w:val="105"/>
          <w:sz w:val="22"/>
        </w:rPr>
        <w:t> </w:t>
      </w:r>
      <w:r>
        <w:rPr>
          <w:w w:val="105"/>
          <w:sz w:val="22"/>
        </w:rPr>
        <w:t>the</w:t>
      </w:r>
      <w:r>
        <w:rPr>
          <w:spacing w:val="-15"/>
          <w:w w:val="105"/>
          <w:sz w:val="22"/>
        </w:rPr>
        <w:t> </w:t>
      </w:r>
      <w:r>
        <w:rPr>
          <w:w w:val="105"/>
          <w:sz w:val="22"/>
        </w:rPr>
        <w:t>Belt</w:t>
      </w:r>
      <w:r>
        <w:rPr>
          <w:spacing w:val="-15"/>
          <w:w w:val="105"/>
          <w:sz w:val="22"/>
        </w:rPr>
        <w:t> </w:t>
      </w:r>
      <w:r>
        <w:rPr>
          <w:w w:val="105"/>
          <w:sz w:val="22"/>
        </w:rPr>
        <w:t>and</w:t>
      </w:r>
      <w:r>
        <w:rPr>
          <w:spacing w:val="-15"/>
          <w:w w:val="105"/>
          <w:sz w:val="22"/>
        </w:rPr>
        <w:t> </w:t>
      </w:r>
      <w:r>
        <w:rPr>
          <w:w w:val="105"/>
          <w:sz w:val="22"/>
        </w:rPr>
        <w:t>Road</w:t>
      </w:r>
      <w:r>
        <w:rPr>
          <w:spacing w:val="-15"/>
          <w:w w:val="105"/>
          <w:sz w:val="22"/>
        </w:rPr>
        <w:t> </w:t>
      </w:r>
      <w:r>
        <w:rPr>
          <w:w w:val="105"/>
          <w:sz w:val="22"/>
        </w:rPr>
        <w:t>Initiative.</w:t>
      </w:r>
      <w:r>
        <w:rPr>
          <w:spacing w:val="-15"/>
          <w:w w:val="105"/>
          <w:sz w:val="22"/>
        </w:rPr>
        <w:t> </w:t>
      </w:r>
      <w:r>
        <w:rPr>
          <w:w w:val="105"/>
          <w:sz w:val="22"/>
        </w:rPr>
        <w:t>2019.</w:t>
      </w:r>
      <w:r>
        <w:rPr>
          <w:spacing w:val="-15"/>
          <w:w w:val="105"/>
          <w:sz w:val="22"/>
        </w:rPr>
        <w:t> </w:t>
      </w:r>
      <w:r>
        <w:rPr>
          <w:w w:val="105"/>
          <w:sz w:val="22"/>
        </w:rPr>
        <w:t>The</w:t>
      </w:r>
      <w:r>
        <w:rPr>
          <w:spacing w:val="-15"/>
          <w:w w:val="105"/>
          <w:sz w:val="22"/>
        </w:rPr>
        <w:t> </w:t>
      </w:r>
      <w:r>
        <w:rPr>
          <w:w w:val="105"/>
          <w:sz w:val="22"/>
        </w:rPr>
        <w:t>Belt</w:t>
      </w:r>
      <w:r>
        <w:rPr>
          <w:spacing w:val="-15"/>
          <w:w w:val="105"/>
          <w:sz w:val="22"/>
        </w:rPr>
        <w:t> </w:t>
      </w:r>
      <w:r>
        <w:rPr>
          <w:w w:val="105"/>
          <w:sz w:val="22"/>
        </w:rPr>
        <w:t>and </w:t>
      </w:r>
      <w:r>
        <w:rPr>
          <w:sz w:val="22"/>
        </w:rPr>
        <w:t>Road Initiative Progress, Contributions and Prospects. Beijing: Ofﬁce of the Leading Group for </w:t>
      </w:r>
      <w:r>
        <w:rPr>
          <w:w w:val="105"/>
          <w:sz w:val="22"/>
        </w:rPr>
        <w:t>Promoting</w:t>
      </w:r>
      <w:r>
        <w:rPr>
          <w:spacing w:val="-17"/>
          <w:w w:val="105"/>
          <w:sz w:val="22"/>
        </w:rPr>
        <w:t> </w:t>
      </w:r>
      <w:r>
        <w:rPr>
          <w:w w:val="105"/>
          <w:sz w:val="22"/>
        </w:rPr>
        <w:t>the</w:t>
      </w:r>
      <w:r>
        <w:rPr>
          <w:spacing w:val="-16"/>
          <w:w w:val="105"/>
          <w:sz w:val="22"/>
        </w:rPr>
        <w:t> </w:t>
      </w:r>
      <w:r>
        <w:rPr>
          <w:w w:val="105"/>
          <w:sz w:val="22"/>
        </w:rPr>
        <w:t>Belt</w:t>
      </w:r>
      <w:r>
        <w:rPr>
          <w:spacing w:val="-16"/>
          <w:w w:val="105"/>
          <w:sz w:val="22"/>
        </w:rPr>
        <w:t> </w:t>
      </w:r>
      <w:r>
        <w:rPr>
          <w:w w:val="105"/>
          <w:sz w:val="22"/>
        </w:rPr>
        <w:t>and</w:t>
      </w:r>
      <w:r>
        <w:rPr>
          <w:spacing w:val="-16"/>
          <w:w w:val="105"/>
          <w:sz w:val="22"/>
        </w:rPr>
        <w:t> </w:t>
      </w:r>
      <w:r>
        <w:rPr>
          <w:w w:val="105"/>
          <w:sz w:val="22"/>
        </w:rPr>
        <w:t>Road</w:t>
      </w:r>
      <w:r>
        <w:rPr>
          <w:spacing w:val="-16"/>
          <w:w w:val="105"/>
          <w:sz w:val="22"/>
        </w:rPr>
        <w:t> </w:t>
      </w:r>
      <w:r>
        <w:rPr>
          <w:w w:val="105"/>
          <w:sz w:val="22"/>
        </w:rPr>
        <w:t>Initiative.</w:t>
      </w:r>
      <w:r>
        <w:rPr>
          <w:spacing w:val="-16"/>
          <w:w w:val="105"/>
          <w:sz w:val="22"/>
        </w:rPr>
        <w:t> </w:t>
      </w:r>
      <w:r>
        <w:rPr>
          <w:w w:val="105"/>
          <w:sz w:val="22"/>
        </w:rPr>
        <w:t>Accessed</w:t>
      </w:r>
      <w:r>
        <w:rPr>
          <w:spacing w:val="-16"/>
          <w:w w:val="105"/>
          <w:sz w:val="22"/>
        </w:rPr>
        <w:t> </w:t>
      </w:r>
      <w:r>
        <w:rPr>
          <w:w w:val="105"/>
          <w:sz w:val="22"/>
        </w:rPr>
        <w:t>on</w:t>
      </w:r>
      <w:r>
        <w:rPr>
          <w:spacing w:val="-16"/>
          <w:w w:val="105"/>
          <w:sz w:val="22"/>
        </w:rPr>
        <w:t> </w:t>
      </w:r>
      <w:r>
        <w:rPr>
          <w:w w:val="105"/>
          <w:sz w:val="22"/>
        </w:rPr>
        <w:t>1</w:t>
      </w:r>
      <w:r>
        <w:rPr>
          <w:spacing w:val="-16"/>
          <w:w w:val="105"/>
          <w:sz w:val="22"/>
        </w:rPr>
        <w:t> </w:t>
      </w:r>
      <w:r>
        <w:rPr>
          <w:w w:val="105"/>
          <w:sz w:val="22"/>
        </w:rPr>
        <w:t>July</w:t>
      </w:r>
      <w:r>
        <w:rPr>
          <w:spacing w:val="-16"/>
          <w:w w:val="105"/>
          <w:sz w:val="22"/>
        </w:rPr>
        <w:t> </w:t>
      </w:r>
      <w:r>
        <w:rPr>
          <w:w w:val="105"/>
          <w:sz w:val="22"/>
        </w:rPr>
        <w:t>2023</w:t>
      </w:r>
      <w:r>
        <w:rPr>
          <w:spacing w:val="-16"/>
          <w:w w:val="105"/>
          <w:sz w:val="22"/>
        </w:rPr>
        <w:t> </w:t>
      </w:r>
      <w:r>
        <w:rPr>
          <w:w w:val="105"/>
          <w:sz w:val="22"/>
        </w:rPr>
        <w:t>at </w:t>
      </w:r>
      <w:hyperlink r:id="rId73">
        <w:r>
          <w:rPr>
            <w:color w:val="1154CC"/>
            <w:spacing w:val="-2"/>
            <w:w w:val="105"/>
            <w:sz w:val="22"/>
            <w:u w:val="thick" w:color="1154CC"/>
          </w:rPr>
          <w:t>https://eng.yidaiyilu.gov.cn/p/86739.html</w:t>
        </w:r>
      </w:hyperlink>
    </w:p>
    <w:p>
      <w:pPr>
        <w:pStyle w:val="BodyText"/>
        <w:spacing w:before="4"/>
      </w:pPr>
    </w:p>
    <w:p>
      <w:pPr>
        <w:spacing w:line="288" w:lineRule="auto" w:before="0"/>
        <w:ind w:left="400" w:right="431" w:firstLine="0"/>
        <w:jc w:val="left"/>
        <w:rPr>
          <w:sz w:val="22"/>
        </w:rPr>
      </w:pPr>
      <w:r>
        <w:rPr>
          <w:sz w:val="22"/>
        </w:rPr>
        <w:t>Olander, Eric. 2023. What’s Driving the Steady Decline in Chinese Overseas Development </w:t>
      </w:r>
      <w:r>
        <w:rPr>
          <w:spacing w:val="-2"/>
          <w:w w:val="105"/>
          <w:sz w:val="22"/>
        </w:rPr>
        <w:t>Lending?</w:t>
      </w:r>
      <w:r>
        <w:rPr>
          <w:spacing w:val="-10"/>
          <w:w w:val="105"/>
          <w:sz w:val="22"/>
        </w:rPr>
        <w:t> </w:t>
      </w:r>
      <w:r>
        <w:rPr>
          <w:spacing w:val="-2"/>
          <w:w w:val="105"/>
          <w:sz w:val="22"/>
        </w:rPr>
        <w:t>China</w:t>
      </w:r>
      <w:r>
        <w:rPr>
          <w:spacing w:val="-10"/>
          <w:w w:val="105"/>
          <w:sz w:val="22"/>
        </w:rPr>
        <w:t> </w:t>
      </w:r>
      <w:r>
        <w:rPr>
          <w:spacing w:val="-2"/>
          <w:w w:val="105"/>
          <w:sz w:val="22"/>
        </w:rPr>
        <w:t>Global</w:t>
      </w:r>
      <w:r>
        <w:rPr>
          <w:spacing w:val="-11"/>
          <w:w w:val="105"/>
          <w:sz w:val="22"/>
        </w:rPr>
        <w:t> </w:t>
      </w:r>
      <w:r>
        <w:rPr>
          <w:spacing w:val="-2"/>
          <w:w w:val="105"/>
          <w:sz w:val="22"/>
        </w:rPr>
        <w:t>South</w:t>
      </w:r>
      <w:r>
        <w:rPr>
          <w:spacing w:val="-10"/>
          <w:w w:val="105"/>
          <w:sz w:val="22"/>
        </w:rPr>
        <w:t> </w:t>
      </w:r>
      <w:r>
        <w:rPr>
          <w:spacing w:val="-2"/>
          <w:w w:val="105"/>
          <w:sz w:val="22"/>
        </w:rPr>
        <w:t>Project.</w:t>
      </w:r>
      <w:r>
        <w:rPr>
          <w:spacing w:val="-10"/>
          <w:w w:val="105"/>
          <w:sz w:val="22"/>
        </w:rPr>
        <w:t> </w:t>
      </w:r>
      <w:r>
        <w:rPr>
          <w:spacing w:val="-2"/>
          <w:w w:val="105"/>
          <w:sz w:val="22"/>
        </w:rPr>
        <w:t>Accesed</w:t>
      </w:r>
      <w:r>
        <w:rPr>
          <w:spacing w:val="-11"/>
          <w:w w:val="105"/>
          <w:sz w:val="22"/>
        </w:rPr>
        <w:t> </w:t>
      </w:r>
      <w:r>
        <w:rPr>
          <w:spacing w:val="-2"/>
          <w:w w:val="105"/>
          <w:sz w:val="22"/>
        </w:rPr>
        <w:t>on</w:t>
      </w:r>
      <w:r>
        <w:rPr>
          <w:spacing w:val="-10"/>
          <w:w w:val="105"/>
          <w:sz w:val="22"/>
        </w:rPr>
        <w:t> </w:t>
      </w:r>
      <w:r>
        <w:rPr>
          <w:spacing w:val="-2"/>
          <w:w w:val="105"/>
          <w:sz w:val="22"/>
        </w:rPr>
        <w:t>01</w:t>
      </w:r>
      <w:r>
        <w:rPr>
          <w:spacing w:val="-10"/>
          <w:w w:val="105"/>
          <w:sz w:val="22"/>
        </w:rPr>
        <w:t> </w:t>
      </w:r>
      <w:r>
        <w:rPr>
          <w:spacing w:val="-2"/>
          <w:w w:val="105"/>
          <w:sz w:val="22"/>
        </w:rPr>
        <w:t>July</w:t>
      </w:r>
      <w:r>
        <w:rPr>
          <w:spacing w:val="-11"/>
          <w:w w:val="105"/>
          <w:sz w:val="22"/>
        </w:rPr>
        <w:t> </w:t>
      </w:r>
      <w:r>
        <w:rPr>
          <w:spacing w:val="-2"/>
          <w:w w:val="105"/>
          <w:sz w:val="22"/>
        </w:rPr>
        <w:t>223</w:t>
      </w:r>
      <w:r>
        <w:rPr>
          <w:spacing w:val="-10"/>
          <w:w w:val="105"/>
          <w:sz w:val="22"/>
        </w:rPr>
        <w:t> </w:t>
      </w:r>
      <w:r>
        <w:rPr>
          <w:spacing w:val="-2"/>
          <w:w w:val="105"/>
          <w:sz w:val="22"/>
        </w:rPr>
        <w:t>at </w:t>
      </w:r>
      <w:hyperlink r:id="rId74">
        <w:r>
          <w:rPr>
            <w:color w:val="1154CC"/>
            <w:spacing w:val="-2"/>
            <w:sz w:val="22"/>
            <w:u w:val="thick" w:color="1154CC"/>
          </w:rPr>
          <w:t>https://chinaglobalsouth.com/podcasts/whats-driving-the-steady-decline-in-chinese-overseas-d</w:t>
        </w:r>
      </w:hyperlink>
      <w:r>
        <w:rPr>
          <w:color w:val="1154CC"/>
          <w:spacing w:val="40"/>
          <w:w w:val="105"/>
          <w:sz w:val="22"/>
        </w:rPr>
        <w:t> </w:t>
      </w:r>
      <w:hyperlink r:id="rId74">
        <w:r>
          <w:rPr>
            <w:color w:val="1154CC"/>
            <w:spacing w:val="-2"/>
            <w:w w:val="105"/>
            <w:sz w:val="22"/>
            <w:u w:val="thick" w:color="1154CC"/>
          </w:rPr>
          <w:t>evelopment-lending/</w:t>
        </w:r>
      </w:hyperlink>
    </w:p>
    <w:p>
      <w:pPr>
        <w:pStyle w:val="BodyText"/>
        <w:spacing w:before="4"/>
      </w:pPr>
    </w:p>
    <w:p>
      <w:pPr>
        <w:spacing w:line="288" w:lineRule="auto" w:before="0"/>
        <w:ind w:left="400" w:right="493" w:firstLine="0"/>
        <w:jc w:val="left"/>
        <w:rPr>
          <w:sz w:val="22"/>
        </w:rPr>
      </w:pPr>
      <w:r>
        <w:rPr>
          <w:sz w:val="22"/>
        </w:rPr>
        <w:t>Organisation for Economic Co-operation and Development (OECD). 2021. Converged Statistical</w:t>
      </w:r>
      <w:r>
        <w:rPr>
          <w:spacing w:val="-6"/>
          <w:sz w:val="22"/>
        </w:rPr>
        <w:t> </w:t>
      </w:r>
      <w:r>
        <w:rPr>
          <w:sz w:val="22"/>
        </w:rPr>
        <w:t>Reporting</w:t>
      </w:r>
      <w:r>
        <w:rPr>
          <w:spacing w:val="-6"/>
          <w:sz w:val="22"/>
        </w:rPr>
        <w:t> </w:t>
      </w:r>
      <w:r>
        <w:rPr>
          <w:sz w:val="22"/>
        </w:rPr>
        <w:t>Directives</w:t>
      </w:r>
      <w:r>
        <w:rPr>
          <w:spacing w:val="-6"/>
          <w:sz w:val="22"/>
        </w:rPr>
        <w:t> </w:t>
      </w:r>
      <w:r>
        <w:rPr>
          <w:sz w:val="22"/>
        </w:rPr>
        <w:t>for</w:t>
      </w:r>
      <w:r>
        <w:rPr>
          <w:spacing w:val="-6"/>
          <w:sz w:val="22"/>
        </w:rPr>
        <w:t> </w:t>
      </w:r>
      <w:r>
        <w:rPr>
          <w:sz w:val="22"/>
        </w:rPr>
        <w:t>the</w:t>
      </w:r>
      <w:r>
        <w:rPr>
          <w:spacing w:val="-6"/>
          <w:sz w:val="22"/>
        </w:rPr>
        <w:t> </w:t>
      </w:r>
      <w:r>
        <w:rPr>
          <w:sz w:val="22"/>
        </w:rPr>
        <w:t>Creditor</w:t>
      </w:r>
      <w:r>
        <w:rPr>
          <w:spacing w:val="-6"/>
          <w:sz w:val="22"/>
        </w:rPr>
        <w:t> </w:t>
      </w:r>
      <w:r>
        <w:rPr>
          <w:sz w:val="22"/>
        </w:rPr>
        <w:t>Reporting</w:t>
      </w:r>
      <w:r>
        <w:rPr>
          <w:spacing w:val="-6"/>
          <w:sz w:val="22"/>
        </w:rPr>
        <w:t> </w:t>
      </w:r>
      <w:r>
        <w:rPr>
          <w:sz w:val="22"/>
        </w:rPr>
        <w:t>System</w:t>
      </w:r>
      <w:r>
        <w:rPr>
          <w:spacing w:val="-6"/>
          <w:sz w:val="22"/>
        </w:rPr>
        <w:t> </w:t>
      </w:r>
      <w:r>
        <w:rPr>
          <w:sz w:val="22"/>
        </w:rPr>
        <w:t>(CRS)</w:t>
      </w:r>
      <w:r>
        <w:rPr>
          <w:spacing w:val="-6"/>
          <w:sz w:val="22"/>
        </w:rPr>
        <w:t> </w:t>
      </w:r>
      <w:r>
        <w:rPr>
          <w:sz w:val="22"/>
        </w:rPr>
        <w:t>and</w:t>
      </w:r>
      <w:r>
        <w:rPr>
          <w:spacing w:val="-6"/>
          <w:sz w:val="22"/>
        </w:rPr>
        <w:t> </w:t>
      </w:r>
      <w:r>
        <w:rPr>
          <w:sz w:val="22"/>
        </w:rPr>
        <w:t>the</w:t>
      </w:r>
      <w:r>
        <w:rPr>
          <w:spacing w:val="-6"/>
          <w:sz w:val="22"/>
        </w:rPr>
        <w:t> </w:t>
      </w:r>
      <w:r>
        <w:rPr>
          <w:sz w:val="22"/>
        </w:rPr>
        <w:t>Annual</w:t>
      </w:r>
      <w:r>
        <w:rPr>
          <w:spacing w:val="-6"/>
          <w:sz w:val="22"/>
        </w:rPr>
        <w:t> </w:t>
      </w:r>
      <w:r>
        <w:rPr>
          <w:sz w:val="22"/>
        </w:rPr>
        <w:t>DAC Questionnaire. Paris: OECD. Accessed on 1 August 2023 at </w:t>
      </w:r>
      <w:hyperlink r:id="rId75">
        <w:r>
          <w:rPr>
            <w:color w:val="1154CC"/>
            <w:spacing w:val="-2"/>
            <w:w w:val="105"/>
            <w:sz w:val="22"/>
            <w:u w:val="thick" w:color="1154CC"/>
          </w:rPr>
          <w:t>https://one.oecd.org/document/DCD/DAC/STAT(2020)44/FINAL/en/pdf</w:t>
        </w:r>
      </w:hyperlink>
    </w:p>
    <w:p>
      <w:pPr>
        <w:spacing w:after="0" w:line="288" w:lineRule="auto"/>
        <w:jc w:val="left"/>
        <w:rPr>
          <w:sz w:val="22"/>
        </w:rPr>
        <w:sectPr>
          <w:footerReference w:type="default" r:id="rId68"/>
          <w:pgSz w:w="12240" w:h="15840"/>
          <w:pgMar w:footer="0" w:header="0" w:top="1400" w:bottom="280" w:left="1040" w:right="1040"/>
        </w:sectPr>
      </w:pPr>
    </w:p>
    <w:p>
      <w:pPr>
        <w:spacing w:line="288" w:lineRule="auto" w:before="44"/>
        <w:ind w:left="400" w:right="767" w:firstLine="0"/>
        <w:jc w:val="left"/>
        <w:rPr>
          <w:sz w:val="22"/>
        </w:rPr>
      </w:pPr>
      <w:r>
        <w:rPr>
          <w:sz w:val="22"/>
        </w:rPr>
        <w:t>Parks,</w:t>
      </w:r>
      <w:r>
        <w:rPr>
          <w:spacing w:val="-14"/>
          <w:sz w:val="22"/>
        </w:rPr>
        <w:t> </w:t>
      </w:r>
      <w:r>
        <w:rPr>
          <w:sz w:val="22"/>
        </w:rPr>
        <w:t>Bradley.</w:t>
      </w:r>
      <w:r>
        <w:rPr>
          <w:spacing w:val="-14"/>
          <w:sz w:val="22"/>
        </w:rPr>
        <w:t> </w:t>
      </w:r>
      <w:r>
        <w:rPr>
          <w:sz w:val="22"/>
        </w:rPr>
        <w:t>2019.</w:t>
      </w:r>
      <w:r>
        <w:rPr>
          <w:spacing w:val="-14"/>
          <w:sz w:val="22"/>
        </w:rPr>
        <w:t> </w:t>
      </w:r>
      <w:r>
        <w:rPr>
          <w:sz w:val="22"/>
        </w:rPr>
        <w:t>Chinese</w:t>
      </w:r>
      <w:r>
        <w:rPr>
          <w:spacing w:val="-14"/>
          <w:sz w:val="22"/>
        </w:rPr>
        <w:t> </w:t>
      </w:r>
      <w:r>
        <w:rPr>
          <w:sz w:val="22"/>
        </w:rPr>
        <w:t>Leadership</w:t>
      </w:r>
      <w:r>
        <w:rPr>
          <w:spacing w:val="-14"/>
          <w:sz w:val="22"/>
        </w:rPr>
        <w:t> </w:t>
      </w:r>
      <w:r>
        <w:rPr>
          <w:sz w:val="22"/>
        </w:rPr>
        <w:t>and</w:t>
      </w:r>
      <w:r>
        <w:rPr>
          <w:spacing w:val="-14"/>
          <w:sz w:val="22"/>
        </w:rPr>
        <w:t> </w:t>
      </w:r>
      <w:r>
        <w:rPr>
          <w:sz w:val="22"/>
        </w:rPr>
        <w:t>the</w:t>
      </w:r>
      <w:r>
        <w:rPr>
          <w:spacing w:val="-14"/>
          <w:sz w:val="22"/>
        </w:rPr>
        <w:t> </w:t>
      </w:r>
      <w:r>
        <w:rPr>
          <w:sz w:val="22"/>
        </w:rPr>
        <w:t>Future</w:t>
      </w:r>
      <w:r>
        <w:rPr>
          <w:spacing w:val="-14"/>
          <w:sz w:val="22"/>
        </w:rPr>
        <w:t> </w:t>
      </w:r>
      <w:r>
        <w:rPr>
          <w:sz w:val="22"/>
        </w:rPr>
        <w:t>of</w:t>
      </w:r>
      <w:r>
        <w:rPr>
          <w:spacing w:val="-14"/>
          <w:sz w:val="22"/>
        </w:rPr>
        <w:t> </w:t>
      </w:r>
      <w:r>
        <w:rPr>
          <w:sz w:val="22"/>
        </w:rPr>
        <w:t>BRI:</w:t>
      </w:r>
      <w:r>
        <w:rPr>
          <w:spacing w:val="-14"/>
          <w:sz w:val="22"/>
        </w:rPr>
        <w:t> </w:t>
      </w:r>
      <w:r>
        <w:rPr>
          <w:sz w:val="22"/>
        </w:rPr>
        <w:t>What</w:t>
      </w:r>
      <w:r>
        <w:rPr>
          <w:spacing w:val="-14"/>
          <w:sz w:val="22"/>
        </w:rPr>
        <w:t> </w:t>
      </w:r>
      <w:r>
        <w:rPr>
          <w:sz w:val="22"/>
        </w:rPr>
        <w:t>Key</w:t>
      </w:r>
      <w:r>
        <w:rPr>
          <w:spacing w:val="-14"/>
          <w:sz w:val="22"/>
        </w:rPr>
        <w:t> </w:t>
      </w:r>
      <w:r>
        <w:rPr>
          <w:sz w:val="22"/>
        </w:rPr>
        <w:t>Decisions</w:t>
      </w:r>
      <w:r>
        <w:rPr>
          <w:spacing w:val="-14"/>
          <w:sz w:val="22"/>
        </w:rPr>
        <w:t> </w:t>
      </w:r>
      <w:r>
        <w:rPr>
          <w:sz w:val="22"/>
        </w:rPr>
        <w:t>Lie Ahead? CGD Note. Washington, DC: Center for Global Development.</w:t>
      </w:r>
    </w:p>
    <w:p>
      <w:pPr>
        <w:pStyle w:val="BodyText"/>
        <w:spacing w:before="4"/>
      </w:pPr>
    </w:p>
    <w:p>
      <w:pPr>
        <w:spacing w:before="1"/>
        <w:ind w:left="400" w:right="0" w:firstLine="0"/>
        <w:jc w:val="left"/>
        <w:rPr>
          <w:sz w:val="22"/>
        </w:rPr>
      </w:pPr>
      <w:r>
        <w:rPr>
          <w:sz w:val="22"/>
        </w:rPr>
        <w:t>Parsons,</w:t>
      </w:r>
      <w:r>
        <w:rPr>
          <w:spacing w:val="-5"/>
          <w:sz w:val="22"/>
        </w:rPr>
        <w:t> </w:t>
      </w:r>
      <w:r>
        <w:rPr>
          <w:sz w:val="22"/>
        </w:rPr>
        <w:t>Nick.</w:t>
      </w:r>
      <w:r>
        <w:rPr>
          <w:spacing w:val="-4"/>
          <w:sz w:val="22"/>
        </w:rPr>
        <w:t> </w:t>
      </w:r>
      <w:r>
        <w:rPr>
          <w:sz w:val="22"/>
        </w:rPr>
        <w:t>2010.</w:t>
      </w:r>
      <w:r>
        <w:rPr>
          <w:spacing w:val="-4"/>
          <w:sz w:val="22"/>
        </w:rPr>
        <w:t> </w:t>
      </w:r>
      <w:r>
        <w:rPr>
          <w:sz w:val="22"/>
        </w:rPr>
        <w:t>CIC</w:t>
      </w:r>
      <w:r>
        <w:rPr>
          <w:spacing w:val="-5"/>
          <w:sz w:val="22"/>
        </w:rPr>
        <w:t> </w:t>
      </w:r>
      <w:r>
        <w:rPr>
          <w:sz w:val="22"/>
        </w:rPr>
        <w:t>bonds:</w:t>
      </w:r>
      <w:r>
        <w:rPr>
          <w:spacing w:val="-4"/>
          <w:sz w:val="22"/>
        </w:rPr>
        <w:t> </w:t>
      </w:r>
      <w:r>
        <w:rPr>
          <w:sz w:val="22"/>
        </w:rPr>
        <w:t>The</w:t>
      </w:r>
      <w:r>
        <w:rPr>
          <w:spacing w:val="-4"/>
          <w:sz w:val="22"/>
        </w:rPr>
        <w:t> </w:t>
      </w:r>
      <w:r>
        <w:rPr>
          <w:sz w:val="22"/>
        </w:rPr>
        <w:t>good,</w:t>
      </w:r>
      <w:r>
        <w:rPr>
          <w:spacing w:val="-4"/>
          <w:sz w:val="22"/>
        </w:rPr>
        <w:t> </w:t>
      </w:r>
      <w:r>
        <w:rPr>
          <w:sz w:val="22"/>
        </w:rPr>
        <w:t>the</w:t>
      </w:r>
      <w:r>
        <w:rPr>
          <w:spacing w:val="-5"/>
          <w:sz w:val="22"/>
        </w:rPr>
        <w:t> </w:t>
      </w:r>
      <w:r>
        <w:rPr>
          <w:sz w:val="22"/>
        </w:rPr>
        <w:t>bad</w:t>
      </w:r>
      <w:r>
        <w:rPr>
          <w:spacing w:val="-4"/>
          <w:sz w:val="22"/>
        </w:rPr>
        <w:t> </w:t>
      </w:r>
      <w:r>
        <w:rPr>
          <w:sz w:val="22"/>
        </w:rPr>
        <w:t>and</w:t>
      </w:r>
      <w:r>
        <w:rPr>
          <w:spacing w:val="-4"/>
          <w:sz w:val="22"/>
        </w:rPr>
        <w:t> </w:t>
      </w:r>
      <w:r>
        <w:rPr>
          <w:sz w:val="22"/>
        </w:rPr>
        <w:t>the</w:t>
      </w:r>
      <w:r>
        <w:rPr>
          <w:spacing w:val="-4"/>
          <w:sz w:val="22"/>
        </w:rPr>
        <w:t> </w:t>
      </w:r>
      <w:r>
        <w:rPr>
          <w:sz w:val="22"/>
        </w:rPr>
        <w:t>ugly.</w:t>
      </w:r>
      <w:r>
        <w:rPr>
          <w:spacing w:val="-5"/>
          <w:sz w:val="22"/>
        </w:rPr>
        <w:t> </w:t>
      </w:r>
      <w:r>
        <w:rPr>
          <w:i/>
          <w:sz w:val="22"/>
        </w:rPr>
        <w:t>The</w:t>
      </w:r>
      <w:r>
        <w:rPr>
          <w:i/>
          <w:spacing w:val="-4"/>
          <w:sz w:val="22"/>
        </w:rPr>
        <w:t> </w:t>
      </w:r>
      <w:r>
        <w:rPr>
          <w:i/>
          <w:sz w:val="22"/>
        </w:rPr>
        <w:t>Asset.</w:t>
      </w:r>
      <w:r>
        <w:rPr>
          <w:i/>
          <w:spacing w:val="-4"/>
          <w:sz w:val="22"/>
        </w:rPr>
        <w:t> </w:t>
      </w:r>
      <w:r>
        <w:rPr>
          <w:sz w:val="22"/>
        </w:rPr>
        <w:t>23</w:t>
      </w:r>
      <w:r>
        <w:rPr>
          <w:spacing w:val="-4"/>
          <w:sz w:val="22"/>
        </w:rPr>
        <w:t> </w:t>
      </w:r>
      <w:r>
        <w:rPr>
          <w:sz w:val="22"/>
        </w:rPr>
        <w:t>April</w:t>
      </w:r>
      <w:r>
        <w:rPr>
          <w:spacing w:val="-5"/>
          <w:sz w:val="22"/>
        </w:rPr>
        <w:t> </w:t>
      </w:r>
      <w:r>
        <w:rPr>
          <w:spacing w:val="-2"/>
          <w:sz w:val="22"/>
        </w:rPr>
        <w:t>2010.</w:t>
      </w:r>
    </w:p>
    <w:p>
      <w:pPr>
        <w:spacing w:before="50"/>
        <w:ind w:left="400" w:right="0" w:firstLine="0"/>
        <w:jc w:val="left"/>
        <w:rPr>
          <w:sz w:val="22"/>
        </w:rPr>
      </w:pPr>
      <w:r>
        <w:rPr>
          <w:sz w:val="22"/>
        </w:rPr>
        <w:t>Accessed</w:t>
      </w:r>
      <w:r>
        <w:rPr>
          <w:spacing w:val="-12"/>
          <w:sz w:val="22"/>
        </w:rPr>
        <w:t> </w:t>
      </w:r>
      <w:r>
        <w:rPr>
          <w:sz w:val="22"/>
        </w:rPr>
        <w:t>on</w:t>
      </w:r>
      <w:r>
        <w:rPr>
          <w:spacing w:val="-12"/>
          <w:sz w:val="22"/>
        </w:rPr>
        <w:t> </w:t>
      </w:r>
      <w:r>
        <w:rPr>
          <w:sz w:val="22"/>
        </w:rPr>
        <w:t>15</w:t>
      </w:r>
      <w:r>
        <w:rPr>
          <w:spacing w:val="-11"/>
          <w:sz w:val="22"/>
        </w:rPr>
        <w:t> </w:t>
      </w:r>
      <w:r>
        <w:rPr>
          <w:sz w:val="22"/>
        </w:rPr>
        <w:t>July</w:t>
      </w:r>
      <w:r>
        <w:rPr>
          <w:spacing w:val="-12"/>
          <w:sz w:val="22"/>
        </w:rPr>
        <w:t> </w:t>
      </w:r>
      <w:r>
        <w:rPr>
          <w:sz w:val="22"/>
        </w:rPr>
        <w:t>2023</w:t>
      </w:r>
      <w:r>
        <w:rPr>
          <w:spacing w:val="-11"/>
          <w:sz w:val="22"/>
        </w:rPr>
        <w:t> </w:t>
      </w:r>
      <w:r>
        <w:rPr>
          <w:spacing w:val="-5"/>
          <w:sz w:val="22"/>
        </w:rPr>
        <w:t>at</w:t>
      </w:r>
    </w:p>
    <w:p>
      <w:pPr>
        <w:spacing w:before="51"/>
        <w:ind w:left="400" w:right="0" w:firstLine="0"/>
        <w:jc w:val="left"/>
        <w:rPr>
          <w:sz w:val="22"/>
        </w:rPr>
      </w:pPr>
      <w:hyperlink r:id="rId77">
        <w:r>
          <w:rPr>
            <w:color w:val="1154CC"/>
            <w:sz w:val="22"/>
            <w:u w:val="thick" w:color="1154CC"/>
          </w:rPr>
          <w:t>https://theasset.com/article/17866/cic-bonds-the-good-the-bad-and-the-</w:t>
        </w:r>
        <w:r>
          <w:rPr>
            <w:color w:val="1154CC"/>
            <w:spacing w:val="-4"/>
            <w:sz w:val="22"/>
            <w:u w:val="thick" w:color="1154CC"/>
          </w:rPr>
          <w:t>ugly</w:t>
        </w:r>
      </w:hyperlink>
    </w:p>
    <w:p>
      <w:pPr>
        <w:pStyle w:val="BodyText"/>
        <w:spacing w:before="9"/>
        <w:rPr>
          <w:sz w:val="28"/>
        </w:rPr>
      </w:pPr>
    </w:p>
    <w:p>
      <w:pPr>
        <w:spacing w:line="288" w:lineRule="auto" w:before="1"/>
        <w:ind w:left="400" w:right="610" w:firstLine="0"/>
        <w:jc w:val="left"/>
        <w:rPr>
          <w:sz w:val="22"/>
        </w:rPr>
      </w:pPr>
      <w:r>
        <w:rPr>
          <w:sz w:val="22"/>
        </w:rPr>
        <w:t>Pilling,</w:t>
      </w:r>
      <w:r>
        <w:rPr>
          <w:spacing w:val="-7"/>
          <w:sz w:val="22"/>
        </w:rPr>
        <w:t> </w:t>
      </w:r>
      <w:r>
        <w:rPr>
          <w:sz w:val="22"/>
        </w:rPr>
        <w:t>David,</w:t>
      </w:r>
      <w:r>
        <w:rPr>
          <w:spacing w:val="-7"/>
          <w:sz w:val="22"/>
        </w:rPr>
        <w:t> </w:t>
      </w:r>
      <w:r>
        <w:rPr>
          <w:sz w:val="22"/>
        </w:rPr>
        <w:t>and</w:t>
      </w:r>
      <w:r>
        <w:rPr>
          <w:spacing w:val="-7"/>
          <w:sz w:val="22"/>
        </w:rPr>
        <w:t> </w:t>
      </w:r>
      <w:r>
        <w:rPr>
          <w:sz w:val="22"/>
        </w:rPr>
        <w:t>Emily</w:t>
      </w:r>
      <w:r>
        <w:rPr>
          <w:spacing w:val="-7"/>
          <w:sz w:val="22"/>
        </w:rPr>
        <w:t> </w:t>
      </w:r>
      <w:r>
        <w:rPr>
          <w:sz w:val="22"/>
        </w:rPr>
        <w:t>Feng.</w:t>
      </w:r>
      <w:r>
        <w:rPr>
          <w:spacing w:val="-7"/>
          <w:sz w:val="22"/>
        </w:rPr>
        <w:t> </w:t>
      </w:r>
      <w:r>
        <w:rPr>
          <w:sz w:val="22"/>
        </w:rPr>
        <w:t>2018.</w:t>
      </w:r>
      <w:r>
        <w:rPr>
          <w:spacing w:val="-7"/>
          <w:sz w:val="22"/>
        </w:rPr>
        <w:t> </w:t>
      </w:r>
      <w:r>
        <w:rPr>
          <w:sz w:val="22"/>
        </w:rPr>
        <w:t>Chinese</w:t>
      </w:r>
      <w:r>
        <w:rPr>
          <w:spacing w:val="-7"/>
          <w:sz w:val="22"/>
        </w:rPr>
        <w:t> </w:t>
      </w:r>
      <w:r>
        <w:rPr>
          <w:sz w:val="22"/>
        </w:rPr>
        <w:t>Investments</w:t>
      </w:r>
      <w:r>
        <w:rPr>
          <w:spacing w:val="-7"/>
          <w:sz w:val="22"/>
        </w:rPr>
        <w:t> </w:t>
      </w:r>
      <w:r>
        <w:rPr>
          <w:sz w:val="22"/>
        </w:rPr>
        <w:t>in</w:t>
      </w:r>
      <w:r>
        <w:rPr>
          <w:spacing w:val="-7"/>
          <w:sz w:val="22"/>
        </w:rPr>
        <w:t> </w:t>
      </w:r>
      <w:r>
        <w:rPr>
          <w:sz w:val="22"/>
        </w:rPr>
        <w:t>Africa</w:t>
      </w:r>
      <w:r>
        <w:rPr>
          <w:spacing w:val="-7"/>
          <w:sz w:val="22"/>
        </w:rPr>
        <w:t> </w:t>
      </w:r>
      <w:r>
        <w:rPr>
          <w:sz w:val="22"/>
        </w:rPr>
        <w:t>Go</w:t>
      </w:r>
      <w:r>
        <w:rPr>
          <w:spacing w:val="-7"/>
          <w:sz w:val="22"/>
        </w:rPr>
        <w:t> </w:t>
      </w:r>
      <w:r>
        <w:rPr>
          <w:sz w:val="22"/>
        </w:rPr>
        <w:t>Off</w:t>
      </w:r>
      <w:r>
        <w:rPr>
          <w:spacing w:val="-7"/>
          <w:sz w:val="22"/>
        </w:rPr>
        <w:t> </w:t>
      </w:r>
      <w:r>
        <w:rPr>
          <w:sz w:val="22"/>
        </w:rPr>
        <w:t>the</w:t>
      </w:r>
      <w:r>
        <w:rPr>
          <w:spacing w:val="-7"/>
          <w:sz w:val="22"/>
        </w:rPr>
        <w:t> </w:t>
      </w:r>
      <w:r>
        <w:rPr>
          <w:sz w:val="22"/>
        </w:rPr>
        <w:t>Rails.</w:t>
      </w:r>
      <w:r>
        <w:rPr>
          <w:spacing w:val="-7"/>
          <w:sz w:val="22"/>
        </w:rPr>
        <w:t> </w:t>
      </w:r>
      <w:r>
        <w:rPr>
          <w:i/>
          <w:sz w:val="22"/>
        </w:rPr>
        <w:t>Financial</w:t>
      </w:r>
      <w:r>
        <w:rPr>
          <w:i/>
          <w:sz w:val="22"/>
        </w:rPr>
        <w:t> </w:t>
      </w:r>
      <w:r>
        <w:rPr>
          <w:i/>
          <w:w w:val="105"/>
          <w:sz w:val="22"/>
        </w:rPr>
        <w:t>Times</w:t>
      </w:r>
      <w:r>
        <w:rPr>
          <w:w w:val="105"/>
          <w:sz w:val="22"/>
        </w:rPr>
        <w:t>.</w:t>
      </w:r>
      <w:r>
        <w:rPr>
          <w:spacing w:val="-17"/>
          <w:w w:val="105"/>
          <w:sz w:val="22"/>
        </w:rPr>
        <w:t> </w:t>
      </w:r>
      <w:r>
        <w:rPr>
          <w:w w:val="105"/>
          <w:sz w:val="22"/>
        </w:rPr>
        <w:t>5</w:t>
      </w:r>
      <w:r>
        <w:rPr>
          <w:spacing w:val="-16"/>
          <w:w w:val="105"/>
          <w:sz w:val="22"/>
        </w:rPr>
        <w:t> </w:t>
      </w:r>
      <w:r>
        <w:rPr>
          <w:w w:val="105"/>
          <w:sz w:val="22"/>
        </w:rPr>
        <w:t>December</w:t>
      </w:r>
      <w:r>
        <w:rPr>
          <w:spacing w:val="-16"/>
          <w:w w:val="105"/>
          <w:sz w:val="22"/>
        </w:rPr>
        <w:t> </w:t>
      </w:r>
      <w:r>
        <w:rPr>
          <w:w w:val="105"/>
          <w:sz w:val="22"/>
        </w:rPr>
        <w:t>2018.</w:t>
      </w:r>
      <w:r>
        <w:rPr>
          <w:spacing w:val="-16"/>
          <w:w w:val="105"/>
          <w:sz w:val="22"/>
        </w:rPr>
        <w:t> </w:t>
      </w:r>
      <w:r>
        <w:rPr>
          <w:w w:val="105"/>
          <w:sz w:val="22"/>
        </w:rPr>
        <w:t>Accessed</w:t>
      </w:r>
      <w:r>
        <w:rPr>
          <w:spacing w:val="-16"/>
          <w:w w:val="105"/>
          <w:sz w:val="22"/>
        </w:rPr>
        <w:t> </w:t>
      </w:r>
      <w:r>
        <w:rPr>
          <w:w w:val="105"/>
          <w:sz w:val="22"/>
        </w:rPr>
        <w:t>on</w:t>
      </w:r>
      <w:r>
        <w:rPr>
          <w:spacing w:val="-16"/>
          <w:w w:val="105"/>
          <w:sz w:val="22"/>
        </w:rPr>
        <w:t> </w:t>
      </w:r>
      <w:r>
        <w:rPr>
          <w:w w:val="105"/>
          <w:sz w:val="22"/>
        </w:rPr>
        <w:t>1</w:t>
      </w:r>
      <w:r>
        <w:rPr>
          <w:spacing w:val="-16"/>
          <w:w w:val="105"/>
          <w:sz w:val="22"/>
        </w:rPr>
        <w:t> </w:t>
      </w:r>
      <w:r>
        <w:rPr>
          <w:w w:val="105"/>
          <w:sz w:val="22"/>
        </w:rPr>
        <w:t>August</w:t>
      </w:r>
      <w:r>
        <w:rPr>
          <w:spacing w:val="-16"/>
          <w:w w:val="105"/>
          <w:sz w:val="22"/>
        </w:rPr>
        <w:t> </w:t>
      </w:r>
      <w:r>
        <w:rPr>
          <w:w w:val="105"/>
          <w:sz w:val="22"/>
        </w:rPr>
        <w:t>2023</w:t>
      </w:r>
      <w:r>
        <w:rPr>
          <w:spacing w:val="-16"/>
          <w:w w:val="105"/>
          <w:sz w:val="22"/>
        </w:rPr>
        <w:t> </w:t>
      </w:r>
      <w:r>
        <w:rPr>
          <w:w w:val="105"/>
          <w:sz w:val="22"/>
        </w:rPr>
        <w:t>at </w:t>
      </w:r>
      <w:r>
        <w:rPr>
          <w:spacing w:val="-2"/>
          <w:w w:val="105"/>
          <w:sz w:val="22"/>
        </w:rPr>
        <w:t>https://</w:t>
      </w:r>
      <w:hyperlink r:id="rId78">
        <w:r>
          <w:rPr>
            <w:spacing w:val="-2"/>
            <w:w w:val="105"/>
            <w:sz w:val="22"/>
          </w:rPr>
          <w:t>www.ft.com/content/82e77d8a-e716-11e8-8a85-</w:t>
        </w:r>
      </w:hyperlink>
      <w:r>
        <w:rPr>
          <w:spacing w:val="-2"/>
          <w:w w:val="105"/>
          <w:sz w:val="22"/>
        </w:rPr>
        <w:t> 04b8afea6ea3.</w:t>
      </w:r>
    </w:p>
    <w:p>
      <w:pPr>
        <w:pStyle w:val="BodyText"/>
        <w:spacing w:before="5"/>
      </w:pPr>
    </w:p>
    <w:p>
      <w:pPr>
        <w:spacing w:line="288" w:lineRule="auto" w:before="0"/>
        <w:ind w:left="400" w:right="767" w:firstLine="0"/>
        <w:jc w:val="left"/>
        <w:rPr>
          <w:sz w:val="22"/>
        </w:rPr>
      </w:pPr>
      <w:r>
        <w:rPr>
          <w:sz w:val="22"/>
        </w:rPr>
        <w:t>Qing, Shi. 2023. Dollar Hegemony is the true cause of Africa’s debt problems, not China. 19 </w:t>
      </w:r>
      <w:r>
        <w:rPr>
          <w:w w:val="105"/>
          <w:sz w:val="22"/>
        </w:rPr>
        <w:t>April</w:t>
      </w:r>
      <w:r>
        <w:rPr>
          <w:spacing w:val="-13"/>
          <w:w w:val="105"/>
          <w:sz w:val="22"/>
        </w:rPr>
        <w:t> </w:t>
      </w:r>
      <w:r>
        <w:rPr>
          <w:w w:val="105"/>
          <w:sz w:val="22"/>
        </w:rPr>
        <w:t>2023.</w:t>
      </w:r>
      <w:r>
        <w:rPr>
          <w:spacing w:val="-13"/>
          <w:w w:val="105"/>
          <w:sz w:val="22"/>
        </w:rPr>
        <w:t> </w:t>
      </w:r>
      <w:r>
        <w:rPr>
          <w:i/>
          <w:w w:val="105"/>
          <w:sz w:val="22"/>
        </w:rPr>
        <w:t>Global</w:t>
      </w:r>
      <w:r>
        <w:rPr>
          <w:i/>
          <w:spacing w:val="-13"/>
          <w:w w:val="105"/>
          <w:sz w:val="22"/>
        </w:rPr>
        <w:t> </w:t>
      </w:r>
      <w:r>
        <w:rPr>
          <w:i/>
          <w:w w:val="105"/>
          <w:sz w:val="22"/>
        </w:rPr>
        <w:t>Times.</w:t>
      </w:r>
      <w:r>
        <w:rPr>
          <w:i/>
          <w:spacing w:val="-13"/>
          <w:w w:val="105"/>
          <w:sz w:val="22"/>
        </w:rPr>
        <w:t> </w:t>
      </w:r>
      <w:r>
        <w:rPr>
          <w:w w:val="105"/>
          <w:sz w:val="22"/>
        </w:rPr>
        <w:t>Accessed</w:t>
      </w:r>
      <w:r>
        <w:rPr>
          <w:spacing w:val="-13"/>
          <w:w w:val="105"/>
          <w:sz w:val="22"/>
        </w:rPr>
        <w:t> </w:t>
      </w:r>
      <w:r>
        <w:rPr>
          <w:w w:val="105"/>
          <w:sz w:val="22"/>
        </w:rPr>
        <w:t>on</w:t>
      </w:r>
      <w:r>
        <w:rPr>
          <w:spacing w:val="-13"/>
          <w:w w:val="105"/>
          <w:sz w:val="22"/>
        </w:rPr>
        <w:t> </w:t>
      </w:r>
      <w:r>
        <w:rPr>
          <w:w w:val="105"/>
          <w:sz w:val="22"/>
        </w:rPr>
        <w:t>1</w:t>
      </w:r>
      <w:r>
        <w:rPr>
          <w:spacing w:val="-13"/>
          <w:w w:val="105"/>
          <w:sz w:val="22"/>
        </w:rPr>
        <w:t> </w:t>
      </w:r>
      <w:r>
        <w:rPr>
          <w:w w:val="105"/>
          <w:sz w:val="22"/>
        </w:rPr>
        <w:t>October</w:t>
      </w:r>
      <w:r>
        <w:rPr>
          <w:spacing w:val="-13"/>
          <w:w w:val="105"/>
          <w:sz w:val="22"/>
        </w:rPr>
        <w:t> </w:t>
      </w:r>
      <w:r>
        <w:rPr>
          <w:w w:val="105"/>
          <w:sz w:val="22"/>
        </w:rPr>
        <w:t>2023</w:t>
      </w:r>
      <w:r>
        <w:rPr>
          <w:spacing w:val="-13"/>
          <w:w w:val="105"/>
          <w:sz w:val="22"/>
        </w:rPr>
        <w:t> </w:t>
      </w:r>
      <w:r>
        <w:rPr>
          <w:w w:val="105"/>
          <w:sz w:val="22"/>
        </w:rPr>
        <w:t>at </w:t>
      </w:r>
      <w:hyperlink r:id="rId79">
        <w:r>
          <w:rPr>
            <w:color w:val="1154CC"/>
            <w:spacing w:val="-2"/>
            <w:w w:val="105"/>
            <w:sz w:val="22"/>
            <w:u w:val="thick" w:color="1154CC"/>
          </w:rPr>
          <w:t>https://www.globaltimes.cn/page/202304/1289429.shtml</w:t>
        </w:r>
      </w:hyperlink>
    </w:p>
    <w:p>
      <w:pPr>
        <w:pStyle w:val="BodyText"/>
        <w:spacing w:before="5"/>
      </w:pPr>
    </w:p>
    <w:p>
      <w:pPr>
        <w:spacing w:line="288" w:lineRule="auto" w:before="0"/>
        <w:ind w:left="400" w:right="461" w:firstLine="0"/>
        <w:jc w:val="left"/>
        <w:rPr>
          <w:sz w:val="22"/>
        </w:rPr>
      </w:pPr>
      <w:r>
        <w:rPr>
          <w:sz w:val="22"/>
        </w:rPr>
        <w:t>Ray,</w:t>
      </w:r>
      <w:r>
        <w:rPr>
          <w:spacing w:val="-16"/>
          <w:sz w:val="22"/>
        </w:rPr>
        <w:t> </w:t>
      </w:r>
      <w:r>
        <w:rPr>
          <w:sz w:val="22"/>
        </w:rPr>
        <w:t>Rebecca.</w:t>
      </w:r>
      <w:r>
        <w:rPr>
          <w:spacing w:val="-15"/>
          <w:sz w:val="22"/>
        </w:rPr>
        <w:t> </w:t>
      </w:r>
      <w:r>
        <w:rPr>
          <w:sz w:val="22"/>
        </w:rPr>
        <w:t>2023.</w:t>
      </w:r>
      <w:r>
        <w:rPr>
          <w:spacing w:val="-15"/>
          <w:sz w:val="22"/>
        </w:rPr>
        <w:t> </w:t>
      </w:r>
      <w:r>
        <w:rPr>
          <w:sz w:val="22"/>
        </w:rPr>
        <w:t>Small</w:t>
      </w:r>
      <w:r>
        <w:rPr>
          <w:spacing w:val="-16"/>
          <w:sz w:val="22"/>
        </w:rPr>
        <w:t> </w:t>
      </w:r>
      <w:r>
        <w:rPr>
          <w:sz w:val="22"/>
        </w:rPr>
        <w:t>is</w:t>
      </w:r>
      <w:r>
        <w:rPr>
          <w:spacing w:val="-15"/>
          <w:sz w:val="22"/>
        </w:rPr>
        <w:t> </w:t>
      </w:r>
      <w:r>
        <w:rPr>
          <w:sz w:val="22"/>
        </w:rPr>
        <w:t>Beautiful:</w:t>
      </w:r>
      <w:r>
        <w:rPr>
          <w:spacing w:val="-15"/>
          <w:sz w:val="22"/>
        </w:rPr>
        <w:t> </w:t>
      </w:r>
      <w:r>
        <w:rPr>
          <w:sz w:val="22"/>
        </w:rPr>
        <w:t>A</w:t>
      </w:r>
      <w:r>
        <w:rPr>
          <w:spacing w:val="-15"/>
          <w:sz w:val="22"/>
        </w:rPr>
        <w:t> </w:t>
      </w:r>
      <w:r>
        <w:rPr>
          <w:sz w:val="22"/>
        </w:rPr>
        <w:t>New</w:t>
      </w:r>
      <w:r>
        <w:rPr>
          <w:spacing w:val="-16"/>
          <w:sz w:val="22"/>
        </w:rPr>
        <w:t> </w:t>
      </w:r>
      <w:r>
        <w:rPr>
          <w:sz w:val="22"/>
        </w:rPr>
        <w:t>Era</w:t>
      </w:r>
      <w:r>
        <w:rPr>
          <w:spacing w:val="-15"/>
          <w:sz w:val="22"/>
        </w:rPr>
        <w:t> </w:t>
      </w:r>
      <w:r>
        <w:rPr>
          <w:sz w:val="22"/>
        </w:rPr>
        <w:t>in</w:t>
      </w:r>
      <w:r>
        <w:rPr>
          <w:spacing w:val="-15"/>
          <w:sz w:val="22"/>
        </w:rPr>
        <w:t> </w:t>
      </w:r>
      <w:r>
        <w:rPr>
          <w:sz w:val="22"/>
        </w:rPr>
        <w:t>China’s</w:t>
      </w:r>
      <w:r>
        <w:rPr>
          <w:spacing w:val="-16"/>
          <w:sz w:val="22"/>
        </w:rPr>
        <w:t> </w:t>
      </w:r>
      <w:r>
        <w:rPr>
          <w:sz w:val="22"/>
        </w:rPr>
        <w:t>Overseas</w:t>
      </w:r>
      <w:r>
        <w:rPr>
          <w:spacing w:val="-15"/>
          <w:sz w:val="22"/>
        </w:rPr>
        <w:t> </w:t>
      </w:r>
      <w:r>
        <w:rPr>
          <w:sz w:val="22"/>
        </w:rPr>
        <w:t>Development</w:t>
      </w:r>
      <w:r>
        <w:rPr>
          <w:spacing w:val="-15"/>
          <w:sz w:val="22"/>
        </w:rPr>
        <w:t> </w:t>
      </w:r>
      <w:r>
        <w:rPr>
          <w:sz w:val="22"/>
        </w:rPr>
        <w:t>Finance?. GCI Policy Brief 017. BU Global Development Policy Center. Accessed on 17 December 2023 at </w:t>
      </w:r>
      <w:hyperlink r:id="rId80">
        <w:r>
          <w:rPr>
            <w:color w:val="1154CC"/>
            <w:sz w:val="22"/>
            <w:u w:val="thick" w:color="1154CC"/>
          </w:rPr>
          <w:t>https://www.bu.edu/gdp/ﬁles/2023/01/GCI_PB_017_CODF_EN_FIN.pdf</w:t>
        </w:r>
      </w:hyperlink>
    </w:p>
    <w:p>
      <w:pPr>
        <w:pStyle w:val="BodyText"/>
        <w:spacing w:before="4"/>
      </w:pPr>
    </w:p>
    <w:p>
      <w:pPr>
        <w:spacing w:before="0"/>
        <w:ind w:left="400" w:right="0" w:firstLine="0"/>
        <w:jc w:val="left"/>
        <w:rPr>
          <w:sz w:val="22"/>
        </w:rPr>
      </w:pPr>
      <w:r>
        <w:rPr>
          <w:sz w:val="22"/>
        </w:rPr>
        <w:t>Reinhart,</w:t>
      </w:r>
      <w:r>
        <w:rPr>
          <w:spacing w:val="-10"/>
          <w:sz w:val="22"/>
        </w:rPr>
        <w:t> </w:t>
      </w:r>
      <w:r>
        <w:rPr>
          <w:sz w:val="22"/>
        </w:rPr>
        <w:t>Carmen</w:t>
      </w:r>
      <w:r>
        <w:rPr>
          <w:spacing w:val="-9"/>
          <w:sz w:val="22"/>
        </w:rPr>
        <w:t> </w:t>
      </w:r>
      <w:r>
        <w:rPr>
          <w:sz w:val="22"/>
        </w:rPr>
        <w:t>M.</w:t>
      </w:r>
      <w:r>
        <w:rPr>
          <w:spacing w:val="-9"/>
          <w:sz w:val="22"/>
        </w:rPr>
        <w:t> </w:t>
      </w:r>
      <w:r>
        <w:rPr>
          <w:sz w:val="22"/>
        </w:rPr>
        <w:t>and</w:t>
      </w:r>
      <w:r>
        <w:rPr>
          <w:spacing w:val="-10"/>
          <w:sz w:val="22"/>
        </w:rPr>
        <w:t> </w:t>
      </w:r>
      <w:r>
        <w:rPr>
          <w:sz w:val="22"/>
        </w:rPr>
        <w:t>Christoph</w:t>
      </w:r>
      <w:r>
        <w:rPr>
          <w:spacing w:val="-9"/>
          <w:sz w:val="22"/>
        </w:rPr>
        <w:t> </w:t>
      </w:r>
      <w:r>
        <w:rPr>
          <w:sz w:val="22"/>
        </w:rPr>
        <w:t>Trebesch.</w:t>
      </w:r>
      <w:r>
        <w:rPr>
          <w:spacing w:val="-9"/>
          <w:sz w:val="22"/>
        </w:rPr>
        <w:t> </w:t>
      </w:r>
      <w:r>
        <w:rPr>
          <w:sz w:val="22"/>
        </w:rPr>
        <w:t>2016.</w:t>
      </w:r>
      <w:r>
        <w:rPr>
          <w:spacing w:val="-9"/>
          <w:sz w:val="22"/>
        </w:rPr>
        <w:t> </w:t>
      </w:r>
      <w:r>
        <w:rPr>
          <w:sz w:val="22"/>
        </w:rPr>
        <w:t>Sovereign</w:t>
      </w:r>
      <w:r>
        <w:rPr>
          <w:spacing w:val="-10"/>
          <w:sz w:val="22"/>
        </w:rPr>
        <w:t> </w:t>
      </w:r>
      <w:r>
        <w:rPr>
          <w:sz w:val="22"/>
        </w:rPr>
        <w:t>debt</w:t>
      </w:r>
      <w:r>
        <w:rPr>
          <w:spacing w:val="-9"/>
          <w:sz w:val="22"/>
        </w:rPr>
        <w:t> </w:t>
      </w:r>
      <w:r>
        <w:rPr>
          <w:sz w:val="22"/>
        </w:rPr>
        <w:t>relief</w:t>
      </w:r>
      <w:r>
        <w:rPr>
          <w:spacing w:val="-9"/>
          <w:sz w:val="22"/>
        </w:rPr>
        <w:t> </w:t>
      </w:r>
      <w:r>
        <w:rPr>
          <w:sz w:val="22"/>
        </w:rPr>
        <w:t>and</w:t>
      </w:r>
      <w:r>
        <w:rPr>
          <w:spacing w:val="-10"/>
          <w:sz w:val="22"/>
        </w:rPr>
        <w:t> </w:t>
      </w:r>
      <w:r>
        <w:rPr>
          <w:sz w:val="22"/>
        </w:rPr>
        <w:t>its</w:t>
      </w:r>
      <w:r>
        <w:rPr>
          <w:spacing w:val="-9"/>
          <w:sz w:val="22"/>
        </w:rPr>
        <w:t> </w:t>
      </w:r>
      <w:r>
        <w:rPr>
          <w:spacing w:val="-2"/>
          <w:sz w:val="22"/>
        </w:rPr>
        <w:t>aftermath.</w:t>
      </w:r>
    </w:p>
    <w:p>
      <w:pPr>
        <w:spacing w:before="51"/>
        <w:ind w:left="400" w:right="0" w:firstLine="0"/>
        <w:jc w:val="left"/>
        <w:rPr>
          <w:sz w:val="22"/>
        </w:rPr>
      </w:pPr>
      <w:r>
        <w:rPr>
          <w:i/>
          <w:sz w:val="22"/>
        </w:rPr>
        <w:t>Journal</w:t>
      </w:r>
      <w:r>
        <w:rPr>
          <w:i/>
          <w:spacing w:val="-12"/>
          <w:sz w:val="22"/>
        </w:rPr>
        <w:t> </w:t>
      </w:r>
      <w:r>
        <w:rPr>
          <w:i/>
          <w:sz w:val="22"/>
        </w:rPr>
        <w:t>of</w:t>
      </w:r>
      <w:r>
        <w:rPr>
          <w:i/>
          <w:spacing w:val="-11"/>
          <w:sz w:val="22"/>
        </w:rPr>
        <w:t> </w:t>
      </w:r>
      <w:r>
        <w:rPr>
          <w:i/>
          <w:sz w:val="22"/>
        </w:rPr>
        <w:t>the</w:t>
      </w:r>
      <w:r>
        <w:rPr>
          <w:i/>
          <w:spacing w:val="-12"/>
          <w:sz w:val="22"/>
        </w:rPr>
        <w:t> </w:t>
      </w:r>
      <w:r>
        <w:rPr>
          <w:i/>
          <w:sz w:val="22"/>
        </w:rPr>
        <w:t>European</w:t>
      </w:r>
      <w:r>
        <w:rPr>
          <w:i/>
          <w:spacing w:val="-11"/>
          <w:sz w:val="22"/>
        </w:rPr>
        <w:t> </w:t>
      </w:r>
      <w:r>
        <w:rPr>
          <w:i/>
          <w:sz w:val="22"/>
        </w:rPr>
        <w:t>Economic</w:t>
      </w:r>
      <w:r>
        <w:rPr>
          <w:i/>
          <w:spacing w:val="-12"/>
          <w:sz w:val="22"/>
        </w:rPr>
        <w:t> </w:t>
      </w:r>
      <w:r>
        <w:rPr>
          <w:i/>
          <w:sz w:val="22"/>
        </w:rPr>
        <w:t>Association</w:t>
      </w:r>
      <w:r>
        <w:rPr>
          <w:i/>
          <w:spacing w:val="-11"/>
          <w:sz w:val="22"/>
        </w:rPr>
        <w:t> </w:t>
      </w:r>
      <w:r>
        <w:rPr>
          <w:sz w:val="22"/>
        </w:rPr>
        <w:t>14</w:t>
      </w:r>
      <w:r>
        <w:rPr>
          <w:spacing w:val="-11"/>
          <w:sz w:val="22"/>
        </w:rPr>
        <w:t> </w:t>
      </w:r>
      <w:r>
        <w:rPr>
          <w:sz w:val="22"/>
        </w:rPr>
        <w:t>(1):</w:t>
      </w:r>
      <w:r>
        <w:rPr>
          <w:spacing w:val="-12"/>
          <w:sz w:val="22"/>
        </w:rPr>
        <w:t> </w:t>
      </w:r>
      <w:r>
        <w:rPr>
          <w:spacing w:val="-2"/>
          <w:sz w:val="22"/>
        </w:rPr>
        <w:t>215–251.</w:t>
      </w:r>
    </w:p>
    <w:p>
      <w:pPr>
        <w:pStyle w:val="BodyText"/>
        <w:spacing w:before="9"/>
        <w:rPr>
          <w:sz w:val="28"/>
        </w:rPr>
      </w:pPr>
    </w:p>
    <w:p>
      <w:pPr>
        <w:spacing w:line="288" w:lineRule="auto" w:before="0"/>
        <w:ind w:left="400" w:right="398" w:firstLine="0"/>
        <w:jc w:val="left"/>
        <w:rPr>
          <w:sz w:val="22"/>
        </w:rPr>
      </w:pPr>
      <w:r>
        <w:rPr>
          <w:sz w:val="22"/>
        </w:rPr>
        <w:t>République du Congo. 2018. Annexe Opérationnelle N°2, Document Cadre de Politiques et de Programmation Macroéconomiques et Budgétaires (DPPMB) 2018-2022, Plan National de Développement (PND) 2018-2022. Brazzaville: République du Congo. Accessed on 31 July 2023 at</w:t>
      </w:r>
    </w:p>
    <w:p>
      <w:pPr>
        <w:spacing w:line="288" w:lineRule="auto" w:before="0"/>
        <w:ind w:left="400" w:right="405" w:firstLine="0"/>
        <w:jc w:val="left"/>
        <w:rPr>
          <w:sz w:val="22"/>
        </w:rPr>
      </w:pPr>
      <w:r>
        <w:rPr>
          <w:color w:val="1154CC"/>
          <w:spacing w:val="-2"/>
          <w:w w:val="105"/>
          <w:sz w:val="22"/>
          <w:u w:val="thick" w:color="1154CC"/>
        </w:rPr>
        <w:t>https://web.archive.org/web/20200722130921/https://pnd.plan.gouv.cg/wp-content/uploads/2</w:t>
      </w:r>
      <w:r>
        <w:rPr>
          <w:color w:val="1154CC"/>
          <w:spacing w:val="-2"/>
          <w:w w:val="105"/>
          <w:sz w:val="22"/>
        </w:rPr>
        <w:t> </w:t>
      </w:r>
      <w:r>
        <w:rPr>
          <w:color w:val="1154CC"/>
          <w:spacing w:val="-2"/>
          <w:w w:val="105"/>
          <w:sz w:val="22"/>
          <w:u w:val="thick" w:color="1154CC"/>
        </w:rPr>
        <w:t>018/07/Parlement-CMEB-24-07-18.pdf</w:t>
      </w:r>
    </w:p>
    <w:p>
      <w:pPr>
        <w:pStyle w:val="BodyText"/>
        <w:spacing w:before="5"/>
      </w:pPr>
    </w:p>
    <w:p>
      <w:pPr>
        <w:spacing w:before="0"/>
        <w:ind w:left="400" w:right="0" w:firstLine="0"/>
        <w:jc w:val="left"/>
        <w:rPr>
          <w:sz w:val="22"/>
        </w:rPr>
      </w:pPr>
      <w:r>
        <w:rPr>
          <w:sz w:val="22"/>
        </w:rPr>
        <w:t>Reuters.</w:t>
      </w:r>
      <w:r>
        <w:rPr>
          <w:spacing w:val="-11"/>
          <w:sz w:val="22"/>
        </w:rPr>
        <w:t> </w:t>
      </w:r>
      <w:r>
        <w:rPr>
          <w:sz w:val="22"/>
        </w:rPr>
        <w:t>2009.</w:t>
      </w:r>
      <w:r>
        <w:rPr>
          <w:spacing w:val="-10"/>
          <w:sz w:val="22"/>
        </w:rPr>
        <w:t> </w:t>
      </w:r>
      <w:r>
        <w:rPr>
          <w:sz w:val="22"/>
        </w:rPr>
        <w:t>China</w:t>
      </w:r>
      <w:r>
        <w:rPr>
          <w:spacing w:val="-10"/>
          <w:sz w:val="22"/>
        </w:rPr>
        <w:t> </w:t>
      </w:r>
      <w:r>
        <w:rPr>
          <w:sz w:val="22"/>
        </w:rPr>
        <w:t>Huijin</w:t>
      </w:r>
      <w:r>
        <w:rPr>
          <w:spacing w:val="-11"/>
          <w:sz w:val="22"/>
        </w:rPr>
        <w:t> </w:t>
      </w:r>
      <w:r>
        <w:rPr>
          <w:sz w:val="22"/>
        </w:rPr>
        <w:t>to</w:t>
      </w:r>
      <w:r>
        <w:rPr>
          <w:spacing w:val="-10"/>
          <w:sz w:val="22"/>
        </w:rPr>
        <w:t> </w:t>
      </w:r>
      <w:r>
        <w:rPr>
          <w:sz w:val="22"/>
        </w:rPr>
        <w:t>recapitalise</w:t>
      </w:r>
      <w:r>
        <w:rPr>
          <w:spacing w:val="-10"/>
          <w:sz w:val="22"/>
        </w:rPr>
        <w:t> </w:t>
      </w:r>
      <w:r>
        <w:rPr>
          <w:sz w:val="22"/>
        </w:rPr>
        <w:t>Exim</w:t>
      </w:r>
      <w:r>
        <w:rPr>
          <w:spacing w:val="-10"/>
          <w:sz w:val="22"/>
        </w:rPr>
        <w:t> </w:t>
      </w:r>
      <w:r>
        <w:rPr>
          <w:sz w:val="22"/>
        </w:rPr>
        <w:t>Bank</w:t>
      </w:r>
      <w:r>
        <w:rPr>
          <w:spacing w:val="-11"/>
          <w:sz w:val="22"/>
        </w:rPr>
        <w:t> </w:t>
      </w:r>
      <w:r>
        <w:rPr>
          <w:sz w:val="22"/>
        </w:rPr>
        <w:t>soon-media.</w:t>
      </w:r>
      <w:r>
        <w:rPr>
          <w:spacing w:val="-10"/>
          <w:sz w:val="22"/>
        </w:rPr>
        <w:t> </w:t>
      </w:r>
      <w:r>
        <w:rPr>
          <w:sz w:val="22"/>
        </w:rPr>
        <w:t>12</w:t>
      </w:r>
      <w:r>
        <w:rPr>
          <w:spacing w:val="-10"/>
          <w:sz w:val="22"/>
        </w:rPr>
        <w:t> </w:t>
      </w:r>
      <w:r>
        <w:rPr>
          <w:sz w:val="22"/>
        </w:rPr>
        <w:t>November</w:t>
      </w:r>
      <w:r>
        <w:rPr>
          <w:spacing w:val="-10"/>
          <w:sz w:val="22"/>
        </w:rPr>
        <w:t> </w:t>
      </w:r>
      <w:r>
        <w:rPr>
          <w:sz w:val="22"/>
        </w:rPr>
        <w:t>2009.</w:t>
      </w:r>
      <w:r>
        <w:rPr>
          <w:spacing w:val="-11"/>
          <w:sz w:val="22"/>
        </w:rPr>
        <w:t> </w:t>
      </w:r>
      <w:r>
        <w:rPr>
          <w:i/>
          <w:spacing w:val="-2"/>
          <w:sz w:val="22"/>
        </w:rPr>
        <w:t>Reuters</w:t>
      </w:r>
      <w:r>
        <w:rPr>
          <w:spacing w:val="-2"/>
          <w:sz w:val="22"/>
        </w:rPr>
        <w:t>.</w:t>
      </w:r>
    </w:p>
    <w:p>
      <w:pPr>
        <w:spacing w:before="51"/>
        <w:ind w:left="400" w:right="0" w:firstLine="0"/>
        <w:jc w:val="left"/>
        <w:rPr>
          <w:sz w:val="22"/>
        </w:rPr>
      </w:pPr>
      <w:r>
        <w:rPr>
          <w:sz w:val="22"/>
        </w:rPr>
        <w:t>Accessed</w:t>
      </w:r>
      <w:r>
        <w:rPr>
          <w:spacing w:val="-12"/>
          <w:sz w:val="22"/>
        </w:rPr>
        <w:t> </w:t>
      </w:r>
      <w:r>
        <w:rPr>
          <w:sz w:val="22"/>
        </w:rPr>
        <w:t>on</w:t>
      </w:r>
      <w:r>
        <w:rPr>
          <w:spacing w:val="-12"/>
          <w:sz w:val="22"/>
        </w:rPr>
        <w:t> </w:t>
      </w:r>
      <w:r>
        <w:rPr>
          <w:sz w:val="22"/>
        </w:rPr>
        <w:t>15</w:t>
      </w:r>
      <w:r>
        <w:rPr>
          <w:spacing w:val="-11"/>
          <w:sz w:val="22"/>
        </w:rPr>
        <w:t> </w:t>
      </w:r>
      <w:r>
        <w:rPr>
          <w:sz w:val="22"/>
        </w:rPr>
        <w:t>July</w:t>
      </w:r>
      <w:r>
        <w:rPr>
          <w:spacing w:val="-12"/>
          <w:sz w:val="22"/>
        </w:rPr>
        <w:t> </w:t>
      </w:r>
      <w:r>
        <w:rPr>
          <w:sz w:val="22"/>
        </w:rPr>
        <w:t>2023</w:t>
      </w:r>
      <w:r>
        <w:rPr>
          <w:spacing w:val="-11"/>
          <w:sz w:val="22"/>
        </w:rPr>
        <w:t> </w:t>
      </w:r>
      <w:r>
        <w:rPr>
          <w:spacing w:val="-5"/>
          <w:sz w:val="22"/>
        </w:rPr>
        <w:t>at</w:t>
      </w:r>
    </w:p>
    <w:p>
      <w:pPr>
        <w:spacing w:line="288" w:lineRule="auto" w:before="51"/>
        <w:ind w:left="400" w:right="570" w:firstLine="0"/>
        <w:jc w:val="left"/>
        <w:rPr>
          <w:sz w:val="22"/>
        </w:rPr>
      </w:pPr>
      <w:hyperlink r:id="rId81">
        <w:r>
          <w:rPr>
            <w:color w:val="1154CC"/>
            <w:spacing w:val="-2"/>
            <w:sz w:val="22"/>
            <w:u w:val="thick" w:color="1154CC"/>
          </w:rPr>
          <w:t>https://www.reuters.com/article/china-exim-huijin/china-huijin-to-recapitalise-exim-bank-soon-</w:t>
        </w:r>
      </w:hyperlink>
      <w:r>
        <w:rPr>
          <w:color w:val="1154CC"/>
          <w:spacing w:val="40"/>
          <w:sz w:val="22"/>
        </w:rPr>
        <w:t> </w:t>
      </w:r>
      <w:hyperlink r:id="rId81">
        <w:r>
          <w:rPr>
            <w:color w:val="1154CC"/>
            <w:spacing w:val="-2"/>
            <w:sz w:val="22"/>
            <w:u w:val="thick" w:color="1154CC"/>
          </w:rPr>
          <w:t>media-idUSPEK13684620091112</w:t>
        </w:r>
      </w:hyperlink>
    </w:p>
    <w:p>
      <w:pPr>
        <w:pStyle w:val="BodyText"/>
        <w:spacing w:before="4"/>
      </w:pPr>
    </w:p>
    <w:p>
      <w:pPr>
        <w:spacing w:line="283" w:lineRule="auto" w:before="0"/>
        <w:ind w:left="400" w:right="504" w:firstLine="0"/>
        <w:jc w:val="left"/>
        <w:rPr>
          <w:sz w:val="22"/>
        </w:rPr>
      </w:pPr>
      <w:r>
        <w:rPr>
          <w:sz w:val="22"/>
        </w:rPr>
        <w:t>Reuters. 2010a. SAFE intends to change policy-oriented foreign exchange loans to entrusted banks to handle them--Media (</w:t>
      </w:r>
      <w:r>
        <w:rPr>
          <w:rFonts w:ascii="MS Gothic" w:eastAsia="MS Gothic"/>
          <w:sz w:val="22"/>
        </w:rPr>
        <w:t>外管局</w:t>
      </w:r>
      <w:r>
        <w:rPr>
          <w:rFonts w:ascii="宋体" w:eastAsia="宋体"/>
          <w:sz w:val="22"/>
        </w:rPr>
        <w:t>拟</w:t>
      </w:r>
      <w:r>
        <w:rPr>
          <w:rFonts w:ascii="MS Gothic" w:eastAsia="MS Gothic"/>
          <w:sz w:val="22"/>
        </w:rPr>
        <w:t>将政策性外</w:t>
      </w:r>
      <w:r>
        <w:rPr>
          <w:rFonts w:ascii="宋体" w:eastAsia="宋体"/>
          <w:sz w:val="22"/>
        </w:rPr>
        <w:t>汇贷</w:t>
      </w:r>
      <w:r>
        <w:rPr>
          <w:rFonts w:ascii="MS Gothic" w:eastAsia="MS Gothic"/>
          <w:sz w:val="22"/>
        </w:rPr>
        <w:t>款改</w:t>
      </w:r>
      <w:r>
        <w:rPr>
          <w:rFonts w:ascii="宋体" w:eastAsia="宋体"/>
          <w:sz w:val="22"/>
        </w:rPr>
        <w:t>为</w:t>
      </w:r>
      <w:r>
        <w:rPr>
          <w:rFonts w:ascii="MS Gothic" w:eastAsia="MS Gothic"/>
          <w:sz w:val="22"/>
        </w:rPr>
        <w:t>委托</w:t>
      </w:r>
      <w:r>
        <w:rPr>
          <w:rFonts w:ascii="宋体" w:eastAsia="宋体"/>
          <w:sz w:val="22"/>
        </w:rPr>
        <w:t>银</w:t>
      </w:r>
      <w:r>
        <w:rPr>
          <w:rFonts w:ascii="MS Gothic" w:eastAsia="MS Gothic"/>
          <w:sz w:val="22"/>
        </w:rPr>
        <w:t>行</w:t>
      </w:r>
      <w:r>
        <w:rPr>
          <w:rFonts w:ascii="宋体" w:eastAsia="宋体"/>
          <w:sz w:val="22"/>
        </w:rPr>
        <w:t>办</w:t>
      </w:r>
      <w:r>
        <w:rPr>
          <w:rFonts w:ascii="MS Gothic" w:eastAsia="MS Gothic"/>
          <w:sz w:val="22"/>
        </w:rPr>
        <w:t>理形式</w:t>
      </w:r>
      <w:r>
        <w:rPr>
          <w:sz w:val="22"/>
        </w:rPr>
        <w:t>--</w:t>
      </w:r>
      <w:r>
        <w:rPr>
          <w:rFonts w:ascii="MS Gothic" w:eastAsia="MS Gothic"/>
          <w:sz w:val="22"/>
        </w:rPr>
        <w:t>媒体</w:t>
      </w:r>
      <w:r>
        <w:rPr>
          <w:sz w:val="22"/>
        </w:rPr>
        <w:t>). 17 </w:t>
      </w:r>
      <w:r>
        <w:rPr>
          <w:spacing w:val="-2"/>
          <w:w w:val="105"/>
          <w:sz w:val="22"/>
        </w:rPr>
        <w:t>May</w:t>
      </w:r>
      <w:r>
        <w:rPr>
          <w:spacing w:val="-12"/>
          <w:w w:val="105"/>
          <w:sz w:val="22"/>
        </w:rPr>
        <w:t> </w:t>
      </w:r>
      <w:r>
        <w:rPr>
          <w:spacing w:val="-2"/>
          <w:w w:val="105"/>
          <w:sz w:val="22"/>
        </w:rPr>
        <w:t>2010</w:t>
      </w:r>
      <w:r>
        <w:rPr>
          <w:spacing w:val="-7"/>
          <w:w w:val="105"/>
          <w:sz w:val="22"/>
        </w:rPr>
        <w:t>. </w:t>
      </w:r>
      <w:r>
        <w:rPr>
          <w:i/>
          <w:spacing w:val="-2"/>
          <w:w w:val="105"/>
          <w:sz w:val="22"/>
        </w:rPr>
        <w:t>Reuters</w:t>
      </w:r>
      <w:r>
        <w:rPr>
          <w:spacing w:val="-7"/>
          <w:w w:val="105"/>
          <w:sz w:val="22"/>
        </w:rPr>
        <w:t>. </w:t>
      </w:r>
      <w:r>
        <w:rPr>
          <w:spacing w:val="-2"/>
          <w:w w:val="105"/>
          <w:sz w:val="22"/>
        </w:rPr>
        <w:t>Accessed</w:t>
      </w:r>
      <w:r>
        <w:rPr>
          <w:spacing w:val="-12"/>
          <w:w w:val="105"/>
          <w:sz w:val="22"/>
        </w:rPr>
        <w:t> </w:t>
      </w:r>
      <w:r>
        <w:rPr>
          <w:spacing w:val="-2"/>
          <w:w w:val="105"/>
          <w:sz w:val="22"/>
        </w:rPr>
        <w:t>on</w:t>
      </w:r>
      <w:r>
        <w:rPr>
          <w:spacing w:val="-12"/>
          <w:w w:val="105"/>
          <w:sz w:val="22"/>
        </w:rPr>
        <w:t> </w:t>
      </w:r>
      <w:r>
        <w:rPr>
          <w:spacing w:val="-2"/>
          <w:w w:val="105"/>
          <w:sz w:val="22"/>
        </w:rPr>
        <w:t>15</w:t>
      </w:r>
      <w:r>
        <w:rPr>
          <w:spacing w:val="-12"/>
          <w:w w:val="105"/>
          <w:sz w:val="22"/>
        </w:rPr>
        <w:t> </w:t>
      </w:r>
      <w:r>
        <w:rPr>
          <w:spacing w:val="-2"/>
          <w:w w:val="105"/>
          <w:sz w:val="22"/>
        </w:rPr>
        <w:t>July</w:t>
      </w:r>
      <w:r>
        <w:rPr>
          <w:spacing w:val="-12"/>
          <w:w w:val="105"/>
          <w:sz w:val="22"/>
        </w:rPr>
        <w:t> </w:t>
      </w:r>
      <w:r>
        <w:rPr>
          <w:spacing w:val="-2"/>
          <w:w w:val="105"/>
          <w:sz w:val="22"/>
        </w:rPr>
        <w:t>2023</w:t>
      </w:r>
    </w:p>
    <w:p>
      <w:pPr>
        <w:spacing w:before="7"/>
        <w:ind w:left="400" w:right="0" w:firstLine="0"/>
        <w:jc w:val="left"/>
        <w:rPr>
          <w:sz w:val="22"/>
        </w:rPr>
      </w:pPr>
      <w:hyperlink r:id="rId82">
        <w:r>
          <w:rPr>
            <w:color w:val="1154CC"/>
            <w:sz w:val="22"/>
            <w:u w:val="thick" w:color="1154CC"/>
          </w:rPr>
          <w:t>https://www.reuters.com/article/idCNCHINA-</w:t>
        </w:r>
        <w:r>
          <w:rPr>
            <w:color w:val="1154CC"/>
            <w:spacing w:val="-2"/>
            <w:sz w:val="22"/>
            <w:u w:val="thick" w:color="1154CC"/>
          </w:rPr>
          <w:t>230572</w:t>
        </w:r>
      </w:hyperlink>
    </w:p>
    <w:p>
      <w:pPr>
        <w:pStyle w:val="BodyText"/>
        <w:spacing w:before="10"/>
        <w:rPr>
          <w:sz w:val="28"/>
        </w:rPr>
      </w:pPr>
    </w:p>
    <w:p>
      <w:pPr>
        <w:spacing w:before="0"/>
        <w:ind w:left="400" w:right="0" w:firstLine="0"/>
        <w:jc w:val="left"/>
        <w:rPr>
          <w:sz w:val="22"/>
        </w:rPr>
      </w:pPr>
      <w:r>
        <w:rPr>
          <w:sz w:val="22"/>
        </w:rPr>
        <w:t>Reuters.</w:t>
      </w:r>
      <w:r>
        <w:rPr>
          <w:spacing w:val="-7"/>
          <w:sz w:val="22"/>
        </w:rPr>
        <w:t> </w:t>
      </w:r>
      <w:r>
        <w:rPr>
          <w:sz w:val="22"/>
        </w:rPr>
        <w:t>2010b.</w:t>
      </w:r>
      <w:r>
        <w:rPr>
          <w:spacing w:val="-6"/>
          <w:sz w:val="22"/>
        </w:rPr>
        <w:t> </w:t>
      </w:r>
      <w:r>
        <w:rPr>
          <w:sz w:val="22"/>
        </w:rPr>
        <w:t>Huijin</w:t>
      </w:r>
      <w:r>
        <w:rPr>
          <w:spacing w:val="-7"/>
          <w:sz w:val="22"/>
        </w:rPr>
        <w:t> </w:t>
      </w:r>
      <w:r>
        <w:rPr>
          <w:sz w:val="22"/>
        </w:rPr>
        <w:t>to</w:t>
      </w:r>
      <w:r>
        <w:rPr>
          <w:spacing w:val="-6"/>
          <w:sz w:val="22"/>
        </w:rPr>
        <w:t> </w:t>
      </w:r>
      <w:r>
        <w:rPr>
          <w:sz w:val="22"/>
        </w:rPr>
        <w:t>invest</w:t>
      </w:r>
      <w:r>
        <w:rPr>
          <w:spacing w:val="-6"/>
          <w:sz w:val="22"/>
        </w:rPr>
        <w:t> </w:t>
      </w:r>
      <w:r>
        <w:rPr>
          <w:sz w:val="22"/>
        </w:rPr>
        <w:t>100</w:t>
      </w:r>
      <w:r>
        <w:rPr>
          <w:spacing w:val="-7"/>
          <w:sz w:val="22"/>
        </w:rPr>
        <w:t> </w:t>
      </w:r>
      <w:r>
        <w:rPr>
          <w:sz w:val="22"/>
        </w:rPr>
        <w:t>bln</w:t>
      </w:r>
      <w:r>
        <w:rPr>
          <w:spacing w:val="-6"/>
          <w:sz w:val="22"/>
        </w:rPr>
        <w:t> </w:t>
      </w:r>
      <w:r>
        <w:rPr>
          <w:sz w:val="22"/>
        </w:rPr>
        <w:t>yuan</w:t>
      </w:r>
      <w:r>
        <w:rPr>
          <w:spacing w:val="-6"/>
          <w:sz w:val="22"/>
        </w:rPr>
        <w:t> </w:t>
      </w:r>
      <w:r>
        <w:rPr>
          <w:sz w:val="22"/>
        </w:rPr>
        <w:t>in</w:t>
      </w:r>
      <w:r>
        <w:rPr>
          <w:spacing w:val="-7"/>
          <w:sz w:val="22"/>
        </w:rPr>
        <w:t> </w:t>
      </w:r>
      <w:r>
        <w:rPr>
          <w:sz w:val="22"/>
        </w:rPr>
        <w:t>China</w:t>
      </w:r>
      <w:r>
        <w:rPr>
          <w:spacing w:val="-6"/>
          <w:sz w:val="22"/>
        </w:rPr>
        <w:t> </w:t>
      </w:r>
      <w:r>
        <w:rPr>
          <w:sz w:val="22"/>
        </w:rPr>
        <w:t>banks</w:t>
      </w:r>
      <w:r>
        <w:rPr>
          <w:spacing w:val="-7"/>
          <w:sz w:val="22"/>
        </w:rPr>
        <w:t> </w:t>
      </w:r>
      <w:r>
        <w:rPr>
          <w:sz w:val="22"/>
        </w:rPr>
        <w:t>-report.</w:t>
      </w:r>
      <w:r>
        <w:rPr>
          <w:spacing w:val="-6"/>
          <w:sz w:val="22"/>
        </w:rPr>
        <w:t> </w:t>
      </w:r>
      <w:r>
        <w:rPr>
          <w:sz w:val="22"/>
        </w:rPr>
        <w:t>19</w:t>
      </w:r>
      <w:r>
        <w:rPr>
          <w:spacing w:val="-6"/>
          <w:sz w:val="22"/>
        </w:rPr>
        <w:t> </w:t>
      </w:r>
      <w:r>
        <w:rPr>
          <w:sz w:val="22"/>
        </w:rPr>
        <w:t>August</w:t>
      </w:r>
      <w:r>
        <w:rPr>
          <w:spacing w:val="-7"/>
          <w:sz w:val="22"/>
        </w:rPr>
        <w:t> </w:t>
      </w:r>
      <w:r>
        <w:rPr>
          <w:sz w:val="22"/>
        </w:rPr>
        <w:t>2010.</w:t>
      </w:r>
      <w:r>
        <w:rPr>
          <w:spacing w:val="-6"/>
          <w:sz w:val="22"/>
        </w:rPr>
        <w:t> </w:t>
      </w:r>
      <w:r>
        <w:rPr>
          <w:i/>
          <w:spacing w:val="-2"/>
          <w:sz w:val="22"/>
        </w:rPr>
        <w:t>Reuters</w:t>
      </w:r>
      <w:r>
        <w:rPr>
          <w:spacing w:val="-2"/>
          <w:sz w:val="22"/>
        </w:rPr>
        <w:t>.</w:t>
      </w:r>
    </w:p>
    <w:p>
      <w:pPr>
        <w:spacing w:before="51"/>
        <w:ind w:left="400" w:right="0" w:firstLine="0"/>
        <w:jc w:val="left"/>
        <w:rPr>
          <w:sz w:val="22"/>
        </w:rPr>
      </w:pPr>
      <w:r>
        <w:rPr>
          <w:sz w:val="22"/>
        </w:rPr>
        <w:t>Accessed</w:t>
      </w:r>
      <w:r>
        <w:rPr>
          <w:spacing w:val="-12"/>
          <w:sz w:val="22"/>
        </w:rPr>
        <w:t> </w:t>
      </w:r>
      <w:r>
        <w:rPr>
          <w:sz w:val="22"/>
        </w:rPr>
        <w:t>on</w:t>
      </w:r>
      <w:r>
        <w:rPr>
          <w:spacing w:val="-11"/>
          <w:sz w:val="22"/>
        </w:rPr>
        <w:t> </w:t>
      </w:r>
      <w:r>
        <w:rPr>
          <w:sz w:val="22"/>
        </w:rPr>
        <w:t>5</w:t>
      </w:r>
      <w:r>
        <w:rPr>
          <w:spacing w:val="-12"/>
          <w:sz w:val="22"/>
        </w:rPr>
        <w:t> </w:t>
      </w:r>
      <w:r>
        <w:rPr>
          <w:sz w:val="22"/>
        </w:rPr>
        <w:t>June</w:t>
      </w:r>
      <w:r>
        <w:rPr>
          <w:spacing w:val="-11"/>
          <w:sz w:val="22"/>
        </w:rPr>
        <w:t> </w:t>
      </w:r>
      <w:r>
        <w:rPr>
          <w:sz w:val="22"/>
        </w:rPr>
        <w:t>2023</w:t>
      </w:r>
      <w:r>
        <w:rPr>
          <w:spacing w:val="-12"/>
          <w:sz w:val="22"/>
        </w:rPr>
        <w:t> </w:t>
      </w:r>
      <w:r>
        <w:rPr>
          <w:spacing w:val="-5"/>
          <w:sz w:val="22"/>
        </w:rPr>
        <w:t>at</w:t>
      </w:r>
    </w:p>
    <w:p>
      <w:pPr>
        <w:spacing w:line="288" w:lineRule="auto" w:before="50"/>
        <w:ind w:left="400" w:right="456" w:firstLine="0"/>
        <w:jc w:val="left"/>
        <w:rPr>
          <w:sz w:val="22"/>
        </w:rPr>
      </w:pPr>
      <w:r>
        <w:rPr>
          <w:spacing w:val="-2"/>
          <w:sz w:val="22"/>
        </w:rPr>
        <w:t>https://</w:t>
      </w:r>
      <w:hyperlink r:id="rId83">
        <w:r>
          <w:rPr>
            <w:spacing w:val="-2"/>
            <w:sz w:val="22"/>
          </w:rPr>
          <w:t>www.reuters.com/article/china-economy-huijin/huijin-to-invest-100-bln-yuan-in-china-ba</w:t>
        </w:r>
      </w:hyperlink>
      <w:r>
        <w:rPr>
          <w:spacing w:val="40"/>
          <w:w w:val="105"/>
          <w:sz w:val="22"/>
        </w:rPr>
        <w:t> </w:t>
      </w:r>
      <w:r>
        <w:rPr>
          <w:spacing w:val="-2"/>
          <w:w w:val="105"/>
          <w:sz w:val="22"/>
        </w:rPr>
        <w:t>nks-report-idINTOE67J02720100820</w:t>
      </w:r>
    </w:p>
    <w:p>
      <w:pPr>
        <w:spacing w:after="0" w:line="288" w:lineRule="auto"/>
        <w:jc w:val="left"/>
        <w:rPr>
          <w:sz w:val="22"/>
        </w:rPr>
        <w:sectPr>
          <w:footerReference w:type="default" r:id="rId76"/>
          <w:pgSz w:w="12240" w:h="15840"/>
          <w:pgMar w:footer="0" w:header="0" w:top="1400" w:bottom="280" w:left="1040" w:right="1040"/>
        </w:sectPr>
      </w:pPr>
    </w:p>
    <w:p>
      <w:pPr>
        <w:spacing w:line="288" w:lineRule="auto" w:before="44"/>
        <w:ind w:left="400" w:right="111" w:firstLine="0"/>
        <w:jc w:val="left"/>
        <w:rPr>
          <w:sz w:val="22"/>
        </w:rPr>
      </w:pPr>
      <w:r>
        <w:rPr>
          <w:sz w:val="22"/>
        </w:rPr>
        <w:t>Reuters.</w:t>
      </w:r>
      <w:r>
        <w:rPr>
          <w:spacing w:val="-2"/>
          <w:sz w:val="22"/>
        </w:rPr>
        <w:t> </w:t>
      </w:r>
      <w:r>
        <w:rPr>
          <w:sz w:val="22"/>
        </w:rPr>
        <w:t>2016.</w:t>
      </w:r>
      <w:r>
        <w:rPr>
          <w:spacing w:val="-2"/>
          <w:sz w:val="22"/>
        </w:rPr>
        <w:t> </w:t>
      </w:r>
      <w:r>
        <w:rPr>
          <w:sz w:val="22"/>
        </w:rPr>
        <w:t>China</w:t>
      </w:r>
      <w:r>
        <w:rPr>
          <w:spacing w:val="-2"/>
          <w:sz w:val="22"/>
        </w:rPr>
        <w:t> </w:t>
      </w:r>
      <w:r>
        <w:rPr>
          <w:sz w:val="22"/>
        </w:rPr>
        <w:t>forex</w:t>
      </w:r>
      <w:r>
        <w:rPr>
          <w:spacing w:val="-2"/>
          <w:sz w:val="22"/>
        </w:rPr>
        <w:t> </w:t>
      </w:r>
      <w:r>
        <w:rPr>
          <w:sz w:val="22"/>
        </w:rPr>
        <w:t>regulator</w:t>
      </w:r>
      <w:r>
        <w:rPr>
          <w:spacing w:val="-2"/>
          <w:sz w:val="22"/>
        </w:rPr>
        <w:t> </w:t>
      </w:r>
      <w:r>
        <w:rPr>
          <w:sz w:val="22"/>
        </w:rPr>
        <w:t>buys</w:t>
      </w:r>
      <w:r>
        <w:rPr>
          <w:spacing w:val="-2"/>
          <w:sz w:val="22"/>
        </w:rPr>
        <w:t> </w:t>
      </w:r>
      <w:r>
        <w:rPr>
          <w:sz w:val="22"/>
        </w:rPr>
        <w:t>$4.2</w:t>
      </w:r>
      <w:r>
        <w:rPr>
          <w:spacing w:val="-2"/>
          <w:sz w:val="22"/>
        </w:rPr>
        <w:t> </w:t>
      </w:r>
      <w:r>
        <w:rPr>
          <w:sz w:val="22"/>
        </w:rPr>
        <w:t>bln</w:t>
      </w:r>
      <w:r>
        <w:rPr>
          <w:spacing w:val="-2"/>
          <w:sz w:val="22"/>
        </w:rPr>
        <w:t> </w:t>
      </w:r>
      <w:r>
        <w:rPr>
          <w:sz w:val="22"/>
        </w:rPr>
        <w:t>in</w:t>
      </w:r>
      <w:r>
        <w:rPr>
          <w:spacing w:val="-2"/>
          <w:sz w:val="22"/>
        </w:rPr>
        <w:t> </w:t>
      </w:r>
      <w:r>
        <w:rPr>
          <w:sz w:val="22"/>
        </w:rPr>
        <w:t>stocks</w:t>
      </w:r>
      <w:r>
        <w:rPr>
          <w:spacing w:val="-2"/>
          <w:sz w:val="22"/>
        </w:rPr>
        <w:t> </w:t>
      </w:r>
      <w:r>
        <w:rPr>
          <w:sz w:val="22"/>
        </w:rPr>
        <w:t>via</w:t>
      </w:r>
      <w:r>
        <w:rPr>
          <w:spacing w:val="-2"/>
          <w:sz w:val="22"/>
        </w:rPr>
        <w:t> </w:t>
      </w:r>
      <w:r>
        <w:rPr>
          <w:sz w:val="22"/>
        </w:rPr>
        <w:t>new</w:t>
      </w:r>
      <w:r>
        <w:rPr>
          <w:spacing w:val="-2"/>
          <w:sz w:val="22"/>
        </w:rPr>
        <w:t> </w:t>
      </w:r>
      <w:r>
        <w:rPr>
          <w:sz w:val="22"/>
        </w:rPr>
        <w:t>platform</w:t>
      </w:r>
      <w:r>
        <w:rPr>
          <w:spacing w:val="-2"/>
          <w:sz w:val="22"/>
        </w:rPr>
        <w:t> </w:t>
      </w:r>
      <w:r>
        <w:rPr>
          <w:sz w:val="22"/>
        </w:rPr>
        <w:t>-</w:t>
      </w:r>
      <w:r>
        <w:rPr>
          <w:spacing w:val="-2"/>
          <w:sz w:val="22"/>
        </w:rPr>
        <w:t> </w:t>
      </w:r>
      <w:r>
        <w:rPr>
          <w:sz w:val="22"/>
        </w:rPr>
        <w:t>media.</w:t>
      </w:r>
      <w:r>
        <w:rPr>
          <w:spacing w:val="-2"/>
          <w:sz w:val="22"/>
        </w:rPr>
        <w:t> </w:t>
      </w:r>
      <w:r>
        <w:rPr>
          <w:sz w:val="22"/>
        </w:rPr>
        <w:t>31</w:t>
      </w:r>
      <w:r>
        <w:rPr>
          <w:spacing w:val="-2"/>
          <w:sz w:val="22"/>
        </w:rPr>
        <w:t> </w:t>
      </w:r>
      <w:r>
        <w:rPr>
          <w:sz w:val="22"/>
        </w:rPr>
        <w:t>March 2016. </w:t>
      </w:r>
      <w:r>
        <w:rPr>
          <w:i/>
          <w:sz w:val="22"/>
        </w:rPr>
        <w:t>Reuters</w:t>
      </w:r>
      <w:r>
        <w:rPr>
          <w:sz w:val="22"/>
        </w:rPr>
        <w:t>. Accessed on 15 July 2023 at</w:t>
      </w:r>
    </w:p>
    <w:p>
      <w:pPr>
        <w:spacing w:line="288" w:lineRule="auto" w:before="1"/>
        <w:ind w:left="400" w:right="498" w:firstLine="0"/>
        <w:jc w:val="left"/>
        <w:rPr>
          <w:sz w:val="22"/>
        </w:rPr>
      </w:pPr>
      <w:hyperlink r:id="rId85">
        <w:r>
          <w:rPr>
            <w:color w:val="1154CC"/>
            <w:spacing w:val="-2"/>
            <w:sz w:val="22"/>
            <w:u w:val="thick" w:color="1154CC"/>
          </w:rPr>
          <w:t>https://www.reuters.com/article/china-markets-regulator-stocks/china-forex-regulator-buys-4-2-</w:t>
        </w:r>
      </w:hyperlink>
      <w:r>
        <w:rPr>
          <w:color w:val="1154CC"/>
          <w:spacing w:val="-2"/>
          <w:sz w:val="22"/>
        </w:rPr>
        <w:t> </w:t>
      </w:r>
      <w:hyperlink r:id="rId85">
        <w:r>
          <w:rPr>
            <w:color w:val="1154CC"/>
            <w:spacing w:val="-2"/>
            <w:sz w:val="22"/>
            <w:u w:val="thick" w:color="1154CC"/>
          </w:rPr>
          <w:t>bln-in-stocks-via-new-platform-media-idUSL3N1731HH</w:t>
        </w:r>
      </w:hyperlink>
    </w:p>
    <w:p>
      <w:pPr>
        <w:pStyle w:val="BodyText"/>
        <w:spacing w:before="4"/>
      </w:pPr>
    </w:p>
    <w:p>
      <w:pPr>
        <w:spacing w:line="288" w:lineRule="auto" w:before="1"/>
        <w:ind w:left="400" w:right="767" w:firstLine="0"/>
        <w:jc w:val="left"/>
        <w:rPr>
          <w:sz w:val="22"/>
        </w:rPr>
      </w:pPr>
      <w:r>
        <w:rPr>
          <w:sz w:val="22"/>
        </w:rPr>
        <w:t>Sanderson,</w:t>
      </w:r>
      <w:r>
        <w:rPr>
          <w:spacing w:val="-7"/>
          <w:sz w:val="22"/>
        </w:rPr>
        <w:t> </w:t>
      </w:r>
      <w:r>
        <w:rPr>
          <w:sz w:val="22"/>
        </w:rPr>
        <w:t>Henry</w:t>
      </w:r>
      <w:r>
        <w:rPr>
          <w:spacing w:val="-7"/>
          <w:sz w:val="22"/>
        </w:rPr>
        <w:t> </w:t>
      </w:r>
      <w:r>
        <w:rPr>
          <w:sz w:val="22"/>
        </w:rPr>
        <w:t>and</w:t>
      </w:r>
      <w:r>
        <w:rPr>
          <w:spacing w:val="-7"/>
          <w:sz w:val="22"/>
        </w:rPr>
        <w:t> </w:t>
      </w:r>
      <w:r>
        <w:rPr>
          <w:sz w:val="22"/>
        </w:rPr>
        <w:t>Michael</w:t>
      </w:r>
      <w:r>
        <w:rPr>
          <w:spacing w:val="-7"/>
          <w:sz w:val="22"/>
        </w:rPr>
        <w:t> </w:t>
      </w:r>
      <w:r>
        <w:rPr>
          <w:sz w:val="22"/>
        </w:rPr>
        <w:t>Forsythe.</w:t>
      </w:r>
      <w:r>
        <w:rPr>
          <w:spacing w:val="-7"/>
          <w:sz w:val="22"/>
        </w:rPr>
        <w:t> </w:t>
      </w:r>
      <w:r>
        <w:rPr>
          <w:sz w:val="22"/>
        </w:rPr>
        <w:t>2013.</w:t>
      </w:r>
      <w:r>
        <w:rPr>
          <w:spacing w:val="-7"/>
          <w:sz w:val="22"/>
        </w:rPr>
        <w:t> </w:t>
      </w:r>
      <w:r>
        <w:rPr>
          <w:i/>
          <w:sz w:val="22"/>
        </w:rPr>
        <w:t>China’s</w:t>
      </w:r>
      <w:r>
        <w:rPr>
          <w:i/>
          <w:spacing w:val="-7"/>
          <w:sz w:val="22"/>
        </w:rPr>
        <w:t> </w:t>
      </w:r>
      <w:r>
        <w:rPr>
          <w:i/>
          <w:sz w:val="22"/>
        </w:rPr>
        <w:t>Superbank:</w:t>
      </w:r>
      <w:r>
        <w:rPr>
          <w:i/>
          <w:spacing w:val="-7"/>
          <w:sz w:val="22"/>
        </w:rPr>
        <w:t> </w:t>
      </w:r>
      <w:r>
        <w:rPr>
          <w:i/>
          <w:sz w:val="22"/>
        </w:rPr>
        <w:t>Debt,</w:t>
      </w:r>
      <w:r>
        <w:rPr>
          <w:i/>
          <w:spacing w:val="-7"/>
          <w:sz w:val="22"/>
        </w:rPr>
        <w:t> </w:t>
      </w:r>
      <w:r>
        <w:rPr>
          <w:i/>
          <w:sz w:val="22"/>
        </w:rPr>
        <w:t>Oil</w:t>
      </w:r>
      <w:r>
        <w:rPr>
          <w:i/>
          <w:spacing w:val="-7"/>
          <w:sz w:val="22"/>
        </w:rPr>
        <w:t> </w:t>
      </w:r>
      <w:r>
        <w:rPr>
          <w:i/>
          <w:sz w:val="22"/>
        </w:rPr>
        <w:t>and</w:t>
      </w:r>
      <w:r>
        <w:rPr>
          <w:i/>
          <w:spacing w:val="-7"/>
          <w:sz w:val="22"/>
        </w:rPr>
        <w:t> </w:t>
      </w:r>
      <w:r>
        <w:rPr>
          <w:i/>
          <w:sz w:val="22"/>
        </w:rPr>
        <w:t>Inﬂuence</w:t>
      </w:r>
      <w:r>
        <w:rPr>
          <w:i/>
          <w:spacing w:val="-7"/>
          <w:sz w:val="22"/>
        </w:rPr>
        <w:t> </w:t>
      </w:r>
      <w:r>
        <w:rPr>
          <w:i/>
          <w:sz w:val="22"/>
        </w:rPr>
        <w:t>-</w:t>
      </w:r>
      <w:r>
        <w:rPr>
          <w:i/>
          <w:sz w:val="22"/>
        </w:rPr>
        <w:t> How China Development Bank is Rewriting the Rules of Finance. </w:t>
      </w:r>
      <w:r>
        <w:rPr>
          <w:sz w:val="22"/>
        </w:rPr>
        <w:t>New York, NY: Wiley.</w:t>
      </w:r>
    </w:p>
    <w:p>
      <w:pPr>
        <w:pStyle w:val="BodyText"/>
        <w:spacing w:before="5"/>
      </w:pPr>
    </w:p>
    <w:p>
      <w:pPr>
        <w:spacing w:line="288" w:lineRule="auto" w:before="0"/>
        <w:ind w:left="400" w:right="111" w:firstLine="0"/>
        <w:jc w:val="left"/>
        <w:rPr>
          <w:sz w:val="22"/>
        </w:rPr>
      </w:pPr>
      <w:r>
        <w:rPr>
          <w:sz w:val="22"/>
        </w:rPr>
        <w:t>Séri,</w:t>
      </w:r>
      <w:r>
        <w:rPr>
          <w:spacing w:val="-4"/>
          <w:sz w:val="22"/>
        </w:rPr>
        <w:t> </w:t>
      </w:r>
      <w:r>
        <w:rPr>
          <w:sz w:val="22"/>
        </w:rPr>
        <w:t>Regina</w:t>
      </w:r>
      <w:r>
        <w:rPr>
          <w:spacing w:val="-4"/>
          <w:sz w:val="22"/>
        </w:rPr>
        <w:t> </w:t>
      </w:r>
      <w:r>
        <w:rPr>
          <w:sz w:val="22"/>
        </w:rPr>
        <w:t>Stéphanie.</w:t>
      </w:r>
      <w:r>
        <w:rPr>
          <w:spacing w:val="-4"/>
          <w:sz w:val="22"/>
        </w:rPr>
        <w:t> </w:t>
      </w:r>
      <w:r>
        <w:rPr>
          <w:sz w:val="22"/>
        </w:rPr>
        <w:t>2021.</w:t>
      </w:r>
      <w:r>
        <w:rPr>
          <w:spacing w:val="-4"/>
          <w:sz w:val="22"/>
        </w:rPr>
        <w:t> </w:t>
      </w:r>
      <w:r>
        <w:rPr>
          <w:sz w:val="22"/>
        </w:rPr>
        <w:t>How</w:t>
      </w:r>
      <w:r>
        <w:rPr>
          <w:spacing w:val="-4"/>
          <w:sz w:val="22"/>
        </w:rPr>
        <w:t> </w:t>
      </w:r>
      <w:r>
        <w:rPr>
          <w:sz w:val="22"/>
        </w:rPr>
        <w:t>giant</w:t>
      </w:r>
      <w:r>
        <w:rPr>
          <w:spacing w:val="-4"/>
          <w:sz w:val="22"/>
        </w:rPr>
        <w:t> </w:t>
      </w:r>
      <w:r>
        <w:rPr>
          <w:sz w:val="22"/>
        </w:rPr>
        <w:t>discoveries</w:t>
      </w:r>
      <w:r>
        <w:rPr>
          <w:spacing w:val="-4"/>
          <w:sz w:val="22"/>
        </w:rPr>
        <w:t> </w:t>
      </w:r>
      <w:r>
        <w:rPr>
          <w:sz w:val="22"/>
        </w:rPr>
        <w:t>of</w:t>
      </w:r>
      <w:r>
        <w:rPr>
          <w:spacing w:val="-4"/>
          <w:sz w:val="22"/>
        </w:rPr>
        <w:t> </w:t>
      </w:r>
      <w:r>
        <w:rPr>
          <w:sz w:val="22"/>
        </w:rPr>
        <w:t>natural</w:t>
      </w:r>
      <w:r>
        <w:rPr>
          <w:spacing w:val="-4"/>
          <w:sz w:val="22"/>
        </w:rPr>
        <w:t> </w:t>
      </w:r>
      <w:r>
        <w:rPr>
          <w:sz w:val="22"/>
        </w:rPr>
        <w:t>resources</w:t>
      </w:r>
      <w:r>
        <w:rPr>
          <w:spacing w:val="-4"/>
          <w:sz w:val="22"/>
        </w:rPr>
        <w:t> </w:t>
      </w:r>
      <w:r>
        <w:rPr>
          <w:sz w:val="22"/>
        </w:rPr>
        <w:t>impact</w:t>
      </w:r>
      <w:r>
        <w:rPr>
          <w:spacing w:val="-4"/>
          <w:sz w:val="22"/>
        </w:rPr>
        <w:t> </w:t>
      </w:r>
      <w:r>
        <w:rPr>
          <w:sz w:val="22"/>
        </w:rPr>
        <w:t>sovereign</w:t>
      </w:r>
      <w:r>
        <w:rPr>
          <w:spacing w:val="-4"/>
          <w:sz w:val="22"/>
        </w:rPr>
        <w:t> </w:t>
      </w:r>
      <w:r>
        <w:rPr>
          <w:sz w:val="22"/>
        </w:rPr>
        <w:t>debt ratings in developing and emerging countries? Études et Documents n°10. Paris: CERDI.</w:t>
      </w:r>
    </w:p>
    <w:p>
      <w:pPr>
        <w:pStyle w:val="BodyText"/>
        <w:spacing w:before="5"/>
      </w:pPr>
    </w:p>
    <w:p>
      <w:pPr>
        <w:spacing w:line="288" w:lineRule="auto" w:before="0"/>
        <w:ind w:left="400" w:right="437" w:firstLine="0"/>
        <w:jc w:val="left"/>
        <w:rPr>
          <w:sz w:val="22"/>
        </w:rPr>
      </w:pPr>
      <w:r>
        <w:rPr>
          <w:sz w:val="22"/>
        </w:rPr>
        <w:t>Setser,</w:t>
      </w:r>
      <w:r>
        <w:rPr>
          <w:spacing w:val="-10"/>
          <w:sz w:val="22"/>
        </w:rPr>
        <w:t> </w:t>
      </w:r>
      <w:r>
        <w:rPr>
          <w:sz w:val="22"/>
        </w:rPr>
        <w:t>Brad</w:t>
      </w:r>
      <w:r>
        <w:rPr>
          <w:spacing w:val="-10"/>
          <w:sz w:val="22"/>
        </w:rPr>
        <w:t> </w:t>
      </w:r>
      <w:r>
        <w:rPr>
          <w:sz w:val="22"/>
        </w:rPr>
        <w:t>W.</w:t>
      </w:r>
      <w:r>
        <w:rPr>
          <w:spacing w:val="-10"/>
          <w:sz w:val="22"/>
        </w:rPr>
        <w:t> </w:t>
      </w:r>
      <w:r>
        <w:rPr>
          <w:sz w:val="22"/>
        </w:rPr>
        <w:t>2023a.</w:t>
      </w:r>
      <w:r>
        <w:rPr>
          <w:spacing w:val="-10"/>
          <w:sz w:val="22"/>
        </w:rPr>
        <w:t> </w:t>
      </w:r>
      <w:r>
        <w:rPr>
          <w:sz w:val="22"/>
        </w:rPr>
        <w:t>Shadow</w:t>
      </w:r>
      <w:r>
        <w:rPr>
          <w:spacing w:val="-10"/>
          <w:sz w:val="22"/>
        </w:rPr>
        <w:t> </w:t>
      </w:r>
      <w:r>
        <w:rPr>
          <w:sz w:val="22"/>
        </w:rPr>
        <w:t>reserves</w:t>
      </w:r>
      <w:r>
        <w:rPr>
          <w:spacing w:val="-10"/>
          <w:sz w:val="22"/>
        </w:rPr>
        <w:t> </w:t>
      </w:r>
      <w:r>
        <w:rPr>
          <w:sz w:val="22"/>
        </w:rPr>
        <w:t>—</w:t>
      </w:r>
      <w:r>
        <w:rPr>
          <w:spacing w:val="-10"/>
          <w:sz w:val="22"/>
        </w:rPr>
        <w:t> </w:t>
      </w:r>
      <w:r>
        <w:rPr>
          <w:sz w:val="22"/>
        </w:rPr>
        <w:t>how</w:t>
      </w:r>
      <w:r>
        <w:rPr>
          <w:spacing w:val="-10"/>
          <w:sz w:val="22"/>
        </w:rPr>
        <w:t> </w:t>
      </w:r>
      <w:r>
        <w:rPr>
          <w:sz w:val="22"/>
        </w:rPr>
        <w:t>China</w:t>
      </w:r>
      <w:r>
        <w:rPr>
          <w:spacing w:val="-10"/>
          <w:sz w:val="22"/>
        </w:rPr>
        <w:t> </w:t>
      </w:r>
      <w:r>
        <w:rPr>
          <w:sz w:val="22"/>
        </w:rPr>
        <w:t>hides</w:t>
      </w:r>
      <w:r>
        <w:rPr>
          <w:spacing w:val="-10"/>
          <w:sz w:val="22"/>
        </w:rPr>
        <w:t> </w:t>
      </w:r>
      <w:r>
        <w:rPr>
          <w:sz w:val="22"/>
        </w:rPr>
        <w:t>trillions</w:t>
      </w:r>
      <w:r>
        <w:rPr>
          <w:spacing w:val="-10"/>
          <w:sz w:val="22"/>
        </w:rPr>
        <w:t> </w:t>
      </w:r>
      <w:r>
        <w:rPr>
          <w:sz w:val="22"/>
        </w:rPr>
        <w:t>of</w:t>
      </w:r>
      <w:r>
        <w:rPr>
          <w:spacing w:val="-10"/>
          <w:sz w:val="22"/>
        </w:rPr>
        <w:t> </w:t>
      </w:r>
      <w:r>
        <w:rPr>
          <w:sz w:val="22"/>
        </w:rPr>
        <w:t>dollars</w:t>
      </w:r>
      <w:r>
        <w:rPr>
          <w:spacing w:val="-10"/>
          <w:sz w:val="22"/>
        </w:rPr>
        <w:t> </w:t>
      </w:r>
      <w:r>
        <w:rPr>
          <w:sz w:val="22"/>
        </w:rPr>
        <w:t>of</w:t>
      </w:r>
      <w:r>
        <w:rPr>
          <w:spacing w:val="-10"/>
          <w:sz w:val="22"/>
        </w:rPr>
        <w:t> </w:t>
      </w:r>
      <w:r>
        <w:rPr>
          <w:sz w:val="22"/>
        </w:rPr>
        <w:t>hard</w:t>
      </w:r>
      <w:r>
        <w:rPr>
          <w:spacing w:val="-10"/>
          <w:sz w:val="22"/>
        </w:rPr>
        <w:t> </w:t>
      </w:r>
      <w:r>
        <w:rPr>
          <w:sz w:val="22"/>
        </w:rPr>
        <w:t>currency. </w:t>
      </w:r>
      <w:r>
        <w:rPr>
          <w:i/>
          <w:w w:val="105"/>
          <w:sz w:val="22"/>
        </w:rPr>
        <w:t>The China Project. </w:t>
      </w:r>
      <w:r>
        <w:rPr>
          <w:w w:val="105"/>
          <w:sz w:val="22"/>
        </w:rPr>
        <w:t>Accessed on 1 July 2023 at </w:t>
      </w:r>
      <w:hyperlink r:id="rId86">
        <w:r>
          <w:rPr>
            <w:color w:val="1154CC"/>
            <w:spacing w:val="-2"/>
            <w:sz w:val="22"/>
            <w:u w:val="thick" w:color="1154CC"/>
          </w:rPr>
          <w:t>https://thechinaproject.com/2023/06/29/shadow-reserves-how-china-hides-trillions-of-dollars-o</w:t>
        </w:r>
      </w:hyperlink>
      <w:r>
        <w:rPr>
          <w:color w:val="1154CC"/>
          <w:spacing w:val="80"/>
          <w:w w:val="105"/>
          <w:sz w:val="22"/>
        </w:rPr>
        <w:t>  </w:t>
      </w:r>
      <w:hyperlink r:id="rId86">
        <w:r>
          <w:rPr>
            <w:color w:val="1154CC"/>
            <w:spacing w:val="-2"/>
            <w:w w:val="105"/>
            <w:sz w:val="22"/>
            <w:u w:val="thick" w:color="1154CC"/>
          </w:rPr>
          <w:t>f-hard-currency/</w:t>
        </w:r>
      </w:hyperlink>
    </w:p>
    <w:p>
      <w:pPr>
        <w:pStyle w:val="BodyText"/>
        <w:spacing w:before="5"/>
      </w:pPr>
    </w:p>
    <w:p>
      <w:pPr>
        <w:spacing w:line="288" w:lineRule="auto" w:before="0"/>
        <w:ind w:left="400" w:right="887" w:firstLine="0"/>
        <w:jc w:val="left"/>
        <w:rPr>
          <w:sz w:val="22"/>
        </w:rPr>
      </w:pPr>
      <w:r>
        <w:rPr>
          <w:sz w:val="22"/>
        </w:rPr>
        <w:t>Setser,</w:t>
      </w:r>
      <w:r>
        <w:rPr>
          <w:spacing w:val="-8"/>
          <w:sz w:val="22"/>
        </w:rPr>
        <w:t> </w:t>
      </w:r>
      <w:r>
        <w:rPr>
          <w:sz w:val="22"/>
        </w:rPr>
        <w:t>Brad</w:t>
      </w:r>
      <w:r>
        <w:rPr>
          <w:spacing w:val="-8"/>
          <w:sz w:val="22"/>
        </w:rPr>
        <w:t> </w:t>
      </w:r>
      <w:r>
        <w:rPr>
          <w:sz w:val="22"/>
        </w:rPr>
        <w:t>W.</w:t>
      </w:r>
      <w:r>
        <w:rPr>
          <w:spacing w:val="-8"/>
          <w:sz w:val="22"/>
        </w:rPr>
        <w:t> </w:t>
      </w:r>
      <w:r>
        <w:rPr>
          <w:sz w:val="22"/>
        </w:rPr>
        <w:t>2023b.</w:t>
      </w:r>
      <w:r>
        <w:rPr>
          <w:spacing w:val="-8"/>
          <w:sz w:val="22"/>
        </w:rPr>
        <w:t> </w:t>
      </w:r>
      <w:r>
        <w:rPr>
          <w:sz w:val="22"/>
        </w:rPr>
        <w:t>The</w:t>
      </w:r>
      <w:r>
        <w:rPr>
          <w:spacing w:val="-8"/>
          <w:sz w:val="22"/>
        </w:rPr>
        <w:t> </w:t>
      </w:r>
      <w:r>
        <w:rPr>
          <w:sz w:val="22"/>
        </w:rPr>
        <w:t>Common</w:t>
      </w:r>
      <w:r>
        <w:rPr>
          <w:spacing w:val="-8"/>
          <w:sz w:val="22"/>
        </w:rPr>
        <w:t> </w:t>
      </w:r>
      <w:r>
        <w:rPr>
          <w:sz w:val="22"/>
        </w:rPr>
        <w:t>Framework</w:t>
      </w:r>
      <w:r>
        <w:rPr>
          <w:spacing w:val="-8"/>
          <w:sz w:val="22"/>
        </w:rPr>
        <w:t> </w:t>
      </w:r>
      <w:r>
        <w:rPr>
          <w:sz w:val="22"/>
        </w:rPr>
        <w:t>and</w:t>
      </w:r>
      <w:r>
        <w:rPr>
          <w:spacing w:val="-8"/>
          <w:sz w:val="22"/>
        </w:rPr>
        <w:t> </w:t>
      </w:r>
      <w:r>
        <w:rPr>
          <w:sz w:val="22"/>
        </w:rPr>
        <w:t>Its</w:t>
      </w:r>
      <w:r>
        <w:rPr>
          <w:spacing w:val="-8"/>
          <w:sz w:val="22"/>
        </w:rPr>
        <w:t> </w:t>
      </w:r>
      <w:r>
        <w:rPr>
          <w:sz w:val="22"/>
        </w:rPr>
        <w:t>Discontents.</w:t>
      </w:r>
      <w:r>
        <w:rPr>
          <w:spacing w:val="-8"/>
          <w:sz w:val="22"/>
        </w:rPr>
        <w:t> </w:t>
      </w:r>
      <w:r>
        <w:rPr>
          <w:sz w:val="22"/>
        </w:rPr>
        <w:t>26</w:t>
      </w:r>
      <w:r>
        <w:rPr>
          <w:spacing w:val="-8"/>
          <w:sz w:val="22"/>
        </w:rPr>
        <w:t> </w:t>
      </w:r>
      <w:r>
        <w:rPr>
          <w:sz w:val="22"/>
        </w:rPr>
        <w:t>March</w:t>
      </w:r>
      <w:r>
        <w:rPr>
          <w:spacing w:val="-8"/>
          <w:sz w:val="22"/>
        </w:rPr>
        <w:t> </w:t>
      </w:r>
      <w:r>
        <w:rPr>
          <w:sz w:val="22"/>
        </w:rPr>
        <w:t>2023.</w:t>
      </w:r>
      <w:r>
        <w:rPr>
          <w:spacing w:val="-8"/>
          <w:sz w:val="22"/>
        </w:rPr>
        <w:t> </w:t>
      </w:r>
      <w:r>
        <w:rPr>
          <w:sz w:val="22"/>
        </w:rPr>
        <w:t>New York: Council on Foreign Relations. Accessed on 1 August 2023 at </w:t>
      </w:r>
      <w:hyperlink r:id="rId87">
        <w:r>
          <w:rPr>
            <w:color w:val="1154CC"/>
            <w:spacing w:val="-2"/>
            <w:w w:val="105"/>
            <w:sz w:val="22"/>
            <w:u w:val="thick" w:color="1154CC"/>
          </w:rPr>
          <w:t>https://www.cfr.org/blog/common-framework-and-its-discontents</w:t>
        </w:r>
      </w:hyperlink>
    </w:p>
    <w:p>
      <w:pPr>
        <w:pStyle w:val="BodyText"/>
        <w:spacing w:before="4"/>
      </w:pPr>
    </w:p>
    <w:p>
      <w:pPr>
        <w:spacing w:line="288" w:lineRule="auto" w:before="0"/>
        <w:ind w:left="400" w:right="444" w:firstLine="0"/>
        <w:jc w:val="left"/>
        <w:rPr>
          <w:sz w:val="22"/>
        </w:rPr>
      </w:pPr>
      <w:r>
        <w:rPr>
          <w:sz w:val="22"/>
        </w:rPr>
        <w:t>Setser,</w:t>
      </w:r>
      <w:r>
        <w:rPr>
          <w:spacing w:val="-16"/>
          <w:sz w:val="22"/>
        </w:rPr>
        <w:t> </w:t>
      </w:r>
      <w:r>
        <w:rPr>
          <w:sz w:val="22"/>
        </w:rPr>
        <w:t>Brad</w:t>
      </w:r>
      <w:r>
        <w:rPr>
          <w:spacing w:val="-15"/>
          <w:sz w:val="22"/>
        </w:rPr>
        <w:t> </w:t>
      </w:r>
      <w:r>
        <w:rPr>
          <w:sz w:val="22"/>
        </w:rPr>
        <w:t>W.</w:t>
      </w:r>
      <w:r>
        <w:rPr>
          <w:spacing w:val="-15"/>
          <w:sz w:val="22"/>
        </w:rPr>
        <w:t> </w:t>
      </w:r>
      <w:r>
        <w:rPr>
          <w:sz w:val="22"/>
        </w:rPr>
        <w:t>2023c.</w:t>
      </w:r>
      <w:r>
        <w:rPr>
          <w:spacing w:val="-16"/>
          <w:sz w:val="22"/>
        </w:rPr>
        <w:t> </w:t>
      </w:r>
      <w:r>
        <w:rPr>
          <w:sz w:val="22"/>
        </w:rPr>
        <w:t>How</w:t>
      </w:r>
      <w:r>
        <w:rPr>
          <w:spacing w:val="-15"/>
          <w:sz w:val="22"/>
        </w:rPr>
        <w:t> </w:t>
      </w:r>
      <w:r>
        <w:rPr>
          <w:sz w:val="22"/>
        </w:rPr>
        <w:t>to</w:t>
      </w:r>
      <w:r>
        <w:rPr>
          <w:spacing w:val="-15"/>
          <w:sz w:val="22"/>
        </w:rPr>
        <w:t> </w:t>
      </w:r>
      <w:r>
        <w:rPr>
          <w:sz w:val="22"/>
        </w:rPr>
        <w:t>Hide</w:t>
      </w:r>
      <w:r>
        <w:rPr>
          <w:spacing w:val="-15"/>
          <w:sz w:val="22"/>
        </w:rPr>
        <w:t> </w:t>
      </w:r>
      <w:r>
        <w:rPr>
          <w:sz w:val="22"/>
        </w:rPr>
        <w:t>Your</w:t>
      </w:r>
      <w:r>
        <w:rPr>
          <w:spacing w:val="-16"/>
          <w:sz w:val="22"/>
        </w:rPr>
        <w:t> </w:t>
      </w:r>
      <w:r>
        <w:rPr>
          <w:sz w:val="22"/>
        </w:rPr>
        <w:t>Foreign</w:t>
      </w:r>
      <w:r>
        <w:rPr>
          <w:spacing w:val="-15"/>
          <w:sz w:val="22"/>
        </w:rPr>
        <w:t> </w:t>
      </w:r>
      <w:r>
        <w:rPr>
          <w:sz w:val="22"/>
        </w:rPr>
        <w:t>Exchange</w:t>
      </w:r>
      <w:r>
        <w:rPr>
          <w:spacing w:val="-15"/>
          <w:sz w:val="22"/>
        </w:rPr>
        <w:t> </w:t>
      </w:r>
      <w:r>
        <w:rPr>
          <w:sz w:val="22"/>
        </w:rPr>
        <w:t>Reserves—A</w:t>
      </w:r>
      <w:r>
        <w:rPr>
          <w:spacing w:val="-16"/>
          <w:sz w:val="22"/>
        </w:rPr>
        <w:t> </w:t>
      </w:r>
      <w:r>
        <w:rPr>
          <w:sz w:val="22"/>
        </w:rPr>
        <w:t>User’s</w:t>
      </w:r>
      <w:r>
        <w:rPr>
          <w:spacing w:val="-15"/>
          <w:sz w:val="22"/>
        </w:rPr>
        <w:t> </w:t>
      </w:r>
      <w:r>
        <w:rPr>
          <w:sz w:val="22"/>
        </w:rPr>
        <w:t>Guide.</w:t>
      </w:r>
      <w:r>
        <w:rPr>
          <w:spacing w:val="-15"/>
          <w:sz w:val="22"/>
        </w:rPr>
        <w:t> </w:t>
      </w:r>
      <w:r>
        <w:rPr>
          <w:sz w:val="22"/>
        </w:rPr>
        <w:t>29</w:t>
      </w:r>
      <w:r>
        <w:rPr>
          <w:spacing w:val="-15"/>
          <w:sz w:val="22"/>
        </w:rPr>
        <w:t> </w:t>
      </w:r>
      <w:r>
        <w:rPr>
          <w:sz w:val="22"/>
        </w:rPr>
        <w:t>June 2023. New York, NY: Council on Foreign Relations. Accessed on 1 September 2023 at </w:t>
      </w:r>
      <w:hyperlink r:id="rId88">
        <w:r>
          <w:rPr>
            <w:color w:val="1154CC"/>
            <w:spacing w:val="-2"/>
            <w:sz w:val="22"/>
            <w:u w:val="thick" w:color="1154CC"/>
          </w:rPr>
          <w:t>https://www.cfr.org/blog/how-hide-your-foreign-exchange-reserves-users-guide</w:t>
        </w:r>
      </w:hyperlink>
    </w:p>
    <w:p>
      <w:pPr>
        <w:pStyle w:val="BodyText"/>
        <w:spacing w:before="4"/>
      </w:pPr>
    </w:p>
    <w:p>
      <w:pPr>
        <w:spacing w:line="288" w:lineRule="auto" w:before="0"/>
        <w:ind w:left="400" w:right="1672" w:firstLine="0"/>
        <w:jc w:val="left"/>
        <w:rPr>
          <w:sz w:val="22"/>
        </w:rPr>
      </w:pPr>
      <w:r>
        <w:rPr>
          <w:sz w:val="22"/>
        </w:rPr>
        <w:t>Shan,</w:t>
      </w:r>
      <w:r>
        <w:rPr>
          <w:spacing w:val="-8"/>
          <w:sz w:val="22"/>
        </w:rPr>
        <w:t> </w:t>
      </w:r>
      <w:r>
        <w:rPr>
          <w:sz w:val="22"/>
        </w:rPr>
        <w:t>He.</w:t>
      </w:r>
      <w:r>
        <w:rPr>
          <w:spacing w:val="-8"/>
          <w:sz w:val="22"/>
        </w:rPr>
        <w:t> </w:t>
      </w:r>
      <w:r>
        <w:rPr>
          <w:sz w:val="22"/>
        </w:rPr>
        <w:t>2011.</w:t>
      </w:r>
      <w:r>
        <w:rPr>
          <w:spacing w:val="-8"/>
          <w:sz w:val="22"/>
        </w:rPr>
        <w:t> </w:t>
      </w:r>
      <w:r>
        <w:rPr>
          <w:sz w:val="22"/>
        </w:rPr>
        <w:t>CIC</w:t>
      </w:r>
      <w:r>
        <w:rPr>
          <w:spacing w:val="-8"/>
          <w:sz w:val="22"/>
        </w:rPr>
        <w:t> </w:t>
      </w:r>
      <w:r>
        <w:rPr>
          <w:sz w:val="22"/>
        </w:rPr>
        <w:t>injects</w:t>
      </w:r>
      <w:r>
        <w:rPr>
          <w:spacing w:val="-8"/>
          <w:sz w:val="22"/>
        </w:rPr>
        <w:t> </w:t>
      </w:r>
      <w:r>
        <w:rPr>
          <w:sz w:val="22"/>
        </w:rPr>
        <w:t>20</w:t>
      </w:r>
      <w:r>
        <w:rPr>
          <w:spacing w:val="-8"/>
          <w:sz w:val="22"/>
        </w:rPr>
        <w:t> </w:t>
      </w:r>
      <w:r>
        <w:rPr>
          <w:sz w:val="22"/>
        </w:rPr>
        <w:t>bln</w:t>
      </w:r>
      <w:r>
        <w:rPr>
          <w:spacing w:val="-8"/>
          <w:sz w:val="22"/>
        </w:rPr>
        <w:t> </w:t>
      </w:r>
      <w:r>
        <w:rPr>
          <w:sz w:val="22"/>
        </w:rPr>
        <w:t>yuan</w:t>
      </w:r>
      <w:r>
        <w:rPr>
          <w:spacing w:val="-8"/>
          <w:sz w:val="22"/>
        </w:rPr>
        <w:t> </w:t>
      </w:r>
      <w:r>
        <w:rPr>
          <w:sz w:val="22"/>
        </w:rPr>
        <w:t>into</w:t>
      </w:r>
      <w:r>
        <w:rPr>
          <w:spacing w:val="-8"/>
          <w:sz w:val="22"/>
        </w:rPr>
        <w:t> </w:t>
      </w:r>
      <w:r>
        <w:rPr>
          <w:sz w:val="22"/>
        </w:rPr>
        <w:t>Sinosure.</w:t>
      </w:r>
      <w:r>
        <w:rPr>
          <w:spacing w:val="-8"/>
          <w:sz w:val="22"/>
        </w:rPr>
        <w:t> </w:t>
      </w:r>
      <w:r>
        <w:rPr>
          <w:sz w:val="22"/>
        </w:rPr>
        <w:t>Accessed</w:t>
      </w:r>
      <w:r>
        <w:rPr>
          <w:spacing w:val="-8"/>
          <w:sz w:val="22"/>
        </w:rPr>
        <w:t> </w:t>
      </w:r>
      <w:r>
        <w:rPr>
          <w:sz w:val="22"/>
        </w:rPr>
        <w:t>on</w:t>
      </w:r>
      <w:r>
        <w:rPr>
          <w:spacing w:val="-8"/>
          <w:sz w:val="22"/>
        </w:rPr>
        <w:t> </w:t>
      </w:r>
      <w:r>
        <w:rPr>
          <w:sz w:val="22"/>
        </w:rPr>
        <w:t>1</w:t>
      </w:r>
      <w:r>
        <w:rPr>
          <w:spacing w:val="-8"/>
          <w:sz w:val="22"/>
        </w:rPr>
        <w:t> </w:t>
      </w:r>
      <w:r>
        <w:rPr>
          <w:sz w:val="22"/>
        </w:rPr>
        <w:t>June</w:t>
      </w:r>
      <w:r>
        <w:rPr>
          <w:spacing w:val="-8"/>
          <w:sz w:val="22"/>
        </w:rPr>
        <w:t> </w:t>
      </w:r>
      <w:r>
        <w:rPr>
          <w:sz w:val="22"/>
        </w:rPr>
        <w:t>2023</w:t>
      </w:r>
      <w:r>
        <w:rPr>
          <w:spacing w:val="-8"/>
          <w:sz w:val="22"/>
        </w:rPr>
        <w:t> </w:t>
      </w:r>
      <w:r>
        <w:rPr>
          <w:sz w:val="22"/>
        </w:rPr>
        <w:t>at </w:t>
      </w:r>
      <w:hyperlink r:id="rId89">
        <w:r>
          <w:rPr>
            <w:color w:val="1154CC"/>
            <w:spacing w:val="-2"/>
            <w:sz w:val="22"/>
            <w:u w:val="thick" w:color="1154CC"/>
          </w:rPr>
          <w:t>www.china.org.cn/business/2011-11/17/content_23944979.htm</w:t>
        </w:r>
      </w:hyperlink>
    </w:p>
    <w:p>
      <w:pPr>
        <w:pStyle w:val="BodyText"/>
        <w:spacing w:before="4"/>
      </w:pPr>
    </w:p>
    <w:p>
      <w:pPr>
        <w:spacing w:line="288" w:lineRule="auto" w:before="0"/>
        <w:ind w:left="400" w:right="767" w:firstLine="0"/>
        <w:jc w:val="left"/>
        <w:rPr>
          <w:sz w:val="22"/>
        </w:rPr>
      </w:pPr>
      <w:r>
        <w:rPr>
          <w:sz w:val="22"/>
        </w:rPr>
        <w:t>State Administration of Foreign Exchange (SAFE). 2004. Annual Report of the State Administration</w:t>
      </w:r>
      <w:r>
        <w:rPr>
          <w:spacing w:val="-6"/>
          <w:sz w:val="22"/>
        </w:rPr>
        <w:t> </w:t>
      </w:r>
      <w:r>
        <w:rPr>
          <w:sz w:val="22"/>
        </w:rPr>
        <w:t>of</w:t>
      </w:r>
      <w:r>
        <w:rPr>
          <w:spacing w:val="-6"/>
          <w:sz w:val="22"/>
        </w:rPr>
        <w:t> </w:t>
      </w:r>
      <w:r>
        <w:rPr>
          <w:sz w:val="22"/>
        </w:rPr>
        <w:t>Foreign</w:t>
      </w:r>
      <w:r>
        <w:rPr>
          <w:spacing w:val="-6"/>
          <w:sz w:val="22"/>
        </w:rPr>
        <w:t> </w:t>
      </w:r>
      <w:r>
        <w:rPr>
          <w:sz w:val="22"/>
        </w:rPr>
        <w:t>Exchange</w:t>
      </w:r>
      <w:r>
        <w:rPr>
          <w:spacing w:val="-6"/>
          <w:sz w:val="22"/>
        </w:rPr>
        <w:t> </w:t>
      </w:r>
      <w:r>
        <w:rPr>
          <w:sz w:val="22"/>
        </w:rPr>
        <w:t>(2004).</w:t>
      </w:r>
      <w:r>
        <w:rPr>
          <w:spacing w:val="-6"/>
          <w:sz w:val="22"/>
        </w:rPr>
        <w:t> </w:t>
      </w:r>
      <w:r>
        <w:rPr>
          <w:sz w:val="22"/>
        </w:rPr>
        <w:t>Beijing:</w:t>
      </w:r>
      <w:r>
        <w:rPr>
          <w:spacing w:val="-6"/>
          <w:sz w:val="22"/>
        </w:rPr>
        <w:t> </w:t>
      </w:r>
      <w:r>
        <w:rPr>
          <w:sz w:val="22"/>
        </w:rPr>
        <w:t>SAFE.</w:t>
      </w:r>
      <w:r>
        <w:rPr>
          <w:spacing w:val="-6"/>
          <w:sz w:val="22"/>
        </w:rPr>
        <w:t> </w:t>
      </w:r>
      <w:r>
        <w:rPr>
          <w:sz w:val="22"/>
        </w:rPr>
        <w:t>Accessed</w:t>
      </w:r>
      <w:r>
        <w:rPr>
          <w:spacing w:val="-6"/>
          <w:sz w:val="22"/>
        </w:rPr>
        <w:t> </w:t>
      </w:r>
      <w:r>
        <w:rPr>
          <w:sz w:val="22"/>
        </w:rPr>
        <w:t>on</w:t>
      </w:r>
      <w:r>
        <w:rPr>
          <w:spacing w:val="-6"/>
          <w:sz w:val="22"/>
        </w:rPr>
        <w:t> </w:t>
      </w:r>
      <w:r>
        <w:rPr>
          <w:sz w:val="22"/>
        </w:rPr>
        <w:t>1</w:t>
      </w:r>
      <w:r>
        <w:rPr>
          <w:spacing w:val="-6"/>
          <w:sz w:val="22"/>
        </w:rPr>
        <w:t> </w:t>
      </w:r>
      <w:r>
        <w:rPr>
          <w:sz w:val="22"/>
        </w:rPr>
        <w:t>August</w:t>
      </w:r>
      <w:r>
        <w:rPr>
          <w:spacing w:val="-6"/>
          <w:sz w:val="22"/>
        </w:rPr>
        <w:t> </w:t>
      </w:r>
      <w:r>
        <w:rPr>
          <w:sz w:val="22"/>
        </w:rPr>
        <w:t>2023</w:t>
      </w:r>
      <w:r>
        <w:rPr>
          <w:spacing w:val="-6"/>
          <w:sz w:val="22"/>
        </w:rPr>
        <w:t> </w:t>
      </w:r>
      <w:r>
        <w:rPr>
          <w:sz w:val="22"/>
        </w:rPr>
        <w:t>at </w:t>
      </w:r>
      <w:hyperlink r:id="rId90">
        <w:r>
          <w:rPr>
            <w:color w:val="1154CC"/>
            <w:spacing w:val="-2"/>
            <w:w w:val="105"/>
            <w:sz w:val="22"/>
            <w:u w:val="thick" w:color="1154CC"/>
          </w:rPr>
          <w:t>https://www.safe.gov.cn/en/2004/0726/1272.html</w:t>
        </w:r>
      </w:hyperlink>
    </w:p>
    <w:p>
      <w:pPr>
        <w:pStyle w:val="BodyText"/>
        <w:spacing w:before="4"/>
      </w:pPr>
    </w:p>
    <w:p>
      <w:pPr>
        <w:spacing w:line="288" w:lineRule="auto" w:before="0"/>
        <w:ind w:left="400" w:right="401" w:firstLine="0"/>
        <w:jc w:val="left"/>
        <w:rPr>
          <w:sz w:val="22"/>
        </w:rPr>
      </w:pPr>
      <w:r>
        <w:rPr>
          <w:sz w:val="22"/>
        </w:rPr>
        <w:t>State Administration of Foreign Exchange (SAFE). 2008. Letter from SAFE Deputy</w:t>
      </w:r>
      <w:r>
        <w:rPr>
          <w:spacing w:val="40"/>
          <w:sz w:val="22"/>
        </w:rPr>
        <w:t> </w:t>
      </w:r>
      <w:r>
        <w:rPr>
          <w:sz w:val="22"/>
        </w:rPr>
        <w:t>Administrator</w:t>
      </w:r>
      <w:r>
        <w:rPr>
          <w:spacing w:val="-5"/>
          <w:sz w:val="22"/>
        </w:rPr>
        <w:t> </w:t>
      </w:r>
      <w:r>
        <w:rPr>
          <w:sz w:val="22"/>
        </w:rPr>
        <w:t>Fang</w:t>
      </w:r>
      <w:r>
        <w:rPr>
          <w:spacing w:val="-5"/>
          <w:sz w:val="22"/>
        </w:rPr>
        <w:t> </w:t>
      </w:r>
      <w:r>
        <w:rPr>
          <w:sz w:val="22"/>
        </w:rPr>
        <w:t>Shangpu</w:t>
      </w:r>
      <w:r>
        <w:rPr>
          <w:spacing w:val="-5"/>
          <w:sz w:val="22"/>
        </w:rPr>
        <w:t> </w:t>
      </w:r>
      <w:r>
        <w:rPr>
          <w:sz w:val="22"/>
        </w:rPr>
        <w:t>to</w:t>
      </w:r>
      <w:r>
        <w:rPr>
          <w:spacing w:val="-5"/>
          <w:sz w:val="22"/>
        </w:rPr>
        <w:t> </w:t>
      </w:r>
      <w:r>
        <w:rPr>
          <w:sz w:val="22"/>
        </w:rPr>
        <w:t>Costa</w:t>
      </w:r>
      <w:r>
        <w:rPr>
          <w:spacing w:val="-5"/>
          <w:sz w:val="22"/>
        </w:rPr>
        <w:t> </w:t>
      </w:r>
      <w:r>
        <w:rPr>
          <w:sz w:val="22"/>
        </w:rPr>
        <w:t>Rican</w:t>
      </w:r>
      <w:r>
        <w:rPr>
          <w:spacing w:val="-5"/>
          <w:sz w:val="22"/>
        </w:rPr>
        <w:t> </w:t>
      </w:r>
      <w:r>
        <w:rPr>
          <w:sz w:val="22"/>
        </w:rPr>
        <w:t>Minister</w:t>
      </w:r>
      <w:r>
        <w:rPr>
          <w:spacing w:val="-5"/>
          <w:sz w:val="22"/>
        </w:rPr>
        <w:t> </w:t>
      </w:r>
      <w:r>
        <w:rPr>
          <w:sz w:val="22"/>
        </w:rPr>
        <w:t>of</w:t>
      </w:r>
      <w:r>
        <w:rPr>
          <w:spacing w:val="-5"/>
          <w:sz w:val="22"/>
        </w:rPr>
        <w:t> </w:t>
      </w:r>
      <w:r>
        <w:rPr>
          <w:sz w:val="22"/>
        </w:rPr>
        <w:t>Finance</w:t>
      </w:r>
      <w:r>
        <w:rPr>
          <w:spacing w:val="-5"/>
          <w:sz w:val="22"/>
        </w:rPr>
        <w:t> </w:t>
      </w:r>
      <w:r>
        <w:rPr>
          <w:sz w:val="22"/>
        </w:rPr>
        <w:t>Guillermo</w:t>
      </w:r>
      <w:r>
        <w:rPr>
          <w:spacing w:val="-5"/>
          <w:sz w:val="22"/>
        </w:rPr>
        <w:t> </w:t>
      </w:r>
      <w:r>
        <w:rPr>
          <w:sz w:val="22"/>
        </w:rPr>
        <w:t>E.</w:t>
      </w:r>
      <w:r>
        <w:rPr>
          <w:spacing w:val="-5"/>
          <w:sz w:val="22"/>
        </w:rPr>
        <w:t> </w:t>
      </w:r>
      <w:r>
        <w:rPr>
          <w:sz w:val="22"/>
        </w:rPr>
        <w:t>Zúñiga</w:t>
      </w:r>
      <w:r>
        <w:rPr>
          <w:spacing w:val="-5"/>
          <w:sz w:val="22"/>
        </w:rPr>
        <w:t> </w:t>
      </w:r>
      <w:r>
        <w:rPr>
          <w:sz w:val="22"/>
        </w:rPr>
        <w:t>.</w:t>
      </w:r>
      <w:r>
        <w:rPr>
          <w:spacing w:val="-5"/>
          <w:sz w:val="22"/>
        </w:rPr>
        <w:t> </w:t>
      </w:r>
      <w:r>
        <w:rPr>
          <w:sz w:val="22"/>
        </w:rPr>
        <w:t>2</w:t>
      </w:r>
      <w:r>
        <w:rPr>
          <w:spacing w:val="-5"/>
          <w:sz w:val="22"/>
        </w:rPr>
        <w:t> </w:t>
      </w:r>
      <w:r>
        <w:rPr>
          <w:sz w:val="22"/>
        </w:rPr>
        <w:t>January 2008.</w:t>
      </w:r>
      <w:r>
        <w:rPr>
          <w:spacing w:val="21"/>
          <w:sz w:val="22"/>
        </w:rPr>
        <w:t> </w:t>
      </w:r>
      <w:r>
        <w:rPr>
          <w:sz w:val="22"/>
        </w:rPr>
        <w:t>Accessed</w:t>
      </w:r>
      <w:r>
        <w:rPr>
          <w:spacing w:val="21"/>
          <w:sz w:val="22"/>
        </w:rPr>
        <w:t> </w:t>
      </w:r>
      <w:r>
        <w:rPr>
          <w:sz w:val="22"/>
        </w:rPr>
        <w:t>on</w:t>
      </w:r>
      <w:r>
        <w:rPr>
          <w:spacing w:val="21"/>
          <w:sz w:val="22"/>
        </w:rPr>
        <w:t> </w:t>
      </w:r>
      <w:r>
        <w:rPr>
          <w:sz w:val="22"/>
        </w:rPr>
        <w:t>13</w:t>
      </w:r>
      <w:r>
        <w:rPr>
          <w:spacing w:val="21"/>
          <w:sz w:val="22"/>
        </w:rPr>
        <w:t> </w:t>
      </w:r>
      <w:r>
        <w:rPr>
          <w:sz w:val="22"/>
        </w:rPr>
        <w:t>August</w:t>
      </w:r>
      <w:r>
        <w:rPr>
          <w:spacing w:val="21"/>
          <w:sz w:val="22"/>
        </w:rPr>
        <w:t> </w:t>
      </w:r>
      <w:r>
        <w:rPr>
          <w:sz w:val="22"/>
        </w:rPr>
        <w:t>2023</w:t>
      </w:r>
      <w:r>
        <w:rPr>
          <w:spacing w:val="21"/>
          <w:sz w:val="22"/>
        </w:rPr>
        <w:t> </w:t>
      </w:r>
      <w:r>
        <w:rPr>
          <w:sz w:val="22"/>
        </w:rPr>
        <w:t>at</w:t>
      </w:r>
      <w:r>
        <w:rPr>
          <w:spacing w:val="40"/>
          <w:sz w:val="22"/>
        </w:rPr>
        <w:t> </w:t>
      </w:r>
      <w:hyperlink r:id="rId11">
        <w:r>
          <w:rPr>
            <w:color w:val="1154CC"/>
            <w:spacing w:val="-2"/>
            <w:sz w:val="22"/>
            <w:u w:val="thick" w:color="1154CC"/>
          </w:rPr>
          <w:t>https://www.dropbox.com/scl/ﬁ/a20fdxb2lecowt8tp5lym/2-January-2008-SAFE-Letter-to-Minist</w:t>
        </w:r>
      </w:hyperlink>
      <w:r>
        <w:rPr>
          <w:color w:val="1154CC"/>
          <w:spacing w:val="40"/>
          <w:sz w:val="22"/>
        </w:rPr>
        <w:t>  </w:t>
      </w:r>
      <w:hyperlink r:id="rId11">
        <w:r>
          <w:rPr>
            <w:color w:val="1154CC"/>
            <w:spacing w:val="-2"/>
            <w:sz w:val="22"/>
            <w:u w:val="thick" w:color="1154CC"/>
          </w:rPr>
          <w:t>er-of-Finance-of-Costa-Rica.pdf?rlkey=y9ywdrrhap4rdkt0cyqj4mj4y&amp;dl=0</w:t>
        </w:r>
      </w:hyperlink>
    </w:p>
    <w:p>
      <w:pPr>
        <w:pStyle w:val="BodyText"/>
        <w:spacing w:before="4"/>
      </w:pPr>
    </w:p>
    <w:p>
      <w:pPr>
        <w:spacing w:line="288" w:lineRule="auto" w:before="1"/>
        <w:ind w:left="400" w:right="111" w:firstLine="0"/>
        <w:jc w:val="left"/>
        <w:rPr>
          <w:sz w:val="22"/>
        </w:rPr>
      </w:pPr>
      <w:r>
        <w:rPr>
          <w:sz w:val="22"/>
        </w:rPr>
        <w:t>State Administration of Foreign Exchange (SAFE). 2017a. Pan Gongsheng: Foreign Exchange Administration</w:t>
      </w:r>
      <w:r>
        <w:rPr>
          <w:spacing w:val="-2"/>
          <w:sz w:val="22"/>
        </w:rPr>
        <w:t> </w:t>
      </w:r>
      <w:r>
        <w:rPr>
          <w:sz w:val="22"/>
        </w:rPr>
        <w:t>Supports</w:t>
      </w:r>
      <w:r>
        <w:rPr>
          <w:spacing w:val="-2"/>
          <w:sz w:val="22"/>
        </w:rPr>
        <w:t> </w:t>
      </w:r>
      <w:r>
        <w:rPr>
          <w:sz w:val="22"/>
        </w:rPr>
        <w:t>the</w:t>
      </w:r>
      <w:r>
        <w:rPr>
          <w:spacing w:val="-2"/>
          <w:sz w:val="22"/>
        </w:rPr>
        <w:t> </w:t>
      </w:r>
      <w:r>
        <w:rPr>
          <w:sz w:val="22"/>
        </w:rPr>
        <w:t>Belt</w:t>
      </w:r>
      <w:r>
        <w:rPr>
          <w:spacing w:val="-2"/>
          <w:sz w:val="22"/>
        </w:rPr>
        <w:t> </w:t>
      </w:r>
      <w:r>
        <w:rPr>
          <w:sz w:val="22"/>
        </w:rPr>
        <w:t>and</w:t>
      </w:r>
      <w:r>
        <w:rPr>
          <w:spacing w:val="-2"/>
          <w:sz w:val="22"/>
        </w:rPr>
        <w:t> </w:t>
      </w:r>
      <w:r>
        <w:rPr>
          <w:sz w:val="22"/>
        </w:rPr>
        <w:t>Road</w:t>
      </w:r>
      <w:r>
        <w:rPr>
          <w:spacing w:val="-2"/>
          <w:sz w:val="22"/>
        </w:rPr>
        <w:t> </w:t>
      </w:r>
      <w:r>
        <w:rPr>
          <w:sz w:val="22"/>
        </w:rPr>
        <w:t>Initiative.</w:t>
      </w:r>
      <w:r>
        <w:rPr>
          <w:spacing w:val="-2"/>
          <w:sz w:val="22"/>
        </w:rPr>
        <w:t> </w:t>
      </w:r>
      <w:r>
        <w:rPr>
          <w:sz w:val="22"/>
        </w:rPr>
        <w:t>Beijing:</w:t>
      </w:r>
      <w:r>
        <w:rPr>
          <w:spacing w:val="-2"/>
          <w:sz w:val="22"/>
        </w:rPr>
        <w:t> </w:t>
      </w:r>
      <w:r>
        <w:rPr>
          <w:sz w:val="22"/>
        </w:rPr>
        <w:t>SAFE.</w:t>
      </w:r>
      <w:r>
        <w:rPr>
          <w:spacing w:val="-2"/>
          <w:sz w:val="22"/>
        </w:rPr>
        <w:t> </w:t>
      </w:r>
      <w:r>
        <w:rPr>
          <w:sz w:val="22"/>
        </w:rPr>
        <w:t>Accessed</w:t>
      </w:r>
      <w:r>
        <w:rPr>
          <w:spacing w:val="-2"/>
          <w:sz w:val="22"/>
        </w:rPr>
        <w:t> </w:t>
      </w:r>
      <w:r>
        <w:rPr>
          <w:sz w:val="22"/>
        </w:rPr>
        <w:t>on</w:t>
      </w:r>
      <w:r>
        <w:rPr>
          <w:spacing w:val="-2"/>
          <w:sz w:val="22"/>
        </w:rPr>
        <w:t> </w:t>
      </w:r>
      <w:r>
        <w:rPr>
          <w:sz w:val="22"/>
        </w:rPr>
        <w:t>1</w:t>
      </w:r>
      <w:r>
        <w:rPr>
          <w:spacing w:val="-2"/>
          <w:sz w:val="22"/>
        </w:rPr>
        <w:t> </w:t>
      </w:r>
      <w:r>
        <w:rPr>
          <w:sz w:val="22"/>
        </w:rPr>
        <w:t>July</w:t>
      </w:r>
      <w:r>
        <w:rPr>
          <w:spacing w:val="-2"/>
          <w:sz w:val="22"/>
        </w:rPr>
        <w:t> </w:t>
      </w:r>
      <w:r>
        <w:rPr>
          <w:sz w:val="22"/>
        </w:rPr>
        <w:t>2023</w:t>
      </w:r>
      <w:r>
        <w:rPr>
          <w:spacing w:val="-2"/>
          <w:sz w:val="22"/>
        </w:rPr>
        <w:t> </w:t>
      </w:r>
      <w:r>
        <w:rPr>
          <w:sz w:val="22"/>
        </w:rPr>
        <w:t>at </w:t>
      </w:r>
      <w:hyperlink r:id="rId91">
        <w:r>
          <w:rPr>
            <w:color w:val="1154CC"/>
            <w:spacing w:val="-2"/>
            <w:w w:val="105"/>
            <w:sz w:val="22"/>
            <w:u w:val="thick" w:color="1154CC"/>
          </w:rPr>
          <w:t>https://www.safe.gov.cn/en/2017/0505/1263.html</w:t>
        </w:r>
      </w:hyperlink>
    </w:p>
    <w:p>
      <w:pPr>
        <w:pStyle w:val="BodyText"/>
        <w:spacing w:before="4"/>
      </w:pPr>
    </w:p>
    <w:p>
      <w:pPr>
        <w:spacing w:line="288" w:lineRule="auto" w:before="0"/>
        <w:ind w:left="400" w:right="767" w:firstLine="0"/>
        <w:jc w:val="left"/>
        <w:rPr>
          <w:sz w:val="22"/>
        </w:rPr>
      </w:pPr>
      <w:r>
        <w:rPr>
          <w:sz w:val="22"/>
        </w:rPr>
        <w:t>State</w:t>
      </w:r>
      <w:r>
        <w:rPr>
          <w:spacing w:val="-2"/>
          <w:sz w:val="22"/>
        </w:rPr>
        <w:t> </w:t>
      </w:r>
      <w:r>
        <w:rPr>
          <w:sz w:val="22"/>
        </w:rPr>
        <w:t>Administration</w:t>
      </w:r>
      <w:r>
        <w:rPr>
          <w:spacing w:val="-2"/>
          <w:sz w:val="22"/>
        </w:rPr>
        <w:t> </w:t>
      </w:r>
      <w:r>
        <w:rPr>
          <w:sz w:val="22"/>
        </w:rPr>
        <w:t>of</w:t>
      </w:r>
      <w:r>
        <w:rPr>
          <w:spacing w:val="-2"/>
          <w:sz w:val="22"/>
        </w:rPr>
        <w:t> </w:t>
      </w:r>
      <w:r>
        <w:rPr>
          <w:sz w:val="22"/>
        </w:rPr>
        <w:t>Foreign</w:t>
      </w:r>
      <w:r>
        <w:rPr>
          <w:spacing w:val="-2"/>
          <w:sz w:val="22"/>
        </w:rPr>
        <w:t> </w:t>
      </w:r>
      <w:r>
        <w:rPr>
          <w:sz w:val="22"/>
        </w:rPr>
        <w:t>Exchange</w:t>
      </w:r>
      <w:r>
        <w:rPr>
          <w:spacing w:val="-2"/>
          <w:sz w:val="22"/>
        </w:rPr>
        <w:t> </w:t>
      </w:r>
      <w:r>
        <w:rPr>
          <w:sz w:val="22"/>
        </w:rPr>
        <w:t>(SAFE).</w:t>
      </w:r>
      <w:r>
        <w:rPr>
          <w:spacing w:val="-2"/>
          <w:sz w:val="22"/>
        </w:rPr>
        <w:t> </w:t>
      </w:r>
      <w:r>
        <w:rPr>
          <w:sz w:val="22"/>
        </w:rPr>
        <w:t>2017b.</w:t>
      </w:r>
      <w:r>
        <w:rPr>
          <w:spacing w:val="-2"/>
          <w:sz w:val="22"/>
        </w:rPr>
        <w:t> </w:t>
      </w:r>
      <w:r>
        <w:rPr>
          <w:sz w:val="22"/>
        </w:rPr>
        <w:t>Annual</w:t>
      </w:r>
      <w:r>
        <w:rPr>
          <w:spacing w:val="-2"/>
          <w:sz w:val="22"/>
        </w:rPr>
        <w:t> </w:t>
      </w:r>
      <w:r>
        <w:rPr>
          <w:sz w:val="22"/>
        </w:rPr>
        <w:t>Report</w:t>
      </w:r>
      <w:r>
        <w:rPr>
          <w:spacing w:val="-2"/>
          <w:sz w:val="22"/>
        </w:rPr>
        <w:t> </w:t>
      </w:r>
      <w:r>
        <w:rPr>
          <w:sz w:val="22"/>
        </w:rPr>
        <w:t>of</w:t>
      </w:r>
      <w:r>
        <w:rPr>
          <w:spacing w:val="-2"/>
          <w:sz w:val="22"/>
        </w:rPr>
        <w:t> </w:t>
      </w:r>
      <w:r>
        <w:rPr>
          <w:sz w:val="22"/>
        </w:rPr>
        <w:t>the</w:t>
      </w:r>
      <w:r>
        <w:rPr>
          <w:spacing w:val="-2"/>
          <w:sz w:val="22"/>
        </w:rPr>
        <w:t> </w:t>
      </w:r>
      <w:r>
        <w:rPr>
          <w:sz w:val="22"/>
        </w:rPr>
        <w:t>State Administration</w:t>
      </w:r>
      <w:r>
        <w:rPr>
          <w:spacing w:val="-5"/>
          <w:sz w:val="22"/>
        </w:rPr>
        <w:t> </w:t>
      </w:r>
      <w:r>
        <w:rPr>
          <w:sz w:val="22"/>
        </w:rPr>
        <w:t>of</w:t>
      </w:r>
      <w:r>
        <w:rPr>
          <w:spacing w:val="-5"/>
          <w:sz w:val="22"/>
        </w:rPr>
        <w:t> </w:t>
      </w:r>
      <w:r>
        <w:rPr>
          <w:sz w:val="22"/>
        </w:rPr>
        <w:t>Foreign</w:t>
      </w:r>
      <w:r>
        <w:rPr>
          <w:spacing w:val="-5"/>
          <w:sz w:val="22"/>
        </w:rPr>
        <w:t> </w:t>
      </w:r>
      <w:r>
        <w:rPr>
          <w:sz w:val="22"/>
        </w:rPr>
        <w:t>Exchange</w:t>
      </w:r>
      <w:r>
        <w:rPr>
          <w:spacing w:val="-5"/>
          <w:sz w:val="22"/>
        </w:rPr>
        <w:t> </w:t>
      </w:r>
      <w:r>
        <w:rPr>
          <w:sz w:val="22"/>
        </w:rPr>
        <w:t>2017.</w:t>
      </w:r>
      <w:r>
        <w:rPr>
          <w:spacing w:val="-5"/>
          <w:sz w:val="22"/>
        </w:rPr>
        <w:t> </w:t>
      </w:r>
      <w:r>
        <w:rPr>
          <w:sz w:val="22"/>
        </w:rPr>
        <w:t>Beijing:</w:t>
      </w:r>
      <w:r>
        <w:rPr>
          <w:spacing w:val="-5"/>
          <w:sz w:val="22"/>
        </w:rPr>
        <w:t> </w:t>
      </w:r>
      <w:r>
        <w:rPr>
          <w:sz w:val="22"/>
        </w:rPr>
        <w:t>SAFE.</w:t>
      </w:r>
      <w:r>
        <w:rPr>
          <w:spacing w:val="-5"/>
          <w:sz w:val="22"/>
        </w:rPr>
        <w:t> </w:t>
      </w:r>
      <w:r>
        <w:rPr>
          <w:sz w:val="22"/>
        </w:rPr>
        <w:t>Accessed</w:t>
      </w:r>
      <w:r>
        <w:rPr>
          <w:spacing w:val="-5"/>
          <w:sz w:val="22"/>
        </w:rPr>
        <w:t> </w:t>
      </w:r>
      <w:r>
        <w:rPr>
          <w:sz w:val="22"/>
        </w:rPr>
        <w:t>on</w:t>
      </w:r>
      <w:r>
        <w:rPr>
          <w:spacing w:val="-5"/>
          <w:sz w:val="22"/>
        </w:rPr>
        <w:t> </w:t>
      </w:r>
      <w:r>
        <w:rPr>
          <w:sz w:val="22"/>
        </w:rPr>
        <w:t>1</w:t>
      </w:r>
      <w:r>
        <w:rPr>
          <w:spacing w:val="-5"/>
          <w:sz w:val="22"/>
        </w:rPr>
        <w:t> </w:t>
      </w:r>
      <w:r>
        <w:rPr>
          <w:sz w:val="22"/>
        </w:rPr>
        <w:t>July</w:t>
      </w:r>
      <w:r>
        <w:rPr>
          <w:spacing w:val="-5"/>
          <w:sz w:val="22"/>
        </w:rPr>
        <w:t> </w:t>
      </w:r>
      <w:r>
        <w:rPr>
          <w:sz w:val="22"/>
        </w:rPr>
        <w:t>2023</w:t>
      </w:r>
      <w:r>
        <w:rPr>
          <w:spacing w:val="-5"/>
          <w:sz w:val="22"/>
        </w:rPr>
        <w:t> </w:t>
      </w:r>
      <w:r>
        <w:rPr>
          <w:sz w:val="22"/>
        </w:rPr>
        <w:t>at</w:t>
      </w:r>
    </w:p>
    <w:p>
      <w:pPr>
        <w:spacing w:after="0" w:line="288" w:lineRule="auto"/>
        <w:jc w:val="left"/>
        <w:rPr>
          <w:sz w:val="22"/>
        </w:rPr>
        <w:sectPr>
          <w:footerReference w:type="default" r:id="rId84"/>
          <w:pgSz w:w="12240" w:h="15840"/>
          <w:pgMar w:footer="0" w:header="0" w:top="1400" w:bottom="280" w:left="1040" w:right="1040"/>
        </w:sectPr>
      </w:pPr>
    </w:p>
    <w:p>
      <w:pPr>
        <w:spacing w:line="288" w:lineRule="auto" w:before="44"/>
        <w:ind w:left="400" w:right="478" w:firstLine="0"/>
        <w:jc w:val="both"/>
        <w:rPr>
          <w:sz w:val="22"/>
        </w:rPr>
      </w:pPr>
      <w:r>
        <w:rPr>
          <w:spacing w:val="-2"/>
          <w:sz w:val="22"/>
        </w:rPr>
        <w:t>https://</w:t>
      </w:r>
      <w:hyperlink r:id="rId93">
        <w:r>
          <w:rPr>
            <w:spacing w:val="-2"/>
            <w:sz w:val="22"/>
          </w:rPr>
          <w:t>www.safe.gov.cn/en/ﬁle/ﬁle/20180822/2f5f632ccd964e02876b7455883e0449.pdf?n=A</w:t>
        </w:r>
      </w:hyperlink>
      <w:r>
        <w:rPr>
          <w:spacing w:val="-2"/>
          <w:sz w:val="22"/>
        </w:rPr>
        <w:t> nnual%20Report%20of%20the%20State%20Administration%20of%20Foreign%20Exchange%2 0(2017)</w:t>
      </w:r>
    </w:p>
    <w:p>
      <w:pPr>
        <w:pStyle w:val="BodyText"/>
        <w:spacing w:before="4"/>
      </w:pPr>
    </w:p>
    <w:p>
      <w:pPr>
        <w:spacing w:line="288" w:lineRule="auto" w:before="0"/>
        <w:ind w:left="400" w:right="398" w:firstLine="0"/>
        <w:jc w:val="left"/>
        <w:rPr>
          <w:sz w:val="22"/>
        </w:rPr>
      </w:pPr>
      <w:r>
        <w:rPr>
          <w:sz w:val="22"/>
        </w:rPr>
        <w:t>State Administration of Foreign Exchange (SAFE). 2021. State Administration of Foreign Exchange 2021 Annual Report. Beijing: SAFE. Accessed on 1 August 2023 at </w:t>
      </w:r>
      <w:r>
        <w:rPr>
          <w:spacing w:val="-2"/>
          <w:sz w:val="22"/>
        </w:rPr>
        <w:t>https://</w:t>
      </w:r>
      <w:hyperlink r:id="rId94">
        <w:r>
          <w:rPr>
            <w:spacing w:val="-2"/>
            <w:sz w:val="22"/>
          </w:rPr>
          <w:t>www.safe.gov.cn/en/ﬁle/ﬁle/20221226/9186b372d33e4a6b9d156ab154cc2979.pdf?n=</w:t>
        </w:r>
      </w:hyperlink>
      <w:r>
        <w:rPr>
          <w:spacing w:val="80"/>
          <w:sz w:val="22"/>
        </w:rPr>
        <w:t> </w:t>
      </w:r>
      <w:r>
        <w:rPr>
          <w:spacing w:val="-2"/>
          <w:sz w:val="22"/>
        </w:rPr>
        <w:t>Annual%20Report%20of%20the%20State%20Administration%20of%20Foreign%20Exchange% 20(2021)</w:t>
      </w:r>
    </w:p>
    <w:p>
      <w:pPr>
        <w:pStyle w:val="BodyText"/>
        <w:spacing w:before="4"/>
      </w:pPr>
    </w:p>
    <w:p>
      <w:pPr>
        <w:spacing w:line="288" w:lineRule="auto" w:before="0"/>
        <w:ind w:left="400" w:right="767" w:firstLine="0"/>
        <w:jc w:val="left"/>
        <w:rPr>
          <w:sz w:val="22"/>
        </w:rPr>
      </w:pPr>
      <w:r>
        <w:rPr>
          <w:sz w:val="22"/>
        </w:rPr>
        <w:t>Suﬁ,</w:t>
      </w:r>
      <w:r>
        <w:rPr>
          <w:spacing w:val="-4"/>
          <w:sz w:val="22"/>
        </w:rPr>
        <w:t> </w:t>
      </w:r>
      <w:r>
        <w:rPr>
          <w:sz w:val="22"/>
        </w:rPr>
        <w:t>Amir,</w:t>
      </w:r>
      <w:r>
        <w:rPr>
          <w:spacing w:val="-4"/>
          <w:sz w:val="22"/>
        </w:rPr>
        <w:t> </w:t>
      </w:r>
      <w:r>
        <w:rPr>
          <w:sz w:val="22"/>
        </w:rPr>
        <w:t>2007.</w:t>
      </w:r>
      <w:r>
        <w:rPr>
          <w:spacing w:val="-4"/>
          <w:sz w:val="22"/>
        </w:rPr>
        <w:t> </w:t>
      </w:r>
      <w:r>
        <w:rPr>
          <w:sz w:val="22"/>
        </w:rPr>
        <w:t>Information</w:t>
      </w:r>
      <w:r>
        <w:rPr>
          <w:spacing w:val="-4"/>
          <w:sz w:val="22"/>
        </w:rPr>
        <w:t> </w:t>
      </w:r>
      <w:r>
        <w:rPr>
          <w:sz w:val="22"/>
        </w:rPr>
        <w:t>asymmetry</w:t>
      </w:r>
      <w:r>
        <w:rPr>
          <w:spacing w:val="-4"/>
          <w:sz w:val="22"/>
        </w:rPr>
        <w:t> </w:t>
      </w:r>
      <w:r>
        <w:rPr>
          <w:sz w:val="22"/>
        </w:rPr>
        <w:t>and</w:t>
      </w:r>
      <w:r>
        <w:rPr>
          <w:spacing w:val="-4"/>
          <w:sz w:val="22"/>
        </w:rPr>
        <w:t> </w:t>
      </w:r>
      <w:r>
        <w:rPr>
          <w:sz w:val="22"/>
        </w:rPr>
        <w:t>ﬁnancing</w:t>
      </w:r>
      <w:r>
        <w:rPr>
          <w:spacing w:val="-4"/>
          <w:sz w:val="22"/>
        </w:rPr>
        <w:t> </w:t>
      </w:r>
      <w:r>
        <w:rPr>
          <w:sz w:val="22"/>
        </w:rPr>
        <w:t>arrangements:</w:t>
      </w:r>
      <w:r>
        <w:rPr>
          <w:spacing w:val="-4"/>
          <w:sz w:val="22"/>
        </w:rPr>
        <w:t> </w:t>
      </w:r>
      <w:r>
        <w:rPr>
          <w:sz w:val="22"/>
        </w:rPr>
        <w:t>Evidence</w:t>
      </w:r>
      <w:r>
        <w:rPr>
          <w:spacing w:val="-4"/>
          <w:sz w:val="22"/>
        </w:rPr>
        <w:t> </w:t>
      </w:r>
      <w:r>
        <w:rPr>
          <w:sz w:val="22"/>
        </w:rPr>
        <w:t>from syndicated loans. </w:t>
      </w:r>
      <w:r>
        <w:rPr>
          <w:i/>
          <w:sz w:val="22"/>
        </w:rPr>
        <w:t>The Journal of Finance </w:t>
      </w:r>
      <w:r>
        <w:rPr>
          <w:sz w:val="22"/>
        </w:rPr>
        <w:t>62: 629–668.</w:t>
      </w:r>
    </w:p>
    <w:p>
      <w:pPr>
        <w:pStyle w:val="BodyText"/>
        <w:spacing w:before="5"/>
      </w:pPr>
    </w:p>
    <w:p>
      <w:pPr>
        <w:spacing w:line="283" w:lineRule="auto" w:before="0"/>
        <w:ind w:left="400" w:right="0" w:firstLine="0"/>
        <w:jc w:val="left"/>
        <w:rPr>
          <w:sz w:val="22"/>
        </w:rPr>
      </w:pPr>
      <w:r>
        <w:rPr>
          <w:sz w:val="22"/>
        </w:rPr>
        <w:t>Tangjun</w:t>
      </w:r>
      <w:r>
        <w:rPr>
          <w:spacing w:val="-2"/>
          <w:sz w:val="22"/>
        </w:rPr>
        <w:t>, </w:t>
      </w:r>
      <w:r>
        <w:rPr>
          <w:sz w:val="22"/>
        </w:rPr>
        <w:t>Song</w:t>
      </w:r>
      <w:r>
        <w:rPr>
          <w:spacing w:val="-2"/>
          <w:sz w:val="22"/>
        </w:rPr>
        <w:t>, </w:t>
      </w:r>
      <w:r>
        <w:rPr>
          <w:sz w:val="22"/>
        </w:rPr>
        <w:t>Zhang</w:t>
      </w:r>
      <w:r>
        <w:rPr>
          <w:spacing w:val="-3"/>
          <w:sz w:val="22"/>
        </w:rPr>
        <w:t> </w:t>
      </w:r>
      <w:r>
        <w:rPr>
          <w:sz w:val="22"/>
        </w:rPr>
        <w:t>Jianguang</w:t>
      </w:r>
      <w:r>
        <w:rPr>
          <w:spacing w:val="-2"/>
          <w:sz w:val="22"/>
        </w:rPr>
        <w:t>, </w:t>
      </w:r>
      <w:r>
        <w:rPr>
          <w:sz w:val="22"/>
        </w:rPr>
        <w:t>and</w:t>
      </w:r>
      <w:r>
        <w:rPr>
          <w:spacing w:val="-3"/>
          <w:sz w:val="22"/>
        </w:rPr>
        <w:t> </w:t>
      </w:r>
      <w:r>
        <w:rPr>
          <w:sz w:val="22"/>
        </w:rPr>
        <w:t>Wang</w:t>
      </w:r>
      <w:r>
        <w:rPr>
          <w:spacing w:val="-3"/>
          <w:sz w:val="22"/>
        </w:rPr>
        <w:t> </w:t>
      </w:r>
      <w:r>
        <w:rPr>
          <w:sz w:val="22"/>
        </w:rPr>
        <w:t>Lin</w:t>
      </w:r>
      <w:r>
        <w:rPr>
          <w:spacing w:val="-2"/>
          <w:sz w:val="22"/>
        </w:rPr>
        <w:t>. </w:t>
      </w:r>
      <w:r>
        <w:rPr>
          <w:sz w:val="22"/>
        </w:rPr>
        <w:t>2016</w:t>
      </w:r>
      <w:r>
        <w:rPr>
          <w:spacing w:val="-2"/>
          <w:sz w:val="22"/>
        </w:rPr>
        <w:t>. </w:t>
      </w:r>
      <w:r>
        <w:rPr>
          <w:sz w:val="22"/>
        </w:rPr>
        <w:t>Research</w:t>
      </w:r>
      <w:r>
        <w:rPr>
          <w:spacing w:val="-3"/>
          <w:sz w:val="22"/>
        </w:rPr>
        <w:t> </w:t>
      </w:r>
      <w:r>
        <w:rPr>
          <w:sz w:val="22"/>
        </w:rPr>
        <w:t>on</w:t>
      </w:r>
      <w:r>
        <w:rPr>
          <w:spacing w:val="-3"/>
          <w:sz w:val="22"/>
        </w:rPr>
        <w:t> </w:t>
      </w:r>
      <w:r>
        <w:rPr>
          <w:sz w:val="22"/>
        </w:rPr>
        <w:t>State-owned</w:t>
      </w:r>
      <w:r>
        <w:rPr>
          <w:spacing w:val="-3"/>
          <w:sz w:val="22"/>
        </w:rPr>
        <w:t> </w:t>
      </w:r>
      <w:r>
        <w:rPr>
          <w:sz w:val="22"/>
        </w:rPr>
        <w:t>Assets Management of Administrative Units (</w:t>
      </w:r>
      <w:r>
        <w:rPr>
          <w:rFonts w:ascii="MS Gothic" w:eastAsia="MS Gothic"/>
          <w:sz w:val="22"/>
        </w:rPr>
        <w:t>行政</w:t>
      </w:r>
      <w:r>
        <w:rPr>
          <w:rFonts w:ascii="宋体" w:eastAsia="宋体"/>
          <w:sz w:val="22"/>
        </w:rPr>
        <w:t>单</w:t>
      </w:r>
      <w:r>
        <w:rPr>
          <w:rFonts w:ascii="MS Gothic" w:eastAsia="MS Gothic"/>
          <w:sz w:val="22"/>
        </w:rPr>
        <w:t>位国有</w:t>
      </w:r>
      <w:r>
        <w:rPr>
          <w:rFonts w:ascii="宋体" w:eastAsia="宋体"/>
          <w:sz w:val="22"/>
        </w:rPr>
        <w:t>资产</w:t>
      </w:r>
      <w:r>
        <w:rPr>
          <w:rFonts w:ascii="MS Gothic" w:eastAsia="MS Gothic"/>
          <w:sz w:val="22"/>
        </w:rPr>
        <w:t>管理研究</w:t>
      </w:r>
      <w:r>
        <w:rPr>
          <w:sz w:val="22"/>
        </w:rPr>
        <w:t>). Beijing: China Financial and </w:t>
      </w:r>
      <w:r>
        <w:rPr>
          <w:w w:val="105"/>
          <w:sz w:val="22"/>
        </w:rPr>
        <w:t>Economic</w:t>
      </w:r>
      <w:r>
        <w:rPr>
          <w:spacing w:val="-4"/>
          <w:w w:val="105"/>
          <w:sz w:val="22"/>
        </w:rPr>
        <w:t> </w:t>
      </w:r>
      <w:r>
        <w:rPr>
          <w:w w:val="105"/>
          <w:sz w:val="22"/>
        </w:rPr>
        <w:t>Publishing</w:t>
      </w:r>
      <w:r>
        <w:rPr>
          <w:spacing w:val="-4"/>
          <w:w w:val="105"/>
          <w:sz w:val="22"/>
        </w:rPr>
        <w:t> </w:t>
      </w:r>
      <w:r>
        <w:rPr>
          <w:w w:val="105"/>
          <w:sz w:val="22"/>
        </w:rPr>
        <w:t>House</w:t>
      </w:r>
    </w:p>
    <w:p>
      <w:pPr>
        <w:pStyle w:val="BodyText"/>
        <w:spacing w:before="10"/>
      </w:pPr>
    </w:p>
    <w:p>
      <w:pPr>
        <w:spacing w:line="288" w:lineRule="auto" w:before="0"/>
        <w:ind w:left="400" w:right="482" w:firstLine="0"/>
        <w:jc w:val="left"/>
        <w:rPr>
          <w:sz w:val="22"/>
        </w:rPr>
      </w:pPr>
      <w:r>
        <w:rPr>
          <w:sz w:val="22"/>
        </w:rPr>
        <w:t>The Controller and Auditor General of the National Audit Ofﬁce of Tanzania. 2018. Report of</w:t>
      </w:r>
      <w:r>
        <w:rPr>
          <w:spacing w:val="40"/>
          <w:sz w:val="22"/>
        </w:rPr>
        <w:t> </w:t>
      </w:r>
      <w:r>
        <w:rPr>
          <w:sz w:val="22"/>
        </w:rPr>
        <w:t>the Controller and Auditor General on the Consolidated and Separate Financial Statements of Tanzania Petroleum Development Corporation for the Year Ended 30 June 2018. Dar es Salaam: The Controller and Auditor General of the National Audit Ofﬁce of Tanzania. Accessed </w:t>
      </w:r>
      <w:r>
        <w:rPr>
          <w:spacing w:val="-6"/>
          <w:sz w:val="22"/>
        </w:rPr>
        <w:t>at</w:t>
      </w:r>
      <w:r>
        <w:rPr>
          <w:spacing w:val="80"/>
          <w:sz w:val="22"/>
        </w:rPr>
        <w:t> </w:t>
      </w:r>
      <w:hyperlink r:id="rId95">
        <w:r>
          <w:rPr>
            <w:color w:val="1154CC"/>
            <w:spacing w:val="-2"/>
            <w:sz w:val="22"/>
            <w:u w:val="thick" w:color="1154CC"/>
          </w:rPr>
          <w:t>https://www.dropbox.com/s/dyt43g53m2btrmz/TPDC%20Financial%20Statements%2030%20J</w:t>
        </w:r>
      </w:hyperlink>
      <w:r>
        <w:rPr>
          <w:color w:val="1154CC"/>
          <w:spacing w:val="-2"/>
          <w:sz w:val="22"/>
        </w:rPr>
        <w:t> </w:t>
      </w:r>
      <w:hyperlink r:id="rId95">
        <w:r>
          <w:rPr>
            <w:color w:val="1154CC"/>
            <w:spacing w:val="-2"/>
            <w:sz w:val="22"/>
            <w:u w:val="thick" w:color="1154CC"/>
          </w:rPr>
          <w:t>une%202018.pdf?dl=0</w:t>
        </w:r>
      </w:hyperlink>
    </w:p>
    <w:p>
      <w:pPr>
        <w:pStyle w:val="BodyText"/>
        <w:spacing w:before="5"/>
      </w:pPr>
    </w:p>
    <w:p>
      <w:pPr>
        <w:spacing w:line="288" w:lineRule="auto" w:before="0"/>
        <w:ind w:left="400" w:right="0" w:firstLine="0"/>
        <w:jc w:val="left"/>
        <w:rPr>
          <w:sz w:val="22"/>
        </w:rPr>
      </w:pPr>
      <w:r>
        <w:rPr>
          <w:sz w:val="22"/>
        </w:rPr>
        <w:t>The Export-Import Bank of China. 2017. Offering Memorandum. 7 March 2017. Accessed on 4 August 2023 at </w:t>
      </w:r>
      <w:hyperlink r:id="rId96">
        <w:r>
          <w:rPr>
            <w:color w:val="1154CC"/>
            <w:spacing w:val="-2"/>
            <w:sz w:val="22"/>
            <w:u w:val="thick" w:color="1154CC"/>
          </w:rPr>
          <w:t>https://links.sgx.com/FileOpen/China%20EximBank_USD%20Bonds%20Offering%20Memoran</w:t>
        </w:r>
      </w:hyperlink>
      <w:r>
        <w:rPr>
          <w:color w:val="1154CC"/>
          <w:spacing w:val="-2"/>
          <w:sz w:val="22"/>
        </w:rPr>
        <w:t> </w:t>
      </w:r>
      <w:hyperlink r:id="rId96">
        <w:r>
          <w:rPr>
            <w:color w:val="1154CC"/>
            <w:spacing w:val="-2"/>
            <w:sz w:val="22"/>
            <w:u w:val="thick" w:color="1154CC"/>
          </w:rPr>
          <w:t>dum%20dated%207%20March%202017.ashx?App=Prospectus&amp;FileID=30816</w:t>
        </w:r>
      </w:hyperlink>
    </w:p>
    <w:p>
      <w:pPr>
        <w:pStyle w:val="BodyText"/>
        <w:spacing w:before="4"/>
      </w:pPr>
    </w:p>
    <w:p>
      <w:pPr>
        <w:spacing w:line="288" w:lineRule="auto" w:before="0"/>
        <w:ind w:left="400" w:right="0" w:firstLine="0"/>
        <w:jc w:val="left"/>
        <w:rPr>
          <w:sz w:val="22"/>
        </w:rPr>
      </w:pPr>
      <w:r>
        <w:rPr>
          <w:sz w:val="22"/>
        </w:rPr>
        <w:t>The</w:t>
      </w:r>
      <w:r>
        <w:rPr>
          <w:spacing w:val="-3"/>
          <w:sz w:val="22"/>
        </w:rPr>
        <w:t> </w:t>
      </w:r>
      <w:r>
        <w:rPr>
          <w:sz w:val="22"/>
        </w:rPr>
        <w:t>Export-Import</w:t>
      </w:r>
      <w:r>
        <w:rPr>
          <w:spacing w:val="-3"/>
          <w:sz w:val="22"/>
        </w:rPr>
        <w:t> </w:t>
      </w:r>
      <w:r>
        <w:rPr>
          <w:sz w:val="22"/>
        </w:rPr>
        <w:t>Bank</w:t>
      </w:r>
      <w:r>
        <w:rPr>
          <w:spacing w:val="-3"/>
          <w:sz w:val="22"/>
        </w:rPr>
        <w:t> </w:t>
      </w:r>
      <w:r>
        <w:rPr>
          <w:sz w:val="22"/>
        </w:rPr>
        <w:t>of</w:t>
      </w:r>
      <w:r>
        <w:rPr>
          <w:spacing w:val="-3"/>
          <w:sz w:val="22"/>
        </w:rPr>
        <w:t> </w:t>
      </w:r>
      <w:r>
        <w:rPr>
          <w:sz w:val="22"/>
        </w:rPr>
        <w:t>China.</w:t>
      </w:r>
      <w:r>
        <w:rPr>
          <w:spacing w:val="-3"/>
          <w:sz w:val="22"/>
        </w:rPr>
        <w:t> </w:t>
      </w:r>
      <w:r>
        <w:rPr>
          <w:sz w:val="22"/>
        </w:rPr>
        <w:t>2021.</w:t>
      </w:r>
      <w:r>
        <w:rPr>
          <w:spacing w:val="-3"/>
          <w:sz w:val="22"/>
        </w:rPr>
        <w:t> </w:t>
      </w:r>
      <w:r>
        <w:rPr>
          <w:sz w:val="22"/>
        </w:rPr>
        <w:t>The</w:t>
      </w:r>
      <w:r>
        <w:rPr>
          <w:spacing w:val="-3"/>
          <w:sz w:val="22"/>
        </w:rPr>
        <w:t> </w:t>
      </w:r>
      <w:r>
        <w:rPr>
          <w:sz w:val="22"/>
        </w:rPr>
        <w:t>Party</w:t>
      </w:r>
      <w:r>
        <w:rPr>
          <w:spacing w:val="-3"/>
          <w:sz w:val="22"/>
        </w:rPr>
        <w:t> </w:t>
      </w:r>
      <w:r>
        <w:rPr>
          <w:sz w:val="22"/>
        </w:rPr>
        <w:t>Secretary</w:t>
      </w:r>
      <w:r>
        <w:rPr>
          <w:spacing w:val="-3"/>
          <w:sz w:val="22"/>
        </w:rPr>
        <w:t> </w:t>
      </w:r>
      <w:r>
        <w:rPr>
          <w:sz w:val="22"/>
        </w:rPr>
        <w:t>and</w:t>
      </w:r>
      <w:r>
        <w:rPr>
          <w:spacing w:val="-3"/>
          <w:sz w:val="22"/>
        </w:rPr>
        <w:t> </w:t>
      </w:r>
      <w:r>
        <w:rPr>
          <w:sz w:val="22"/>
        </w:rPr>
        <w:t>President</w:t>
      </w:r>
      <w:r>
        <w:rPr>
          <w:spacing w:val="-3"/>
          <w:sz w:val="22"/>
        </w:rPr>
        <w:t> </w:t>
      </w:r>
      <w:r>
        <w:rPr>
          <w:sz w:val="22"/>
        </w:rPr>
        <w:t>of</w:t>
      </w:r>
      <w:r>
        <w:rPr>
          <w:spacing w:val="-3"/>
          <w:sz w:val="22"/>
        </w:rPr>
        <w:t> </w:t>
      </w:r>
      <w:r>
        <w:rPr>
          <w:sz w:val="22"/>
        </w:rPr>
        <w:t>the</w:t>
      </w:r>
      <w:r>
        <w:rPr>
          <w:spacing w:val="-3"/>
          <w:sz w:val="22"/>
        </w:rPr>
        <w:t> </w:t>
      </w:r>
      <w:r>
        <w:rPr>
          <w:sz w:val="22"/>
        </w:rPr>
        <w:t>Export-Import Bank of China Hu Xiaolian attends events at the 2021 Boao Asia Forum. 20 April 2021.</w:t>
      </w:r>
    </w:p>
    <w:p>
      <w:pPr>
        <w:spacing w:line="288" w:lineRule="auto" w:before="0"/>
        <w:ind w:left="400" w:right="767" w:firstLine="0"/>
        <w:jc w:val="left"/>
        <w:rPr>
          <w:sz w:val="22"/>
        </w:rPr>
      </w:pPr>
      <w:r>
        <w:rPr>
          <w:sz w:val="22"/>
        </w:rPr>
        <w:t>Accessed on 1 October 2023 at </w:t>
      </w:r>
      <w:hyperlink r:id="rId97">
        <w:r>
          <w:rPr>
            <w:color w:val="1154CC"/>
            <w:spacing w:val="-2"/>
            <w:sz w:val="22"/>
            <w:u w:val="thick" w:color="1154CC"/>
          </w:rPr>
          <w:t>www.eximbank.gov.cn/info/news/202104/t20210420_30419.html</w:t>
        </w:r>
      </w:hyperlink>
    </w:p>
    <w:p>
      <w:pPr>
        <w:pStyle w:val="BodyText"/>
        <w:spacing w:before="4"/>
      </w:pPr>
    </w:p>
    <w:p>
      <w:pPr>
        <w:spacing w:line="288" w:lineRule="auto" w:before="0"/>
        <w:ind w:left="400" w:right="461" w:firstLine="0"/>
        <w:jc w:val="left"/>
        <w:rPr>
          <w:sz w:val="22"/>
        </w:rPr>
      </w:pPr>
      <w:r>
        <w:rPr>
          <w:sz w:val="22"/>
        </w:rPr>
        <w:t>The</w:t>
      </w:r>
      <w:r>
        <w:rPr>
          <w:spacing w:val="-9"/>
          <w:sz w:val="22"/>
        </w:rPr>
        <w:t> </w:t>
      </w:r>
      <w:r>
        <w:rPr>
          <w:sz w:val="22"/>
        </w:rPr>
        <w:t>People's</w:t>
      </w:r>
      <w:r>
        <w:rPr>
          <w:spacing w:val="-9"/>
          <w:sz w:val="22"/>
        </w:rPr>
        <w:t> </w:t>
      </w:r>
      <w:r>
        <w:rPr>
          <w:sz w:val="22"/>
        </w:rPr>
        <w:t>Bank</w:t>
      </w:r>
      <w:r>
        <w:rPr>
          <w:spacing w:val="-9"/>
          <w:sz w:val="22"/>
        </w:rPr>
        <w:t> </w:t>
      </w:r>
      <w:r>
        <w:rPr>
          <w:sz w:val="22"/>
        </w:rPr>
        <w:t>of</w:t>
      </w:r>
      <w:r>
        <w:rPr>
          <w:spacing w:val="-9"/>
          <w:sz w:val="22"/>
        </w:rPr>
        <w:t> </w:t>
      </w:r>
      <w:r>
        <w:rPr>
          <w:sz w:val="22"/>
        </w:rPr>
        <w:t>China</w:t>
      </w:r>
      <w:r>
        <w:rPr>
          <w:spacing w:val="-9"/>
          <w:sz w:val="22"/>
        </w:rPr>
        <w:t> </w:t>
      </w:r>
      <w:r>
        <w:rPr>
          <w:sz w:val="22"/>
        </w:rPr>
        <w:t>(PBOC).</w:t>
      </w:r>
      <w:r>
        <w:rPr>
          <w:spacing w:val="-9"/>
          <w:sz w:val="22"/>
        </w:rPr>
        <w:t> </w:t>
      </w:r>
      <w:r>
        <w:rPr>
          <w:sz w:val="22"/>
        </w:rPr>
        <w:t>2007.</w:t>
      </w:r>
      <w:r>
        <w:rPr>
          <w:spacing w:val="-9"/>
          <w:sz w:val="22"/>
        </w:rPr>
        <w:t> </w:t>
      </w:r>
      <w:r>
        <w:rPr>
          <w:sz w:val="22"/>
        </w:rPr>
        <w:t>China</w:t>
      </w:r>
      <w:r>
        <w:rPr>
          <w:spacing w:val="-9"/>
          <w:sz w:val="22"/>
        </w:rPr>
        <w:t> </w:t>
      </w:r>
      <w:r>
        <w:rPr>
          <w:sz w:val="22"/>
        </w:rPr>
        <w:t>Development</w:t>
      </w:r>
      <w:r>
        <w:rPr>
          <w:spacing w:val="-9"/>
          <w:sz w:val="22"/>
        </w:rPr>
        <w:t> </w:t>
      </w:r>
      <w:r>
        <w:rPr>
          <w:sz w:val="22"/>
        </w:rPr>
        <w:t>Bank</w:t>
      </w:r>
      <w:r>
        <w:rPr>
          <w:spacing w:val="-9"/>
          <w:sz w:val="22"/>
        </w:rPr>
        <w:t> </w:t>
      </w:r>
      <w:r>
        <w:rPr>
          <w:sz w:val="22"/>
        </w:rPr>
        <w:t>to</w:t>
      </w:r>
      <w:r>
        <w:rPr>
          <w:spacing w:val="-9"/>
          <w:sz w:val="22"/>
        </w:rPr>
        <w:t> </w:t>
      </w:r>
      <w:r>
        <w:rPr>
          <w:sz w:val="22"/>
        </w:rPr>
        <w:t>Receive</w:t>
      </w:r>
      <w:r>
        <w:rPr>
          <w:spacing w:val="-9"/>
          <w:sz w:val="22"/>
        </w:rPr>
        <w:t> </w:t>
      </w:r>
      <w:r>
        <w:rPr>
          <w:sz w:val="22"/>
        </w:rPr>
        <w:t>US$20</w:t>
      </w:r>
      <w:r>
        <w:rPr>
          <w:spacing w:val="-9"/>
          <w:sz w:val="22"/>
        </w:rPr>
        <w:t> </w:t>
      </w:r>
      <w:r>
        <w:rPr>
          <w:sz w:val="22"/>
        </w:rPr>
        <w:t>billion as Capital Injection. 31 December 2007. Beijing: PBOC. Accessed on 2 June 2023 at </w:t>
      </w:r>
      <w:hyperlink r:id="rId98">
        <w:r>
          <w:rPr>
            <w:color w:val="1154CC"/>
            <w:spacing w:val="-2"/>
            <w:w w:val="105"/>
            <w:sz w:val="22"/>
            <w:u w:val="thick" w:color="1154CC"/>
          </w:rPr>
          <w:t>www.pbc.gov.cn/en/3688110/3688172/4048344/3715513/index.html</w:t>
        </w:r>
      </w:hyperlink>
    </w:p>
    <w:p>
      <w:pPr>
        <w:pStyle w:val="BodyText"/>
        <w:spacing w:before="4"/>
      </w:pPr>
    </w:p>
    <w:p>
      <w:pPr>
        <w:spacing w:line="288" w:lineRule="auto" w:before="0"/>
        <w:ind w:left="400" w:right="0" w:firstLine="0"/>
        <w:jc w:val="left"/>
        <w:rPr>
          <w:sz w:val="22"/>
        </w:rPr>
      </w:pPr>
      <w:r>
        <w:rPr>
          <w:sz w:val="22"/>
        </w:rPr>
        <w:t>The</w:t>
      </w:r>
      <w:r>
        <w:rPr>
          <w:spacing w:val="-4"/>
          <w:sz w:val="22"/>
        </w:rPr>
        <w:t> </w:t>
      </w:r>
      <w:r>
        <w:rPr>
          <w:sz w:val="22"/>
        </w:rPr>
        <w:t>People's</w:t>
      </w:r>
      <w:r>
        <w:rPr>
          <w:spacing w:val="-4"/>
          <w:sz w:val="22"/>
        </w:rPr>
        <w:t> </w:t>
      </w:r>
      <w:r>
        <w:rPr>
          <w:sz w:val="22"/>
        </w:rPr>
        <w:t>Bank</w:t>
      </w:r>
      <w:r>
        <w:rPr>
          <w:spacing w:val="-4"/>
          <w:sz w:val="22"/>
        </w:rPr>
        <w:t> </w:t>
      </w:r>
      <w:r>
        <w:rPr>
          <w:sz w:val="22"/>
        </w:rPr>
        <w:t>of</w:t>
      </w:r>
      <w:r>
        <w:rPr>
          <w:spacing w:val="-4"/>
          <w:sz w:val="22"/>
        </w:rPr>
        <w:t> </w:t>
      </w:r>
      <w:r>
        <w:rPr>
          <w:sz w:val="22"/>
        </w:rPr>
        <w:t>China</w:t>
      </w:r>
      <w:r>
        <w:rPr>
          <w:spacing w:val="-4"/>
          <w:sz w:val="22"/>
        </w:rPr>
        <w:t> </w:t>
      </w:r>
      <w:r>
        <w:rPr>
          <w:sz w:val="22"/>
        </w:rPr>
        <w:t>(PBOC).</w:t>
      </w:r>
      <w:r>
        <w:rPr>
          <w:spacing w:val="-4"/>
          <w:sz w:val="22"/>
        </w:rPr>
        <w:t> </w:t>
      </w:r>
      <w:r>
        <w:rPr>
          <w:sz w:val="22"/>
        </w:rPr>
        <w:t>2012.</w:t>
      </w:r>
      <w:r>
        <w:rPr>
          <w:spacing w:val="-4"/>
          <w:sz w:val="22"/>
        </w:rPr>
        <w:t> </w:t>
      </w:r>
      <w:r>
        <w:rPr>
          <w:sz w:val="22"/>
        </w:rPr>
        <w:t>China</w:t>
      </w:r>
      <w:r>
        <w:rPr>
          <w:spacing w:val="-4"/>
          <w:sz w:val="22"/>
        </w:rPr>
        <w:t> </w:t>
      </w:r>
      <w:r>
        <w:rPr>
          <w:sz w:val="22"/>
        </w:rPr>
        <w:t>Financial</w:t>
      </w:r>
      <w:r>
        <w:rPr>
          <w:spacing w:val="-4"/>
          <w:sz w:val="22"/>
        </w:rPr>
        <w:t> </w:t>
      </w:r>
      <w:r>
        <w:rPr>
          <w:sz w:val="22"/>
        </w:rPr>
        <w:t>Stability</w:t>
      </w:r>
      <w:r>
        <w:rPr>
          <w:spacing w:val="-4"/>
          <w:sz w:val="22"/>
        </w:rPr>
        <w:t> </w:t>
      </w:r>
      <w:r>
        <w:rPr>
          <w:sz w:val="22"/>
        </w:rPr>
        <w:t>Report</w:t>
      </w:r>
      <w:r>
        <w:rPr>
          <w:spacing w:val="-4"/>
          <w:sz w:val="22"/>
        </w:rPr>
        <w:t> </w:t>
      </w:r>
      <w:r>
        <w:rPr>
          <w:sz w:val="22"/>
        </w:rPr>
        <w:t>2012.</w:t>
      </w:r>
      <w:r>
        <w:rPr>
          <w:spacing w:val="-4"/>
          <w:sz w:val="22"/>
        </w:rPr>
        <w:t> </w:t>
      </w:r>
      <w:r>
        <w:rPr>
          <w:sz w:val="22"/>
        </w:rPr>
        <w:t>eijing:</w:t>
      </w:r>
      <w:r>
        <w:rPr>
          <w:spacing w:val="-4"/>
          <w:sz w:val="22"/>
        </w:rPr>
        <w:t> </w:t>
      </w:r>
      <w:r>
        <w:rPr>
          <w:sz w:val="22"/>
        </w:rPr>
        <w:t>PBOC. Accessed on 1 June 2023 at </w:t>
      </w:r>
      <w:hyperlink r:id="rId99">
        <w:r>
          <w:rPr>
            <w:color w:val="1154CC"/>
            <w:spacing w:val="-2"/>
            <w:sz w:val="22"/>
            <w:u w:val="thick" w:color="1154CC"/>
          </w:rPr>
          <w:t>www.pbc.gov.cn/eportal/ﬁleDir/image_public/UserFiles/english/upload/File/China%20Financial</w:t>
        </w:r>
      </w:hyperlink>
    </w:p>
    <w:p>
      <w:pPr>
        <w:spacing w:before="0"/>
        <w:ind w:left="400" w:right="0" w:firstLine="0"/>
        <w:jc w:val="left"/>
        <w:rPr>
          <w:sz w:val="22"/>
        </w:rPr>
      </w:pPr>
      <w:hyperlink r:id="rId99">
        <w:r>
          <w:rPr>
            <w:color w:val="1154CC"/>
            <w:spacing w:val="-2"/>
            <w:sz w:val="22"/>
            <w:u w:val="thick" w:color="1154CC"/>
          </w:rPr>
          <w:t>%20%20Stability%20Report(1).pdf</w:t>
        </w:r>
      </w:hyperlink>
    </w:p>
    <w:p>
      <w:pPr>
        <w:spacing w:after="0"/>
        <w:jc w:val="left"/>
        <w:rPr>
          <w:sz w:val="22"/>
        </w:rPr>
        <w:sectPr>
          <w:footerReference w:type="default" r:id="rId92"/>
          <w:pgSz w:w="12240" w:h="15840"/>
          <w:pgMar w:footer="0" w:header="0" w:top="1400" w:bottom="280" w:left="1040" w:right="1040"/>
        </w:sectPr>
      </w:pPr>
    </w:p>
    <w:p>
      <w:pPr>
        <w:spacing w:line="288" w:lineRule="auto" w:before="44"/>
        <w:ind w:left="400" w:right="398" w:firstLine="0"/>
        <w:jc w:val="left"/>
        <w:rPr>
          <w:sz w:val="22"/>
        </w:rPr>
      </w:pPr>
      <w:r>
        <w:rPr>
          <w:sz w:val="22"/>
        </w:rPr>
        <w:t>Wei,</w:t>
      </w:r>
      <w:r>
        <w:rPr>
          <w:spacing w:val="-8"/>
          <w:sz w:val="22"/>
        </w:rPr>
        <w:t> </w:t>
      </w:r>
      <w:r>
        <w:rPr>
          <w:sz w:val="22"/>
        </w:rPr>
        <w:t>Lingling.</w:t>
      </w:r>
      <w:r>
        <w:rPr>
          <w:spacing w:val="-8"/>
          <w:sz w:val="22"/>
        </w:rPr>
        <w:t> </w:t>
      </w:r>
      <w:r>
        <w:rPr>
          <w:sz w:val="22"/>
        </w:rPr>
        <w:t>2013.</w:t>
      </w:r>
      <w:r>
        <w:rPr>
          <w:spacing w:val="-8"/>
          <w:sz w:val="22"/>
        </w:rPr>
        <w:t> </w:t>
      </w:r>
      <w:r>
        <w:rPr>
          <w:sz w:val="22"/>
        </w:rPr>
        <w:t>China's</w:t>
      </w:r>
      <w:r>
        <w:rPr>
          <w:spacing w:val="-8"/>
          <w:sz w:val="22"/>
        </w:rPr>
        <w:t> </w:t>
      </w:r>
      <w:r>
        <w:rPr>
          <w:sz w:val="22"/>
        </w:rPr>
        <w:t>Zhu</w:t>
      </w:r>
      <w:r>
        <w:rPr>
          <w:spacing w:val="-8"/>
          <w:sz w:val="22"/>
        </w:rPr>
        <w:t> </w:t>
      </w:r>
      <w:r>
        <w:rPr>
          <w:sz w:val="22"/>
        </w:rPr>
        <w:t>Changhong</w:t>
      </w:r>
      <w:r>
        <w:rPr>
          <w:spacing w:val="-8"/>
          <w:sz w:val="22"/>
        </w:rPr>
        <w:t> </w:t>
      </w:r>
      <w:r>
        <w:rPr>
          <w:sz w:val="22"/>
        </w:rPr>
        <w:t>Helps</w:t>
      </w:r>
      <w:r>
        <w:rPr>
          <w:spacing w:val="-8"/>
          <w:sz w:val="22"/>
        </w:rPr>
        <w:t> </w:t>
      </w:r>
      <w:r>
        <w:rPr>
          <w:sz w:val="22"/>
        </w:rPr>
        <w:t>Steer</w:t>
      </w:r>
      <w:r>
        <w:rPr>
          <w:spacing w:val="-8"/>
          <w:sz w:val="22"/>
        </w:rPr>
        <w:t> </w:t>
      </w:r>
      <w:r>
        <w:rPr>
          <w:sz w:val="22"/>
        </w:rPr>
        <w:t>Nation's</w:t>
      </w:r>
      <w:r>
        <w:rPr>
          <w:spacing w:val="-8"/>
          <w:sz w:val="22"/>
        </w:rPr>
        <w:t> </w:t>
      </w:r>
      <w:r>
        <w:rPr>
          <w:sz w:val="22"/>
        </w:rPr>
        <w:t>Currency</w:t>
      </w:r>
      <w:r>
        <w:rPr>
          <w:spacing w:val="-8"/>
          <w:sz w:val="22"/>
        </w:rPr>
        <w:t> </w:t>
      </w:r>
      <w:r>
        <w:rPr>
          <w:sz w:val="22"/>
        </w:rPr>
        <w:t>Reserves.</w:t>
      </w:r>
      <w:r>
        <w:rPr>
          <w:spacing w:val="-8"/>
          <w:sz w:val="22"/>
        </w:rPr>
        <w:t> </w:t>
      </w:r>
      <w:r>
        <w:rPr>
          <w:sz w:val="22"/>
        </w:rPr>
        <w:t>16</w:t>
      </w:r>
      <w:r>
        <w:rPr>
          <w:spacing w:val="-8"/>
          <w:sz w:val="22"/>
        </w:rPr>
        <w:t> </w:t>
      </w:r>
      <w:r>
        <w:rPr>
          <w:sz w:val="22"/>
        </w:rPr>
        <w:t>July 2013. </w:t>
      </w:r>
      <w:r>
        <w:rPr>
          <w:i/>
          <w:sz w:val="22"/>
        </w:rPr>
        <w:t>Wall Street Journal</w:t>
      </w:r>
      <w:r>
        <w:rPr>
          <w:sz w:val="22"/>
        </w:rPr>
        <w:t>. Accessed on 1 August 2023 at </w:t>
      </w:r>
      <w:hyperlink r:id="rId101">
        <w:r>
          <w:rPr>
            <w:color w:val="1154CC"/>
            <w:spacing w:val="-2"/>
            <w:sz w:val="22"/>
            <w:u w:val="thick" w:color="1154CC"/>
          </w:rPr>
          <w:t>https://www.wsj.com/articles/SB10001424127887323664204578606301739504368</w:t>
        </w:r>
      </w:hyperlink>
    </w:p>
    <w:p>
      <w:pPr>
        <w:pStyle w:val="BodyText"/>
        <w:spacing w:before="5"/>
      </w:pPr>
    </w:p>
    <w:p>
      <w:pPr>
        <w:spacing w:line="288" w:lineRule="auto" w:before="0"/>
        <w:ind w:left="400" w:right="767" w:firstLine="0"/>
        <w:jc w:val="left"/>
        <w:rPr>
          <w:sz w:val="22"/>
        </w:rPr>
      </w:pPr>
      <w:r>
        <w:rPr>
          <w:sz w:val="22"/>
        </w:rPr>
        <w:t>Wellner,</w:t>
      </w:r>
      <w:r>
        <w:rPr>
          <w:spacing w:val="-8"/>
          <w:sz w:val="22"/>
        </w:rPr>
        <w:t> </w:t>
      </w:r>
      <w:r>
        <w:rPr>
          <w:sz w:val="22"/>
        </w:rPr>
        <w:t>Lukas,</w:t>
      </w:r>
      <w:r>
        <w:rPr>
          <w:spacing w:val="-8"/>
          <w:sz w:val="22"/>
        </w:rPr>
        <w:t> </w:t>
      </w:r>
      <w:r>
        <w:rPr>
          <w:sz w:val="22"/>
        </w:rPr>
        <w:t>Axel</w:t>
      </w:r>
      <w:r>
        <w:rPr>
          <w:spacing w:val="-8"/>
          <w:sz w:val="22"/>
        </w:rPr>
        <w:t> </w:t>
      </w:r>
      <w:r>
        <w:rPr>
          <w:sz w:val="22"/>
        </w:rPr>
        <w:t>Dreher,</w:t>
      </w:r>
      <w:r>
        <w:rPr>
          <w:spacing w:val="-8"/>
          <w:sz w:val="22"/>
        </w:rPr>
        <w:t> </w:t>
      </w:r>
      <w:r>
        <w:rPr>
          <w:sz w:val="22"/>
        </w:rPr>
        <w:t>Andreas</w:t>
      </w:r>
      <w:r>
        <w:rPr>
          <w:spacing w:val="-8"/>
          <w:sz w:val="22"/>
        </w:rPr>
        <w:t> </w:t>
      </w:r>
      <w:r>
        <w:rPr>
          <w:sz w:val="22"/>
        </w:rPr>
        <w:t>Fuchs,</w:t>
      </w:r>
      <w:r>
        <w:rPr>
          <w:spacing w:val="-8"/>
          <w:sz w:val="22"/>
        </w:rPr>
        <w:t> </w:t>
      </w:r>
      <w:r>
        <w:rPr>
          <w:sz w:val="22"/>
        </w:rPr>
        <w:t>Bradley</w:t>
      </w:r>
      <w:r>
        <w:rPr>
          <w:spacing w:val="-8"/>
          <w:sz w:val="22"/>
        </w:rPr>
        <w:t> </w:t>
      </w:r>
      <w:r>
        <w:rPr>
          <w:sz w:val="22"/>
        </w:rPr>
        <w:t>C.</w:t>
      </w:r>
      <w:r>
        <w:rPr>
          <w:spacing w:val="-8"/>
          <w:sz w:val="22"/>
        </w:rPr>
        <w:t> </w:t>
      </w:r>
      <w:r>
        <w:rPr>
          <w:sz w:val="22"/>
        </w:rPr>
        <w:t>Parks,</w:t>
      </w:r>
      <w:r>
        <w:rPr>
          <w:spacing w:val="-8"/>
          <w:sz w:val="22"/>
        </w:rPr>
        <w:t> </w:t>
      </w:r>
      <w:r>
        <w:rPr>
          <w:sz w:val="22"/>
        </w:rPr>
        <w:t>and</w:t>
      </w:r>
      <w:r>
        <w:rPr>
          <w:spacing w:val="-8"/>
          <w:sz w:val="22"/>
        </w:rPr>
        <w:t> </w:t>
      </w:r>
      <w:r>
        <w:rPr>
          <w:sz w:val="22"/>
        </w:rPr>
        <w:t>Austin</w:t>
      </w:r>
      <w:r>
        <w:rPr>
          <w:spacing w:val="-8"/>
          <w:sz w:val="22"/>
        </w:rPr>
        <w:t> </w:t>
      </w:r>
      <w:r>
        <w:rPr>
          <w:sz w:val="22"/>
        </w:rPr>
        <w:t>Strange. Forthcoming. Can Aid Buy Foreign Public Support? Evidence from Chinese Development Finance. </w:t>
      </w:r>
      <w:r>
        <w:rPr>
          <w:i/>
          <w:sz w:val="22"/>
        </w:rPr>
        <w:t>Economic Development and Cultural Change</w:t>
      </w:r>
      <w:r>
        <w:rPr>
          <w:sz w:val="22"/>
        </w:rPr>
        <w:t>.</w:t>
      </w:r>
    </w:p>
    <w:p>
      <w:pPr>
        <w:pStyle w:val="BodyText"/>
        <w:spacing w:before="5"/>
      </w:pPr>
    </w:p>
    <w:p>
      <w:pPr>
        <w:spacing w:line="288" w:lineRule="auto" w:before="0"/>
        <w:ind w:left="400" w:right="501" w:firstLine="0"/>
        <w:jc w:val="left"/>
        <w:rPr>
          <w:sz w:val="22"/>
        </w:rPr>
      </w:pPr>
      <w:r>
        <w:rPr>
          <w:sz w:val="22"/>
        </w:rPr>
        <w:t>Wigglesworth, Robin and Sun Yu. 2023. How China changed the game for countries in default. </w:t>
      </w:r>
      <w:r>
        <w:rPr>
          <w:spacing w:val="-2"/>
          <w:w w:val="105"/>
          <w:sz w:val="22"/>
        </w:rPr>
        <w:t>13</w:t>
      </w:r>
      <w:r>
        <w:rPr>
          <w:spacing w:val="-12"/>
          <w:w w:val="105"/>
          <w:sz w:val="22"/>
        </w:rPr>
        <w:t> </w:t>
      </w:r>
      <w:r>
        <w:rPr>
          <w:spacing w:val="-2"/>
          <w:w w:val="105"/>
          <w:sz w:val="22"/>
        </w:rPr>
        <w:t>April</w:t>
      </w:r>
      <w:r>
        <w:rPr>
          <w:spacing w:val="-12"/>
          <w:w w:val="105"/>
          <w:sz w:val="22"/>
        </w:rPr>
        <w:t> </w:t>
      </w:r>
      <w:r>
        <w:rPr>
          <w:spacing w:val="-2"/>
          <w:w w:val="105"/>
          <w:sz w:val="22"/>
        </w:rPr>
        <w:t>2023.</w:t>
      </w:r>
      <w:r>
        <w:rPr>
          <w:spacing w:val="-12"/>
          <w:w w:val="105"/>
          <w:sz w:val="22"/>
        </w:rPr>
        <w:t> </w:t>
      </w:r>
      <w:r>
        <w:rPr>
          <w:i/>
          <w:spacing w:val="-2"/>
          <w:w w:val="105"/>
          <w:sz w:val="22"/>
        </w:rPr>
        <w:t>Financial</w:t>
      </w:r>
      <w:r>
        <w:rPr>
          <w:i/>
          <w:spacing w:val="-12"/>
          <w:w w:val="105"/>
          <w:sz w:val="22"/>
        </w:rPr>
        <w:t> </w:t>
      </w:r>
      <w:r>
        <w:rPr>
          <w:i/>
          <w:spacing w:val="-2"/>
          <w:w w:val="105"/>
          <w:sz w:val="22"/>
        </w:rPr>
        <w:t>Times</w:t>
      </w:r>
      <w:r>
        <w:rPr>
          <w:spacing w:val="-2"/>
          <w:w w:val="105"/>
          <w:sz w:val="22"/>
        </w:rPr>
        <w:t>.</w:t>
      </w:r>
      <w:r>
        <w:rPr>
          <w:spacing w:val="-12"/>
          <w:w w:val="105"/>
          <w:sz w:val="22"/>
        </w:rPr>
        <w:t> </w:t>
      </w:r>
      <w:r>
        <w:rPr>
          <w:spacing w:val="-2"/>
          <w:w w:val="105"/>
          <w:sz w:val="22"/>
        </w:rPr>
        <w:t>Accessed</w:t>
      </w:r>
      <w:r>
        <w:rPr>
          <w:spacing w:val="-12"/>
          <w:w w:val="105"/>
          <w:sz w:val="22"/>
        </w:rPr>
        <w:t> </w:t>
      </w:r>
      <w:r>
        <w:rPr>
          <w:spacing w:val="-2"/>
          <w:w w:val="105"/>
          <w:sz w:val="22"/>
        </w:rPr>
        <w:t>on</w:t>
      </w:r>
      <w:r>
        <w:rPr>
          <w:spacing w:val="-12"/>
          <w:w w:val="105"/>
          <w:sz w:val="22"/>
        </w:rPr>
        <w:t> </w:t>
      </w:r>
      <w:r>
        <w:rPr>
          <w:spacing w:val="-2"/>
          <w:w w:val="105"/>
          <w:sz w:val="22"/>
        </w:rPr>
        <w:t>14</w:t>
      </w:r>
      <w:r>
        <w:rPr>
          <w:spacing w:val="-12"/>
          <w:w w:val="105"/>
          <w:sz w:val="22"/>
        </w:rPr>
        <w:t> </w:t>
      </w:r>
      <w:r>
        <w:rPr>
          <w:spacing w:val="-2"/>
          <w:w w:val="105"/>
          <w:sz w:val="22"/>
        </w:rPr>
        <w:t>August</w:t>
      </w:r>
      <w:r>
        <w:rPr>
          <w:spacing w:val="-12"/>
          <w:w w:val="105"/>
          <w:sz w:val="22"/>
        </w:rPr>
        <w:t> </w:t>
      </w:r>
      <w:r>
        <w:rPr>
          <w:spacing w:val="-2"/>
          <w:w w:val="105"/>
          <w:sz w:val="22"/>
        </w:rPr>
        <w:t>2023</w:t>
      </w:r>
      <w:r>
        <w:rPr>
          <w:spacing w:val="-12"/>
          <w:w w:val="105"/>
          <w:sz w:val="22"/>
        </w:rPr>
        <w:t> </w:t>
      </w:r>
      <w:r>
        <w:rPr>
          <w:spacing w:val="-2"/>
          <w:w w:val="105"/>
          <w:sz w:val="22"/>
        </w:rPr>
        <w:t>at </w:t>
      </w:r>
      <w:hyperlink r:id="rId102">
        <w:r>
          <w:rPr>
            <w:color w:val="1154CC"/>
            <w:spacing w:val="-2"/>
            <w:w w:val="105"/>
            <w:sz w:val="22"/>
            <w:u w:val="thick" w:color="1154CC"/>
          </w:rPr>
          <w:t>https://www.ft.com/content/19add278-aa83-45f8-a84f-12750f32258f</w:t>
        </w:r>
      </w:hyperlink>
    </w:p>
    <w:p>
      <w:pPr>
        <w:pStyle w:val="BodyText"/>
        <w:spacing w:before="5"/>
      </w:pPr>
    </w:p>
    <w:p>
      <w:pPr>
        <w:spacing w:line="288" w:lineRule="auto" w:before="0"/>
        <w:ind w:left="400" w:right="454" w:firstLine="0"/>
        <w:jc w:val="left"/>
        <w:rPr>
          <w:sz w:val="22"/>
        </w:rPr>
      </w:pPr>
      <w:r>
        <w:rPr>
          <w:sz w:val="22"/>
        </w:rPr>
        <w:t>Wilson, Elliot. 2022. BRI: Have we passed peak China? 16 February 2022. Euromoney. Accessed on 3 August 2023 at </w:t>
      </w:r>
      <w:hyperlink r:id="rId103">
        <w:r>
          <w:rPr>
            <w:color w:val="1154CC"/>
            <w:spacing w:val="-2"/>
            <w:sz w:val="22"/>
            <w:u w:val="thick" w:color="1154CC"/>
          </w:rPr>
          <w:t>https://www.euromoney.com/article/29ppq3xrh5p5bxgoh9dz4/opinion/bri-have-we-passed-pe</w:t>
        </w:r>
      </w:hyperlink>
      <w:r>
        <w:rPr>
          <w:color w:val="1154CC"/>
          <w:spacing w:val="40"/>
          <w:sz w:val="22"/>
        </w:rPr>
        <w:t>  </w:t>
      </w:r>
      <w:hyperlink r:id="rId103">
        <w:r>
          <w:rPr>
            <w:color w:val="1154CC"/>
            <w:spacing w:val="-2"/>
            <w:sz w:val="22"/>
            <w:u w:val="thick" w:color="1154CC"/>
          </w:rPr>
          <w:t>ak-china</w:t>
        </w:r>
      </w:hyperlink>
    </w:p>
    <w:p>
      <w:pPr>
        <w:pStyle w:val="BodyText"/>
        <w:spacing w:before="5"/>
      </w:pPr>
    </w:p>
    <w:p>
      <w:pPr>
        <w:spacing w:line="288" w:lineRule="auto" w:before="0"/>
        <w:ind w:left="400" w:right="668" w:firstLine="0"/>
        <w:jc w:val="left"/>
        <w:rPr>
          <w:sz w:val="22"/>
        </w:rPr>
      </w:pPr>
      <w:r>
        <w:rPr>
          <w:sz w:val="22"/>
        </w:rPr>
        <w:t>Wooley,</w:t>
      </w:r>
      <w:r>
        <w:rPr>
          <w:spacing w:val="-11"/>
          <w:sz w:val="22"/>
        </w:rPr>
        <w:t> </w:t>
      </w:r>
      <w:r>
        <w:rPr>
          <w:sz w:val="22"/>
        </w:rPr>
        <w:t>Alex.</w:t>
      </w:r>
      <w:r>
        <w:rPr>
          <w:spacing w:val="-11"/>
          <w:sz w:val="22"/>
        </w:rPr>
        <w:t> </w:t>
      </w:r>
      <w:r>
        <w:rPr>
          <w:sz w:val="22"/>
        </w:rPr>
        <w:t>2023.</w:t>
      </w:r>
      <w:r>
        <w:rPr>
          <w:spacing w:val="-11"/>
          <w:sz w:val="22"/>
        </w:rPr>
        <w:t> </w:t>
      </w:r>
      <w:r>
        <w:rPr>
          <w:sz w:val="22"/>
        </w:rPr>
        <w:t>AidData’s</w:t>
      </w:r>
      <w:r>
        <w:rPr>
          <w:spacing w:val="-11"/>
          <w:sz w:val="22"/>
        </w:rPr>
        <w:t> </w:t>
      </w:r>
      <w:r>
        <w:rPr>
          <w:sz w:val="22"/>
        </w:rPr>
        <w:t>China</w:t>
      </w:r>
      <w:r>
        <w:rPr>
          <w:spacing w:val="-11"/>
          <w:sz w:val="22"/>
        </w:rPr>
        <w:t> </w:t>
      </w:r>
      <w:r>
        <w:rPr>
          <w:sz w:val="22"/>
        </w:rPr>
        <w:t>data</w:t>
      </w:r>
      <w:r>
        <w:rPr>
          <w:spacing w:val="-11"/>
          <w:sz w:val="22"/>
        </w:rPr>
        <w:t> </w:t>
      </w:r>
      <w:r>
        <w:rPr>
          <w:sz w:val="22"/>
        </w:rPr>
        <w:t>wins</w:t>
      </w:r>
      <w:r>
        <w:rPr>
          <w:spacing w:val="-11"/>
          <w:sz w:val="22"/>
        </w:rPr>
        <w:t> </w:t>
      </w:r>
      <w:r>
        <w:rPr>
          <w:sz w:val="22"/>
        </w:rPr>
        <w:t>2023</w:t>
      </w:r>
      <w:r>
        <w:rPr>
          <w:spacing w:val="-11"/>
          <w:sz w:val="22"/>
        </w:rPr>
        <w:t> </w:t>
      </w:r>
      <w:r>
        <w:rPr>
          <w:sz w:val="22"/>
        </w:rPr>
        <w:t>Best</w:t>
      </w:r>
      <w:r>
        <w:rPr>
          <w:spacing w:val="-11"/>
          <w:sz w:val="22"/>
        </w:rPr>
        <w:t> </w:t>
      </w:r>
      <w:r>
        <w:rPr>
          <w:sz w:val="22"/>
        </w:rPr>
        <w:t>Dataset</w:t>
      </w:r>
      <w:r>
        <w:rPr>
          <w:spacing w:val="-11"/>
          <w:sz w:val="22"/>
        </w:rPr>
        <w:t> </w:t>
      </w:r>
      <w:r>
        <w:rPr>
          <w:sz w:val="22"/>
        </w:rPr>
        <w:t>Award</w:t>
      </w:r>
      <w:r>
        <w:rPr>
          <w:spacing w:val="-11"/>
          <w:sz w:val="22"/>
        </w:rPr>
        <w:t> </w:t>
      </w:r>
      <w:r>
        <w:rPr>
          <w:sz w:val="22"/>
        </w:rPr>
        <w:t>from</w:t>
      </w:r>
      <w:r>
        <w:rPr>
          <w:spacing w:val="-11"/>
          <w:sz w:val="22"/>
        </w:rPr>
        <w:t> </w:t>
      </w:r>
      <w:r>
        <w:rPr>
          <w:sz w:val="22"/>
        </w:rPr>
        <w:t>IPES.</w:t>
      </w:r>
      <w:r>
        <w:rPr>
          <w:spacing w:val="-11"/>
          <w:sz w:val="22"/>
        </w:rPr>
        <w:t> </w:t>
      </w:r>
      <w:r>
        <w:rPr>
          <w:i/>
          <w:sz w:val="22"/>
        </w:rPr>
        <w:t>The</w:t>
      </w:r>
      <w:r>
        <w:rPr>
          <w:i/>
          <w:spacing w:val="-11"/>
          <w:sz w:val="22"/>
        </w:rPr>
        <w:t> </w:t>
      </w:r>
      <w:r>
        <w:rPr>
          <w:i/>
          <w:sz w:val="22"/>
        </w:rPr>
        <w:t>First</w:t>
      </w:r>
      <w:r>
        <w:rPr>
          <w:i/>
          <w:sz w:val="22"/>
        </w:rPr>
        <w:t> </w:t>
      </w:r>
      <w:r>
        <w:rPr>
          <w:i/>
          <w:spacing w:val="-2"/>
          <w:w w:val="105"/>
          <w:sz w:val="22"/>
        </w:rPr>
        <w:t>Tranche.</w:t>
      </w:r>
      <w:r>
        <w:rPr>
          <w:i/>
          <w:spacing w:val="-14"/>
          <w:w w:val="105"/>
          <w:sz w:val="22"/>
        </w:rPr>
        <w:t> </w:t>
      </w:r>
      <w:r>
        <w:rPr>
          <w:spacing w:val="-2"/>
          <w:w w:val="105"/>
          <w:sz w:val="22"/>
        </w:rPr>
        <w:t>29</w:t>
      </w:r>
      <w:r>
        <w:rPr>
          <w:spacing w:val="-14"/>
          <w:w w:val="105"/>
          <w:sz w:val="22"/>
        </w:rPr>
        <w:t> </w:t>
      </w:r>
      <w:r>
        <w:rPr>
          <w:spacing w:val="-2"/>
          <w:w w:val="105"/>
          <w:sz w:val="22"/>
        </w:rPr>
        <w:t>August</w:t>
      </w:r>
      <w:r>
        <w:rPr>
          <w:spacing w:val="-14"/>
          <w:w w:val="105"/>
          <w:sz w:val="22"/>
        </w:rPr>
        <w:t> </w:t>
      </w:r>
      <w:r>
        <w:rPr>
          <w:spacing w:val="-2"/>
          <w:w w:val="105"/>
          <w:sz w:val="22"/>
        </w:rPr>
        <w:t>2023.</w:t>
      </w:r>
      <w:r>
        <w:rPr>
          <w:spacing w:val="-14"/>
          <w:w w:val="105"/>
          <w:sz w:val="22"/>
        </w:rPr>
        <w:t> </w:t>
      </w:r>
      <w:r>
        <w:rPr>
          <w:spacing w:val="-2"/>
          <w:w w:val="105"/>
          <w:sz w:val="22"/>
        </w:rPr>
        <w:t>Accessed</w:t>
      </w:r>
      <w:r>
        <w:rPr>
          <w:spacing w:val="-14"/>
          <w:w w:val="105"/>
          <w:sz w:val="22"/>
        </w:rPr>
        <w:t> </w:t>
      </w:r>
      <w:r>
        <w:rPr>
          <w:spacing w:val="-2"/>
          <w:w w:val="105"/>
          <w:sz w:val="22"/>
        </w:rPr>
        <w:t>on</w:t>
      </w:r>
      <w:r>
        <w:rPr>
          <w:spacing w:val="-14"/>
          <w:w w:val="105"/>
          <w:sz w:val="22"/>
        </w:rPr>
        <w:t> </w:t>
      </w:r>
      <w:r>
        <w:rPr>
          <w:spacing w:val="-2"/>
          <w:w w:val="105"/>
          <w:sz w:val="22"/>
        </w:rPr>
        <w:t>10</w:t>
      </w:r>
      <w:r>
        <w:rPr>
          <w:spacing w:val="-14"/>
          <w:w w:val="105"/>
          <w:sz w:val="22"/>
        </w:rPr>
        <w:t> </w:t>
      </w:r>
      <w:r>
        <w:rPr>
          <w:spacing w:val="-2"/>
          <w:w w:val="105"/>
          <w:sz w:val="22"/>
        </w:rPr>
        <w:t>September</w:t>
      </w:r>
      <w:r>
        <w:rPr>
          <w:spacing w:val="-14"/>
          <w:w w:val="105"/>
          <w:sz w:val="22"/>
        </w:rPr>
        <w:t> </w:t>
      </w:r>
      <w:r>
        <w:rPr>
          <w:spacing w:val="-2"/>
          <w:w w:val="105"/>
          <w:sz w:val="22"/>
        </w:rPr>
        <w:t>2023</w:t>
      </w:r>
      <w:r>
        <w:rPr>
          <w:spacing w:val="-14"/>
          <w:w w:val="105"/>
          <w:sz w:val="22"/>
        </w:rPr>
        <w:t> </w:t>
      </w:r>
      <w:r>
        <w:rPr>
          <w:spacing w:val="-2"/>
          <w:w w:val="105"/>
          <w:sz w:val="22"/>
        </w:rPr>
        <w:t>at </w:t>
      </w:r>
      <w:hyperlink r:id="rId104">
        <w:r>
          <w:rPr>
            <w:color w:val="1154CC"/>
            <w:spacing w:val="-2"/>
            <w:sz w:val="22"/>
            <w:u w:val="thick" w:color="1154CC"/>
          </w:rPr>
          <w:t>https://www.aiddata.org/blog/aiddatas-china-data-wins-2023-best-dataset-award-from-ipes</w:t>
        </w:r>
      </w:hyperlink>
    </w:p>
    <w:p>
      <w:pPr>
        <w:pStyle w:val="BodyText"/>
        <w:spacing w:before="5"/>
      </w:pPr>
    </w:p>
    <w:p>
      <w:pPr>
        <w:spacing w:line="288" w:lineRule="auto" w:before="0"/>
        <w:ind w:left="400" w:right="794" w:firstLine="0"/>
        <w:jc w:val="left"/>
        <w:rPr>
          <w:sz w:val="22"/>
        </w:rPr>
      </w:pPr>
      <w:r>
        <w:rPr>
          <w:spacing w:val="-2"/>
          <w:w w:val="105"/>
          <w:sz w:val="22"/>
        </w:rPr>
        <w:t>World</w:t>
      </w:r>
      <w:r>
        <w:rPr>
          <w:spacing w:val="-9"/>
          <w:w w:val="105"/>
          <w:sz w:val="22"/>
        </w:rPr>
        <w:t> </w:t>
      </w:r>
      <w:r>
        <w:rPr>
          <w:spacing w:val="-2"/>
          <w:w w:val="105"/>
          <w:sz w:val="22"/>
        </w:rPr>
        <w:t>Bank</w:t>
      </w:r>
      <w:r>
        <w:rPr>
          <w:spacing w:val="-9"/>
          <w:w w:val="105"/>
          <w:sz w:val="22"/>
        </w:rPr>
        <w:t> </w:t>
      </w:r>
      <w:r>
        <w:rPr>
          <w:spacing w:val="-2"/>
          <w:w w:val="105"/>
          <w:sz w:val="22"/>
        </w:rPr>
        <w:t>Group.</w:t>
      </w:r>
      <w:r>
        <w:rPr>
          <w:spacing w:val="-9"/>
          <w:w w:val="105"/>
          <w:sz w:val="22"/>
        </w:rPr>
        <w:t> </w:t>
      </w:r>
      <w:r>
        <w:rPr>
          <w:spacing w:val="-2"/>
          <w:w w:val="105"/>
          <w:sz w:val="22"/>
        </w:rPr>
        <w:t>2020.</w:t>
      </w:r>
      <w:r>
        <w:rPr>
          <w:spacing w:val="-9"/>
          <w:w w:val="105"/>
          <w:sz w:val="22"/>
        </w:rPr>
        <w:t> </w:t>
      </w:r>
      <w:r>
        <w:rPr>
          <w:spacing w:val="-2"/>
          <w:w w:val="105"/>
          <w:sz w:val="22"/>
        </w:rPr>
        <w:t>World</w:t>
      </w:r>
      <w:r>
        <w:rPr>
          <w:spacing w:val="-9"/>
          <w:w w:val="105"/>
          <w:sz w:val="22"/>
        </w:rPr>
        <w:t> </w:t>
      </w:r>
      <w:r>
        <w:rPr>
          <w:spacing w:val="-2"/>
          <w:w w:val="105"/>
          <w:sz w:val="22"/>
        </w:rPr>
        <w:t>Bank</w:t>
      </w:r>
      <w:r>
        <w:rPr>
          <w:spacing w:val="-9"/>
          <w:w w:val="105"/>
          <w:sz w:val="22"/>
        </w:rPr>
        <w:t> </w:t>
      </w:r>
      <w:r>
        <w:rPr>
          <w:spacing w:val="-2"/>
          <w:w w:val="105"/>
          <w:sz w:val="22"/>
        </w:rPr>
        <w:t>Group</w:t>
      </w:r>
      <w:r>
        <w:rPr>
          <w:spacing w:val="-9"/>
          <w:w w:val="105"/>
          <w:sz w:val="22"/>
        </w:rPr>
        <w:t> </w:t>
      </w:r>
      <w:r>
        <w:rPr>
          <w:spacing w:val="-2"/>
          <w:w w:val="105"/>
          <w:sz w:val="22"/>
        </w:rPr>
        <w:t>Approaches</w:t>
      </w:r>
      <w:r>
        <w:rPr>
          <w:spacing w:val="-9"/>
          <w:w w:val="105"/>
          <w:sz w:val="22"/>
        </w:rPr>
        <w:t> </w:t>
      </w:r>
      <w:r>
        <w:rPr>
          <w:spacing w:val="-2"/>
          <w:w w:val="105"/>
          <w:sz w:val="22"/>
        </w:rPr>
        <w:t>to</w:t>
      </w:r>
      <w:r>
        <w:rPr>
          <w:spacing w:val="-9"/>
          <w:w w:val="105"/>
          <w:sz w:val="22"/>
        </w:rPr>
        <w:t> </w:t>
      </w:r>
      <w:r>
        <w:rPr>
          <w:spacing w:val="-2"/>
          <w:w w:val="105"/>
          <w:sz w:val="22"/>
        </w:rPr>
        <w:t>Mobilize</w:t>
      </w:r>
      <w:r>
        <w:rPr>
          <w:spacing w:val="-9"/>
          <w:w w:val="105"/>
          <w:sz w:val="22"/>
        </w:rPr>
        <w:t> </w:t>
      </w:r>
      <w:r>
        <w:rPr>
          <w:spacing w:val="-2"/>
          <w:w w:val="105"/>
          <w:sz w:val="22"/>
        </w:rPr>
        <w:t>Private</w:t>
      </w:r>
      <w:r>
        <w:rPr>
          <w:spacing w:val="-9"/>
          <w:w w:val="105"/>
          <w:sz w:val="22"/>
        </w:rPr>
        <w:t> </w:t>
      </w:r>
      <w:r>
        <w:rPr>
          <w:spacing w:val="-2"/>
          <w:w w:val="105"/>
          <w:sz w:val="22"/>
        </w:rPr>
        <w:t>Capital</w:t>
      </w:r>
      <w:r>
        <w:rPr>
          <w:spacing w:val="-9"/>
          <w:w w:val="105"/>
          <w:sz w:val="22"/>
        </w:rPr>
        <w:t> </w:t>
      </w:r>
      <w:r>
        <w:rPr>
          <w:spacing w:val="-2"/>
          <w:w w:val="105"/>
          <w:sz w:val="22"/>
        </w:rPr>
        <w:t>for Development:</w:t>
      </w:r>
      <w:r>
        <w:rPr>
          <w:spacing w:val="-7"/>
          <w:w w:val="105"/>
          <w:sz w:val="22"/>
        </w:rPr>
        <w:t> </w:t>
      </w:r>
      <w:r>
        <w:rPr>
          <w:spacing w:val="-2"/>
          <w:w w:val="105"/>
          <w:sz w:val="22"/>
        </w:rPr>
        <w:t>An</w:t>
      </w:r>
      <w:r>
        <w:rPr>
          <w:spacing w:val="-7"/>
          <w:w w:val="105"/>
          <w:sz w:val="22"/>
        </w:rPr>
        <w:t> </w:t>
      </w:r>
      <w:r>
        <w:rPr>
          <w:spacing w:val="-2"/>
          <w:w w:val="105"/>
          <w:sz w:val="22"/>
        </w:rPr>
        <w:t>Independent</w:t>
      </w:r>
      <w:r>
        <w:rPr>
          <w:spacing w:val="-7"/>
          <w:w w:val="105"/>
          <w:sz w:val="22"/>
        </w:rPr>
        <w:t> </w:t>
      </w:r>
      <w:r>
        <w:rPr>
          <w:spacing w:val="-2"/>
          <w:w w:val="105"/>
          <w:sz w:val="22"/>
        </w:rPr>
        <w:t>Evaluation.</w:t>
      </w:r>
      <w:r>
        <w:rPr>
          <w:spacing w:val="-7"/>
          <w:w w:val="105"/>
          <w:sz w:val="22"/>
        </w:rPr>
        <w:t> </w:t>
      </w:r>
      <w:r>
        <w:rPr>
          <w:spacing w:val="-2"/>
          <w:w w:val="105"/>
          <w:sz w:val="22"/>
        </w:rPr>
        <w:t>Washington</w:t>
      </w:r>
      <w:r>
        <w:rPr>
          <w:spacing w:val="-7"/>
          <w:w w:val="105"/>
          <w:sz w:val="22"/>
        </w:rPr>
        <w:t> </w:t>
      </w:r>
      <w:r>
        <w:rPr>
          <w:spacing w:val="-2"/>
          <w:w w:val="105"/>
          <w:sz w:val="22"/>
        </w:rPr>
        <w:t>DC:</w:t>
      </w:r>
      <w:r>
        <w:rPr>
          <w:spacing w:val="-7"/>
          <w:w w:val="105"/>
          <w:sz w:val="22"/>
        </w:rPr>
        <w:t> </w:t>
      </w:r>
      <w:r>
        <w:rPr>
          <w:spacing w:val="-2"/>
          <w:w w:val="105"/>
          <w:sz w:val="22"/>
        </w:rPr>
        <w:t>World</w:t>
      </w:r>
      <w:r>
        <w:rPr>
          <w:spacing w:val="-7"/>
          <w:w w:val="105"/>
          <w:sz w:val="22"/>
        </w:rPr>
        <w:t> </w:t>
      </w:r>
      <w:r>
        <w:rPr>
          <w:spacing w:val="-2"/>
          <w:w w:val="105"/>
          <w:sz w:val="22"/>
        </w:rPr>
        <w:t>Bank </w:t>
      </w:r>
      <w:hyperlink r:id="rId105">
        <w:r>
          <w:rPr>
            <w:color w:val="1154CC"/>
            <w:spacing w:val="-2"/>
            <w:sz w:val="22"/>
            <w:u w:val="thick" w:color="1154CC"/>
          </w:rPr>
          <w:t>https://ieg.worldbankgroup.org/sites/default/ﬁles/Data/Evaluation/ﬁles/PrivateCapitalMobilizat</w:t>
        </w:r>
      </w:hyperlink>
      <w:r>
        <w:rPr>
          <w:color w:val="1154CC"/>
          <w:spacing w:val="80"/>
          <w:w w:val="105"/>
          <w:sz w:val="22"/>
        </w:rPr>
        <w:t>  </w:t>
      </w:r>
      <w:hyperlink r:id="rId105">
        <w:r>
          <w:rPr>
            <w:color w:val="1154CC"/>
            <w:spacing w:val="-2"/>
            <w:w w:val="105"/>
            <w:sz w:val="22"/>
            <w:u w:val="thick" w:color="1154CC"/>
          </w:rPr>
          <w:t>ion.pdf</w:t>
        </w:r>
      </w:hyperlink>
    </w:p>
    <w:p>
      <w:pPr>
        <w:pStyle w:val="BodyText"/>
        <w:spacing w:before="4"/>
      </w:pPr>
    </w:p>
    <w:p>
      <w:pPr>
        <w:spacing w:line="288" w:lineRule="auto" w:before="0"/>
        <w:ind w:left="400" w:right="0" w:firstLine="0"/>
        <w:jc w:val="left"/>
        <w:rPr>
          <w:sz w:val="22"/>
        </w:rPr>
      </w:pPr>
      <w:r>
        <w:rPr>
          <w:sz w:val="22"/>
        </w:rPr>
        <w:t>World Bank. 2000. World Bank Debtor Reporting System Manual. Washington DC: World Bank. Accessed on 20 February 2023 via </w:t>
      </w:r>
      <w:r>
        <w:rPr>
          <w:color w:val="1154CC"/>
          <w:spacing w:val="-2"/>
          <w:sz w:val="22"/>
          <w:u w:val="thick" w:color="1154CC"/>
        </w:rPr>
        <w:t>https://web.archive.org/web/20220901043448/https://databankﬁles.worldbank.org/data/downl</w:t>
      </w:r>
      <w:r>
        <w:rPr>
          <w:color w:val="1154CC"/>
          <w:spacing w:val="80"/>
          <w:sz w:val="22"/>
        </w:rPr>
        <w:t>  </w:t>
      </w:r>
      <w:r>
        <w:rPr>
          <w:color w:val="1154CC"/>
          <w:spacing w:val="-2"/>
          <w:sz w:val="22"/>
          <w:u w:val="thick" w:color="1154CC"/>
        </w:rPr>
        <w:t>oad/debt/DRS%20Manual%202013.pdf</w:t>
      </w:r>
    </w:p>
    <w:p>
      <w:pPr>
        <w:pStyle w:val="BodyText"/>
        <w:spacing w:before="4"/>
      </w:pPr>
    </w:p>
    <w:p>
      <w:pPr>
        <w:spacing w:line="288" w:lineRule="auto" w:before="0"/>
        <w:ind w:left="400" w:right="398" w:firstLine="0"/>
        <w:jc w:val="left"/>
        <w:rPr>
          <w:sz w:val="22"/>
        </w:rPr>
      </w:pPr>
      <w:r>
        <w:rPr>
          <w:sz w:val="22"/>
        </w:rPr>
        <w:t>World</w:t>
      </w:r>
      <w:r>
        <w:rPr>
          <w:spacing w:val="-5"/>
          <w:sz w:val="22"/>
        </w:rPr>
        <w:t> </w:t>
      </w:r>
      <w:r>
        <w:rPr>
          <w:sz w:val="22"/>
        </w:rPr>
        <w:t>Bank.</w:t>
      </w:r>
      <w:r>
        <w:rPr>
          <w:spacing w:val="-5"/>
          <w:sz w:val="22"/>
        </w:rPr>
        <w:t> </w:t>
      </w:r>
      <w:r>
        <w:rPr>
          <w:sz w:val="22"/>
        </w:rPr>
        <w:t>2020a.</w:t>
      </w:r>
      <w:r>
        <w:rPr>
          <w:spacing w:val="-5"/>
          <w:sz w:val="22"/>
        </w:rPr>
        <w:t> </w:t>
      </w:r>
      <w:r>
        <w:rPr>
          <w:sz w:val="22"/>
        </w:rPr>
        <w:t>International</w:t>
      </w:r>
      <w:r>
        <w:rPr>
          <w:spacing w:val="-5"/>
          <w:sz w:val="22"/>
        </w:rPr>
        <w:t> </w:t>
      </w:r>
      <w:r>
        <w:rPr>
          <w:sz w:val="22"/>
        </w:rPr>
        <w:t>Debt</w:t>
      </w:r>
      <w:r>
        <w:rPr>
          <w:spacing w:val="-5"/>
          <w:sz w:val="22"/>
        </w:rPr>
        <w:t> </w:t>
      </w:r>
      <w:r>
        <w:rPr>
          <w:sz w:val="22"/>
        </w:rPr>
        <w:t>Statistics</w:t>
      </w:r>
      <w:r>
        <w:rPr>
          <w:spacing w:val="-5"/>
          <w:sz w:val="22"/>
        </w:rPr>
        <w:t> </w:t>
      </w:r>
      <w:r>
        <w:rPr>
          <w:sz w:val="22"/>
        </w:rPr>
        <w:t>2021.</w:t>
      </w:r>
      <w:r>
        <w:rPr>
          <w:spacing w:val="-5"/>
          <w:sz w:val="22"/>
        </w:rPr>
        <w:t> </w:t>
      </w:r>
      <w:r>
        <w:rPr>
          <w:sz w:val="22"/>
        </w:rPr>
        <w:t>Washington</w:t>
      </w:r>
      <w:r>
        <w:rPr>
          <w:spacing w:val="-5"/>
          <w:sz w:val="22"/>
        </w:rPr>
        <w:t> </w:t>
      </w:r>
      <w:r>
        <w:rPr>
          <w:sz w:val="22"/>
        </w:rPr>
        <w:t>DC:</w:t>
      </w:r>
      <w:r>
        <w:rPr>
          <w:spacing w:val="-5"/>
          <w:sz w:val="22"/>
        </w:rPr>
        <w:t> </w:t>
      </w:r>
      <w:r>
        <w:rPr>
          <w:sz w:val="22"/>
        </w:rPr>
        <w:t>World</w:t>
      </w:r>
      <w:r>
        <w:rPr>
          <w:spacing w:val="-5"/>
          <w:sz w:val="22"/>
        </w:rPr>
        <w:t> </w:t>
      </w:r>
      <w:r>
        <w:rPr>
          <w:sz w:val="22"/>
        </w:rPr>
        <w:t>Bank.</w:t>
      </w:r>
      <w:r>
        <w:rPr>
          <w:spacing w:val="-5"/>
          <w:sz w:val="22"/>
        </w:rPr>
        <w:t> </w:t>
      </w:r>
      <w:r>
        <w:rPr>
          <w:sz w:val="22"/>
        </w:rPr>
        <w:t>Accessed </w:t>
      </w:r>
      <w:r>
        <w:rPr>
          <w:spacing w:val="-2"/>
          <w:w w:val="105"/>
          <w:sz w:val="22"/>
        </w:rPr>
        <w:t>on 20 February 2023 via https://openknowledge.worldbank.org/handle/10986/34588</w:t>
      </w:r>
    </w:p>
    <w:p>
      <w:pPr>
        <w:pStyle w:val="BodyText"/>
        <w:spacing w:before="4"/>
      </w:pPr>
    </w:p>
    <w:p>
      <w:pPr>
        <w:spacing w:line="288" w:lineRule="auto" w:before="1"/>
        <w:ind w:left="400" w:right="794" w:firstLine="0"/>
        <w:jc w:val="left"/>
        <w:rPr>
          <w:sz w:val="22"/>
        </w:rPr>
      </w:pPr>
      <w:r>
        <w:rPr>
          <w:sz w:val="22"/>
        </w:rPr>
        <w:t>World</w:t>
      </w:r>
      <w:r>
        <w:rPr>
          <w:spacing w:val="-3"/>
          <w:sz w:val="22"/>
        </w:rPr>
        <w:t> </w:t>
      </w:r>
      <w:r>
        <w:rPr>
          <w:sz w:val="22"/>
        </w:rPr>
        <w:t>Bank.</w:t>
      </w:r>
      <w:r>
        <w:rPr>
          <w:spacing w:val="-3"/>
          <w:sz w:val="22"/>
        </w:rPr>
        <w:t> </w:t>
      </w:r>
      <w:r>
        <w:rPr>
          <w:sz w:val="22"/>
        </w:rPr>
        <w:t>2020b.</w:t>
      </w:r>
      <w:r>
        <w:rPr>
          <w:spacing w:val="-3"/>
          <w:sz w:val="22"/>
        </w:rPr>
        <w:t> </w:t>
      </w:r>
      <w:r>
        <w:rPr>
          <w:sz w:val="22"/>
        </w:rPr>
        <w:t>World</w:t>
      </w:r>
      <w:r>
        <w:rPr>
          <w:spacing w:val="-3"/>
          <w:sz w:val="22"/>
        </w:rPr>
        <w:t> </w:t>
      </w:r>
      <w:r>
        <w:rPr>
          <w:sz w:val="22"/>
        </w:rPr>
        <w:t>Bank</w:t>
      </w:r>
      <w:r>
        <w:rPr>
          <w:spacing w:val="-3"/>
          <w:sz w:val="22"/>
        </w:rPr>
        <w:t> </w:t>
      </w:r>
      <w:r>
        <w:rPr>
          <w:sz w:val="22"/>
        </w:rPr>
        <w:t>Debtor</w:t>
      </w:r>
      <w:r>
        <w:rPr>
          <w:spacing w:val="-3"/>
          <w:sz w:val="22"/>
        </w:rPr>
        <w:t> </w:t>
      </w:r>
      <w:r>
        <w:rPr>
          <w:sz w:val="22"/>
        </w:rPr>
        <w:t>Reporting</w:t>
      </w:r>
      <w:r>
        <w:rPr>
          <w:spacing w:val="-3"/>
          <w:sz w:val="22"/>
        </w:rPr>
        <w:t> </w:t>
      </w:r>
      <w:r>
        <w:rPr>
          <w:sz w:val="22"/>
        </w:rPr>
        <w:t>System</w:t>
      </w:r>
      <w:r>
        <w:rPr>
          <w:spacing w:val="-3"/>
          <w:sz w:val="22"/>
        </w:rPr>
        <w:t> </w:t>
      </w:r>
      <w:r>
        <w:rPr>
          <w:sz w:val="22"/>
        </w:rPr>
        <w:t>–</w:t>
      </w:r>
      <w:r>
        <w:rPr>
          <w:spacing w:val="-3"/>
          <w:sz w:val="22"/>
        </w:rPr>
        <w:t> </w:t>
      </w:r>
      <w:r>
        <w:rPr>
          <w:sz w:val="22"/>
        </w:rPr>
        <w:t>What</w:t>
      </w:r>
      <w:r>
        <w:rPr>
          <w:spacing w:val="-3"/>
          <w:sz w:val="22"/>
        </w:rPr>
        <w:t> </w:t>
      </w:r>
      <w:r>
        <w:rPr>
          <w:sz w:val="22"/>
        </w:rPr>
        <w:t>it</w:t>
      </w:r>
      <w:r>
        <w:rPr>
          <w:spacing w:val="-3"/>
          <w:sz w:val="22"/>
        </w:rPr>
        <w:t> </w:t>
      </w:r>
      <w:r>
        <w:rPr>
          <w:sz w:val="22"/>
        </w:rPr>
        <w:t>Measures.</w:t>
      </w:r>
      <w:r>
        <w:rPr>
          <w:spacing w:val="-3"/>
          <w:sz w:val="22"/>
        </w:rPr>
        <w:t> </w:t>
      </w:r>
      <w:r>
        <w:rPr>
          <w:sz w:val="22"/>
        </w:rPr>
        <w:t>World</w:t>
      </w:r>
      <w:r>
        <w:rPr>
          <w:spacing w:val="-3"/>
          <w:sz w:val="22"/>
        </w:rPr>
        <w:t> </w:t>
      </w:r>
      <w:r>
        <w:rPr>
          <w:sz w:val="22"/>
        </w:rPr>
        <w:t>Bank Development Economics Data Group. Washington DC: World Bank. Accessed on 15 </w:t>
      </w:r>
      <w:r>
        <w:rPr>
          <w:w w:val="105"/>
          <w:sz w:val="22"/>
        </w:rPr>
        <w:t>September 2023 at</w:t>
      </w:r>
    </w:p>
    <w:p>
      <w:pPr>
        <w:spacing w:before="0"/>
        <w:ind w:left="400" w:right="0" w:firstLine="0"/>
        <w:jc w:val="left"/>
        <w:rPr>
          <w:sz w:val="22"/>
        </w:rPr>
      </w:pPr>
      <w:hyperlink r:id="rId106">
        <w:r>
          <w:rPr>
            <w:color w:val="1154CC"/>
            <w:sz w:val="22"/>
            <w:u w:val="thick" w:color="1154CC"/>
          </w:rPr>
          <w:t>https://pubdocs.worldbank.org/en/951771586884732835/pdf/DRS-What-it-</w:t>
        </w:r>
        <w:r>
          <w:rPr>
            <w:color w:val="1154CC"/>
            <w:spacing w:val="-2"/>
            <w:sz w:val="22"/>
            <w:u w:val="thick" w:color="1154CC"/>
          </w:rPr>
          <w:t>Measures.pdf</w:t>
        </w:r>
      </w:hyperlink>
    </w:p>
    <w:p>
      <w:pPr>
        <w:pStyle w:val="BodyText"/>
        <w:spacing w:before="8"/>
        <w:rPr>
          <w:sz w:val="28"/>
        </w:rPr>
      </w:pPr>
    </w:p>
    <w:p>
      <w:pPr>
        <w:spacing w:line="288" w:lineRule="auto" w:before="0"/>
        <w:ind w:left="400" w:right="493" w:firstLine="0"/>
        <w:jc w:val="left"/>
        <w:rPr>
          <w:sz w:val="22"/>
        </w:rPr>
      </w:pPr>
      <w:r>
        <w:rPr>
          <w:sz w:val="22"/>
        </w:rPr>
        <w:t>World</w:t>
      </w:r>
      <w:r>
        <w:rPr>
          <w:spacing w:val="-4"/>
          <w:sz w:val="22"/>
        </w:rPr>
        <w:t> </w:t>
      </w:r>
      <w:r>
        <w:rPr>
          <w:sz w:val="22"/>
        </w:rPr>
        <w:t>Bank.</w:t>
      </w:r>
      <w:r>
        <w:rPr>
          <w:spacing w:val="-4"/>
          <w:sz w:val="22"/>
        </w:rPr>
        <w:t> </w:t>
      </w:r>
      <w:r>
        <w:rPr>
          <w:sz w:val="22"/>
        </w:rPr>
        <w:t>2021.</w:t>
      </w:r>
      <w:r>
        <w:rPr>
          <w:spacing w:val="-4"/>
          <w:sz w:val="22"/>
        </w:rPr>
        <w:t> </w:t>
      </w:r>
      <w:r>
        <w:rPr>
          <w:sz w:val="22"/>
        </w:rPr>
        <w:t>International</w:t>
      </w:r>
      <w:r>
        <w:rPr>
          <w:spacing w:val="-4"/>
          <w:sz w:val="22"/>
        </w:rPr>
        <w:t> </w:t>
      </w:r>
      <w:r>
        <w:rPr>
          <w:sz w:val="22"/>
        </w:rPr>
        <w:t>Debt</w:t>
      </w:r>
      <w:r>
        <w:rPr>
          <w:spacing w:val="-4"/>
          <w:sz w:val="22"/>
        </w:rPr>
        <w:t> </w:t>
      </w:r>
      <w:r>
        <w:rPr>
          <w:sz w:val="22"/>
        </w:rPr>
        <w:t>Statistics</w:t>
      </w:r>
      <w:r>
        <w:rPr>
          <w:spacing w:val="-4"/>
          <w:sz w:val="22"/>
        </w:rPr>
        <w:t> </w:t>
      </w:r>
      <w:r>
        <w:rPr>
          <w:sz w:val="22"/>
        </w:rPr>
        <w:t>2022.</w:t>
      </w:r>
      <w:r>
        <w:rPr>
          <w:spacing w:val="-4"/>
          <w:sz w:val="22"/>
        </w:rPr>
        <w:t> </w:t>
      </w:r>
      <w:r>
        <w:rPr>
          <w:sz w:val="22"/>
        </w:rPr>
        <w:t>Washington</w:t>
      </w:r>
      <w:r>
        <w:rPr>
          <w:spacing w:val="-4"/>
          <w:sz w:val="22"/>
        </w:rPr>
        <w:t> </w:t>
      </w:r>
      <w:r>
        <w:rPr>
          <w:sz w:val="22"/>
        </w:rPr>
        <w:t>DC:</w:t>
      </w:r>
      <w:r>
        <w:rPr>
          <w:spacing w:val="-4"/>
          <w:sz w:val="22"/>
        </w:rPr>
        <w:t> </w:t>
      </w:r>
      <w:r>
        <w:rPr>
          <w:sz w:val="22"/>
        </w:rPr>
        <w:t>World</w:t>
      </w:r>
      <w:r>
        <w:rPr>
          <w:spacing w:val="-4"/>
          <w:sz w:val="22"/>
        </w:rPr>
        <w:t> </w:t>
      </w:r>
      <w:r>
        <w:rPr>
          <w:sz w:val="22"/>
        </w:rPr>
        <w:t>Bank.</w:t>
      </w:r>
      <w:r>
        <w:rPr>
          <w:spacing w:val="-4"/>
          <w:sz w:val="22"/>
        </w:rPr>
        <w:t> </w:t>
      </w:r>
      <w:r>
        <w:rPr>
          <w:sz w:val="22"/>
        </w:rPr>
        <w:t>Accessed </w:t>
      </w:r>
      <w:r>
        <w:rPr>
          <w:spacing w:val="-2"/>
          <w:w w:val="105"/>
          <w:sz w:val="22"/>
        </w:rPr>
        <w:t>on 20 February 2023 via </w:t>
      </w:r>
      <w:hyperlink r:id="rId107">
        <w:r>
          <w:rPr>
            <w:color w:val="1154CC"/>
            <w:spacing w:val="-2"/>
            <w:w w:val="105"/>
            <w:sz w:val="22"/>
            <w:u w:val="thick" w:color="1154CC"/>
          </w:rPr>
          <w:t>https://openknowledge.worldbank.org/handle/10986/36289</w:t>
        </w:r>
      </w:hyperlink>
    </w:p>
    <w:p>
      <w:pPr>
        <w:spacing w:after="0" w:line="288" w:lineRule="auto"/>
        <w:jc w:val="left"/>
        <w:rPr>
          <w:sz w:val="22"/>
        </w:rPr>
        <w:sectPr>
          <w:footerReference w:type="default" r:id="rId100"/>
          <w:pgSz w:w="12240" w:h="15840"/>
          <w:pgMar w:footer="0" w:header="0" w:top="1400" w:bottom="280" w:left="1040" w:right="1040"/>
        </w:sectPr>
      </w:pPr>
    </w:p>
    <w:p>
      <w:pPr>
        <w:spacing w:line="288" w:lineRule="auto" w:before="45"/>
        <w:ind w:left="400" w:right="398" w:firstLine="0"/>
        <w:jc w:val="left"/>
        <w:rPr>
          <w:sz w:val="22"/>
        </w:rPr>
      </w:pPr>
      <w:r>
        <w:rPr>
          <w:sz w:val="22"/>
        </w:rPr>
        <w:t>Xiao,</w:t>
      </w:r>
      <w:r>
        <w:rPr>
          <w:spacing w:val="-8"/>
          <w:sz w:val="22"/>
        </w:rPr>
        <w:t> </w:t>
      </w:r>
      <w:r>
        <w:rPr>
          <w:sz w:val="22"/>
        </w:rPr>
        <w:t>Cai.</w:t>
      </w:r>
      <w:r>
        <w:rPr>
          <w:spacing w:val="-8"/>
          <w:sz w:val="22"/>
        </w:rPr>
        <w:t> </w:t>
      </w:r>
      <w:r>
        <w:rPr>
          <w:sz w:val="22"/>
        </w:rPr>
        <w:t>2016.</w:t>
      </w:r>
      <w:r>
        <w:rPr>
          <w:spacing w:val="-8"/>
          <w:sz w:val="22"/>
        </w:rPr>
        <w:t> </w:t>
      </w:r>
      <w:r>
        <w:rPr>
          <w:sz w:val="22"/>
        </w:rPr>
        <w:t>SAFE</w:t>
      </w:r>
      <w:r>
        <w:rPr>
          <w:spacing w:val="-8"/>
          <w:sz w:val="22"/>
        </w:rPr>
        <w:t> </w:t>
      </w:r>
      <w:r>
        <w:rPr>
          <w:sz w:val="22"/>
        </w:rPr>
        <w:t>buys</w:t>
      </w:r>
      <w:r>
        <w:rPr>
          <w:spacing w:val="-8"/>
          <w:sz w:val="22"/>
        </w:rPr>
        <w:t> </w:t>
      </w:r>
      <w:r>
        <w:rPr>
          <w:sz w:val="22"/>
        </w:rPr>
        <w:t>into</w:t>
      </w:r>
      <w:r>
        <w:rPr>
          <w:spacing w:val="-8"/>
          <w:sz w:val="22"/>
        </w:rPr>
        <w:t> </w:t>
      </w:r>
      <w:r>
        <w:rPr>
          <w:sz w:val="22"/>
        </w:rPr>
        <w:t>A-share</w:t>
      </w:r>
      <w:r>
        <w:rPr>
          <w:spacing w:val="-8"/>
          <w:sz w:val="22"/>
        </w:rPr>
        <w:t> </w:t>
      </w:r>
      <w:r>
        <w:rPr>
          <w:sz w:val="22"/>
        </w:rPr>
        <w:t>market.</w:t>
      </w:r>
      <w:r>
        <w:rPr>
          <w:spacing w:val="-8"/>
          <w:sz w:val="22"/>
        </w:rPr>
        <w:t> </w:t>
      </w:r>
      <w:r>
        <w:rPr>
          <w:sz w:val="22"/>
        </w:rPr>
        <w:t>1</w:t>
      </w:r>
      <w:r>
        <w:rPr>
          <w:spacing w:val="-8"/>
          <w:sz w:val="22"/>
        </w:rPr>
        <w:t> </w:t>
      </w:r>
      <w:r>
        <w:rPr>
          <w:sz w:val="22"/>
        </w:rPr>
        <w:t>April</w:t>
      </w:r>
      <w:r>
        <w:rPr>
          <w:spacing w:val="-8"/>
          <w:sz w:val="22"/>
        </w:rPr>
        <w:t> </w:t>
      </w:r>
      <w:r>
        <w:rPr>
          <w:sz w:val="22"/>
        </w:rPr>
        <w:t>2016.</w:t>
      </w:r>
      <w:r>
        <w:rPr>
          <w:spacing w:val="-8"/>
          <w:sz w:val="22"/>
        </w:rPr>
        <w:t> </w:t>
      </w:r>
      <w:r>
        <w:rPr>
          <w:i/>
          <w:sz w:val="22"/>
        </w:rPr>
        <w:t>China</w:t>
      </w:r>
      <w:r>
        <w:rPr>
          <w:i/>
          <w:spacing w:val="-8"/>
          <w:sz w:val="22"/>
        </w:rPr>
        <w:t> </w:t>
      </w:r>
      <w:r>
        <w:rPr>
          <w:i/>
          <w:sz w:val="22"/>
        </w:rPr>
        <w:t>Daily.</w:t>
      </w:r>
      <w:r>
        <w:rPr>
          <w:i/>
          <w:spacing w:val="-8"/>
          <w:sz w:val="22"/>
        </w:rPr>
        <w:t> </w:t>
      </w:r>
      <w:r>
        <w:rPr>
          <w:sz w:val="22"/>
        </w:rPr>
        <w:t>Accessed</w:t>
      </w:r>
      <w:r>
        <w:rPr>
          <w:spacing w:val="-8"/>
          <w:sz w:val="22"/>
        </w:rPr>
        <w:t> </w:t>
      </w:r>
      <w:r>
        <w:rPr>
          <w:sz w:val="22"/>
        </w:rPr>
        <w:t>on</w:t>
      </w:r>
      <w:r>
        <w:rPr>
          <w:spacing w:val="-8"/>
          <w:sz w:val="22"/>
        </w:rPr>
        <w:t> </w:t>
      </w:r>
      <w:r>
        <w:rPr>
          <w:sz w:val="22"/>
        </w:rPr>
        <w:t>1</w:t>
      </w:r>
      <w:r>
        <w:rPr>
          <w:spacing w:val="-8"/>
          <w:sz w:val="22"/>
        </w:rPr>
        <w:t> </w:t>
      </w:r>
      <w:r>
        <w:rPr>
          <w:sz w:val="22"/>
        </w:rPr>
        <w:t>June </w:t>
      </w:r>
      <w:r>
        <w:rPr>
          <w:spacing w:val="-2"/>
          <w:w w:val="105"/>
          <w:sz w:val="22"/>
        </w:rPr>
        <w:t>2023 at </w:t>
      </w:r>
      <w:hyperlink r:id="rId109">
        <w:r>
          <w:rPr>
            <w:color w:val="1154CC"/>
            <w:spacing w:val="-2"/>
            <w:w w:val="105"/>
            <w:sz w:val="22"/>
            <w:u w:val="thick" w:color="1154CC"/>
          </w:rPr>
          <w:t>https://www.chinadaily.com.cn/cndy/2016-04/01/content_24224169.htm</w:t>
        </w:r>
      </w:hyperlink>
    </w:p>
    <w:p>
      <w:pPr>
        <w:pStyle w:val="BodyText"/>
        <w:spacing w:before="4"/>
      </w:pPr>
    </w:p>
    <w:p>
      <w:pPr>
        <w:spacing w:before="0"/>
        <w:ind w:left="400" w:right="0" w:firstLine="0"/>
        <w:jc w:val="left"/>
        <w:rPr>
          <w:sz w:val="22"/>
        </w:rPr>
      </w:pPr>
      <w:r>
        <w:rPr>
          <w:spacing w:val="-2"/>
          <w:sz w:val="22"/>
        </w:rPr>
        <w:t>Xie,</w:t>
      </w:r>
      <w:r>
        <w:rPr>
          <w:spacing w:val="-7"/>
          <w:sz w:val="22"/>
        </w:rPr>
        <w:t> </w:t>
      </w:r>
      <w:r>
        <w:rPr>
          <w:spacing w:val="-2"/>
          <w:sz w:val="22"/>
        </w:rPr>
        <w:t>Yifan</w:t>
      </w:r>
      <w:r>
        <w:rPr>
          <w:spacing w:val="-7"/>
          <w:sz w:val="22"/>
        </w:rPr>
        <w:t> </w:t>
      </w:r>
      <w:r>
        <w:rPr>
          <w:spacing w:val="-2"/>
          <w:sz w:val="22"/>
        </w:rPr>
        <w:t>and</w:t>
      </w:r>
      <w:r>
        <w:rPr>
          <w:spacing w:val="-7"/>
          <w:sz w:val="22"/>
        </w:rPr>
        <w:t> </w:t>
      </w:r>
      <w:r>
        <w:rPr>
          <w:spacing w:val="-2"/>
          <w:sz w:val="22"/>
        </w:rPr>
        <w:t>Mia</w:t>
      </w:r>
      <w:r>
        <w:rPr>
          <w:spacing w:val="-7"/>
          <w:sz w:val="22"/>
        </w:rPr>
        <w:t> </w:t>
      </w:r>
      <w:r>
        <w:rPr>
          <w:spacing w:val="-2"/>
          <w:sz w:val="22"/>
        </w:rPr>
        <w:t>Lamar.</w:t>
      </w:r>
      <w:r>
        <w:rPr>
          <w:spacing w:val="-7"/>
          <w:sz w:val="22"/>
        </w:rPr>
        <w:t> </w:t>
      </w:r>
      <w:r>
        <w:rPr>
          <w:spacing w:val="-2"/>
          <w:sz w:val="22"/>
        </w:rPr>
        <w:t>2016.</w:t>
      </w:r>
      <w:r>
        <w:rPr>
          <w:spacing w:val="-7"/>
          <w:sz w:val="22"/>
        </w:rPr>
        <w:t> </w:t>
      </w:r>
      <w:r>
        <w:rPr>
          <w:spacing w:val="-2"/>
          <w:sz w:val="22"/>
        </w:rPr>
        <w:t>China</w:t>
      </w:r>
      <w:r>
        <w:rPr>
          <w:spacing w:val="-7"/>
          <w:sz w:val="22"/>
        </w:rPr>
        <w:t> </w:t>
      </w:r>
      <w:r>
        <w:rPr>
          <w:spacing w:val="-2"/>
          <w:sz w:val="22"/>
        </w:rPr>
        <w:t>Currency</w:t>
      </w:r>
      <w:r>
        <w:rPr>
          <w:spacing w:val="-7"/>
          <w:sz w:val="22"/>
        </w:rPr>
        <w:t> </w:t>
      </w:r>
      <w:r>
        <w:rPr>
          <w:spacing w:val="-2"/>
          <w:sz w:val="22"/>
        </w:rPr>
        <w:t>Regulator</w:t>
      </w:r>
      <w:r>
        <w:rPr>
          <w:spacing w:val="-7"/>
          <w:sz w:val="22"/>
        </w:rPr>
        <w:t> </w:t>
      </w:r>
      <w:r>
        <w:rPr>
          <w:spacing w:val="-2"/>
          <w:sz w:val="22"/>
        </w:rPr>
        <w:t>Invests</w:t>
      </w:r>
      <w:r>
        <w:rPr>
          <w:spacing w:val="-7"/>
          <w:sz w:val="22"/>
        </w:rPr>
        <w:t> </w:t>
      </w:r>
      <w:r>
        <w:rPr>
          <w:spacing w:val="-2"/>
          <w:sz w:val="22"/>
        </w:rPr>
        <w:t>in</w:t>
      </w:r>
      <w:r>
        <w:rPr>
          <w:spacing w:val="-7"/>
          <w:sz w:val="22"/>
        </w:rPr>
        <w:t> </w:t>
      </w:r>
      <w:r>
        <w:rPr>
          <w:spacing w:val="-2"/>
          <w:sz w:val="22"/>
        </w:rPr>
        <w:t>Bank</w:t>
      </w:r>
      <w:r>
        <w:rPr>
          <w:spacing w:val="-7"/>
          <w:sz w:val="22"/>
        </w:rPr>
        <w:t> </w:t>
      </w:r>
      <w:r>
        <w:rPr>
          <w:spacing w:val="-2"/>
          <w:sz w:val="22"/>
        </w:rPr>
        <w:t>Stocks.</w:t>
      </w:r>
      <w:r>
        <w:rPr>
          <w:spacing w:val="-7"/>
          <w:sz w:val="22"/>
        </w:rPr>
        <w:t> </w:t>
      </w:r>
      <w:r>
        <w:rPr>
          <w:spacing w:val="-2"/>
          <w:sz w:val="22"/>
        </w:rPr>
        <w:t>4</w:t>
      </w:r>
      <w:r>
        <w:rPr>
          <w:spacing w:val="-7"/>
          <w:sz w:val="22"/>
        </w:rPr>
        <w:t> </w:t>
      </w:r>
      <w:r>
        <w:rPr>
          <w:spacing w:val="-2"/>
          <w:sz w:val="22"/>
        </w:rPr>
        <w:t>April</w:t>
      </w:r>
      <w:r>
        <w:rPr>
          <w:spacing w:val="-7"/>
          <w:sz w:val="22"/>
        </w:rPr>
        <w:t> </w:t>
      </w:r>
      <w:r>
        <w:rPr>
          <w:spacing w:val="-2"/>
          <w:sz w:val="22"/>
        </w:rPr>
        <w:t>2016.</w:t>
      </w:r>
    </w:p>
    <w:p>
      <w:pPr>
        <w:spacing w:before="51"/>
        <w:ind w:left="400" w:right="0" w:firstLine="0"/>
        <w:jc w:val="left"/>
        <w:rPr>
          <w:sz w:val="22"/>
        </w:rPr>
      </w:pPr>
      <w:r>
        <w:rPr>
          <w:i/>
          <w:sz w:val="22"/>
        </w:rPr>
        <w:t>Wall</w:t>
      </w:r>
      <w:r>
        <w:rPr>
          <w:i/>
          <w:spacing w:val="-12"/>
          <w:sz w:val="22"/>
        </w:rPr>
        <w:t> </w:t>
      </w:r>
      <w:r>
        <w:rPr>
          <w:i/>
          <w:sz w:val="22"/>
        </w:rPr>
        <w:t>Street</w:t>
      </w:r>
      <w:r>
        <w:rPr>
          <w:i/>
          <w:spacing w:val="-11"/>
          <w:sz w:val="22"/>
        </w:rPr>
        <w:t> </w:t>
      </w:r>
      <w:r>
        <w:rPr>
          <w:i/>
          <w:sz w:val="22"/>
        </w:rPr>
        <w:t>Journal.</w:t>
      </w:r>
      <w:r>
        <w:rPr>
          <w:i/>
          <w:spacing w:val="-12"/>
          <w:sz w:val="22"/>
        </w:rPr>
        <w:t> </w:t>
      </w:r>
      <w:r>
        <w:rPr>
          <w:sz w:val="22"/>
        </w:rPr>
        <w:t>Accessed</w:t>
      </w:r>
      <w:r>
        <w:rPr>
          <w:spacing w:val="-11"/>
          <w:sz w:val="22"/>
        </w:rPr>
        <w:t> </w:t>
      </w:r>
      <w:r>
        <w:rPr>
          <w:sz w:val="22"/>
        </w:rPr>
        <w:t>on</w:t>
      </w:r>
      <w:r>
        <w:rPr>
          <w:spacing w:val="-11"/>
          <w:sz w:val="22"/>
        </w:rPr>
        <w:t> </w:t>
      </w:r>
      <w:r>
        <w:rPr>
          <w:sz w:val="22"/>
        </w:rPr>
        <w:t>5</w:t>
      </w:r>
      <w:r>
        <w:rPr>
          <w:spacing w:val="-12"/>
          <w:sz w:val="22"/>
        </w:rPr>
        <w:t> </w:t>
      </w:r>
      <w:r>
        <w:rPr>
          <w:sz w:val="22"/>
        </w:rPr>
        <w:t>July</w:t>
      </w:r>
      <w:r>
        <w:rPr>
          <w:spacing w:val="-11"/>
          <w:sz w:val="22"/>
        </w:rPr>
        <w:t> </w:t>
      </w:r>
      <w:r>
        <w:rPr>
          <w:sz w:val="22"/>
        </w:rPr>
        <w:t>2023</w:t>
      </w:r>
      <w:r>
        <w:rPr>
          <w:spacing w:val="-11"/>
          <w:sz w:val="22"/>
        </w:rPr>
        <w:t> </w:t>
      </w:r>
      <w:r>
        <w:rPr>
          <w:spacing w:val="-5"/>
          <w:sz w:val="22"/>
        </w:rPr>
        <w:t>at</w:t>
      </w:r>
    </w:p>
    <w:p>
      <w:pPr>
        <w:spacing w:before="51"/>
        <w:ind w:left="400" w:right="0" w:firstLine="0"/>
        <w:jc w:val="left"/>
        <w:rPr>
          <w:sz w:val="22"/>
        </w:rPr>
      </w:pPr>
      <w:hyperlink r:id="rId110">
        <w:r>
          <w:rPr>
            <w:color w:val="1154CC"/>
            <w:spacing w:val="-2"/>
            <w:sz w:val="22"/>
            <w:u w:val="thick" w:color="1154CC"/>
          </w:rPr>
          <w:t>https://www.wsj.com/articles/chinas-foreign-exchange-regulator-dips-into-stocks-1459523466</w:t>
        </w:r>
      </w:hyperlink>
    </w:p>
    <w:p>
      <w:pPr>
        <w:pStyle w:val="BodyText"/>
        <w:spacing w:before="9"/>
        <w:rPr>
          <w:sz w:val="28"/>
        </w:rPr>
      </w:pPr>
    </w:p>
    <w:p>
      <w:pPr>
        <w:spacing w:before="1"/>
        <w:ind w:left="400" w:right="0" w:firstLine="0"/>
        <w:jc w:val="left"/>
        <w:rPr>
          <w:sz w:val="22"/>
        </w:rPr>
      </w:pPr>
      <w:r>
        <w:rPr>
          <w:sz w:val="22"/>
        </w:rPr>
        <w:t>Xinhua.</w:t>
      </w:r>
      <w:r>
        <w:rPr>
          <w:spacing w:val="-9"/>
          <w:sz w:val="22"/>
        </w:rPr>
        <w:t> </w:t>
      </w:r>
      <w:r>
        <w:rPr>
          <w:sz w:val="22"/>
        </w:rPr>
        <w:t>2015</w:t>
      </w:r>
      <w:r>
        <w:rPr>
          <w:spacing w:val="-8"/>
          <w:sz w:val="22"/>
        </w:rPr>
        <w:t> </w:t>
      </w:r>
      <w:r>
        <w:rPr>
          <w:sz w:val="22"/>
        </w:rPr>
        <w:t>China</w:t>
      </w:r>
      <w:r>
        <w:rPr>
          <w:spacing w:val="-8"/>
          <w:sz w:val="22"/>
        </w:rPr>
        <w:t> </w:t>
      </w:r>
      <w:r>
        <w:rPr>
          <w:sz w:val="22"/>
        </w:rPr>
        <w:t>raises</w:t>
      </w:r>
      <w:r>
        <w:rPr>
          <w:spacing w:val="-8"/>
          <w:sz w:val="22"/>
        </w:rPr>
        <w:t> </w:t>
      </w:r>
      <w:r>
        <w:rPr>
          <w:sz w:val="22"/>
        </w:rPr>
        <w:t>capital</w:t>
      </w:r>
      <w:r>
        <w:rPr>
          <w:spacing w:val="-8"/>
          <w:sz w:val="22"/>
        </w:rPr>
        <w:t> </w:t>
      </w:r>
      <w:r>
        <w:rPr>
          <w:sz w:val="22"/>
        </w:rPr>
        <w:t>base</w:t>
      </w:r>
      <w:r>
        <w:rPr>
          <w:spacing w:val="-8"/>
          <w:sz w:val="22"/>
        </w:rPr>
        <w:t> </w:t>
      </w:r>
      <w:r>
        <w:rPr>
          <w:sz w:val="22"/>
        </w:rPr>
        <w:t>of</w:t>
      </w:r>
      <w:r>
        <w:rPr>
          <w:spacing w:val="-8"/>
          <w:sz w:val="22"/>
        </w:rPr>
        <w:t> </w:t>
      </w:r>
      <w:r>
        <w:rPr>
          <w:sz w:val="22"/>
        </w:rPr>
        <w:t>development</w:t>
      </w:r>
      <w:r>
        <w:rPr>
          <w:spacing w:val="-8"/>
          <w:sz w:val="22"/>
        </w:rPr>
        <w:t> </w:t>
      </w:r>
      <w:r>
        <w:rPr>
          <w:sz w:val="22"/>
        </w:rPr>
        <w:t>bank.</w:t>
      </w:r>
      <w:r>
        <w:rPr>
          <w:spacing w:val="-9"/>
          <w:sz w:val="22"/>
        </w:rPr>
        <w:t> </w:t>
      </w:r>
      <w:r>
        <w:rPr>
          <w:sz w:val="22"/>
        </w:rPr>
        <w:t>18</w:t>
      </w:r>
      <w:r>
        <w:rPr>
          <w:spacing w:val="-8"/>
          <w:sz w:val="22"/>
        </w:rPr>
        <w:t> </w:t>
      </w:r>
      <w:r>
        <w:rPr>
          <w:sz w:val="22"/>
        </w:rPr>
        <w:t>August</w:t>
      </w:r>
      <w:r>
        <w:rPr>
          <w:spacing w:val="-8"/>
          <w:sz w:val="22"/>
        </w:rPr>
        <w:t> </w:t>
      </w:r>
      <w:r>
        <w:rPr>
          <w:sz w:val="22"/>
        </w:rPr>
        <w:t>2015.</w:t>
      </w:r>
      <w:r>
        <w:rPr>
          <w:spacing w:val="-8"/>
          <w:sz w:val="22"/>
        </w:rPr>
        <w:t> </w:t>
      </w:r>
      <w:r>
        <w:rPr>
          <w:i/>
          <w:spacing w:val="-2"/>
          <w:sz w:val="22"/>
        </w:rPr>
        <w:t>Xinhua</w:t>
      </w:r>
      <w:r>
        <w:rPr>
          <w:spacing w:val="-2"/>
          <w:sz w:val="22"/>
        </w:rPr>
        <w:t>.</w:t>
      </w:r>
    </w:p>
    <w:p>
      <w:pPr>
        <w:spacing w:before="50"/>
        <w:ind w:left="400" w:right="0" w:firstLine="0"/>
        <w:jc w:val="left"/>
        <w:rPr>
          <w:sz w:val="22"/>
        </w:rPr>
      </w:pPr>
      <w:r>
        <w:rPr>
          <w:sz w:val="22"/>
        </w:rPr>
        <w:t>Accessed</w:t>
      </w:r>
      <w:r>
        <w:rPr>
          <w:spacing w:val="-12"/>
          <w:sz w:val="22"/>
        </w:rPr>
        <w:t> </w:t>
      </w:r>
      <w:r>
        <w:rPr>
          <w:sz w:val="22"/>
        </w:rPr>
        <w:t>on</w:t>
      </w:r>
      <w:r>
        <w:rPr>
          <w:spacing w:val="-11"/>
          <w:sz w:val="22"/>
        </w:rPr>
        <w:t> </w:t>
      </w:r>
      <w:r>
        <w:rPr>
          <w:sz w:val="22"/>
        </w:rPr>
        <w:t>5</w:t>
      </w:r>
      <w:r>
        <w:rPr>
          <w:spacing w:val="-12"/>
          <w:sz w:val="22"/>
        </w:rPr>
        <w:t> </w:t>
      </w:r>
      <w:r>
        <w:rPr>
          <w:sz w:val="22"/>
        </w:rPr>
        <w:t>June</w:t>
      </w:r>
      <w:r>
        <w:rPr>
          <w:spacing w:val="-11"/>
          <w:sz w:val="22"/>
        </w:rPr>
        <w:t> </w:t>
      </w:r>
      <w:r>
        <w:rPr>
          <w:sz w:val="22"/>
        </w:rPr>
        <w:t>2023</w:t>
      </w:r>
      <w:r>
        <w:rPr>
          <w:spacing w:val="-12"/>
          <w:sz w:val="22"/>
        </w:rPr>
        <w:t> </w:t>
      </w:r>
      <w:r>
        <w:rPr>
          <w:spacing w:val="-5"/>
          <w:sz w:val="22"/>
        </w:rPr>
        <w:t>at</w:t>
      </w:r>
    </w:p>
    <w:p>
      <w:pPr>
        <w:spacing w:before="51"/>
        <w:ind w:left="400" w:right="0" w:firstLine="0"/>
        <w:jc w:val="left"/>
        <w:rPr>
          <w:sz w:val="22"/>
        </w:rPr>
      </w:pPr>
      <w:hyperlink r:id="rId111">
        <w:r>
          <w:rPr>
            <w:color w:val="1154CC"/>
            <w:spacing w:val="-2"/>
            <w:sz w:val="22"/>
            <w:u w:val="thick" w:color="1154CC"/>
          </w:rPr>
          <w:t>https://www.chinadaily.com.cn/business/2015-08/18/content_21640311.htm</w:t>
        </w:r>
      </w:hyperlink>
    </w:p>
    <w:p>
      <w:pPr>
        <w:pStyle w:val="BodyText"/>
        <w:spacing w:before="8"/>
        <w:rPr>
          <w:sz w:val="28"/>
        </w:rPr>
      </w:pPr>
    </w:p>
    <w:p>
      <w:pPr>
        <w:spacing w:line="288" w:lineRule="auto" w:before="1"/>
        <w:ind w:left="400" w:right="834" w:firstLine="0"/>
        <w:jc w:val="left"/>
        <w:rPr>
          <w:sz w:val="22"/>
        </w:rPr>
      </w:pPr>
      <w:r>
        <w:rPr>
          <w:sz w:val="22"/>
        </w:rPr>
        <w:t>Xueqing,</w:t>
      </w:r>
      <w:r>
        <w:rPr>
          <w:spacing w:val="-9"/>
          <w:sz w:val="22"/>
        </w:rPr>
        <w:t> </w:t>
      </w:r>
      <w:r>
        <w:rPr>
          <w:sz w:val="22"/>
        </w:rPr>
        <w:t>Jiang.</w:t>
      </w:r>
      <w:r>
        <w:rPr>
          <w:spacing w:val="-9"/>
          <w:sz w:val="22"/>
        </w:rPr>
        <w:t> </w:t>
      </w:r>
      <w:r>
        <w:rPr>
          <w:sz w:val="22"/>
        </w:rPr>
        <w:t>2017.</w:t>
      </w:r>
      <w:r>
        <w:rPr>
          <w:spacing w:val="-9"/>
          <w:sz w:val="22"/>
        </w:rPr>
        <w:t> </w:t>
      </w:r>
      <w:r>
        <w:rPr>
          <w:sz w:val="22"/>
        </w:rPr>
        <w:t>CBRC</w:t>
      </w:r>
      <w:r>
        <w:rPr>
          <w:spacing w:val="-9"/>
          <w:sz w:val="22"/>
        </w:rPr>
        <w:t> </w:t>
      </w:r>
      <w:r>
        <w:rPr>
          <w:sz w:val="22"/>
        </w:rPr>
        <w:t>Tells</w:t>
      </w:r>
      <w:r>
        <w:rPr>
          <w:spacing w:val="-9"/>
          <w:sz w:val="22"/>
        </w:rPr>
        <w:t> </w:t>
      </w:r>
      <w:r>
        <w:rPr>
          <w:sz w:val="22"/>
        </w:rPr>
        <w:t>Policy</w:t>
      </w:r>
      <w:r>
        <w:rPr>
          <w:spacing w:val="-9"/>
          <w:sz w:val="22"/>
        </w:rPr>
        <w:t> </w:t>
      </w:r>
      <w:r>
        <w:rPr>
          <w:sz w:val="22"/>
        </w:rPr>
        <w:t>Banks</w:t>
      </w:r>
      <w:r>
        <w:rPr>
          <w:spacing w:val="-9"/>
          <w:sz w:val="22"/>
        </w:rPr>
        <w:t> </w:t>
      </w:r>
      <w:r>
        <w:rPr>
          <w:sz w:val="22"/>
        </w:rPr>
        <w:t>to</w:t>
      </w:r>
      <w:r>
        <w:rPr>
          <w:spacing w:val="-9"/>
          <w:sz w:val="22"/>
        </w:rPr>
        <w:t> </w:t>
      </w:r>
      <w:r>
        <w:rPr>
          <w:sz w:val="22"/>
        </w:rPr>
        <w:t>Beef</w:t>
      </w:r>
      <w:r>
        <w:rPr>
          <w:spacing w:val="-9"/>
          <w:sz w:val="22"/>
        </w:rPr>
        <w:t> </w:t>
      </w:r>
      <w:r>
        <w:rPr>
          <w:sz w:val="22"/>
        </w:rPr>
        <w:t>up</w:t>
      </w:r>
      <w:r>
        <w:rPr>
          <w:spacing w:val="-9"/>
          <w:sz w:val="22"/>
        </w:rPr>
        <w:t> </w:t>
      </w:r>
      <w:r>
        <w:rPr>
          <w:sz w:val="22"/>
        </w:rPr>
        <w:t>Risk</w:t>
      </w:r>
      <w:r>
        <w:rPr>
          <w:spacing w:val="-9"/>
          <w:sz w:val="22"/>
        </w:rPr>
        <w:t> </w:t>
      </w:r>
      <w:r>
        <w:rPr>
          <w:sz w:val="22"/>
        </w:rPr>
        <w:t>Management.</w:t>
      </w:r>
      <w:r>
        <w:rPr>
          <w:spacing w:val="-9"/>
          <w:sz w:val="22"/>
        </w:rPr>
        <w:t> </w:t>
      </w:r>
      <w:r>
        <w:rPr>
          <w:sz w:val="22"/>
        </w:rPr>
        <w:t>16</w:t>
      </w:r>
      <w:r>
        <w:rPr>
          <w:spacing w:val="-9"/>
          <w:sz w:val="22"/>
        </w:rPr>
        <w:t> </w:t>
      </w:r>
      <w:r>
        <w:rPr>
          <w:sz w:val="22"/>
        </w:rPr>
        <w:t>November </w:t>
      </w:r>
      <w:r>
        <w:rPr>
          <w:w w:val="105"/>
          <w:sz w:val="22"/>
        </w:rPr>
        <w:t>2017.</w:t>
      </w:r>
      <w:r>
        <w:rPr>
          <w:spacing w:val="-17"/>
          <w:w w:val="105"/>
          <w:sz w:val="22"/>
        </w:rPr>
        <w:t> </w:t>
      </w:r>
      <w:r>
        <w:rPr>
          <w:i/>
          <w:w w:val="105"/>
          <w:sz w:val="22"/>
        </w:rPr>
        <w:t>China</w:t>
      </w:r>
      <w:r>
        <w:rPr>
          <w:i/>
          <w:spacing w:val="-16"/>
          <w:w w:val="105"/>
          <w:sz w:val="22"/>
        </w:rPr>
        <w:t> </w:t>
      </w:r>
      <w:r>
        <w:rPr>
          <w:i/>
          <w:w w:val="105"/>
          <w:sz w:val="22"/>
        </w:rPr>
        <w:t>Daily.</w:t>
      </w:r>
      <w:r>
        <w:rPr>
          <w:i/>
          <w:spacing w:val="-16"/>
          <w:w w:val="105"/>
          <w:sz w:val="22"/>
        </w:rPr>
        <w:t> </w:t>
      </w:r>
      <w:r>
        <w:rPr>
          <w:w w:val="105"/>
          <w:sz w:val="22"/>
        </w:rPr>
        <w:t>Accessed</w:t>
      </w:r>
      <w:r>
        <w:rPr>
          <w:spacing w:val="-16"/>
          <w:w w:val="105"/>
          <w:sz w:val="22"/>
        </w:rPr>
        <w:t> </w:t>
      </w:r>
      <w:r>
        <w:rPr>
          <w:w w:val="105"/>
          <w:sz w:val="22"/>
        </w:rPr>
        <w:t>on</w:t>
      </w:r>
      <w:r>
        <w:rPr>
          <w:spacing w:val="-16"/>
          <w:w w:val="105"/>
          <w:sz w:val="22"/>
        </w:rPr>
        <w:t> </w:t>
      </w:r>
      <w:r>
        <w:rPr>
          <w:w w:val="105"/>
          <w:sz w:val="22"/>
        </w:rPr>
        <w:t>1</w:t>
      </w:r>
      <w:r>
        <w:rPr>
          <w:spacing w:val="-16"/>
          <w:w w:val="105"/>
          <w:sz w:val="22"/>
        </w:rPr>
        <w:t> </w:t>
      </w:r>
      <w:r>
        <w:rPr>
          <w:w w:val="105"/>
          <w:sz w:val="22"/>
        </w:rPr>
        <w:t>August</w:t>
      </w:r>
      <w:r>
        <w:rPr>
          <w:spacing w:val="-16"/>
          <w:w w:val="105"/>
          <w:sz w:val="22"/>
        </w:rPr>
        <w:t> </w:t>
      </w:r>
      <w:r>
        <w:rPr>
          <w:w w:val="105"/>
          <w:sz w:val="22"/>
        </w:rPr>
        <w:t>2023</w:t>
      </w:r>
      <w:r>
        <w:rPr>
          <w:spacing w:val="-16"/>
          <w:w w:val="105"/>
          <w:sz w:val="22"/>
        </w:rPr>
        <w:t> </w:t>
      </w:r>
      <w:r>
        <w:rPr>
          <w:w w:val="105"/>
          <w:sz w:val="22"/>
        </w:rPr>
        <w:t>at </w:t>
      </w:r>
      <w:hyperlink r:id="rId112">
        <w:r>
          <w:rPr>
            <w:color w:val="1154CC"/>
            <w:spacing w:val="-2"/>
            <w:sz w:val="22"/>
            <w:u w:val="thick" w:color="1154CC"/>
          </w:rPr>
          <w:t>https://www.chinadaily.com.cn/business/2017-11/16/content_34591397.htm</w:t>
        </w:r>
      </w:hyperlink>
    </w:p>
    <w:p>
      <w:pPr>
        <w:pStyle w:val="BodyText"/>
        <w:spacing w:before="5"/>
      </w:pPr>
    </w:p>
    <w:p>
      <w:pPr>
        <w:spacing w:line="288" w:lineRule="auto" w:before="1"/>
        <w:ind w:left="400" w:right="767" w:firstLine="0"/>
        <w:jc w:val="left"/>
        <w:rPr>
          <w:sz w:val="22"/>
        </w:rPr>
      </w:pPr>
      <w:r>
        <w:rPr>
          <w:sz w:val="22"/>
        </w:rPr>
        <w:t>Xueqing,</w:t>
      </w:r>
      <w:r>
        <w:rPr>
          <w:spacing w:val="-4"/>
          <w:sz w:val="22"/>
        </w:rPr>
        <w:t> </w:t>
      </w:r>
      <w:r>
        <w:rPr>
          <w:sz w:val="22"/>
        </w:rPr>
        <w:t>Jiang.</w:t>
      </w:r>
      <w:r>
        <w:rPr>
          <w:spacing w:val="-4"/>
          <w:sz w:val="22"/>
        </w:rPr>
        <w:t> </w:t>
      </w:r>
      <w:r>
        <w:rPr>
          <w:sz w:val="22"/>
        </w:rPr>
        <w:t>2022.</w:t>
      </w:r>
      <w:r>
        <w:rPr>
          <w:spacing w:val="-4"/>
          <w:sz w:val="22"/>
        </w:rPr>
        <w:t> </w:t>
      </w:r>
      <w:r>
        <w:rPr>
          <w:sz w:val="22"/>
        </w:rPr>
        <w:t>Tsinghua</w:t>
      </w:r>
      <w:r>
        <w:rPr>
          <w:spacing w:val="-4"/>
          <w:sz w:val="22"/>
        </w:rPr>
        <w:t> </w:t>
      </w:r>
      <w:r>
        <w:rPr>
          <w:sz w:val="22"/>
        </w:rPr>
        <w:t>report</w:t>
      </w:r>
      <w:r>
        <w:rPr>
          <w:spacing w:val="-4"/>
          <w:sz w:val="22"/>
        </w:rPr>
        <w:t> </w:t>
      </w:r>
      <w:r>
        <w:rPr>
          <w:sz w:val="22"/>
        </w:rPr>
        <w:t>exposes</w:t>
      </w:r>
      <w:r>
        <w:rPr>
          <w:spacing w:val="-4"/>
          <w:sz w:val="22"/>
        </w:rPr>
        <w:t> </w:t>
      </w:r>
      <w:r>
        <w:rPr>
          <w:sz w:val="22"/>
        </w:rPr>
        <w:t>Africa's</w:t>
      </w:r>
      <w:r>
        <w:rPr>
          <w:spacing w:val="-4"/>
          <w:sz w:val="22"/>
        </w:rPr>
        <w:t> </w:t>
      </w:r>
      <w:r>
        <w:rPr>
          <w:sz w:val="22"/>
        </w:rPr>
        <w:t>bond</w:t>
      </w:r>
      <w:r>
        <w:rPr>
          <w:spacing w:val="-4"/>
          <w:sz w:val="22"/>
        </w:rPr>
        <w:t> </w:t>
      </w:r>
      <w:r>
        <w:rPr>
          <w:sz w:val="22"/>
        </w:rPr>
        <w:t>crises.</w:t>
      </w:r>
      <w:r>
        <w:rPr>
          <w:spacing w:val="-4"/>
          <w:sz w:val="22"/>
        </w:rPr>
        <w:t> </w:t>
      </w:r>
      <w:r>
        <w:rPr>
          <w:sz w:val="22"/>
        </w:rPr>
        <w:t>5</w:t>
      </w:r>
      <w:r>
        <w:rPr>
          <w:spacing w:val="-4"/>
          <w:sz w:val="22"/>
        </w:rPr>
        <w:t> </w:t>
      </w:r>
      <w:r>
        <w:rPr>
          <w:sz w:val="22"/>
        </w:rPr>
        <w:t>August</w:t>
      </w:r>
      <w:r>
        <w:rPr>
          <w:spacing w:val="-4"/>
          <w:sz w:val="22"/>
        </w:rPr>
        <w:t> </w:t>
      </w:r>
      <w:r>
        <w:rPr>
          <w:sz w:val="22"/>
        </w:rPr>
        <w:t>2022.</w:t>
      </w:r>
      <w:r>
        <w:rPr>
          <w:spacing w:val="-4"/>
          <w:sz w:val="22"/>
        </w:rPr>
        <w:t> </w:t>
      </w:r>
      <w:r>
        <w:rPr>
          <w:i/>
          <w:sz w:val="22"/>
        </w:rPr>
        <w:t>China</w:t>
      </w:r>
      <w:r>
        <w:rPr>
          <w:i/>
          <w:sz w:val="22"/>
        </w:rPr>
        <w:t> Daily</w:t>
      </w:r>
      <w:r>
        <w:rPr>
          <w:sz w:val="22"/>
        </w:rPr>
        <w:t>. Accessed on 5 August 2022 at </w:t>
      </w:r>
      <w:hyperlink r:id="rId113">
        <w:r>
          <w:rPr>
            <w:color w:val="1154CC"/>
            <w:spacing w:val="-2"/>
            <w:sz w:val="22"/>
            <w:u w:val="thick" w:color="1154CC"/>
          </w:rPr>
          <w:t>https://www.chinadaily.com.cn/a/202208/05/WS62ec70d1a310fd2b29e706f6.html</w:t>
        </w:r>
      </w:hyperlink>
    </w:p>
    <w:p>
      <w:pPr>
        <w:pStyle w:val="BodyText"/>
        <w:spacing w:before="5"/>
      </w:pPr>
    </w:p>
    <w:p>
      <w:pPr>
        <w:spacing w:line="288" w:lineRule="auto" w:before="1"/>
        <w:ind w:left="400" w:right="398" w:firstLine="0"/>
        <w:jc w:val="left"/>
        <w:rPr>
          <w:sz w:val="22"/>
        </w:rPr>
      </w:pPr>
      <w:r>
        <w:rPr>
          <w:sz w:val="22"/>
        </w:rPr>
        <w:t>Ying,</w:t>
      </w:r>
      <w:r>
        <w:rPr>
          <w:spacing w:val="-3"/>
          <w:sz w:val="22"/>
        </w:rPr>
        <w:t> </w:t>
      </w:r>
      <w:r>
        <w:rPr>
          <w:sz w:val="22"/>
        </w:rPr>
        <w:t>Diao.</w:t>
      </w:r>
      <w:r>
        <w:rPr>
          <w:spacing w:val="-3"/>
          <w:sz w:val="22"/>
        </w:rPr>
        <w:t> </w:t>
      </w:r>
      <w:r>
        <w:rPr>
          <w:sz w:val="22"/>
        </w:rPr>
        <w:t>2008.</w:t>
      </w:r>
      <w:r>
        <w:rPr>
          <w:spacing w:val="-3"/>
          <w:sz w:val="22"/>
        </w:rPr>
        <w:t> </w:t>
      </w:r>
      <w:r>
        <w:rPr>
          <w:sz w:val="22"/>
        </w:rPr>
        <w:t>Policy</w:t>
      </w:r>
      <w:r>
        <w:rPr>
          <w:spacing w:val="-3"/>
          <w:sz w:val="22"/>
        </w:rPr>
        <w:t> </w:t>
      </w:r>
      <w:r>
        <w:rPr>
          <w:sz w:val="22"/>
        </w:rPr>
        <w:t>bank</w:t>
      </w:r>
      <w:r>
        <w:rPr>
          <w:spacing w:val="-3"/>
          <w:sz w:val="22"/>
        </w:rPr>
        <w:t> </w:t>
      </w:r>
      <w:r>
        <w:rPr>
          <w:sz w:val="22"/>
        </w:rPr>
        <w:t>to</w:t>
      </w:r>
      <w:r>
        <w:rPr>
          <w:spacing w:val="-3"/>
          <w:sz w:val="22"/>
        </w:rPr>
        <w:t> </w:t>
      </w:r>
      <w:r>
        <w:rPr>
          <w:sz w:val="22"/>
        </w:rPr>
        <w:t>gradually</w:t>
      </w:r>
      <w:r>
        <w:rPr>
          <w:spacing w:val="-3"/>
          <w:sz w:val="22"/>
        </w:rPr>
        <w:t> </w:t>
      </w:r>
      <w:r>
        <w:rPr>
          <w:sz w:val="22"/>
        </w:rPr>
        <w:t>go</w:t>
      </w:r>
      <w:r>
        <w:rPr>
          <w:spacing w:val="-3"/>
          <w:sz w:val="22"/>
        </w:rPr>
        <w:t> </w:t>
      </w:r>
      <w:r>
        <w:rPr>
          <w:sz w:val="22"/>
        </w:rPr>
        <w:t>commercial.</w:t>
      </w:r>
      <w:r>
        <w:rPr>
          <w:spacing w:val="-3"/>
          <w:sz w:val="22"/>
        </w:rPr>
        <w:t> </w:t>
      </w:r>
      <w:r>
        <w:rPr>
          <w:sz w:val="22"/>
        </w:rPr>
        <w:t>3</w:t>
      </w:r>
      <w:r>
        <w:rPr>
          <w:spacing w:val="-3"/>
          <w:sz w:val="22"/>
        </w:rPr>
        <w:t> </w:t>
      </w:r>
      <w:r>
        <w:rPr>
          <w:sz w:val="22"/>
        </w:rPr>
        <w:t>March</w:t>
      </w:r>
      <w:r>
        <w:rPr>
          <w:spacing w:val="-3"/>
          <w:sz w:val="22"/>
        </w:rPr>
        <w:t> </w:t>
      </w:r>
      <w:r>
        <w:rPr>
          <w:sz w:val="22"/>
        </w:rPr>
        <w:t>2008.</w:t>
      </w:r>
      <w:r>
        <w:rPr>
          <w:spacing w:val="-3"/>
          <w:sz w:val="22"/>
        </w:rPr>
        <w:t> </w:t>
      </w:r>
      <w:r>
        <w:rPr>
          <w:i/>
          <w:sz w:val="22"/>
        </w:rPr>
        <w:t>China</w:t>
      </w:r>
      <w:r>
        <w:rPr>
          <w:i/>
          <w:spacing w:val="-3"/>
          <w:sz w:val="22"/>
        </w:rPr>
        <w:t> </w:t>
      </w:r>
      <w:r>
        <w:rPr>
          <w:i/>
          <w:sz w:val="22"/>
        </w:rPr>
        <w:t>Daily.</w:t>
      </w:r>
      <w:r>
        <w:rPr>
          <w:i/>
          <w:spacing w:val="-3"/>
          <w:sz w:val="22"/>
        </w:rPr>
        <w:t> </w:t>
      </w:r>
      <w:r>
        <w:rPr>
          <w:sz w:val="22"/>
        </w:rPr>
        <w:t>Accessed </w:t>
      </w:r>
      <w:r>
        <w:rPr>
          <w:spacing w:val="-2"/>
          <w:w w:val="105"/>
          <w:sz w:val="22"/>
        </w:rPr>
        <w:t>on</w:t>
      </w:r>
      <w:r>
        <w:rPr>
          <w:spacing w:val="-8"/>
          <w:w w:val="105"/>
          <w:sz w:val="22"/>
        </w:rPr>
        <w:t> </w:t>
      </w:r>
      <w:r>
        <w:rPr>
          <w:spacing w:val="-2"/>
          <w:w w:val="105"/>
          <w:sz w:val="22"/>
        </w:rPr>
        <w:t>15</w:t>
      </w:r>
      <w:r>
        <w:rPr>
          <w:spacing w:val="-8"/>
          <w:w w:val="105"/>
          <w:sz w:val="22"/>
        </w:rPr>
        <w:t> </w:t>
      </w:r>
      <w:r>
        <w:rPr>
          <w:spacing w:val="-2"/>
          <w:w w:val="105"/>
          <w:sz w:val="22"/>
        </w:rPr>
        <w:t>June</w:t>
      </w:r>
      <w:r>
        <w:rPr>
          <w:spacing w:val="-8"/>
          <w:w w:val="105"/>
          <w:sz w:val="22"/>
        </w:rPr>
        <w:t> </w:t>
      </w:r>
      <w:r>
        <w:rPr>
          <w:spacing w:val="-2"/>
          <w:w w:val="105"/>
          <w:sz w:val="22"/>
        </w:rPr>
        <w:t>2023</w:t>
      </w:r>
      <w:r>
        <w:rPr>
          <w:spacing w:val="-8"/>
          <w:w w:val="105"/>
          <w:sz w:val="22"/>
        </w:rPr>
        <w:t> </w:t>
      </w:r>
      <w:r>
        <w:rPr>
          <w:spacing w:val="-2"/>
          <w:w w:val="105"/>
          <w:sz w:val="22"/>
        </w:rPr>
        <w:t>at</w:t>
      </w:r>
      <w:r>
        <w:rPr>
          <w:spacing w:val="-8"/>
          <w:w w:val="105"/>
          <w:sz w:val="22"/>
        </w:rPr>
        <w:t> </w:t>
      </w:r>
      <w:hyperlink r:id="rId114">
        <w:r>
          <w:rPr>
            <w:color w:val="1154CC"/>
            <w:spacing w:val="-2"/>
            <w:w w:val="105"/>
            <w:sz w:val="22"/>
            <w:u w:val="thick" w:color="1154CC"/>
          </w:rPr>
          <w:t>https://www.chinadaily.com.cn/china/2008-03/03/content_6500728.htm</w:t>
        </w:r>
      </w:hyperlink>
    </w:p>
    <w:p>
      <w:pPr>
        <w:pStyle w:val="BodyText"/>
        <w:spacing w:before="4"/>
      </w:pPr>
    </w:p>
    <w:p>
      <w:pPr>
        <w:spacing w:line="288" w:lineRule="auto" w:before="0"/>
        <w:ind w:left="400" w:right="767" w:firstLine="0"/>
        <w:jc w:val="left"/>
        <w:rPr>
          <w:sz w:val="22"/>
        </w:rPr>
      </w:pPr>
      <w:r>
        <w:rPr>
          <w:sz w:val="22"/>
        </w:rPr>
        <w:t>Yuan,</w:t>
      </w:r>
      <w:r>
        <w:rPr>
          <w:spacing w:val="-5"/>
          <w:sz w:val="22"/>
        </w:rPr>
        <w:t> </w:t>
      </w:r>
      <w:r>
        <w:rPr>
          <w:sz w:val="22"/>
        </w:rPr>
        <w:t>Yao.</w:t>
      </w:r>
      <w:r>
        <w:rPr>
          <w:spacing w:val="-5"/>
          <w:sz w:val="22"/>
        </w:rPr>
        <w:t> </w:t>
      </w:r>
      <w:r>
        <w:rPr>
          <w:sz w:val="22"/>
        </w:rPr>
        <w:t>2014.</w:t>
      </w:r>
      <w:r>
        <w:rPr>
          <w:spacing w:val="-5"/>
          <w:sz w:val="22"/>
        </w:rPr>
        <w:t> </w:t>
      </w:r>
      <w:r>
        <w:rPr>
          <w:sz w:val="22"/>
        </w:rPr>
        <w:t>Global</w:t>
      </w:r>
      <w:r>
        <w:rPr>
          <w:spacing w:val="-5"/>
          <w:sz w:val="22"/>
        </w:rPr>
        <w:t> </w:t>
      </w:r>
      <w:r>
        <w:rPr>
          <w:sz w:val="22"/>
        </w:rPr>
        <w:t>Investment</w:t>
      </w:r>
      <w:r>
        <w:rPr>
          <w:spacing w:val="-5"/>
          <w:sz w:val="22"/>
        </w:rPr>
        <w:t> </w:t>
      </w:r>
      <w:r>
        <w:rPr>
          <w:sz w:val="22"/>
        </w:rPr>
        <w:t>M&amp;A</w:t>
      </w:r>
      <w:r>
        <w:rPr>
          <w:spacing w:val="-5"/>
          <w:sz w:val="22"/>
        </w:rPr>
        <w:t> </w:t>
      </w:r>
      <w:r>
        <w:rPr>
          <w:sz w:val="22"/>
        </w:rPr>
        <w:t>Newsletter:</w:t>
      </w:r>
      <w:r>
        <w:rPr>
          <w:spacing w:val="-5"/>
          <w:sz w:val="22"/>
        </w:rPr>
        <w:t> </w:t>
      </w:r>
      <w:r>
        <w:rPr>
          <w:sz w:val="22"/>
        </w:rPr>
        <w:t>Revealing</w:t>
      </w:r>
      <w:r>
        <w:rPr>
          <w:spacing w:val="-5"/>
          <w:sz w:val="22"/>
        </w:rPr>
        <w:t> </w:t>
      </w:r>
      <w:r>
        <w:rPr>
          <w:sz w:val="22"/>
        </w:rPr>
        <w:t>the</w:t>
      </w:r>
      <w:r>
        <w:rPr>
          <w:spacing w:val="-5"/>
          <w:sz w:val="22"/>
        </w:rPr>
        <w:t> </w:t>
      </w:r>
      <w:r>
        <w:rPr>
          <w:sz w:val="22"/>
        </w:rPr>
        <w:t>Mystery</w:t>
      </w:r>
      <w:r>
        <w:rPr>
          <w:spacing w:val="-5"/>
          <w:sz w:val="22"/>
        </w:rPr>
        <w:t> </w:t>
      </w:r>
      <w:r>
        <w:rPr>
          <w:sz w:val="22"/>
        </w:rPr>
        <w:t>of</w:t>
      </w:r>
      <w:r>
        <w:rPr>
          <w:spacing w:val="-5"/>
          <w:sz w:val="22"/>
        </w:rPr>
        <w:t> </w:t>
      </w:r>
      <w:r>
        <w:rPr>
          <w:sz w:val="22"/>
        </w:rPr>
        <w:t>Foreign Exchange</w:t>
      </w:r>
      <w:r>
        <w:rPr>
          <w:spacing w:val="-1"/>
          <w:sz w:val="22"/>
        </w:rPr>
        <w:t> </w:t>
      </w:r>
      <w:r>
        <w:rPr>
          <w:sz w:val="22"/>
        </w:rPr>
        <w:t>Reserve</w:t>
      </w:r>
      <w:r>
        <w:rPr>
          <w:spacing w:val="-1"/>
          <w:sz w:val="22"/>
        </w:rPr>
        <w:t> </w:t>
      </w:r>
      <w:r>
        <w:rPr>
          <w:sz w:val="22"/>
        </w:rPr>
        <w:t>Entrusted</w:t>
      </w:r>
      <w:r>
        <w:rPr>
          <w:spacing w:val="-1"/>
          <w:sz w:val="22"/>
        </w:rPr>
        <w:t> </w:t>
      </w:r>
      <w:r>
        <w:rPr>
          <w:sz w:val="22"/>
        </w:rPr>
        <w:t>Loans.</w:t>
      </w:r>
      <w:r>
        <w:rPr>
          <w:spacing w:val="-1"/>
          <w:sz w:val="22"/>
        </w:rPr>
        <w:t> </w:t>
      </w:r>
      <w:r>
        <w:rPr>
          <w:sz w:val="22"/>
        </w:rPr>
        <w:t>Accessed</w:t>
      </w:r>
      <w:r>
        <w:rPr>
          <w:spacing w:val="-1"/>
          <w:sz w:val="22"/>
        </w:rPr>
        <w:t> </w:t>
      </w:r>
      <w:r>
        <w:rPr>
          <w:sz w:val="22"/>
        </w:rPr>
        <w:t>on</w:t>
      </w:r>
      <w:r>
        <w:rPr>
          <w:spacing w:val="-1"/>
          <w:sz w:val="22"/>
        </w:rPr>
        <w:t> </w:t>
      </w:r>
      <w:r>
        <w:rPr>
          <w:sz w:val="22"/>
        </w:rPr>
        <w:t>1</w:t>
      </w:r>
      <w:r>
        <w:rPr>
          <w:spacing w:val="-1"/>
          <w:sz w:val="22"/>
        </w:rPr>
        <w:t> </w:t>
      </w:r>
      <w:r>
        <w:rPr>
          <w:sz w:val="22"/>
        </w:rPr>
        <w:t>July</w:t>
      </w:r>
      <w:r>
        <w:rPr>
          <w:spacing w:val="-1"/>
          <w:sz w:val="22"/>
        </w:rPr>
        <w:t> </w:t>
      </w:r>
      <w:r>
        <w:rPr>
          <w:sz w:val="22"/>
        </w:rPr>
        <w:t>2023</w:t>
      </w:r>
      <w:r>
        <w:rPr>
          <w:spacing w:val="-1"/>
          <w:sz w:val="22"/>
        </w:rPr>
        <w:t> </w:t>
      </w:r>
      <w:r>
        <w:rPr>
          <w:sz w:val="22"/>
        </w:rPr>
        <w:t>at </w:t>
      </w:r>
      <w:hyperlink r:id="rId115">
        <w:r>
          <w:rPr>
            <w:color w:val="1154CC"/>
            <w:spacing w:val="-2"/>
            <w:w w:val="105"/>
            <w:sz w:val="22"/>
            <w:u w:val="thick" w:color="1154CC"/>
          </w:rPr>
          <w:t>https://m.gaodun.com/caiwu/379542.html</w:t>
        </w:r>
      </w:hyperlink>
    </w:p>
    <w:p>
      <w:pPr>
        <w:pStyle w:val="BodyText"/>
        <w:spacing w:before="5"/>
      </w:pPr>
    </w:p>
    <w:p>
      <w:pPr>
        <w:spacing w:line="288" w:lineRule="auto" w:before="0"/>
        <w:ind w:left="400" w:right="436" w:firstLine="0"/>
        <w:jc w:val="left"/>
        <w:rPr>
          <w:sz w:val="22"/>
        </w:rPr>
      </w:pPr>
      <w:r>
        <w:rPr>
          <w:sz w:val="22"/>
        </w:rPr>
        <w:t>Yuzhe, Zhang. 2010. China ﬁnds policy job for forex reserves. 23 May 2010. </w:t>
      </w:r>
      <w:r>
        <w:rPr>
          <w:i/>
          <w:sz w:val="22"/>
        </w:rPr>
        <w:t>Caixin Online.</w:t>
      </w:r>
      <w:r>
        <w:rPr>
          <w:i/>
          <w:sz w:val="22"/>
        </w:rPr>
        <w:t> </w:t>
      </w:r>
      <w:r>
        <w:rPr>
          <w:w w:val="105"/>
          <w:sz w:val="22"/>
        </w:rPr>
        <w:t>Accessed</w:t>
      </w:r>
      <w:r>
        <w:rPr>
          <w:spacing w:val="-3"/>
          <w:w w:val="105"/>
          <w:sz w:val="22"/>
        </w:rPr>
        <w:t> </w:t>
      </w:r>
      <w:r>
        <w:rPr>
          <w:w w:val="105"/>
          <w:sz w:val="22"/>
        </w:rPr>
        <w:t>on</w:t>
      </w:r>
      <w:r>
        <w:rPr>
          <w:spacing w:val="-3"/>
          <w:w w:val="105"/>
          <w:sz w:val="22"/>
        </w:rPr>
        <w:t> </w:t>
      </w:r>
      <w:r>
        <w:rPr>
          <w:w w:val="105"/>
          <w:sz w:val="22"/>
        </w:rPr>
        <w:t>1</w:t>
      </w:r>
      <w:r>
        <w:rPr>
          <w:spacing w:val="-3"/>
          <w:w w:val="105"/>
          <w:sz w:val="22"/>
        </w:rPr>
        <w:t> </w:t>
      </w:r>
      <w:r>
        <w:rPr>
          <w:w w:val="105"/>
          <w:sz w:val="22"/>
        </w:rPr>
        <w:t>August</w:t>
      </w:r>
      <w:r>
        <w:rPr>
          <w:spacing w:val="-3"/>
          <w:w w:val="105"/>
          <w:sz w:val="22"/>
        </w:rPr>
        <w:t> </w:t>
      </w:r>
      <w:r>
        <w:rPr>
          <w:w w:val="105"/>
          <w:sz w:val="22"/>
        </w:rPr>
        <w:t>2023</w:t>
      </w:r>
      <w:r>
        <w:rPr>
          <w:spacing w:val="-3"/>
          <w:w w:val="105"/>
          <w:sz w:val="22"/>
        </w:rPr>
        <w:t> </w:t>
      </w:r>
      <w:r>
        <w:rPr>
          <w:w w:val="105"/>
          <w:sz w:val="22"/>
        </w:rPr>
        <w:t>at </w:t>
      </w:r>
      <w:r>
        <w:rPr>
          <w:color w:val="1154CC"/>
          <w:spacing w:val="-2"/>
          <w:sz w:val="22"/>
          <w:u w:val="thick" w:color="1154CC"/>
        </w:rPr>
        <w:t>https://web.archive.org/web/20100523082852/</w:t>
      </w:r>
      <w:hyperlink r:id="rId116">
        <w:r>
          <w:rPr>
            <w:color w:val="1154CC"/>
            <w:spacing w:val="-2"/>
            <w:sz w:val="22"/>
            <w:u w:val="thick" w:color="1154CC"/>
          </w:rPr>
          <w:t>http://english.caing.com/2010-05-20/10014574</w:t>
        </w:r>
      </w:hyperlink>
      <w:r>
        <w:rPr>
          <w:color w:val="1154CC"/>
          <w:spacing w:val="40"/>
          <w:w w:val="105"/>
          <w:sz w:val="22"/>
        </w:rPr>
        <w:t>  </w:t>
      </w:r>
      <w:r>
        <w:rPr>
          <w:color w:val="1154CC"/>
          <w:spacing w:val="-2"/>
          <w:w w:val="105"/>
          <w:sz w:val="22"/>
          <w:u w:val="thick" w:color="1154CC"/>
        </w:rPr>
        <w:t>3.html</w:t>
      </w:r>
    </w:p>
    <w:p>
      <w:pPr>
        <w:pStyle w:val="BodyText"/>
        <w:spacing w:before="4"/>
      </w:pPr>
    </w:p>
    <w:p>
      <w:pPr>
        <w:spacing w:line="288" w:lineRule="auto" w:before="0"/>
        <w:ind w:left="400" w:right="952" w:firstLine="0"/>
        <w:jc w:val="left"/>
        <w:rPr>
          <w:sz w:val="22"/>
        </w:rPr>
      </w:pPr>
      <w:r>
        <w:rPr>
          <w:sz w:val="22"/>
        </w:rPr>
        <w:t>Zhou,</w:t>
      </w:r>
      <w:r>
        <w:rPr>
          <w:spacing w:val="-3"/>
          <w:sz w:val="22"/>
        </w:rPr>
        <w:t> </w:t>
      </w:r>
      <w:r>
        <w:rPr>
          <w:sz w:val="22"/>
        </w:rPr>
        <w:t>Haonan</w:t>
      </w:r>
      <w:r>
        <w:rPr>
          <w:spacing w:val="-3"/>
          <w:sz w:val="22"/>
        </w:rPr>
        <w:t> </w:t>
      </w:r>
      <w:r>
        <w:rPr>
          <w:sz w:val="22"/>
        </w:rPr>
        <w:t>and</w:t>
      </w:r>
      <w:r>
        <w:rPr>
          <w:spacing w:val="-3"/>
          <w:sz w:val="22"/>
        </w:rPr>
        <w:t> </w:t>
      </w:r>
      <w:r>
        <w:rPr>
          <w:sz w:val="22"/>
        </w:rPr>
        <w:t>Eugenio</w:t>
      </w:r>
      <w:r>
        <w:rPr>
          <w:spacing w:val="-3"/>
          <w:sz w:val="22"/>
        </w:rPr>
        <w:t> </w:t>
      </w:r>
      <w:r>
        <w:rPr>
          <w:sz w:val="22"/>
        </w:rPr>
        <w:t>Cerutti</w:t>
      </w:r>
      <w:r>
        <w:rPr>
          <w:spacing w:val="-3"/>
          <w:sz w:val="22"/>
        </w:rPr>
        <w:t> </w:t>
      </w:r>
      <w:r>
        <w:rPr>
          <w:sz w:val="22"/>
        </w:rPr>
        <w:t>2018.</w:t>
      </w:r>
      <w:r>
        <w:rPr>
          <w:spacing w:val="-3"/>
          <w:sz w:val="22"/>
        </w:rPr>
        <w:t> </w:t>
      </w:r>
      <w:r>
        <w:rPr>
          <w:sz w:val="22"/>
        </w:rPr>
        <w:t>The</w:t>
      </w:r>
      <w:r>
        <w:rPr>
          <w:spacing w:val="-3"/>
          <w:sz w:val="22"/>
        </w:rPr>
        <w:t> </w:t>
      </w:r>
      <w:r>
        <w:rPr>
          <w:sz w:val="22"/>
        </w:rPr>
        <w:t>Chinese</w:t>
      </w:r>
      <w:r>
        <w:rPr>
          <w:spacing w:val="-3"/>
          <w:sz w:val="22"/>
        </w:rPr>
        <w:t> </w:t>
      </w:r>
      <w:r>
        <w:rPr>
          <w:sz w:val="22"/>
        </w:rPr>
        <w:t>banking</w:t>
      </w:r>
      <w:r>
        <w:rPr>
          <w:spacing w:val="-3"/>
          <w:sz w:val="22"/>
        </w:rPr>
        <w:t> </w:t>
      </w:r>
      <w:r>
        <w:rPr>
          <w:sz w:val="22"/>
        </w:rPr>
        <w:t>system:</w:t>
      </w:r>
      <w:r>
        <w:rPr>
          <w:spacing w:val="-3"/>
          <w:sz w:val="22"/>
        </w:rPr>
        <w:t> </w:t>
      </w:r>
      <w:r>
        <w:rPr>
          <w:sz w:val="22"/>
        </w:rPr>
        <w:t>Much</w:t>
      </w:r>
      <w:r>
        <w:rPr>
          <w:spacing w:val="-3"/>
          <w:sz w:val="22"/>
        </w:rPr>
        <w:t> </w:t>
      </w:r>
      <w:r>
        <w:rPr>
          <w:sz w:val="22"/>
        </w:rPr>
        <w:t>more</w:t>
      </w:r>
      <w:r>
        <w:rPr>
          <w:spacing w:val="-3"/>
          <w:sz w:val="22"/>
        </w:rPr>
        <w:t> </w:t>
      </w:r>
      <w:r>
        <w:rPr>
          <w:sz w:val="22"/>
        </w:rPr>
        <w:t>than</w:t>
      </w:r>
      <w:r>
        <w:rPr>
          <w:spacing w:val="-3"/>
          <w:sz w:val="22"/>
        </w:rPr>
        <w:t> </w:t>
      </w:r>
      <w:r>
        <w:rPr>
          <w:sz w:val="22"/>
        </w:rPr>
        <w:t>a </w:t>
      </w:r>
      <w:r>
        <w:rPr>
          <w:w w:val="105"/>
          <w:sz w:val="22"/>
        </w:rPr>
        <w:t>domestic</w:t>
      </w:r>
      <w:r>
        <w:rPr>
          <w:spacing w:val="-17"/>
          <w:w w:val="105"/>
          <w:sz w:val="22"/>
        </w:rPr>
        <w:t> </w:t>
      </w:r>
      <w:r>
        <w:rPr>
          <w:w w:val="105"/>
          <w:sz w:val="22"/>
        </w:rPr>
        <w:t>giant.</w:t>
      </w:r>
      <w:r>
        <w:rPr>
          <w:spacing w:val="-16"/>
          <w:w w:val="105"/>
          <w:sz w:val="22"/>
        </w:rPr>
        <w:t> </w:t>
      </w:r>
      <w:r>
        <w:rPr>
          <w:w w:val="105"/>
          <w:sz w:val="22"/>
        </w:rPr>
        <w:t>VoxEU</w:t>
      </w:r>
      <w:r>
        <w:rPr>
          <w:spacing w:val="-16"/>
          <w:w w:val="105"/>
          <w:sz w:val="22"/>
        </w:rPr>
        <w:t> </w:t>
      </w:r>
      <w:r>
        <w:rPr>
          <w:w w:val="105"/>
          <w:sz w:val="22"/>
        </w:rPr>
        <w:t>Blog.</w:t>
      </w:r>
      <w:r>
        <w:rPr>
          <w:spacing w:val="-16"/>
          <w:w w:val="105"/>
          <w:sz w:val="22"/>
        </w:rPr>
        <w:t> </w:t>
      </w:r>
      <w:r>
        <w:rPr>
          <w:w w:val="105"/>
          <w:sz w:val="22"/>
        </w:rPr>
        <w:t>Accessed</w:t>
      </w:r>
      <w:r>
        <w:rPr>
          <w:spacing w:val="-16"/>
          <w:w w:val="105"/>
          <w:sz w:val="22"/>
        </w:rPr>
        <w:t> </w:t>
      </w:r>
      <w:r>
        <w:rPr>
          <w:w w:val="105"/>
          <w:sz w:val="22"/>
        </w:rPr>
        <w:t>on</w:t>
      </w:r>
      <w:r>
        <w:rPr>
          <w:spacing w:val="-16"/>
          <w:w w:val="105"/>
          <w:sz w:val="22"/>
        </w:rPr>
        <w:t> </w:t>
      </w:r>
      <w:r>
        <w:rPr>
          <w:w w:val="105"/>
          <w:sz w:val="22"/>
        </w:rPr>
        <w:t>19</w:t>
      </w:r>
      <w:r>
        <w:rPr>
          <w:spacing w:val="-16"/>
          <w:w w:val="105"/>
          <w:sz w:val="22"/>
        </w:rPr>
        <w:t> </w:t>
      </w:r>
      <w:r>
        <w:rPr>
          <w:w w:val="105"/>
          <w:sz w:val="22"/>
        </w:rPr>
        <w:t>July</w:t>
      </w:r>
      <w:r>
        <w:rPr>
          <w:spacing w:val="-16"/>
          <w:w w:val="105"/>
          <w:sz w:val="22"/>
        </w:rPr>
        <w:t> </w:t>
      </w:r>
      <w:r>
        <w:rPr>
          <w:w w:val="105"/>
          <w:sz w:val="22"/>
        </w:rPr>
        <w:t>2023</w:t>
      </w:r>
      <w:r>
        <w:rPr>
          <w:spacing w:val="-16"/>
          <w:w w:val="105"/>
          <w:sz w:val="22"/>
        </w:rPr>
        <w:t> </w:t>
      </w:r>
      <w:r>
        <w:rPr>
          <w:w w:val="105"/>
          <w:sz w:val="22"/>
        </w:rPr>
        <w:t>at </w:t>
      </w:r>
      <w:hyperlink r:id="rId117">
        <w:r>
          <w:rPr>
            <w:color w:val="1154CC"/>
            <w:spacing w:val="-2"/>
            <w:sz w:val="22"/>
            <w:u w:val="thick" w:color="1154CC"/>
          </w:rPr>
          <w:t>https://cepr.org/voxeu/columns/chinese-banking-system-much-more-domestic-giant</w:t>
        </w:r>
      </w:hyperlink>
    </w:p>
    <w:sectPr>
      <w:footerReference w:type="default" r:id="rId108"/>
      <w:pgSz w:w="12240" w:h="15840"/>
      <w:pgMar w:footer="0" w:header="0" w:top="1400" w:bottom="280" w:left="1040" w:right="10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MS PGothic">
    <w:altName w:val="MS PGothic"/>
    <w:charset w:val="0"/>
    <w:family w:val="swiss"/>
    <w:pitch w:val="variable"/>
  </w:font>
  <w:font w:name="宋体">
    <w:altName w:val="宋体"/>
    <w:charset w:val="86"/>
    <w:family w:val="auto"/>
    <w:pitch w:val="variable"/>
  </w:font>
  <w:font w:name="MS Gothic">
    <w:altName w:val="MS Gothic"/>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4.663269pt;margin-top:745pt;width:23.7pt;height:12pt;mso-position-horizontal-relative:page;mso-position-vertical-relative:page;z-index:-17148416" type="#_x0000_t202" id="docshape1" filled="false" stroked="false">
          <v:textbox inset="0,0,0,0">
            <w:txbxContent>
              <w:p>
                <w:pPr>
                  <w:spacing w:line="214" w:lineRule="exact" w:before="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100</w:t>
                </w:r>
                <w:r>
                  <w:rPr>
                    <w:b/>
                    <w:spacing w:val="-5"/>
                    <w:sz w:val="20"/>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1480" w:hanging="360"/>
      </w:pPr>
      <w:rPr>
        <w:rFonts w:hint="default" w:ascii="Arial" w:hAnsi="Arial" w:eastAsia="Arial" w:cs="Arial"/>
        <w:b w:val="0"/>
        <w:bCs w:val="0"/>
        <w:i w:val="0"/>
        <w:iCs w:val="0"/>
        <w:w w:val="100"/>
        <w:sz w:val="24"/>
        <w:szCs w:val="24"/>
        <w:lang w:val="en-US" w:eastAsia="en-US" w:bidi="ar-SA"/>
      </w:rPr>
    </w:lvl>
    <w:lvl w:ilvl="1">
      <w:start w:val="0"/>
      <w:numFmt w:val="bullet"/>
      <w:lvlText w:val="•"/>
      <w:lvlJc w:val="left"/>
      <w:pPr>
        <w:ind w:left="2348" w:hanging="360"/>
      </w:pPr>
      <w:rPr>
        <w:rFonts w:hint="default"/>
        <w:lang w:val="en-US" w:eastAsia="en-US" w:bidi="ar-SA"/>
      </w:rPr>
    </w:lvl>
    <w:lvl w:ilvl="2">
      <w:start w:val="0"/>
      <w:numFmt w:val="bullet"/>
      <w:lvlText w:val="•"/>
      <w:lvlJc w:val="left"/>
      <w:pPr>
        <w:ind w:left="3216"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4952" w:hanging="360"/>
      </w:pPr>
      <w:rPr>
        <w:rFonts w:hint="default"/>
        <w:lang w:val="en-US" w:eastAsia="en-US" w:bidi="ar-SA"/>
      </w:rPr>
    </w:lvl>
    <w:lvl w:ilvl="5">
      <w:start w:val="0"/>
      <w:numFmt w:val="bullet"/>
      <w:lvlText w:val="•"/>
      <w:lvlJc w:val="left"/>
      <w:pPr>
        <w:ind w:left="5820" w:hanging="360"/>
      </w:pPr>
      <w:rPr>
        <w:rFonts w:hint="default"/>
        <w:lang w:val="en-US" w:eastAsia="en-US" w:bidi="ar-SA"/>
      </w:rPr>
    </w:lvl>
    <w:lvl w:ilvl="6">
      <w:start w:val="0"/>
      <w:numFmt w:val="bullet"/>
      <w:lvlText w:val="•"/>
      <w:lvlJc w:val="left"/>
      <w:pPr>
        <w:ind w:left="6688" w:hanging="360"/>
      </w:pPr>
      <w:rPr>
        <w:rFonts w:hint="default"/>
        <w:lang w:val="en-US" w:eastAsia="en-US" w:bidi="ar-SA"/>
      </w:rPr>
    </w:lvl>
    <w:lvl w:ilvl="7">
      <w:start w:val="0"/>
      <w:numFmt w:val="bullet"/>
      <w:lvlText w:val="•"/>
      <w:lvlJc w:val="left"/>
      <w:pPr>
        <w:ind w:left="7556" w:hanging="360"/>
      </w:pPr>
      <w:rPr>
        <w:rFonts w:hint="default"/>
        <w:lang w:val="en-US" w:eastAsia="en-US" w:bidi="ar-SA"/>
      </w:rPr>
    </w:lvl>
    <w:lvl w:ilvl="8">
      <w:start w:val="0"/>
      <w:numFmt w:val="bullet"/>
      <w:lvlText w:val="•"/>
      <w:lvlJc w:val="left"/>
      <w:pPr>
        <w:ind w:left="8424" w:hanging="360"/>
      </w:pPr>
      <w:rPr>
        <w:rFonts w:hint="default"/>
        <w:lang w:val="en-US" w:eastAsia="en-US" w:bidi="ar-SA"/>
      </w:rPr>
    </w:lvl>
  </w:abstractNum>
  <w:abstractNum w:abstractNumId="3">
    <w:multiLevelType w:val="hybridMultilevel"/>
    <w:lvl w:ilvl="0">
      <w:start w:val="1"/>
      <w:numFmt w:val="decimal"/>
      <w:lvlText w:val="%1."/>
      <w:lvlJc w:val="left"/>
      <w:pPr>
        <w:ind w:left="1480" w:hanging="360"/>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2348" w:hanging="360"/>
      </w:pPr>
      <w:rPr>
        <w:rFonts w:hint="default"/>
        <w:lang w:val="en-US" w:eastAsia="en-US" w:bidi="ar-SA"/>
      </w:rPr>
    </w:lvl>
    <w:lvl w:ilvl="2">
      <w:start w:val="0"/>
      <w:numFmt w:val="bullet"/>
      <w:lvlText w:val="•"/>
      <w:lvlJc w:val="left"/>
      <w:pPr>
        <w:ind w:left="3216"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4952" w:hanging="360"/>
      </w:pPr>
      <w:rPr>
        <w:rFonts w:hint="default"/>
        <w:lang w:val="en-US" w:eastAsia="en-US" w:bidi="ar-SA"/>
      </w:rPr>
    </w:lvl>
    <w:lvl w:ilvl="5">
      <w:start w:val="0"/>
      <w:numFmt w:val="bullet"/>
      <w:lvlText w:val="•"/>
      <w:lvlJc w:val="left"/>
      <w:pPr>
        <w:ind w:left="5820" w:hanging="360"/>
      </w:pPr>
      <w:rPr>
        <w:rFonts w:hint="default"/>
        <w:lang w:val="en-US" w:eastAsia="en-US" w:bidi="ar-SA"/>
      </w:rPr>
    </w:lvl>
    <w:lvl w:ilvl="6">
      <w:start w:val="0"/>
      <w:numFmt w:val="bullet"/>
      <w:lvlText w:val="•"/>
      <w:lvlJc w:val="left"/>
      <w:pPr>
        <w:ind w:left="6688" w:hanging="360"/>
      </w:pPr>
      <w:rPr>
        <w:rFonts w:hint="default"/>
        <w:lang w:val="en-US" w:eastAsia="en-US" w:bidi="ar-SA"/>
      </w:rPr>
    </w:lvl>
    <w:lvl w:ilvl="7">
      <w:start w:val="0"/>
      <w:numFmt w:val="bullet"/>
      <w:lvlText w:val="•"/>
      <w:lvlJc w:val="left"/>
      <w:pPr>
        <w:ind w:left="7556" w:hanging="360"/>
      </w:pPr>
      <w:rPr>
        <w:rFonts w:hint="default"/>
        <w:lang w:val="en-US" w:eastAsia="en-US" w:bidi="ar-SA"/>
      </w:rPr>
    </w:lvl>
    <w:lvl w:ilvl="8">
      <w:start w:val="0"/>
      <w:numFmt w:val="bullet"/>
      <w:lvlText w:val="•"/>
      <w:lvlJc w:val="left"/>
      <w:pPr>
        <w:ind w:left="8424" w:hanging="360"/>
      </w:pPr>
      <w:rPr>
        <w:rFonts w:hint="default"/>
        <w:lang w:val="en-US" w:eastAsia="en-US" w:bidi="ar-SA"/>
      </w:rPr>
    </w:lvl>
  </w:abstractNum>
  <w:abstractNum w:abstractNumId="2">
    <w:multiLevelType w:val="hybridMultilevel"/>
    <w:lvl w:ilvl="0">
      <w:start w:val="1"/>
      <w:numFmt w:val="decimal"/>
      <w:lvlText w:val="%1."/>
      <w:lvlJc w:val="left"/>
      <w:pPr>
        <w:ind w:left="1480" w:hanging="360"/>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2348" w:hanging="360"/>
      </w:pPr>
      <w:rPr>
        <w:rFonts w:hint="default"/>
        <w:lang w:val="en-US" w:eastAsia="en-US" w:bidi="ar-SA"/>
      </w:rPr>
    </w:lvl>
    <w:lvl w:ilvl="2">
      <w:start w:val="0"/>
      <w:numFmt w:val="bullet"/>
      <w:lvlText w:val="•"/>
      <w:lvlJc w:val="left"/>
      <w:pPr>
        <w:ind w:left="3216"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4952" w:hanging="360"/>
      </w:pPr>
      <w:rPr>
        <w:rFonts w:hint="default"/>
        <w:lang w:val="en-US" w:eastAsia="en-US" w:bidi="ar-SA"/>
      </w:rPr>
    </w:lvl>
    <w:lvl w:ilvl="5">
      <w:start w:val="0"/>
      <w:numFmt w:val="bullet"/>
      <w:lvlText w:val="•"/>
      <w:lvlJc w:val="left"/>
      <w:pPr>
        <w:ind w:left="5820" w:hanging="360"/>
      </w:pPr>
      <w:rPr>
        <w:rFonts w:hint="default"/>
        <w:lang w:val="en-US" w:eastAsia="en-US" w:bidi="ar-SA"/>
      </w:rPr>
    </w:lvl>
    <w:lvl w:ilvl="6">
      <w:start w:val="0"/>
      <w:numFmt w:val="bullet"/>
      <w:lvlText w:val="•"/>
      <w:lvlJc w:val="left"/>
      <w:pPr>
        <w:ind w:left="6688" w:hanging="360"/>
      </w:pPr>
      <w:rPr>
        <w:rFonts w:hint="default"/>
        <w:lang w:val="en-US" w:eastAsia="en-US" w:bidi="ar-SA"/>
      </w:rPr>
    </w:lvl>
    <w:lvl w:ilvl="7">
      <w:start w:val="0"/>
      <w:numFmt w:val="bullet"/>
      <w:lvlText w:val="•"/>
      <w:lvlJc w:val="left"/>
      <w:pPr>
        <w:ind w:left="7556" w:hanging="360"/>
      </w:pPr>
      <w:rPr>
        <w:rFonts w:hint="default"/>
        <w:lang w:val="en-US" w:eastAsia="en-US" w:bidi="ar-SA"/>
      </w:rPr>
    </w:lvl>
    <w:lvl w:ilvl="8">
      <w:start w:val="0"/>
      <w:numFmt w:val="bullet"/>
      <w:lvlText w:val="•"/>
      <w:lvlJc w:val="left"/>
      <w:pPr>
        <w:ind w:left="8424" w:hanging="360"/>
      </w:pPr>
      <w:rPr>
        <w:rFonts w:hint="default"/>
        <w:lang w:val="en-US" w:eastAsia="en-US" w:bidi="ar-SA"/>
      </w:rPr>
    </w:lvl>
  </w:abstractNum>
  <w:abstractNum w:abstractNumId="1">
    <w:multiLevelType w:val="hybridMultilevel"/>
    <w:lvl w:ilvl="0">
      <w:start w:val="1"/>
      <w:numFmt w:val="decimal"/>
      <w:lvlText w:val="%1."/>
      <w:lvlJc w:val="left"/>
      <w:pPr>
        <w:ind w:left="1480" w:hanging="360"/>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2348" w:hanging="360"/>
      </w:pPr>
      <w:rPr>
        <w:rFonts w:hint="default"/>
        <w:lang w:val="en-US" w:eastAsia="en-US" w:bidi="ar-SA"/>
      </w:rPr>
    </w:lvl>
    <w:lvl w:ilvl="2">
      <w:start w:val="0"/>
      <w:numFmt w:val="bullet"/>
      <w:lvlText w:val="•"/>
      <w:lvlJc w:val="left"/>
      <w:pPr>
        <w:ind w:left="3216"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4952" w:hanging="360"/>
      </w:pPr>
      <w:rPr>
        <w:rFonts w:hint="default"/>
        <w:lang w:val="en-US" w:eastAsia="en-US" w:bidi="ar-SA"/>
      </w:rPr>
    </w:lvl>
    <w:lvl w:ilvl="5">
      <w:start w:val="0"/>
      <w:numFmt w:val="bullet"/>
      <w:lvlText w:val="•"/>
      <w:lvlJc w:val="left"/>
      <w:pPr>
        <w:ind w:left="5820" w:hanging="360"/>
      </w:pPr>
      <w:rPr>
        <w:rFonts w:hint="default"/>
        <w:lang w:val="en-US" w:eastAsia="en-US" w:bidi="ar-SA"/>
      </w:rPr>
    </w:lvl>
    <w:lvl w:ilvl="6">
      <w:start w:val="0"/>
      <w:numFmt w:val="bullet"/>
      <w:lvlText w:val="•"/>
      <w:lvlJc w:val="left"/>
      <w:pPr>
        <w:ind w:left="6688" w:hanging="360"/>
      </w:pPr>
      <w:rPr>
        <w:rFonts w:hint="default"/>
        <w:lang w:val="en-US" w:eastAsia="en-US" w:bidi="ar-SA"/>
      </w:rPr>
    </w:lvl>
    <w:lvl w:ilvl="7">
      <w:start w:val="0"/>
      <w:numFmt w:val="bullet"/>
      <w:lvlText w:val="•"/>
      <w:lvlJc w:val="left"/>
      <w:pPr>
        <w:ind w:left="7556" w:hanging="360"/>
      </w:pPr>
      <w:rPr>
        <w:rFonts w:hint="default"/>
        <w:lang w:val="en-US" w:eastAsia="en-US" w:bidi="ar-SA"/>
      </w:rPr>
    </w:lvl>
    <w:lvl w:ilvl="8">
      <w:start w:val="0"/>
      <w:numFmt w:val="bullet"/>
      <w:lvlText w:val="•"/>
      <w:lvlJc w:val="left"/>
      <w:pPr>
        <w:ind w:left="8424" w:hanging="360"/>
      </w:pPr>
      <w:rPr>
        <w:rFonts w:hint="default"/>
        <w:lang w:val="en-US" w:eastAsia="en-US" w:bidi="ar-SA"/>
      </w:rPr>
    </w:lvl>
  </w:abstractNum>
  <w:abstractNum w:abstractNumId="0">
    <w:multiLevelType w:val="hybridMultilevel"/>
    <w:lvl w:ilvl="0">
      <w:start w:val="0"/>
      <w:numFmt w:val="bullet"/>
      <w:lvlText w:val="●"/>
      <w:lvlJc w:val="left"/>
      <w:pPr>
        <w:ind w:left="1480" w:hanging="360"/>
      </w:pPr>
      <w:rPr>
        <w:rFonts w:hint="default" w:ascii="Arial" w:hAnsi="Arial" w:eastAsia="Arial" w:cs="Arial"/>
        <w:b w:val="0"/>
        <w:bCs w:val="0"/>
        <w:i w:val="0"/>
        <w:iCs w:val="0"/>
        <w:w w:val="100"/>
        <w:sz w:val="24"/>
        <w:szCs w:val="24"/>
        <w:lang w:val="en-US" w:eastAsia="en-US" w:bidi="ar-SA"/>
      </w:rPr>
    </w:lvl>
    <w:lvl w:ilvl="1">
      <w:start w:val="0"/>
      <w:numFmt w:val="bullet"/>
      <w:lvlText w:val="•"/>
      <w:lvlJc w:val="left"/>
      <w:pPr>
        <w:ind w:left="2348" w:hanging="360"/>
      </w:pPr>
      <w:rPr>
        <w:rFonts w:hint="default"/>
        <w:lang w:val="en-US" w:eastAsia="en-US" w:bidi="ar-SA"/>
      </w:rPr>
    </w:lvl>
    <w:lvl w:ilvl="2">
      <w:start w:val="0"/>
      <w:numFmt w:val="bullet"/>
      <w:lvlText w:val="•"/>
      <w:lvlJc w:val="left"/>
      <w:pPr>
        <w:ind w:left="3216"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4952" w:hanging="360"/>
      </w:pPr>
      <w:rPr>
        <w:rFonts w:hint="default"/>
        <w:lang w:val="en-US" w:eastAsia="en-US" w:bidi="ar-SA"/>
      </w:rPr>
    </w:lvl>
    <w:lvl w:ilvl="5">
      <w:start w:val="0"/>
      <w:numFmt w:val="bullet"/>
      <w:lvlText w:val="•"/>
      <w:lvlJc w:val="left"/>
      <w:pPr>
        <w:ind w:left="5820" w:hanging="360"/>
      </w:pPr>
      <w:rPr>
        <w:rFonts w:hint="default"/>
        <w:lang w:val="en-US" w:eastAsia="en-US" w:bidi="ar-SA"/>
      </w:rPr>
    </w:lvl>
    <w:lvl w:ilvl="6">
      <w:start w:val="0"/>
      <w:numFmt w:val="bullet"/>
      <w:lvlText w:val="•"/>
      <w:lvlJc w:val="left"/>
      <w:pPr>
        <w:ind w:left="6688" w:hanging="360"/>
      </w:pPr>
      <w:rPr>
        <w:rFonts w:hint="default"/>
        <w:lang w:val="en-US" w:eastAsia="en-US" w:bidi="ar-SA"/>
      </w:rPr>
    </w:lvl>
    <w:lvl w:ilvl="7">
      <w:start w:val="0"/>
      <w:numFmt w:val="bullet"/>
      <w:lvlText w:val="•"/>
      <w:lvlJc w:val="left"/>
      <w:pPr>
        <w:ind w:left="7556" w:hanging="360"/>
      </w:pPr>
      <w:rPr>
        <w:rFonts w:hint="default"/>
        <w:lang w:val="en-US" w:eastAsia="en-US" w:bidi="ar-SA"/>
      </w:rPr>
    </w:lvl>
    <w:lvl w:ilvl="8">
      <w:start w:val="0"/>
      <w:numFmt w:val="bullet"/>
      <w:lvlText w:val="•"/>
      <w:lvlJc w:val="left"/>
      <w:pPr>
        <w:ind w:left="8424" w:hanging="360"/>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Heading1" w:type="paragraph">
    <w:name w:val="Heading 1"/>
    <w:basedOn w:val="Normal"/>
    <w:uiPriority w:val="1"/>
    <w:qFormat/>
    <w:pPr>
      <w:ind w:left="400"/>
      <w:outlineLvl w:val="1"/>
    </w:pPr>
    <w:rPr>
      <w:rFonts w:ascii="Arial" w:hAnsi="Arial" w:eastAsia="Arial" w:cs="Arial"/>
      <w:sz w:val="40"/>
      <w:szCs w:val="40"/>
      <w:lang w:val="en-US" w:eastAsia="en-US" w:bidi="ar-SA"/>
    </w:rPr>
  </w:style>
  <w:style w:styleId="Heading2" w:type="paragraph">
    <w:name w:val="Heading 2"/>
    <w:basedOn w:val="Normal"/>
    <w:uiPriority w:val="1"/>
    <w:qFormat/>
    <w:pPr>
      <w:spacing w:before="127"/>
      <w:ind w:left="120"/>
      <w:outlineLvl w:val="2"/>
    </w:pPr>
    <w:rPr>
      <w:rFonts w:ascii="Trebuchet MS" w:hAnsi="Trebuchet MS" w:eastAsia="Trebuchet MS" w:cs="Trebuchet MS"/>
      <w:b/>
      <w:bCs/>
      <w:sz w:val="32"/>
      <w:szCs w:val="32"/>
      <w:lang w:val="en-US" w:eastAsia="en-US" w:bidi="ar-SA"/>
    </w:rPr>
  </w:style>
  <w:style w:styleId="Heading3" w:type="paragraph">
    <w:name w:val="Heading 3"/>
    <w:basedOn w:val="Normal"/>
    <w:uiPriority w:val="1"/>
    <w:qFormat/>
    <w:pPr>
      <w:ind w:left="760" w:right="767"/>
      <w:outlineLvl w:val="3"/>
    </w:pPr>
    <w:rPr>
      <w:rFonts w:ascii="Arial" w:hAnsi="Arial" w:eastAsia="Arial" w:cs="Arial"/>
      <w:sz w:val="32"/>
      <w:szCs w:val="32"/>
      <w:lang w:val="en-US" w:eastAsia="en-US" w:bidi="ar-SA"/>
    </w:rPr>
  </w:style>
  <w:style w:styleId="Heading4" w:type="paragraph">
    <w:name w:val="Heading 4"/>
    <w:basedOn w:val="Normal"/>
    <w:uiPriority w:val="1"/>
    <w:qFormat/>
    <w:pPr>
      <w:ind w:left="760"/>
      <w:outlineLvl w:val="4"/>
    </w:pPr>
    <w:rPr>
      <w:rFonts w:ascii="Arial" w:hAnsi="Arial" w:eastAsia="Arial" w:cs="Arial"/>
      <w:b/>
      <w:bCs/>
      <w:sz w:val="28"/>
      <w:szCs w:val="28"/>
      <w:lang w:val="en-US" w:eastAsia="en-US" w:bidi="ar-SA"/>
    </w:rPr>
  </w:style>
  <w:style w:styleId="Heading5" w:type="paragraph">
    <w:name w:val="Heading 5"/>
    <w:basedOn w:val="Normal"/>
    <w:uiPriority w:val="1"/>
    <w:qFormat/>
    <w:pPr>
      <w:ind w:left="120"/>
      <w:outlineLvl w:val="5"/>
    </w:pPr>
    <w:rPr>
      <w:rFonts w:ascii="Arial" w:hAnsi="Arial" w:eastAsia="Arial" w:cs="Arial"/>
      <w:b/>
      <w:bCs/>
      <w:sz w:val="24"/>
      <w:szCs w:val="24"/>
      <w:lang w:val="en-US" w:eastAsia="en-US" w:bidi="ar-SA"/>
    </w:rPr>
  </w:style>
  <w:style w:styleId="Title" w:type="paragraph">
    <w:name w:val="Title"/>
    <w:basedOn w:val="Normal"/>
    <w:uiPriority w:val="1"/>
    <w:qFormat/>
    <w:pPr>
      <w:ind w:left="400"/>
    </w:pPr>
    <w:rPr>
      <w:rFonts w:ascii="Trebuchet MS" w:hAnsi="Trebuchet MS" w:eastAsia="Trebuchet MS" w:cs="Trebuchet MS"/>
      <w:sz w:val="52"/>
      <w:szCs w:val="52"/>
      <w:lang w:val="en-US" w:eastAsia="en-US" w:bidi="ar-SA"/>
    </w:rPr>
  </w:style>
  <w:style w:styleId="ListParagraph" w:type="paragraph">
    <w:name w:val="List Paragraph"/>
    <w:basedOn w:val="Normal"/>
    <w:uiPriority w:val="1"/>
    <w:qFormat/>
    <w:pPr>
      <w:ind w:left="1480" w:hanging="360"/>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hyperlink" Target="https://www.safe.gov.cn/en/2018/0928/1459.html" TargetMode="Externa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hyperlink" Target="https://www.dropbox.com/scl/fi/a20fdxb2lecowt8tp5lym/2-January-2008-SAFE-Letter-to-Minister-of-Finance-of-Costa-Rica.pdf?rlkey=y9ywdrrhap4rdkt0cyqj4mj4y&amp;dl=0" TargetMode="External"/><Relationship Id="rId12" Type="http://schemas.openxmlformats.org/officeDocument/2006/relationships/hyperlink" Target="https://www.dropbox.com/scl/fi/48qdeslzwim9t6dqhyk0m/7-January-2008-Letter-from-Minister-of-Finance-of-Costa-Rica-to-SAFE.pdf?rlkey=pr3p4advi1wfzzwjr5t8gva5m&amp;dl=0" TargetMode="External"/><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hyperlink" Target="https://twitter.com/Brad_Setser/status/1602151579150438401" TargetMode="External"/><Relationship Id="rId21" Type="http://schemas.openxmlformats.org/officeDocument/2006/relationships/hyperlink" Target="https://docs.aiddata.org/ad4/pdfs/how_china_lends/CMR_2015_121.pdf" TargetMode="External"/><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hyperlink" Target="https://www.dropbox.com/s/5j3alwun2tv8wk2/SGR%20BCL%202014.pdf" TargetMode="External"/><Relationship Id="rId29" Type="http://schemas.openxmlformats.org/officeDocument/2006/relationships/image" Target="media/image18.png"/><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footer" Target="footer2.xml"/><Relationship Id="rId37" Type="http://schemas.openxmlformats.org/officeDocument/2006/relationships/hyperlink" Target="https://asia.nikkei.com/Spotlight/The-Big-Story/Road-to-nowhere-China-s-Belt-and-Road-Initiative-at-tipping-point" TargetMode="External"/><Relationship Id="rId38" Type="http://schemas.openxmlformats.org/officeDocument/2006/relationships/hyperlink" Target="https://www.ft.com/content/22fe798e-802c-11dd-99a9-000077b07658" TargetMode="External"/><Relationship Id="rId39" Type="http://schemas.openxmlformats.org/officeDocument/2006/relationships/hyperlink" Target="https://www.wsj.com/articles/SB122121919505927749" TargetMode="External"/><Relationship Id="rId40" Type="http://schemas.openxmlformats.org/officeDocument/2006/relationships/hyperlink" Target="http://www.chinaafricarealstory.com/2020/04/is-china-hiding-its-overseas-lending.html" TargetMode="External"/><Relationship Id="rId41" Type="http://schemas.openxmlformats.org/officeDocument/2006/relationships/footer" Target="footer3.xml"/><Relationship Id="rId42" Type="http://schemas.openxmlformats.org/officeDocument/2006/relationships/hyperlink" Target="http://www.bis.org/publ/qtrpdf/r_qt1812e.htm" TargetMode="External"/><Relationship Id="rId43" Type="http://schemas.openxmlformats.org/officeDocument/2006/relationships/hyperlink" Target="https://www.dropbox.com/scl/fi/r5idp65hfybugsmc5v7b3/.pdf?rlkey=xr8jqe079moeb50pybrjh90bx&amp;dl=0" TargetMode="External"/><Relationship Id="rId44" Type="http://schemas.openxmlformats.org/officeDocument/2006/relationships/hyperlink" Target="http://www.chinadaily.com.cn/business/2009-09/17/content_8701521.htm" TargetMode="External"/><Relationship Id="rId45" Type="http://schemas.openxmlformats.org/officeDocument/2006/relationships/footer" Target="footer4.xml"/><Relationship Id="rId46" Type="http://schemas.openxmlformats.org/officeDocument/2006/relationships/hyperlink" Target="https://www.reuters.com/markets/china-holds-key-avoiding-argentinas-imf-default-price-tag-is-unknown-2023-08-02/" TargetMode="External"/><Relationship Id="rId47" Type="http://schemas.openxmlformats.org/officeDocument/2006/relationships/hyperlink" Target="https://www.reuters.com/markets/asia/china-development-loans-emerging-economies-hit-13-year-low-2021-study-2023-01-24/" TargetMode="External"/><Relationship Id="rId48" Type="http://schemas.openxmlformats.org/officeDocument/2006/relationships/hyperlink" Target="https://www.reuters.com/world/americas/argentina-use-imf-money-pay-back-part-currency-swap-with-china-sources-2023-08-23/" TargetMode="External"/><Relationship Id="rId49" Type="http://schemas.openxmlformats.org/officeDocument/2006/relationships/hyperlink" Target="https://www.wsj.com/articles/china-props-up-belt-and-road-borrowers-via-unusual-channel-11670727153" TargetMode="External"/><Relationship Id="rId50" Type="http://schemas.openxmlformats.org/officeDocument/2006/relationships/footer" Target="footer5.xml"/><Relationship Id="rId51" Type="http://schemas.openxmlformats.org/officeDocument/2006/relationships/hyperlink" Target="https://www.ft.com/content/488c60f4-2281-11e0-b6a2-00144feab49a" TargetMode="External"/><Relationship Id="rId52" Type="http://schemas.openxmlformats.org/officeDocument/2006/relationships/hyperlink" Target="https://debtcon6.princeton.edu/sites/g/files/toruqf3611/files/documents/ferry.pdf" TargetMode="External"/><Relationship Id="rId53" Type="http://schemas.openxmlformats.org/officeDocument/2006/relationships/hyperlink" Target="https://www.bu.edu/gdp/2020/12/13/scope-and-findings-chinas-overseas-development-finance-database/" TargetMode="External"/><Relationship Id="rId54" Type="http://schemas.openxmlformats.org/officeDocument/2006/relationships/footer" Target="footer6.xml"/><Relationship Id="rId55" Type="http://schemas.openxmlformats.org/officeDocument/2006/relationships/hyperlink" Target="https://www.dropbox.com/scl/fi/g8kkmicps7o8z9vdxcn5d/1243-RPCH-beneficios.pdf?rlkey=3u5afpnqeeg6myy358wxj2kn9&amp;dl=0" TargetMode="External"/><Relationship Id="rId56" Type="http://schemas.openxmlformats.org/officeDocument/2006/relationships/hyperlink" Target="https://www.cgdev.org/sites/default/files/chinas-overseas-lending-response-our-critics.pdf" TargetMode="External"/><Relationship Id="rId57" Type="http://schemas.openxmlformats.org/officeDocument/2006/relationships/footer" Target="footer7.xml"/><Relationship Id="rId58" Type="http://schemas.openxmlformats.org/officeDocument/2006/relationships/hyperlink" Target="https://www.bu.edu/gdp/files/2022/11/GCI_PB_012_EN_FIN.pdf" TargetMode="External"/><Relationship Id="rId59" Type="http://schemas.openxmlformats.org/officeDocument/2006/relationships/hyperlink" Target="https://www.imf.org/-/media/Files/Publications/CR/2021/English/1SUREA2021001.ashx" TargetMode="External"/><Relationship Id="rId60" Type="http://schemas.openxmlformats.org/officeDocument/2006/relationships/hyperlink" Target="https://www.chinadaily.com.cn/business/2015-08/19/content_21643373.htm" TargetMode="External"/><Relationship Id="rId61" Type="http://schemas.openxmlformats.org/officeDocument/2006/relationships/footer" Target="footer8.xml"/><Relationship Id="rId62" Type="http://schemas.openxmlformats.org/officeDocument/2006/relationships/hyperlink" Target="https://foreignpolicy.com/2023/02/13/china-belt-and-road-initiative-infrastructure-development-geopolitics/" TargetMode="External"/><Relationship Id="rId63" Type="http://schemas.openxmlformats.org/officeDocument/2006/relationships/hyperlink" Target="https://www.reuters.com/world/africa/imf-chief-says-its-time-creditors-restructure-zambias-debt-2023-01-24/" TargetMode="External"/><Relationship Id="rId64" Type="http://schemas.openxmlformats.org/officeDocument/2006/relationships/hyperlink" Target="https://rhg.com/research/bri-down-out/" TargetMode="External"/><Relationship Id="rId65" Type="http://schemas.openxmlformats.org/officeDocument/2006/relationships/hyperlink" Target="https://rhg.com/research/chinas-external-debt-renegotiations-after-zambia/" TargetMode="External"/><Relationship Id="rId66" Type="http://schemas.openxmlformats.org/officeDocument/2006/relationships/hyperlink" Target="https://veritaszim.net/sites/veritas_d/files/2021%20Annual%20Public%20Debt%20Bulletin.pdf" TargetMode="External"/><Relationship Id="rId67" Type="http://schemas.openxmlformats.org/officeDocument/2006/relationships/hyperlink" Target="http://atwww.mof.gov.cn/en/news/spe/202011/t20201120_3626593.htm" TargetMode="External"/><Relationship Id="rId68" Type="http://schemas.openxmlformats.org/officeDocument/2006/relationships/footer" Target="footer9.xml"/><Relationship Id="rId69" Type="http://schemas.openxmlformats.org/officeDocument/2006/relationships/hyperlink" Target="https://www.thedialogue.org/wp-content/uploads/2023/03/Chinese-Development-Finance-2023-FINAL.pdf" TargetMode="External"/><Relationship Id="rId70" Type="http://schemas.openxmlformats.org/officeDocument/2006/relationships/hyperlink" Target="https://nbs.rs/export/sites/NBS_site/documents-eng/onbs-poslovanje/NBS_IAS_Report_2006.pdf" TargetMode="External"/><Relationship Id="rId71" Type="http://schemas.openxmlformats.org/officeDocument/2006/relationships/hyperlink" Target="https://www.ft.com/content/42c509a8-d75e-4350-b448-b6b8db13942a" TargetMode="External"/><Relationship Id="rId72" Type="http://schemas.openxmlformats.org/officeDocument/2006/relationships/hyperlink" Target="https://www.ft.com/content/c92e56b7-e619-4cbb-b615-e401140c10cc" TargetMode="External"/><Relationship Id="rId73" Type="http://schemas.openxmlformats.org/officeDocument/2006/relationships/hyperlink" Target="https://eng.yidaiyilu.gov.cn/p/86739.html" TargetMode="External"/><Relationship Id="rId74" Type="http://schemas.openxmlformats.org/officeDocument/2006/relationships/hyperlink" Target="https://chinaglobalsouth.com/podcasts/whats-driving-the-steady-decline-in-chinese-overseas-development-lending/" TargetMode="External"/><Relationship Id="rId75" Type="http://schemas.openxmlformats.org/officeDocument/2006/relationships/hyperlink" Target="https://one.oecd.org/document/DCD/DAC/STAT(2020)44/FINAL/en/pdf" TargetMode="External"/><Relationship Id="rId76" Type="http://schemas.openxmlformats.org/officeDocument/2006/relationships/footer" Target="footer10.xml"/><Relationship Id="rId77" Type="http://schemas.openxmlformats.org/officeDocument/2006/relationships/hyperlink" Target="https://theasset.com/article/17866/cic-bonds-the-good-the-bad-and-the-ugly" TargetMode="External"/><Relationship Id="rId78" Type="http://schemas.openxmlformats.org/officeDocument/2006/relationships/hyperlink" Target="http://www.ft.com/content/82e77d8a-e716-11e8-8a85-" TargetMode="External"/><Relationship Id="rId79" Type="http://schemas.openxmlformats.org/officeDocument/2006/relationships/hyperlink" Target="https://www.globaltimes.cn/page/202304/1289429.shtml" TargetMode="External"/><Relationship Id="rId80" Type="http://schemas.openxmlformats.org/officeDocument/2006/relationships/hyperlink" Target="https://www.bu.edu/gdp/files/2023/01/GCI_PB_017_CODF_EN_FIN.pdf" TargetMode="External"/><Relationship Id="rId81" Type="http://schemas.openxmlformats.org/officeDocument/2006/relationships/hyperlink" Target="https://www.reuters.com/article/china-exim-huijin/china-huijin-to-recapitalise-exim-bank-soon-media-idUSPEK13684620091112" TargetMode="External"/><Relationship Id="rId82" Type="http://schemas.openxmlformats.org/officeDocument/2006/relationships/hyperlink" Target="https://www.reuters.com/article/idCNCHINA-230572" TargetMode="External"/><Relationship Id="rId83" Type="http://schemas.openxmlformats.org/officeDocument/2006/relationships/hyperlink" Target="http://www.reuters.com/article/china-economy-huijin/huijin-to-invest-100-bln-yuan-in-china-ba" TargetMode="External"/><Relationship Id="rId84" Type="http://schemas.openxmlformats.org/officeDocument/2006/relationships/footer" Target="footer11.xml"/><Relationship Id="rId85" Type="http://schemas.openxmlformats.org/officeDocument/2006/relationships/hyperlink" Target="https://www.reuters.com/article/china-markets-regulator-stocks/china-forex-regulator-buys-4-2-bln-in-stocks-via-new-platform-media-idUSL3N1731HH" TargetMode="External"/><Relationship Id="rId86" Type="http://schemas.openxmlformats.org/officeDocument/2006/relationships/hyperlink" Target="https://thechinaproject.com/2023/06/29/shadow-reserves-how-china-hides-trillions-of-dollars-of-hard-currency/" TargetMode="External"/><Relationship Id="rId87" Type="http://schemas.openxmlformats.org/officeDocument/2006/relationships/hyperlink" Target="https://www.cfr.org/blog/common-framework-and-its-discontents" TargetMode="External"/><Relationship Id="rId88" Type="http://schemas.openxmlformats.org/officeDocument/2006/relationships/hyperlink" Target="https://www.cfr.org/blog/how-hide-your-foreign-exchange-reserves-users-guide" TargetMode="External"/><Relationship Id="rId89" Type="http://schemas.openxmlformats.org/officeDocument/2006/relationships/hyperlink" Target="http://www.china.org.cn/business/2011-11/17/content_23944979.htm" TargetMode="External"/><Relationship Id="rId90" Type="http://schemas.openxmlformats.org/officeDocument/2006/relationships/hyperlink" Target="https://www.safe.gov.cn/en/2004/0726/1272.html" TargetMode="External"/><Relationship Id="rId91" Type="http://schemas.openxmlformats.org/officeDocument/2006/relationships/hyperlink" Target="https://www.safe.gov.cn/en/2017/0505/1263.html" TargetMode="External"/><Relationship Id="rId92" Type="http://schemas.openxmlformats.org/officeDocument/2006/relationships/footer" Target="footer12.xml"/><Relationship Id="rId93" Type="http://schemas.openxmlformats.org/officeDocument/2006/relationships/hyperlink" Target="http://www.safe.gov.cn/en/&#64257;le/&#64257;le/20180822/2f5f632ccd964e02876b7455883e0449.pdf?n=A" TargetMode="External"/><Relationship Id="rId94" Type="http://schemas.openxmlformats.org/officeDocument/2006/relationships/hyperlink" Target="http://www.safe.gov.cn/en/&#64257;le/&#64257;le/20221226/9186b372d33e4a6b9d156ab154cc2979.pdf?n" TargetMode="External"/><Relationship Id="rId95" Type="http://schemas.openxmlformats.org/officeDocument/2006/relationships/hyperlink" Target="https://www.dropbox.com/s/dyt43g53m2btrmz/TPDC%20Financial%20Statements%2030%20June%202018.pdf?dl=0" TargetMode="External"/><Relationship Id="rId96" Type="http://schemas.openxmlformats.org/officeDocument/2006/relationships/hyperlink" Target="https://links.sgx.com/FileOpen/China%20EximBank_USD%20Bonds%20Offering%20Memorandum%20dated%207%20March%202017.ashx?App=Prospectus&amp;FileID=30816" TargetMode="External"/><Relationship Id="rId97" Type="http://schemas.openxmlformats.org/officeDocument/2006/relationships/hyperlink" Target="http://www.eximbank.gov.cn/info/news/202104/t20210420_30419.html" TargetMode="External"/><Relationship Id="rId98" Type="http://schemas.openxmlformats.org/officeDocument/2006/relationships/hyperlink" Target="http://www.pbc.gov.cn/en/3688110/3688172/4048344/3715513/index.html" TargetMode="External"/><Relationship Id="rId99" Type="http://schemas.openxmlformats.org/officeDocument/2006/relationships/hyperlink" Target="http://www.pbc.gov.cn/eportal/fileDir/image_public/UserFiles/english/upload/File/China%20Financial%20%20Stability%20Report(1).pdf" TargetMode="External"/><Relationship Id="rId100" Type="http://schemas.openxmlformats.org/officeDocument/2006/relationships/footer" Target="footer13.xml"/><Relationship Id="rId101" Type="http://schemas.openxmlformats.org/officeDocument/2006/relationships/hyperlink" Target="https://www.wsj.com/articles/SB10001424127887323664204578606301739504368" TargetMode="External"/><Relationship Id="rId102" Type="http://schemas.openxmlformats.org/officeDocument/2006/relationships/hyperlink" Target="https://www.ft.com/content/19add278-aa83-45f8-a84f-12750f32258f" TargetMode="External"/><Relationship Id="rId103" Type="http://schemas.openxmlformats.org/officeDocument/2006/relationships/hyperlink" Target="https://www.euromoney.com/article/29ppq3xrh5p5bxgoh9dz4/opinion/bri-have-we-passed-peak-china" TargetMode="External"/><Relationship Id="rId104" Type="http://schemas.openxmlformats.org/officeDocument/2006/relationships/hyperlink" Target="https://www.aiddata.org/blog/aiddatas-china-data-wins-2023-best-dataset-award-from-ipes" TargetMode="External"/><Relationship Id="rId105" Type="http://schemas.openxmlformats.org/officeDocument/2006/relationships/hyperlink" Target="https://ieg.worldbankgroup.org/sites/default/files/Data/Evaluation/files/PrivateCapitalMobilization.pdf" TargetMode="External"/><Relationship Id="rId106" Type="http://schemas.openxmlformats.org/officeDocument/2006/relationships/hyperlink" Target="https://pubdocs.worldbank.org/en/951771586884732835/pdf/DRS-What-it-Measures.pdf" TargetMode="External"/><Relationship Id="rId107" Type="http://schemas.openxmlformats.org/officeDocument/2006/relationships/hyperlink" Target="https://openknowledge.worldbank.org/handle/10986/36289" TargetMode="External"/><Relationship Id="rId108" Type="http://schemas.openxmlformats.org/officeDocument/2006/relationships/footer" Target="footer14.xml"/><Relationship Id="rId109" Type="http://schemas.openxmlformats.org/officeDocument/2006/relationships/hyperlink" Target="https://www.chinadaily.com.cn/cndy/2016-04/01/content_24224169.htm" TargetMode="External"/><Relationship Id="rId110" Type="http://schemas.openxmlformats.org/officeDocument/2006/relationships/hyperlink" Target="https://www.wsj.com/articles/chinas-foreign-exchange-regulator-dips-into-stocks-1459523466" TargetMode="External"/><Relationship Id="rId111" Type="http://schemas.openxmlformats.org/officeDocument/2006/relationships/hyperlink" Target="https://www.chinadaily.com.cn/business/2015-08/18/content_21640311.htm" TargetMode="External"/><Relationship Id="rId112" Type="http://schemas.openxmlformats.org/officeDocument/2006/relationships/hyperlink" Target="https://www.chinadaily.com.cn/business/2017-11/16/content_34591397.htm" TargetMode="External"/><Relationship Id="rId113" Type="http://schemas.openxmlformats.org/officeDocument/2006/relationships/hyperlink" Target="https://www.chinadaily.com.cn/a/202208/05/WS62ec70d1a310fd2b29e706f6.html" TargetMode="External"/><Relationship Id="rId114" Type="http://schemas.openxmlformats.org/officeDocument/2006/relationships/hyperlink" Target="https://www.chinadaily.com.cn/china/2008-03/03/content_6500728.htm" TargetMode="External"/><Relationship Id="rId115" Type="http://schemas.openxmlformats.org/officeDocument/2006/relationships/hyperlink" Target="https://m.gaodun.com/caiwu/379542.html" TargetMode="External"/><Relationship Id="rId116" Type="http://schemas.openxmlformats.org/officeDocument/2006/relationships/hyperlink" Target="http://english.caing.com/2010-05-20/10014574" TargetMode="External"/><Relationship Id="rId117" Type="http://schemas.openxmlformats.org/officeDocument/2006/relationships/hyperlink" Target="https://cepr.org/voxeu/columns/chinese-banking-system-much-more-domestic-giant" TargetMode="External"/><Relationship Id="rId1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Bradley C. Parks, Ammar A. Malik, Brooke Escobar, Sheng Zhang, Rory Fedorochko, Kyra Solomon, Fei Wang, Lydia Vlasto, Katherine Walsh, and Seth Goodman</dc:creator>
  <cp:keywords>China, official finance, sovereign debt, ESG, Argentina, Bangladesh, Zambia</cp:keywords>
  <dc:subject>Beijing's Bid to De-Risk Its Global Infrastructure Initiative</dc:subject>
  <dc:title>Belt and Road Reboot</dc:title>
  <dcterms:created xsi:type="dcterms:W3CDTF">2023-11-10T07:33:13Z</dcterms:created>
  <dcterms:modified xsi:type="dcterms:W3CDTF">2023-11-10T07:33:13Z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2023-11-05T00:00:00Z</vt:filetime>
  </property>
  <property fmtid="{D5CDD505-2E9C-101B-9397-08002B2CF9AE}" pid="3" name="LastSaved">
    <vt:filetime>2023-11-10T00:00:00Z</vt:filetime>
  </property>
  <property fmtid="{D5CDD505-2E9C-101B-9397-08002B2CF9AE}" pid="4" name="Producer">
    <vt:lpwstr>Skia/PDF m120 Google Docs Renderer</vt:lpwstr>
  </property>
</Properties>
</file>