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561"/>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ind w:right="179"/>
        <w:rPr>
          <w:rFonts w:ascii="Trebuchet MS"/>
        </w:rPr>
      </w:pPr>
      <w:r>
        <w:rPr>
          <w:rFonts w:ascii="Trebuchet MS"/>
        </w:rPr>
        <w:t>Chapter</w:t>
      </w:r>
      <w:r>
        <w:rPr>
          <w:rFonts w:ascii="Trebuchet MS"/>
          <w:spacing w:val="-5"/>
        </w:rPr>
        <w:t> </w:t>
      </w:r>
      <w:r>
        <w:rPr>
          <w:rFonts w:ascii="Trebuchet MS"/>
        </w:rPr>
        <w:t>3:</w:t>
      </w:r>
      <w:r>
        <w:rPr>
          <w:rFonts w:ascii="Trebuchet MS"/>
          <w:spacing w:val="-5"/>
        </w:rPr>
        <w:t> </w:t>
      </w:r>
      <w:r>
        <w:rPr>
          <w:rFonts w:ascii="Trebuchet MS"/>
        </w:rPr>
        <w:t>Redesigning</w:t>
      </w:r>
      <w:r>
        <w:rPr>
          <w:rFonts w:ascii="Trebuchet MS"/>
          <w:spacing w:val="-5"/>
        </w:rPr>
        <w:t> </w:t>
      </w:r>
      <w:r>
        <w:rPr>
          <w:rFonts w:ascii="Trebuchet MS"/>
        </w:rPr>
        <w:t>the</w:t>
      </w:r>
      <w:r>
        <w:rPr>
          <w:rFonts w:ascii="Trebuchet MS"/>
          <w:spacing w:val="-5"/>
        </w:rPr>
        <w:t> </w:t>
      </w:r>
      <w:r>
        <w:rPr>
          <w:rFonts w:ascii="Trebuchet MS"/>
        </w:rPr>
        <w:t>Belt</w:t>
      </w:r>
      <w:r>
        <w:rPr>
          <w:rFonts w:ascii="Trebuchet MS"/>
          <w:spacing w:val="-5"/>
        </w:rPr>
        <w:t> </w:t>
      </w:r>
      <w:r>
        <w:rPr>
          <w:rFonts w:ascii="Trebuchet MS"/>
        </w:rPr>
        <w:t>and</w:t>
      </w:r>
      <w:r>
        <w:rPr>
          <w:rFonts w:ascii="Trebuchet MS"/>
          <w:spacing w:val="-5"/>
        </w:rPr>
        <w:t> </w:t>
      </w:r>
      <w:r>
        <w:rPr>
          <w:rFonts w:ascii="Trebuchet MS"/>
        </w:rPr>
        <w:t>Road</w:t>
      </w:r>
      <w:r>
        <w:rPr>
          <w:rFonts w:ascii="Trebuchet MS"/>
          <w:spacing w:val="-5"/>
        </w:rPr>
        <w:t> </w:t>
      </w:r>
      <w:r>
        <w:rPr>
          <w:rFonts w:ascii="Trebuchet MS"/>
        </w:rPr>
        <w:t>for</w:t>
      </w:r>
      <w:r>
        <w:rPr>
          <w:rFonts w:ascii="Trebuchet MS"/>
          <w:spacing w:val="-5"/>
        </w:rPr>
        <w:t> </w:t>
      </w:r>
      <w:r>
        <w:rPr>
          <w:rFonts w:ascii="Trebuchet MS"/>
        </w:rPr>
        <w:t>Safety and Speed</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2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200" w:right="561"/>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128575</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240" w:right="1260"/>
        </w:sectPr>
      </w:pPr>
    </w:p>
    <w:p>
      <w:pPr>
        <w:pStyle w:val="Heading1"/>
        <w:spacing w:line="350" w:lineRule="auto" w:before="10"/>
        <w:ind w:left="560"/>
      </w:pPr>
      <w:r>
        <w:rPr/>
        <w:t>Chapter 3: Redesigning the Belt and Road for Safety and Speed</w:t>
      </w:r>
    </w:p>
    <w:p>
      <w:pPr>
        <w:pStyle w:val="Heading3"/>
        <w:spacing w:line="312" w:lineRule="auto" w:before="239"/>
        <w:ind w:right="561"/>
      </w:pPr>
      <w:r>
        <w:rPr/>
        <w:t>Section</w:t>
      </w:r>
      <w:r>
        <w:rPr>
          <w:spacing w:val="-5"/>
        </w:rPr>
        <w:t> </w:t>
      </w:r>
      <w:r>
        <w:rPr/>
        <w:t>1:</w:t>
      </w:r>
      <w:r>
        <w:rPr>
          <w:spacing w:val="-4"/>
        </w:rPr>
        <w:t> </w:t>
      </w:r>
      <w:r>
        <w:rPr/>
        <w:t>Beijing’s</w:t>
      </w:r>
      <w:r>
        <w:rPr>
          <w:spacing w:val="-4"/>
        </w:rPr>
        <w:t> </w:t>
      </w:r>
      <w:r>
        <w:rPr/>
        <w:t>journey</w:t>
      </w:r>
      <w:r>
        <w:rPr>
          <w:spacing w:val="-4"/>
        </w:rPr>
        <w:t> </w:t>
      </w:r>
      <w:r>
        <w:rPr/>
        <w:t>from</w:t>
      </w:r>
      <w:r>
        <w:rPr>
          <w:spacing w:val="-5"/>
        </w:rPr>
        <w:t> </w:t>
      </w:r>
      <w:r>
        <w:rPr/>
        <w:t>skeptic</w:t>
      </w:r>
      <w:r>
        <w:rPr>
          <w:spacing w:val="-4"/>
        </w:rPr>
        <w:t> </w:t>
      </w:r>
      <w:r>
        <w:rPr/>
        <w:t>to</w:t>
      </w:r>
      <w:r>
        <w:rPr>
          <w:spacing w:val="-5"/>
        </w:rPr>
        <w:t> </w:t>
      </w:r>
      <w:r>
        <w:rPr/>
        <w:t>advocate</w:t>
      </w:r>
      <w:r>
        <w:rPr>
          <w:spacing w:val="-4"/>
        </w:rPr>
        <w:t> </w:t>
      </w:r>
      <w:r>
        <w:rPr/>
        <w:t>of</w:t>
      </w:r>
      <w:r>
        <w:rPr>
          <w:spacing w:val="-4"/>
        </w:rPr>
        <w:t> </w:t>
      </w:r>
      <w:r>
        <w:rPr/>
        <w:t>ESG risk management</w:t>
      </w:r>
    </w:p>
    <w:p>
      <w:pPr>
        <w:pStyle w:val="BodyText"/>
        <w:spacing w:line="333" w:lineRule="auto" w:before="162"/>
        <w:ind w:left="560" w:right="680"/>
      </w:pPr>
      <w:r>
        <w:rPr/>
        <w:t>For the better part of the last two decades, Beijing sought to position itself as </w:t>
      </w:r>
      <w:r>
        <w:rPr/>
        <w:t>an alternative source of infrastructure ﬁnancing for governments that would prefer not to deal with OECD-DAC donors or multilateral development banks. It characterized itself as a demand-driven ﬁnancier of South-South cooperation</w:t>
      </w:r>
      <w:r>
        <w:rPr>
          <w:spacing w:val="80"/>
        </w:rPr>
        <w:t> </w:t>
      </w:r>
      <w:r>
        <w:rPr/>
        <w:t>and tacitly encouraged its foreign counterparts to bypass the rules and</w:t>
      </w:r>
      <w:r>
        <w:rPr>
          <w:spacing w:val="80"/>
        </w:rPr>
        <w:t> </w:t>
      </w:r>
      <w:r>
        <w:rPr/>
        <w:t>standards of OECD-DAC donors and multilateral development banks by</w:t>
      </w:r>
    </w:p>
    <w:p>
      <w:pPr>
        <w:pStyle w:val="BodyText"/>
        <w:spacing w:line="333" w:lineRule="auto"/>
        <w:ind w:left="560" w:right="680"/>
      </w:pPr>
      <w:r>
        <w:rPr/>
        <w:t>fast-tracking large-scale infrastructure projects with as little “red tape” and “hassle factor” as possible. It offered fast and ﬂexible project preparation procedures; a streamlined set of loan and grant approval processes; the ability to issue contracts without competitive bidding requirements; and less </w:t>
      </w:r>
      <w:r>
        <w:rPr/>
        <w:t>stringent environmental, social, and governance (ESG) safeguards.</w:t>
      </w:r>
      <w:r>
        <w:rPr>
          <w:vertAlign w:val="superscript"/>
        </w:rPr>
        <w:t>216</w:t>
      </w:r>
    </w:p>
    <w:p>
      <w:pPr>
        <w:pStyle w:val="BodyText"/>
        <w:spacing w:before="3"/>
        <w:rPr>
          <w:sz w:val="27"/>
        </w:rPr>
      </w:pPr>
    </w:p>
    <w:p>
      <w:pPr>
        <w:pStyle w:val="BodyText"/>
        <w:spacing w:line="333" w:lineRule="auto" w:before="1"/>
        <w:ind w:left="560" w:right="627"/>
      </w:pPr>
      <w:r>
        <w:rPr/>
        <w:t>China’s value proposition was compelling. Between 2000 and 2021, 140 LICs and MICs accepted $825 billion of aid and credit from Beijing for 4,800 infrastructure projects.</w:t>
      </w:r>
      <w:r>
        <w:rPr>
          <w:vertAlign w:val="superscript"/>
        </w:rPr>
        <w:t>217</w:t>
      </w:r>
      <w:r>
        <w:rPr>
          <w:vertAlign w:val="baseline"/>
        </w:rPr>
        <w:t> China became the developing world’s go-to banker </w:t>
      </w:r>
      <w:r>
        <w:rPr>
          <w:vertAlign w:val="baseline"/>
        </w:rPr>
        <w:t>for big-ticket infrastructure projects because it demonstrated three comparative advantages vis-à-vis OECD-DAC donors and multilateral development banks (MDBs): scale, speed, and impact. Beijing bankrolled large-scale infrastructure projects that its peers and competitors were unwilling or unable to support.</w:t>
      </w:r>
      <w:r>
        <w:rPr>
          <w:vertAlign w:val="superscript"/>
        </w:rPr>
        <w:t>218</w:t>
      </w:r>
      <w:r>
        <w:rPr>
          <w:vertAlign w:val="baseline"/>
        </w:rPr>
        <w:t> It ﬁnanced 1,385 infrastructure projects with grants and loans worth $100 million</w:t>
      </w:r>
    </w:p>
    <w:p>
      <w:pPr>
        <w:pStyle w:val="BodyText"/>
        <w:rPr>
          <w:sz w:val="20"/>
        </w:rPr>
      </w:pPr>
    </w:p>
    <w:p>
      <w:pPr>
        <w:pStyle w:val="BodyText"/>
        <w:rPr>
          <w:sz w:val="18"/>
        </w:rPr>
      </w:pPr>
      <w:r>
        <w:rPr/>
        <w:pict>
          <v:shape style="position:absolute;margin-left:90pt;margin-top:11.59126pt;width:144pt;height:.1pt;mso-position-horizontal-relative:page;mso-position-vertical-relative:paragraph;z-index:-15728128;mso-wrap-distance-left:0;mso-wrap-distance-right:0" id="docshape2" coordorigin="1800,232" coordsize="2880,0" path="m1800,232l4680,232e" filled="false" stroked="true" strokeweight=".75pt" strokecolor="#000000">
            <v:path arrowok="t"/>
            <v:stroke dashstyle="solid"/>
            <w10:wrap type="topAndBottom"/>
          </v:shape>
        </w:pict>
      </w:r>
    </w:p>
    <w:p>
      <w:pPr>
        <w:spacing w:line="249" w:lineRule="auto" w:before="103"/>
        <w:ind w:left="560" w:right="601" w:firstLine="0"/>
        <w:jc w:val="left"/>
        <w:rPr>
          <w:sz w:val="18"/>
        </w:rPr>
      </w:pPr>
      <w:r>
        <w:rPr>
          <w:w w:val="105"/>
          <w:sz w:val="18"/>
          <w:vertAlign w:val="superscript"/>
        </w:rPr>
        <w:t>216</w:t>
      </w:r>
      <w:r>
        <w:rPr>
          <w:spacing w:val="-8"/>
          <w:w w:val="105"/>
          <w:sz w:val="18"/>
          <w:vertAlign w:val="baseline"/>
        </w:rPr>
        <w:t> </w:t>
      </w:r>
      <w:r>
        <w:rPr>
          <w:w w:val="105"/>
          <w:sz w:val="18"/>
          <w:vertAlign w:val="baseline"/>
        </w:rPr>
        <w:t>At</w:t>
      </w:r>
      <w:r>
        <w:rPr>
          <w:spacing w:val="-7"/>
          <w:w w:val="105"/>
          <w:sz w:val="18"/>
          <w:vertAlign w:val="baseline"/>
        </w:rPr>
        <w:t> </w:t>
      </w:r>
      <w:r>
        <w:rPr>
          <w:w w:val="105"/>
          <w:sz w:val="18"/>
          <w:vertAlign w:val="baseline"/>
        </w:rPr>
        <w:t>the</w:t>
      </w:r>
      <w:r>
        <w:rPr>
          <w:spacing w:val="-7"/>
          <w:w w:val="105"/>
          <w:sz w:val="18"/>
          <w:vertAlign w:val="baseline"/>
        </w:rPr>
        <w:t> </w:t>
      </w:r>
      <w:r>
        <w:rPr>
          <w:w w:val="105"/>
          <w:sz w:val="18"/>
          <w:vertAlign w:val="baseline"/>
        </w:rPr>
        <w:t>same</w:t>
      </w:r>
      <w:r>
        <w:rPr>
          <w:spacing w:val="-7"/>
          <w:w w:val="105"/>
          <w:sz w:val="18"/>
          <w:vertAlign w:val="baseline"/>
        </w:rPr>
        <w:t> </w:t>
      </w:r>
      <w:r>
        <w:rPr>
          <w:w w:val="105"/>
          <w:sz w:val="18"/>
          <w:vertAlign w:val="baseline"/>
        </w:rPr>
        <w:t>time,</w:t>
      </w:r>
      <w:r>
        <w:rPr>
          <w:spacing w:val="-7"/>
          <w:w w:val="105"/>
          <w:sz w:val="18"/>
          <w:vertAlign w:val="baseline"/>
        </w:rPr>
        <w:t> </w:t>
      </w:r>
      <w:r>
        <w:rPr>
          <w:w w:val="105"/>
          <w:sz w:val="18"/>
          <w:vertAlign w:val="baseline"/>
        </w:rPr>
        <w:t>Beijing</w:t>
      </w:r>
      <w:r>
        <w:rPr>
          <w:spacing w:val="-7"/>
          <w:w w:val="105"/>
          <w:sz w:val="18"/>
          <w:vertAlign w:val="baseline"/>
        </w:rPr>
        <w:t> </w:t>
      </w:r>
      <w:r>
        <w:rPr>
          <w:w w:val="105"/>
          <w:sz w:val="18"/>
          <w:vertAlign w:val="baseline"/>
        </w:rPr>
        <w:t>spurned</w:t>
      </w:r>
      <w:r>
        <w:rPr>
          <w:spacing w:val="-7"/>
          <w:w w:val="105"/>
          <w:sz w:val="18"/>
          <w:vertAlign w:val="baseline"/>
        </w:rPr>
        <w:t> </w:t>
      </w:r>
      <w:r>
        <w:rPr>
          <w:w w:val="105"/>
          <w:sz w:val="18"/>
          <w:vertAlign w:val="baseline"/>
        </w:rPr>
        <w:t>nearly</w:t>
      </w:r>
      <w:r>
        <w:rPr>
          <w:spacing w:val="-7"/>
          <w:w w:val="105"/>
          <w:sz w:val="18"/>
          <w:vertAlign w:val="baseline"/>
        </w:rPr>
        <w:t> </w:t>
      </w:r>
      <w:r>
        <w:rPr>
          <w:w w:val="105"/>
          <w:sz w:val="18"/>
          <w:vertAlign w:val="baseline"/>
        </w:rPr>
        <w:t>all</w:t>
      </w:r>
      <w:r>
        <w:rPr>
          <w:spacing w:val="-7"/>
          <w:w w:val="105"/>
          <w:sz w:val="18"/>
          <w:vertAlign w:val="baseline"/>
        </w:rPr>
        <w:t> </w:t>
      </w:r>
      <w:r>
        <w:rPr>
          <w:w w:val="105"/>
          <w:sz w:val="18"/>
          <w:vertAlign w:val="baseline"/>
        </w:rPr>
        <w:t>invitations</w:t>
      </w:r>
      <w:r>
        <w:rPr>
          <w:spacing w:val="-7"/>
          <w:w w:val="105"/>
          <w:sz w:val="18"/>
          <w:vertAlign w:val="baseline"/>
        </w:rPr>
        <w:t> </w:t>
      </w:r>
      <w:r>
        <w:rPr>
          <w:w w:val="105"/>
          <w:sz w:val="18"/>
          <w:vertAlign w:val="baseline"/>
        </w:rPr>
        <w:t>to</w:t>
      </w:r>
      <w:r>
        <w:rPr>
          <w:spacing w:val="-7"/>
          <w:w w:val="105"/>
          <w:sz w:val="18"/>
          <w:vertAlign w:val="baseline"/>
        </w:rPr>
        <w:t> </w:t>
      </w:r>
      <w:r>
        <w:rPr>
          <w:w w:val="105"/>
          <w:sz w:val="18"/>
          <w:vertAlign w:val="baseline"/>
        </w:rPr>
        <w:t>follow</w:t>
      </w:r>
      <w:r>
        <w:rPr>
          <w:spacing w:val="-7"/>
          <w:w w:val="105"/>
          <w:sz w:val="18"/>
          <w:vertAlign w:val="baseline"/>
        </w:rPr>
        <w:t> </w:t>
      </w:r>
      <w:r>
        <w:rPr>
          <w:w w:val="105"/>
          <w:sz w:val="18"/>
          <w:vertAlign w:val="baseline"/>
        </w:rPr>
        <w:t>the</w:t>
      </w:r>
      <w:r>
        <w:rPr>
          <w:spacing w:val="-7"/>
          <w:w w:val="105"/>
          <w:sz w:val="18"/>
          <w:vertAlign w:val="baseline"/>
        </w:rPr>
        <w:t> </w:t>
      </w:r>
      <w:r>
        <w:rPr>
          <w:w w:val="105"/>
          <w:sz w:val="18"/>
          <w:vertAlign w:val="baseline"/>
        </w:rPr>
        <w:t>prevailing</w:t>
      </w:r>
      <w:r>
        <w:rPr>
          <w:spacing w:val="-7"/>
          <w:w w:val="105"/>
          <w:sz w:val="18"/>
          <w:vertAlign w:val="baseline"/>
        </w:rPr>
        <w:t> </w:t>
      </w:r>
      <w:r>
        <w:rPr>
          <w:w w:val="105"/>
          <w:sz w:val="18"/>
          <w:vertAlign w:val="baseline"/>
        </w:rPr>
        <w:t>set</w:t>
      </w:r>
      <w:r>
        <w:rPr>
          <w:spacing w:val="-7"/>
          <w:w w:val="105"/>
          <w:sz w:val="18"/>
          <w:vertAlign w:val="baseline"/>
        </w:rPr>
        <w:t> </w:t>
      </w:r>
      <w:r>
        <w:rPr>
          <w:w w:val="105"/>
          <w:sz w:val="18"/>
          <w:vertAlign w:val="baseline"/>
        </w:rPr>
        <w:t>of</w:t>
      </w:r>
      <w:r>
        <w:rPr>
          <w:spacing w:val="-7"/>
          <w:w w:val="105"/>
          <w:sz w:val="18"/>
          <w:vertAlign w:val="baseline"/>
        </w:rPr>
        <w:t> </w:t>
      </w:r>
      <w:r>
        <w:rPr>
          <w:w w:val="105"/>
          <w:sz w:val="18"/>
          <w:vertAlign w:val="baseline"/>
        </w:rPr>
        <w:t>international </w:t>
      </w:r>
      <w:r>
        <w:rPr>
          <w:sz w:val="18"/>
          <w:vertAlign w:val="baseline"/>
        </w:rPr>
        <w:t>development ﬁnance rules and norms, and it admonished Western donors and multilateral lenders for </w:t>
      </w:r>
      <w:r>
        <w:rPr>
          <w:sz w:val="18"/>
          <w:vertAlign w:val="baseline"/>
        </w:rPr>
        <w:t>their </w:t>
      </w:r>
      <w:r>
        <w:rPr>
          <w:w w:val="105"/>
          <w:sz w:val="18"/>
          <w:vertAlign w:val="baseline"/>
        </w:rPr>
        <w:t>“one-size-ﬁts-all”</w:t>
      </w:r>
      <w:r>
        <w:rPr>
          <w:spacing w:val="-5"/>
          <w:w w:val="105"/>
          <w:sz w:val="18"/>
          <w:vertAlign w:val="baseline"/>
        </w:rPr>
        <w:t> </w:t>
      </w:r>
      <w:r>
        <w:rPr>
          <w:w w:val="105"/>
          <w:sz w:val="18"/>
          <w:vertAlign w:val="baseline"/>
        </w:rPr>
        <w:t>policies</w:t>
      </w:r>
      <w:r>
        <w:rPr>
          <w:spacing w:val="-5"/>
          <w:w w:val="105"/>
          <w:sz w:val="18"/>
          <w:vertAlign w:val="baseline"/>
        </w:rPr>
        <w:t> </w:t>
      </w:r>
      <w:r>
        <w:rPr>
          <w:w w:val="105"/>
          <w:sz w:val="18"/>
          <w:vertAlign w:val="baseline"/>
        </w:rPr>
        <w:t>(Malik</w:t>
      </w:r>
      <w:r>
        <w:rPr>
          <w:spacing w:val="-5"/>
          <w:w w:val="105"/>
          <w:sz w:val="18"/>
          <w:vertAlign w:val="baseline"/>
        </w:rPr>
        <w:t> </w:t>
      </w:r>
      <w:r>
        <w:rPr>
          <w:w w:val="105"/>
          <w:sz w:val="18"/>
          <w:vertAlign w:val="baseline"/>
        </w:rPr>
        <w:t>et</w:t>
      </w:r>
      <w:r>
        <w:rPr>
          <w:spacing w:val="-5"/>
          <w:w w:val="105"/>
          <w:sz w:val="18"/>
          <w:vertAlign w:val="baseline"/>
        </w:rPr>
        <w:t> </w:t>
      </w:r>
      <w:r>
        <w:rPr>
          <w:w w:val="105"/>
          <w:sz w:val="18"/>
          <w:vertAlign w:val="baseline"/>
        </w:rPr>
        <w:t>al.</w:t>
      </w:r>
      <w:r>
        <w:rPr>
          <w:spacing w:val="-5"/>
          <w:w w:val="105"/>
          <w:sz w:val="18"/>
          <w:vertAlign w:val="baseline"/>
        </w:rPr>
        <w:t> </w:t>
      </w:r>
      <w:r>
        <w:rPr>
          <w:w w:val="105"/>
          <w:sz w:val="18"/>
          <w:vertAlign w:val="baseline"/>
        </w:rPr>
        <w:t>2021;</w:t>
      </w:r>
      <w:r>
        <w:rPr>
          <w:spacing w:val="-5"/>
          <w:w w:val="105"/>
          <w:sz w:val="18"/>
          <w:vertAlign w:val="baseline"/>
        </w:rPr>
        <w:t> </w:t>
      </w:r>
      <w:r>
        <w:rPr>
          <w:w w:val="105"/>
          <w:sz w:val="18"/>
          <w:vertAlign w:val="baseline"/>
        </w:rPr>
        <w:t>Dreher</w:t>
      </w:r>
      <w:r>
        <w:rPr>
          <w:spacing w:val="-5"/>
          <w:w w:val="105"/>
          <w:sz w:val="18"/>
          <w:vertAlign w:val="baseline"/>
        </w:rPr>
        <w:t> </w:t>
      </w:r>
      <w:r>
        <w:rPr>
          <w:w w:val="105"/>
          <w:sz w:val="18"/>
          <w:vertAlign w:val="baseline"/>
        </w:rPr>
        <w:t>et</w:t>
      </w:r>
      <w:r>
        <w:rPr>
          <w:spacing w:val="-5"/>
          <w:w w:val="105"/>
          <w:sz w:val="18"/>
          <w:vertAlign w:val="baseline"/>
        </w:rPr>
        <w:t> </w:t>
      </w:r>
      <w:r>
        <w:rPr>
          <w:w w:val="105"/>
          <w:sz w:val="18"/>
          <w:vertAlign w:val="baseline"/>
        </w:rPr>
        <w:t>al.</w:t>
      </w:r>
      <w:r>
        <w:rPr>
          <w:spacing w:val="-5"/>
          <w:w w:val="105"/>
          <w:sz w:val="18"/>
          <w:vertAlign w:val="baseline"/>
        </w:rPr>
        <w:t> </w:t>
      </w:r>
      <w:r>
        <w:rPr>
          <w:w w:val="105"/>
          <w:sz w:val="18"/>
          <w:vertAlign w:val="baseline"/>
        </w:rPr>
        <w:t>2022).</w:t>
      </w:r>
    </w:p>
    <w:p>
      <w:pPr>
        <w:spacing w:line="249" w:lineRule="auto" w:before="2"/>
        <w:ind w:left="560" w:right="561" w:firstLine="0"/>
        <w:jc w:val="left"/>
        <w:rPr>
          <w:sz w:val="18"/>
        </w:rPr>
      </w:pPr>
      <w:r>
        <w:rPr>
          <w:sz w:val="18"/>
          <w:vertAlign w:val="superscript"/>
        </w:rPr>
        <w:t>217</w:t>
      </w:r>
      <w:r>
        <w:rPr>
          <w:sz w:val="18"/>
          <w:vertAlign w:val="baseline"/>
        </w:rPr>
        <w:t> These ﬁgures only refer to active and completed projects. Between 2000 and 2021, Beijing also issued grants</w:t>
      </w:r>
      <w:r>
        <w:rPr>
          <w:spacing w:val="-1"/>
          <w:sz w:val="18"/>
          <w:vertAlign w:val="baseline"/>
        </w:rPr>
        <w:t> </w:t>
      </w:r>
      <w:r>
        <w:rPr>
          <w:sz w:val="18"/>
          <w:vertAlign w:val="baseline"/>
        </w:rPr>
        <w:t>and</w:t>
      </w:r>
      <w:r>
        <w:rPr>
          <w:spacing w:val="-1"/>
          <w:sz w:val="18"/>
          <w:vertAlign w:val="baseline"/>
        </w:rPr>
        <w:t> </w:t>
      </w:r>
      <w:r>
        <w:rPr>
          <w:sz w:val="18"/>
          <w:vertAlign w:val="baseline"/>
        </w:rPr>
        <w:t>loans</w:t>
      </w:r>
      <w:r>
        <w:rPr>
          <w:spacing w:val="-1"/>
          <w:sz w:val="18"/>
          <w:vertAlign w:val="baseline"/>
        </w:rPr>
        <w:t> </w:t>
      </w:r>
      <w:r>
        <w:rPr>
          <w:sz w:val="18"/>
          <w:vertAlign w:val="baseline"/>
        </w:rPr>
        <w:t>worth</w:t>
      </w:r>
      <w:r>
        <w:rPr>
          <w:spacing w:val="-1"/>
          <w:sz w:val="18"/>
          <w:vertAlign w:val="baseline"/>
        </w:rPr>
        <w:t> </w:t>
      </w:r>
      <w:r>
        <w:rPr>
          <w:sz w:val="18"/>
          <w:vertAlign w:val="baseline"/>
        </w:rPr>
        <w:t>$56</w:t>
      </w:r>
      <w:r>
        <w:rPr>
          <w:spacing w:val="-1"/>
          <w:sz w:val="18"/>
          <w:vertAlign w:val="baseline"/>
        </w:rPr>
        <w:t> </w:t>
      </w:r>
      <w:r>
        <w:rPr>
          <w:sz w:val="18"/>
          <w:vertAlign w:val="baseline"/>
        </w:rPr>
        <w:t>billion</w:t>
      </w:r>
      <w:r>
        <w:rPr>
          <w:spacing w:val="-1"/>
          <w:sz w:val="18"/>
          <w:vertAlign w:val="baseline"/>
        </w:rPr>
        <w:t> </w:t>
      </w:r>
      <w:r>
        <w:rPr>
          <w:sz w:val="18"/>
          <w:vertAlign w:val="baseline"/>
        </w:rPr>
        <w:t>for</w:t>
      </w:r>
      <w:r>
        <w:rPr>
          <w:spacing w:val="-1"/>
          <w:sz w:val="18"/>
          <w:vertAlign w:val="baseline"/>
        </w:rPr>
        <w:t> </w:t>
      </w:r>
      <w:r>
        <w:rPr>
          <w:sz w:val="18"/>
          <w:vertAlign w:val="baseline"/>
        </w:rPr>
        <w:t>94</w:t>
      </w:r>
      <w:r>
        <w:rPr>
          <w:spacing w:val="-1"/>
          <w:sz w:val="18"/>
          <w:vertAlign w:val="baseline"/>
        </w:rPr>
        <w:t> </w:t>
      </w:r>
      <w:r>
        <w:rPr>
          <w:sz w:val="18"/>
          <w:vertAlign w:val="baseline"/>
        </w:rPr>
        <w:t>infrastructure</w:t>
      </w:r>
      <w:r>
        <w:rPr>
          <w:spacing w:val="-1"/>
          <w:sz w:val="18"/>
          <w:vertAlign w:val="baseline"/>
        </w:rPr>
        <w:t> </w:t>
      </w:r>
      <w:r>
        <w:rPr>
          <w:sz w:val="18"/>
          <w:vertAlign w:val="baseline"/>
        </w:rPr>
        <w:t>projects</w:t>
      </w:r>
      <w:r>
        <w:rPr>
          <w:spacing w:val="-1"/>
          <w:sz w:val="18"/>
          <w:vertAlign w:val="baseline"/>
        </w:rPr>
        <w:t> </w:t>
      </w:r>
      <w:r>
        <w:rPr>
          <w:sz w:val="18"/>
          <w:vertAlign w:val="baseline"/>
        </w:rPr>
        <w:t>in</w:t>
      </w:r>
      <w:r>
        <w:rPr>
          <w:spacing w:val="-1"/>
          <w:sz w:val="18"/>
          <w:vertAlign w:val="baseline"/>
        </w:rPr>
        <w:t> </w:t>
      </w:r>
      <w:r>
        <w:rPr>
          <w:sz w:val="18"/>
          <w:vertAlign w:val="baseline"/>
        </w:rPr>
        <w:t>49</w:t>
      </w:r>
      <w:r>
        <w:rPr>
          <w:spacing w:val="-1"/>
          <w:sz w:val="18"/>
          <w:vertAlign w:val="baseline"/>
        </w:rPr>
        <w:t> </w:t>
      </w:r>
      <w:r>
        <w:rPr>
          <w:sz w:val="18"/>
          <w:vertAlign w:val="baseline"/>
        </w:rPr>
        <w:t>LICs</w:t>
      </w:r>
      <w:r>
        <w:rPr>
          <w:spacing w:val="-1"/>
          <w:sz w:val="18"/>
          <w:vertAlign w:val="baseline"/>
        </w:rPr>
        <w:t> </w:t>
      </w:r>
      <w:r>
        <w:rPr>
          <w:sz w:val="18"/>
          <w:vertAlign w:val="baseline"/>
        </w:rPr>
        <w:t>and</w:t>
      </w:r>
      <w:r>
        <w:rPr>
          <w:spacing w:val="-1"/>
          <w:sz w:val="18"/>
          <w:vertAlign w:val="baseline"/>
        </w:rPr>
        <w:t> </w:t>
      </w:r>
      <w:r>
        <w:rPr>
          <w:sz w:val="18"/>
          <w:vertAlign w:val="baseline"/>
        </w:rPr>
        <w:t>MICs</w:t>
      </w:r>
      <w:r>
        <w:rPr>
          <w:spacing w:val="-1"/>
          <w:sz w:val="18"/>
          <w:vertAlign w:val="baseline"/>
        </w:rPr>
        <w:t> </w:t>
      </w:r>
      <w:r>
        <w:rPr>
          <w:sz w:val="18"/>
          <w:vertAlign w:val="baseline"/>
        </w:rPr>
        <w:t>that</w:t>
      </w:r>
      <w:r>
        <w:rPr>
          <w:spacing w:val="-1"/>
          <w:sz w:val="18"/>
          <w:vertAlign w:val="baseline"/>
        </w:rPr>
        <w:t> </w:t>
      </w:r>
      <w:r>
        <w:rPr>
          <w:sz w:val="18"/>
          <w:vertAlign w:val="baseline"/>
        </w:rPr>
        <w:t>were</w:t>
      </w:r>
      <w:r>
        <w:rPr>
          <w:spacing w:val="-1"/>
          <w:sz w:val="18"/>
          <w:vertAlign w:val="baseline"/>
        </w:rPr>
        <w:t> </w:t>
      </w:r>
      <w:r>
        <w:rPr>
          <w:sz w:val="18"/>
          <w:vertAlign w:val="baseline"/>
        </w:rPr>
        <w:t>subsequently suspended or canceled.</w:t>
      </w:r>
    </w:p>
    <w:p>
      <w:pPr>
        <w:spacing w:line="249" w:lineRule="auto" w:before="3"/>
        <w:ind w:left="560" w:right="631" w:firstLine="0"/>
        <w:jc w:val="left"/>
        <w:rPr>
          <w:sz w:val="18"/>
        </w:rPr>
      </w:pPr>
      <w:r>
        <w:rPr>
          <w:sz w:val="18"/>
          <w:vertAlign w:val="superscript"/>
        </w:rPr>
        <w:t>218</w:t>
      </w:r>
      <w:r>
        <w:rPr>
          <w:spacing w:val="-4"/>
          <w:sz w:val="18"/>
          <w:vertAlign w:val="baseline"/>
        </w:rPr>
        <w:t> </w:t>
      </w:r>
      <w:r>
        <w:rPr>
          <w:sz w:val="18"/>
          <w:vertAlign w:val="baseline"/>
        </w:rPr>
        <w:t>China</w:t>
      </w:r>
      <w:r>
        <w:rPr>
          <w:spacing w:val="-4"/>
          <w:sz w:val="18"/>
          <w:vertAlign w:val="baseline"/>
        </w:rPr>
        <w:t> </w:t>
      </w:r>
      <w:r>
        <w:rPr>
          <w:sz w:val="18"/>
          <w:vertAlign w:val="baseline"/>
        </w:rPr>
        <w:t>was</w:t>
      </w:r>
      <w:r>
        <w:rPr>
          <w:spacing w:val="-4"/>
          <w:sz w:val="18"/>
          <w:vertAlign w:val="baseline"/>
        </w:rPr>
        <w:t> </w:t>
      </w:r>
      <w:r>
        <w:rPr>
          <w:sz w:val="18"/>
          <w:vertAlign w:val="baseline"/>
        </w:rPr>
        <w:t>faster</w:t>
      </w:r>
      <w:r>
        <w:rPr>
          <w:spacing w:val="-4"/>
          <w:sz w:val="18"/>
          <w:vertAlign w:val="baseline"/>
        </w:rPr>
        <w:t> </w:t>
      </w:r>
      <w:r>
        <w:rPr>
          <w:sz w:val="18"/>
          <w:vertAlign w:val="baseline"/>
        </w:rPr>
        <w:t>than</w:t>
      </w:r>
      <w:r>
        <w:rPr>
          <w:spacing w:val="-4"/>
          <w:sz w:val="18"/>
          <w:vertAlign w:val="baseline"/>
        </w:rPr>
        <w:t> </w:t>
      </w:r>
      <w:r>
        <w:rPr>
          <w:sz w:val="18"/>
          <w:vertAlign w:val="baseline"/>
        </w:rPr>
        <w:t>its</w:t>
      </w:r>
      <w:r>
        <w:rPr>
          <w:spacing w:val="-4"/>
          <w:sz w:val="18"/>
          <w:vertAlign w:val="baseline"/>
        </w:rPr>
        <w:t> </w:t>
      </w:r>
      <w:r>
        <w:rPr>
          <w:sz w:val="18"/>
          <w:vertAlign w:val="baseline"/>
        </w:rPr>
        <w:t>competitors</w:t>
      </w:r>
      <w:r>
        <w:rPr>
          <w:spacing w:val="-4"/>
          <w:sz w:val="18"/>
          <w:vertAlign w:val="baseline"/>
        </w:rPr>
        <w:t> </w:t>
      </w:r>
      <w:r>
        <w:rPr>
          <w:sz w:val="18"/>
          <w:vertAlign w:val="baseline"/>
        </w:rPr>
        <w:t>at</w:t>
      </w:r>
      <w:r>
        <w:rPr>
          <w:spacing w:val="-4"/>
          <w:sz w:val="18"/>
          <w:vertAlign w:val="baseline"/>
        </w:rPr>
        <w:t> </w:t>
      </w:r>
      <w:r>
        <w:rPr>
          <w:sz w:val="18"/>
          <w:vertAlign w:val="baseline"/>
        </w:rPr>
        <w:t>ﬁnalizing</w:t>
      </w:r>
      <w:r>
        <w:rPr>
          <w:spacing w:val="-4"/>
          <w:sz w:val="18"/>
          <w:vertAlign w:val="baseline"/>
        </w:rPr>
        <w:t> </w:t>
      </w:r>
      <w:r>
        <w:rPr>
          <w:sz w:val="18"/>
          <w:vertAlign w:val="baseline"/>
        </w:rPr>
        <w:t>loan</w:t>
      </w:r>
      <w:r>
        <w:rPr>
          <w:spacing w:val="-4"/>
          <w:sz w:val="18"/>
          <w:vertAlign w:val="baseline"/>
        </w:rPr>
        <w:t> </w:t>
      </w:r>
      <w:r>
        <w:rPr>
          <w:sz w:val="18"/>
          <w:vertAlign w:val="baseline"/>
        </w:rPr>
        <w:t>agreements</w:t>
      </w:r>
      <w:r>
        <w:rPr>
          <w:spacing w:val="-4"/>
          <w:sz w:val="18"/>
          <w:vertAlign w:val="baseline"/>
        </w:rPr>
        <w:t> </w:t>
      </w:r>
      <w:r>
        <w:rPr>
          <w:sz w:val="18"/>
          <w:vertAlign w:val="baseline"/>
        </w:rPr>
        <w:t>for</w:t>
      </w:r>
      <w:r>
        <w:rPr>
          <w:spacing w:val="-4"/>
          <w:sz w:val="18"/>
          <w:vertAlign w:val="baseline"/>
        </w:rPr>
        <w:t> </w:t>
      </w:r>
      <w:r>
        <w:rPr>
          <w:sz w:val="18"/>
          <w:vertAlign w:val="baseline"/>
        </w:rPr>
        <w:t>large-scale</w:t>
      </w:r>
      <w:r>
        <w:rPr>
          <w:spacing w:val="-4"/>
          <w:sz w:val="18"/>
          <w:vertAlign w:val="baseline"/>
        </w:rPr>
        <w:t> </w:t>
      </w:r>
      <w:r>
        <w:rPr>
          <w:sz w:val="18"/>
          <w:vertAlign w:val="baseline"/>
        </w:rPr>
        <w:t>infrastructure</w:t>
      </w:r>
      <w:r>
        <w:rPr>
          <w:spacing w:val="-4"/>
          <w:sz w:val="18"/>
          <w:vertAlign w:val="baseline"/>
        </w:rPr>
        <w:t> </w:t>
      </w:r>
      <w:r>
        <w:rPr>
          <w:sz w:val="18"/>
          <w:vertAlign w:val="baseline"/>
        </w:rPr>
        <w:t>projects. In 2008, Senegal’s then-President, Abdoulaye Wade, wrote in the </w:t>
      </w:r>
      <w:r>
        <w:rPr>
          <w:i/>
          <w:sz w:val="18"/>
          <w:vertAlign w:val="baseline"/>
        </w:rPr>
        <w:t>Financial Times </w:t>
      </w:r>
      <w:r>
        <w:rPr>
          <w:sz w:val="18"/>
          <w:vertAlign w:val="baseline"/>
        </w:rPr>
        <w:t>that “with direct aid, credit lines and reasonable contracts, China has helped African nations build infrastructure projects in record time. … I have found that a contract that would take ﬁve years to discuss, negotiate and sign with</w:t>
      </w:r>
      <w:r>
        <w:rPr>
          <w:spacing w:val="40"/>
          <w:sz w:val="18"/>
          <w:vertAlign w:val="baseline"/>
        </w:rPr>
        <w:t> </w:t>
      </w:r>
      <w:r>
        <w:rPr>
          <w:sz w:val="18"/>
          <w:vertAlign w:val="baseline"/>
        </w:rPr>
        <w:t>the World Bank takes three months when we have dealt with Chinese authorities” (Wade 2008).</w:t>
      </w:r>
    </w:p>
    <w:p>
      <w:pPr>
        <w:spacing w:after="0" w:line="249" w:lineRule="auto"/>
        <w:jc w:val="left"/>
        <w:rPr>
          <w:sz w:val="18"/>
        </w:rPr>
        <w:sectPr>
          <w:footerReference w:type="default" r:id="rId6"/>
          <w:pgSz w:w="12240" w:h="15840"/>
          <w:pgMar w:footer="720" w:header="0" w:top="1500" w:bottom="920" w:left="1240" w:right="1260"/>
          <w:pgNumType w:start="119"/>
        </w:sectPr>
      </w:pPr>
    </w:p>
    <w:p>
      <w:pPr>
        <w:pStyle w:val="BodyText"/>
        <w:spacing w:line="333" w:lineRule="auto" w:before="67"/>
        <w:ind w:left="560" w:right="702"/>
      </w:pPr>
      <w:r>
        <w:rPr/>
        <w:t>or more between 2000 and 2021.</w:t>
      </w:r>
      <w:r>
        <w:rPr>
          <w:vertAlign w:val="superscript"/>
        </w:rPr>
        <w:t>219</w:t>
      </w:r>
      <w:r>
        <w:rPr>
          <w:vertAlign w:val="baseline"/>
        </w:rPr>
        <w:t> China also earned a reputation for implementing brick-and-mortar projects with lightning speed: the average Chinese government-ﬁnanced infrastructure project between 2000-2021 took only 2.7 years to complete.</w:t>
      </w:r>
      <w:r>
        <w:rPr>
          <w:vertAlign w:val="superscript"/>
        </w:rPr>
        <w:t>220</w:t>
      </w:r>
      <w:r>
        <w:rPr>
          <w:vertAlign w:val="baseline"/>
        </w:rPr>
        <w:t> Similar projects ﬁnanced by the World Bank and regional development banks usually took 5-10 years to complete (Bulman et al. 2017; Lagarda et al. 2018; Duggan et al. 2020; World Bank 2023c). China’s overseas development projects—in particular, those involving the construction</w:t>
      </w:r>
      <w:r>
        <w:rPr>
          <w:spacing w:val="40"/>
          <w:vertAlign w:val="baseline"/>
        </w:rPr>
        <w:t> </w:t>
      </w:r>
      <w:r>
        <w:rPr>
          <w:vertAlign w:val="baseline"/>
        </w:rPr>
        <w:t>of infrastructure such as roads, bridges, tunnels, railways, and ports—also generated signiﬁcant economic beneﬁts in a politically relevant timeframe.</w:t>
      </w:r>
      <w:r>
        <w:rPr>
          <w:vertAlign w:val="superscript"/>
        </w:rPr>
        <w:t>221</w:t>
      </w:r>
      <w:r>
        <w:rPr>
          <w:vertAlign w:val="baseline"/>
        </w:rPr>
        <w:t> In an evaluation of 4,304 projects in 138 LICs and MICs over a 15-year period, Dreher et al. (2021) ﬁnd that the average project increased economic growth </w:t>
      </w:r>
      <w:r>
        <w:rPr>
          <w:vertAlign w:val="baseline"/>
        </w:rPr>
        <w:t>by</w:t>
      </w:r>
    </w:p>
    <w:p>
      <w:pPr>
        <w:pStyle w:val="BodyText"/>
        <w:spacing w:line="333" w:lineRule="auto"/>
        <w:ind w:left="560" w:right="1611"/>
        <w:jc w:val="both"/>
      </w:pPr>
      <w:r>
        <w:rPr/>
        <w:t>0.95 percentage points two years after securing funding approval from Beijing.</w:t>
      </w:r>
      <w:r>
        <w:rPr>
          <w:vertAlign w:val="superscript"/>
        </w:rPr>
        <w:t>2</w:t>
      </w:r>
      <w:r>
        <w:rPr>
          <w:vertAlign w:val="superscript"/>
        </w:rPr>
        <w:t>2</w:t>
      </w:r>
      <w:r>
        <w:rPr>
          <w:vertAlign w:val="superscript"/>
        </w:rPr>
        <w:t>2</w:t>
      </w:r>
      <w:r>
        <w:rPr>
          <w:spacing w:val="-7"/>
          <w:vertAlign w:val="baseline"/>
        </w:rPr>
        <w:t> </w:t>
      </w:r>
      <w:r>
        <w:rPr>
          <w:vertAlign w:val="baseline"/>
        </w:rPr>
        <w:t>Bluhm</w:t>
      </w:r>
      <w:r>
        <w:rPr>
          <w:spacing w:val="-6"/>
          <w:vertAlign w:val="baseline"/>
        </w:rPr>
        <w:t> </w:t>
      </w:r>
      <w:r>
        <w:rPr>
          <w:vertAlign w:val="baseline"/>
        </w:rPr>
        <w:t>et</w:t>
      </w:r>
      <w:r>
        <w:rPr>
          <w:spacing w:val="-6"/>
          <w:vertAlign w:val="baseline"/>
        </w:rPr>
        <w:t> </w:t>
      </w:r>
      <w:r>
        <w:rPr>
          <w:vertAlign w:val="baseline"/>
        </w:rPr>
        <w:t>al.</w:t>
      </w:r>
      <w:r>
        <w:rPr>
          <w:spacing w:val="-6"/>
          <w:vertAlign w:val="baseline"/>
        </w:rPr>
        <w:t> </w:t>
      </w:r>
      <w:r>
        <w:rPr>
          <w:vertAlign w:val="baseline"/>
        </w:rPr>
        <w:t>(2020)</w:t>
      </w:r>
      <w:r>
        <w:rPr>
          <w:spacing w:val="-6"/>
          <w:vertAlign w:val="baseline"/>
        </w:rPr>
        <w:t> </w:t>
      </w:r>
      <w:r>
        <w:rPr>
          <w:vertAlign w:val="baseline"/>
        </w:rPr>
        <w:t>provide</w:t>
      </w:r>
      <w:r>
        <w:rPr>
          <w:spacing w:val="-6"/>
          <w:vertAlign w:val="baseline"/>
        </w:rPr>
        <w:t> </w:t>
      </w:r>
      <w:r>
        <w:rPr>
          <w:vertAlign w:val="baseline"/>
        </w:rPr>
        <w:t>evidence</w:t>
      </w:r>
      <w:r>
        <w:rPr>
          <w:spacing w:val="-6"/>
          <w:vertAlign w:val="baseline"/>
        </w:rPr>
        <w:t> </w:t>
      </w:r>
      <w:r>
        <w:rPr>
          <w:vertAlign w:val="baseline"/>
        </w:rPr>
        <w:t>that</w:t>
      </w:r>
      <w:r>
        <w:rPr>
          <w:spacing w:val="-6"/>
          <w:vertAlign w:val="baseline"/>
        </w:rPr>
        <w:t> </w:t>
      </w:r>
      <w:r>
        <w:rPr>
          <w:vertAlign w:val="baseline"/>
        </w:rPr>
        <w:t>China’s</w:t>
      </w:r>
      <w:r>
        <w:rPr>
          <w:spacing w:val="-6"/>
          <w:vertAlign w:val="baseline"/>
        </w:rPr>
        <w:t> </w:t>
      </w:r>
      <w:r>
        <w:rPr>
          <w:vertAlign w:val="baseline"/>
        </w:rPr>
        <w:t>connective</w:t>
      </w:r>
      <w:r>
        <w:rPr>
          <w:vertAlign w:val="baseline"/>
        </w:rPr>
        <w:t> infrastructure project portfolio was especially effective at promoting</w:t>
      </w:r>
    </w:p>
    <w:p>
      <w:pPr>
        <w:pStyle w:val="BodyText"/>
        <w:spacing w:line="333" w:lineRule="auto"/>
        <w:ind w:left="560" w:right="723"/>
        <w:jc w:val="both"/>
      </w:pPr>
      <w:r>
        <w:rPr/>
        <w:t>spatially-inclusive economic development—by decentralizing economic </w:t>
      </w:r>
      <w:r>
        <w:rPr/>
        <w:t>activity within the provinces and districts where they were implemented.</w:t>
      </w:r>
      <w:r>
        <w:rPr>
          <w:vertAlign w:val="superscript"/>
        </w:rPr>
        <w:t>223</w:t>
      </w:r>
    </w:p>
    <w:p>
      <w:pPr>
        <w:pStyle w:val="BodyText"/>
        <w:rPr>
          <w:sz w:val="20"/>
        </w:rPr>
      </w:pPr>
    </w:p>
    <w:p>
      <w:pPr>
        <w:pStyle w:val="BodyText"/>
        <w:rPr>
          <w:sz w:val="20"/>
        </w:rPr>
      </w:pPr>
    </w:p>
    <w:p>
      <w:pPr>
        <w:pStyle w:val="BodyText"/>
        <w:rPr>
          <w:sz w:val="20"/>
        </w:rPr>
      </w:pPr>
    </w:p>
    <w:p>
      <w:pPr>
        <w:pStyle w:val="BodyText"/>
        <w:spacing w:before="11"/>
        <w:rPr>
          <w:sz w:val="27"/>
        </w:rPr>
      </w:pPr>
      <w:r>
        <w:rPr/>
        <w:pict>
          <v:shape style="position:absolute;margin-left:90pt;margin-top:17.298243pt;width:144pt;height:.1pt;mso-position-horizontal-relative:page;mso-position-vertical-relative:paragraph;z-index:-15727616;mso-wrap-distance-left:0;mso-wrap-distance-right:0" id="docshape3" coordorigin="1800,346" coordsize="2880,0" path="m1800,346l4680,346e" filled="false" stroked="true" strokeweight=".75pt" strokecolor="#000000">
            <v:path arrowok="t"/>
            <v:stroke dashstyle="solid"/>
            <w10:wrap type="topAndBottom"/>
          </v:shape>
        </w:pict>
      </w:r>
    </w:p>
    <w:p>
      <w:pPr>
        <w:spacing w:before="107"/>
        <w:ind w:left="560" w:right="0" w:firstLine="0"/>
        <w:jc w:val="left"/>
        <w:rPr>
          <w:sz w:val="18"/>
        </w:rPr>
      </w:pPr>
      <w:r>
        <w:rPr>
          <w:sz w:val="18"/>
          <w:vertAlign w:val="superscript"/>
        </w:rPr>
        <w:t>219</w:t>
      </w:r>
      <w:r>
        <w:rPr>
          <w:spacing w:val="-4"/>
          <w:sz w:val="18"/>
          <w:vertAlign w:val="baseline"/>
        </w:rPr>
        <w:t> </w:t>
      </w:r>
      <w:r>
        <w:rPr>
          <w:sz w:val="18"/>
          <w:vertAlign w:val="baseline"/>
        </w:rPr>
        <w:t>Between 2000 and 2021, Beijing</w:t>
      </w:r>
      <w:r>
        <w:rPr>
          <w:spacing w:val="-1"/>
          <w:sz w:val="18"/>
          <w:vertAlign w:val="baseline"/>
        </w:rPr>
        <w:t> </w:t>
      </w:r>
      <w:r>
        <w:rPr>
          <w:sz w:val="18"/>
          <w:vertAlign w:val="baseline"/>
        </w:rPr>
        <w:t>ﬁnanced 735 infrastructure projects with</w:t>
      </w:r>
      <w:r>
        <w:rPr>
          <w:spacing w:val="-1"/>
          <w:sz w:val="18"/>
          <w:vertAlign w:val="baseline"/>
        </w:rPr>
        <w:t> </w:t>
      </w:r>
      <w:r>
        <w:rPr>
          <w:sz w:val="18"/>
          <w:vertAlign w:val="baseline"/>
        </w:rPr>
        <w:t>grants and loans worth at </w:t>
      </w:r>
      <w:r>
        <w:rPr>
          <w:spacing w:val="-2"/>
          <w:sz w:val="18"/>
          <w:vertAlign w:val="baseline"/>
        </w:rPr>
        <w:t>least</w:t>
      </w:r>
    </w:p>
    <w:p>
      <w:pPr>
        <w:spacing w:line="249" w:lineRule="auto" w:before="9"/>
        <w:ind w:left="560" w:right="589" w:firstLine="0"/>
        <w:jc w:val="left"/>
        <w:rPr>
          <w:sz w:val="18"/>
        </w:rPr>
      </w:pPr>
      <w:r>
        <w:rPr>
          <w:sz w:val="18"/>
        </w:rPr>
        <w:t>$250 million in 89 LICs and MICs, 377 infrastructure projects with grants and loans worth at least $500 million in 68 LICs and MICs, and 163 infrastructure projects with grants and loans worth at least $1 billion </w:t>
      </w:r>
      <w:r>
        <w:rPr>
          <w:sz w:val="18"/>
        </w:rPr>
        <w:t>in 47 LICs and MICs. All of these ﬁgures include infrastructure projects that secured grant or loan commitments from China, which were subsequently suspended or canceled.</w:t>
      </w:r>
    </w:p>
    <w:p>
      <w:pPr>
        <w:spacing w:line="249" w:lineRule="auto" w:before="3"/>
        <w:ind w:left="560" w:right="561" w:firstLine="0"/>
        <w:jc w:val="left"/>
        <w:rPr>
          <w:sz w:val="18"/>
        </w:rPr>
      </w:pPr>
      <w:r>
        <w:rPr>
          <w:sz w:val="18"/>
          <w:vertAlign w:val="superscript"/>
        </w:rPr>
        <w:t>220</w:t>
      </w:r>
      <w:r>
        <w:rPr>
          <w:sz w:val="18"/>
          <w:vertAlign w:val="baseline"/>
        </w:rPr>
        <w:t> With the 3.0 version of AidData’s GCDF dataset, we calculate the average amount of time needed to complete a Chinese grant- or loan-ﬁnanced infrastructure project by measuring the average number of calendar days between actual project implementation start dates and actual project completion dates. </w:t>
      </w:r>
      <w:r>
        <w:rPr>
          <w:sz w:val="18"/>
          <w:vertAlign w:val="baseline"/>
        </w:rPr>
        <w:t>We only include active projects and completed projects that secured ofﬁcial commitments from China in our </w:t>
      </w:r>
      <w:r>
        <w:rPr>
          <w:spacing w:val="-2"/>
          <w:sz w:val="18"/>
          <w:vertAlign w:val="baseline"/>
        </w:rPr>
        <w:t>analysis.</w:t>
      </w:r>
    </w:p>
    <w:p>
      <w:pPr>
        <w:spacing w:before="3"/>
        <w:ind w:left="560" w:right="0" w:firstLine="0"/>
        <w:jc w:val="left"/>
        <w:rPr>
          <w:sz w:val="18"/>
        </w:rPr>
      </w:pPr>
      <w:r>
        <w:rPr>
          <w:sz w:val="18"/>
          <w:vertAlign w:val="superscript"/>
        </w:rPr>
        <w:t>221</w:t>
      </w:r>
      <w:r>
        <w:rPr>
          <w:spacing w:val="2"/>
          <w:sz w:val="18"/>
          <w:vertAlign w:val="baseline"/>
        </w:rPr>
        <w:t> </w:t>
      </w:r>
      <w:r>
        <w:rPr>
          <w:sz w:val="18"/>
          <w:vertAlign w:val="baseline"/>
        </w:rPr>
        <w:t>This</w:t>
      </w:r>
      <w:r>
        <w:rPr>
          <w:spacing w:val="3"/>
          <w:sz w:val="18"/>
          <w:vertAlign w:val="baseline"/>
        </w:rPr>
        <w:t> </w:t>
      </w:r>
      <w:r>
        <w:rPr>
          <w:sz w:val="18"/>
          <w:vertAlign w:val="baseline"/>
        </w:rPr>
        <w:t>ﬁnding</w:t>
      </w:r>
      <w:r>
        <w:rPr>
          <w:spacing w:val="4"/>
          <w:sz w:val="18"/>
          <w:vertAlign w:val="baseline"/>
        </w:rPr>
        <w:t> </w:t>
      </w:r>
      <w:r>
        <w:rPr>
          <w:sz w:val="18"/>
          <w:vertAlign w:val="baseline"/>
        </w:rPr>
        <w:t>implies</w:t>
      </w:r>
      <w:r>
        <w:rPr>
          <w:spacing w:val="3"/>
          <w:sz w:val="18"/>
          <w:vertAlign w:val="baseline"/>
        </w:rPr>
        <w:t> </w:t>
      </w:r>
      <w:r>
        <w:rPr>
          <w:sz w:val="18"/>
          <w:vertAlign w:val="baseline"/>
        </w:rPr>
        <w:t>that</w:t>
      </w:r>
      <w:r>
        <w:rPr>
          <w:spacing w:val="4"/>
          <w:sz w:val="18"/>
          <w:vertAlign w:val="baseline"/>
        </w:rPr>
        <w:t> </w:t>
      </w:r>
      <w:r>
        <w:rPr>
          <w:sz w:val="18"/>
          <w:vertAlign w:val="baseline"/>
        </w:rPr>
        <w:t>if</w:t>
      </w:r>
      <w:r>
        <w:rPr>
          <w:spacing w:val="3"/>
          <w:sz w:val="18"/>
          <w:vertAlign w:val="baseline"/>
        </w:rPr>
        <w:t> </w:t>
      </w:r>
      <w:r>
        <w:rPr>
          <w:sz w:val="18"/>
          <w:vertAlign w:val="baseline"/>
        </w:rPr>
        <w:t>a</w:t>
      </w:r>
      <w:r>
        <w:rPr>
          <w:spacing w:val="3"/>
          <w:sz w:val="18"/>
          <w:vertAlign w:val="baseline"/>
        </w:rPr>
        <w:t> </w:t>
      </w:r>
      <w:r>
        <w:rPr>
          <w:sz w:val="18"/>
          <w:vertAlign w:val="baseline"/>
        </w:rPr>
        <w:t>host</w:t>
      </w:r>
      <w:r>
        <w:rPr>
          <w:spacing w:val="4"/>
          <w:sz w:val="18"/>
          <w:vertAlign w:val="baseline"/>
        </w:rPr>
        <w:t> </w:t>
      </w:r>
      <w:r>
        <w:rPr>
          <w:sz w:val="18"/>
          <w:vertAlign w:val="baseline"/>
        </w:rPr>
        <w:t>country</w:t>
      </w:r>
      <w:r>
        <w:rPr>
          <w:spacing w:val="3"/>
          <w:sz w:val="18"/>
          <w:vertAlign w:val="baseline"/>
        </w:rPr>
        <w:t> </w:t>
      </w:r>
      <w:r>
        <w:rPr>
          <w:sz w:val="18"/>
          <w:vertAlign w:val="baseline"/>
        </w:rPr>
        <w:t>chose</w:t>
      </w:r>
      <w:r>
        <w:rPr>
          <w:spacing w:val="4"/>
          <w:sz w:val="18"/>
          <w:vertAlign w:val="baseline"/>
        </w:rPr>
        <w:t> </w:t>
      </w:r>
      <w:r>
        <w:rPr>
          <w:sz w:val="18"/>
          <w:vertAlign w:val="baseline"/>
        </w:rPr>
        <w:t>to</w:t>
      </w:r>
      <w:r>
        <w:rPr>
          <w:spacing w:val="3"/>
          <w:sz w:val="18"/>
          <w:vertAlign w:val="baseline"/>
        </w:rPr>
        <w:t> </w:t>
      </w:r>
      <w:r>
        <w:rPr>
          <w:sz w:val="18"/>
          <w:vertAlign w:val="baseline"/>
        </w:rPr>
        <w:t>accept</w:t>
      </w:r>
      <w:r>
        <w:rPr>
          <w:spacing w:val="4"/>
          <w:sz w:val="18"/>
          <w:vertAlign w:val="baseline"/>
        </w:rPr>
        <w:t> </w:t>
      </w:r>
      <w:r>
        <w:rPr>
          <w:sz w:val="18"/>
          <w:vertAlign w:val="baseline"/>
        </w:rPr>
        <w:t>three</w:t>
      </w:r>
      <w:r>
        <w:rPr>
          <w:spacing w:val="3"/>
          <w:sz w:val="18"/>
          <w:vertAlign w:val="baseline"/>
        </w:rPr>
        <w:t> </w:t>
      </w:r>
      <w:r>
        <w:rPr>
          <w:sz w:val="18"/>
          <w:vertAlign w:val="baseline"/>
        </w:rPr>
        <w:t>additional</w:t>
      </w:r>
      <w:r>
        <w:rPr>
          <w:spacing w:val="3"/>
          <w:sz w:val="18"/>
          <w:vertAlign w:val="baseline"/>
        </w:rPr>
        <w:t> </w:t>
      </w:r>
      <w:r>
        <w:rPr>
          <w:sz w:val="18"/>
          <w:vertAlign w:val="baseline"/>
        </w:rPr>
        <w:t>Chinese</w:t>
      </w:r>
      <w:r>
        <w:rPr>
          <w:spacing w:val="4"/>
          <w:sz w:val="18"/>
          <w:vertAlign w:val="baseline"/>
        </w:rPr>
        <w:t> </w:t>
      </w:r>
      <w:r>
        <w:rPr>
          <w:sz w:val="18"/>
          <w:vertAlign w:val="baseline"/>
        </w:rPr>
        <w:t>ODA</w:t>
      </w:r>
      <w:r>
        <w:rPr>
          <w:spacing w:val="3"/>
          <w:sz w:val="18"/>
          <w:vertAlign w:val="baseline"/>
        </w:rPr>
        <w:t> </w:t>
      </w:r>
      <w:r>
        <w:rPr>
          <w:spacing w:val="-5"/>
          <w:sz w:val="18"/>
          <w:vertAlign w:val="baseline"/>
        </w:rPr>
        <w:t>or</w:t>
      </w:r>
    </w:p>
    <w:p>
      <w:pPr>
        <w:spacing w:before="10"/>
        <w:ind w:left="560" w:right="0" w:firstLine="0"/>
        <w:jc w:val="left"/>
        <w:rPr>
          <w:sz w:val="18"/>
        </w:rPr>
      </w:pPr>
      <w:r>
        <w:rPr>
          <w:sz w:val="18"/>
        </w:rPr>
        <w:t>OOF-ﬁnanced</w:t>
      </w:r>
      <w:r>
        <w:rPr>
          <w:spacing w:val="6"/>
          <w:sz w:val="18"/>
        </w:rPr>
        <w:t> </w:t>
      </w:r>
      <w:r>
        <w:rPr>
          <w:sz w:val="18"/>
        </w:rPr>
        <w:t>development</w:t>
      </w:r>
      <w:r>
        <w:rPr>
          <w:spacing w:val="6"/>
          <w:sz w:val="18"/>
        </w:rPr>
        <w:t> </w:t>
      </w:r>
      <w:r>
        <w:rPr>
          <w:sz w:val="18"/>
        </w:rPr>
        <w:t>projects,</w:t>
      </w:r>
      <w:r>
        <w:rPr>
          <w:spacing w:val="6"/>
          <w:sz w:val="18"/>
        </w:rPr>
        <w:t> </w:t>
      </w:r>
      <w:r>
        <w:rPr>
          <w:sz w:val="18"/>
        </w:rPr>
        <w:t>it</w:t>
      </w:r>
      <w:r>
        <w:rPr>
          <w:spacing w:val="7"/>
          <w:sz w:val="18"/>
        </w:rPr>
        <w:t> </w:t>
      </w:r>
      <w:r>
        <w:rPr>
          <w:sz w:val="18"/>
        </w:rPr>
        <w:t>could</w:t>
      </w:r>
      <w:r>
        <w:rPr>
          <w:spacing w:val="6"/>
          <w:sz w:val="18"/>
        </w:rPr>
        <w:t> </w:t>
      </w:r>
      <w:r>
        <w:rPr>
          <w:sz w:val="18"/>
        </w:rPr>
        <w:t>reasonably</w:t>
      </w:r>
      <w:r>
        <w:rPr>
          <w:spacing w:val="6"/>
          <w:sz w:val="18"/>
        </w:rPr>
        <w:t> </w:t>
      </w:r>
      <w:r>
        <w:rPr>
          <w:sz w:val="18"/>
        </w:rPr>
        <w:t>expect</w:t>
      </w:r>
      <w:r>
        <w:rPr>
          <w:spacing w:val="7"/>
          <w:sz w:val="18"/>
        </w:rPr>
        <w:t> </w:t>
      </w:r>
      <w:r>
        <w:rPr>
          <w:sz w:val="18"/>
        </w:rPr>
        <w:t>to</w:t>
      </w:r>
      <w:r>
        <w:rPr>
          <w:spacing w:val="6"/>
          <w:sz w:val="18"/>
        </w:rPr>
        <w:t> </w:t>
      </w:r>
      <w:r>
        <w:rPr>
          <w:sz w:val="18"/>
        </w:rPr>
        <w:t>boost</w:t>
      </w:r>
      <w:r>
        <w:rPr>
          <w:spacing w:val="6"/>
          <w:sz w:val="18"/>
        </w:rPr>
        <w:t> </w:t>
      </w:r>
      <w:r>
        <w:rPr>
          <w:sz w:val="18"/>
        </w:rPr>
        <w:t>its</w:t>
      </w:r>
      <w:r>
        <w:rPr>
          <w:spacing w:val="6"/>
          <w:sz w:val="18"/>
        </w:rPr>
        <w:t> </w:t>
      </w:r>
      <w:r>
        <w:rPr>
          <w:sz w:val="18"/>
        </w:rPr>
        <w:t>economic</w:t>
      </w:r>
      <w:r>
        <w:rPr>
          <w:spacing w:val="7"/>
          <w:sz w:val="18"/>
        </w:rPr>
        <w:t> </w:t>
      </w:r>
      <w:r>
        <w:rPr>
          <w:sz w:val="18"/>
        </w:rPr>
        <w:t>(GDP)</w:t>
      </w:r>
      <w:r>
        <w:rPr>
          <w:spacing w:val="6"/>
          <w:sz w:val="18"/>
        </w:rPr>
        <w:t> </w:t>
      </w:r>
      <w:r>
        <w:rPr>
          <w:sz w:val="18"/>
        </w:rPr>
        <w:t>growth</w:t>
      </w:r>
      <w:r>
        <w:rPr>
          <w:spacing w:val="6"/>
          <w:sz w:val="18"/>
        </w:rPr>
        <w:t> </w:t>
      </w:r>
      <w:r>
        <w:rPr>
          <w:spacing w:val="-5"/>
          <w:sz w:val="18"/>
        </w:rPr>
        <w:t>by</w:t>
      </w:r>
    </w:p>
    <w:p>
      <w:pPr>
        <w:spacing w:line="249" w:lineRule="auto" w:before="8"/>
        <w:ind w:left="560" w:right="589" w:firstLine="0"/>
        <w:jc w:val="left"/>
        <w:rPr>
          <w:sz w:val="18"/>
        </w:rPr>
      </w:pPr>
      <w:r>
        <w:rPr>
          <w:sz w:val="18"/>
        </w:rPr>
        <w:t>2.85 percentage points within two years of Beijing agreeing to bankroll the projects. For more on the socioeconomic impacts of Chinese grant- and loan-ﬁnanced development projects, see Bluhm et al. </w:t>
      </w:r>
      <w:r>
        <w:rPr>
          <w:sz w:val="18"/>
        </w:rPr>
        <w:t>(2020), Martorano et al. (2020), Dreher et al. (2022), Mandon and Woldemichael (2023), and Wellner et al. (forthcoming, 2023).</w:t>
      </w:r>
    </w:p>
    <w:p>
      <w:pPr>
        <w:spacing w:line="249" w:lineRule="auto" w:before="4"/>
        <w:ind w:left="560" w:right="680" w:firstLine="0"/>
        <w:jc w:val="left"/>
        <w:rPr>
          <w:sz w:val="18"/>
        </w:rPr>
      </w:pPr>
      <w:r>
        <w:rPr>
          <w:sz w:val="18"/>
          <w:vertAlign w:val="superscript"/>
        </w:rPr>
        <w:t>222</w:t>
      </w:r>
      <w:r>
        <w:rPr>
          <w:sz w:val="18"/>
          <w:vertAlign w:val="baseline"/>
        </w:rPr>
        <w:t> More speciﬁcally, Dreher et al. (2021a) ﬁnd that one additional Chinese ODA- or OOF-ﬁnanced </w:t>
      </w:r>
      <w:r>
        <w:rPr>
          <w:sz w:val="18"/>
          <w:vertAlign w:val="baseline"/>
        </w:rPr>
        <w:t>project increases economic growth by between 0.41 and 1.49 percentage points (pp) two years after the funding for the project is approved, on average. 0.95 pp represents the midpoint of this range.</w:t>
      </w:r>
    </w:p>
    <w:p>
      <w:pPr>
        <w:spacing w:line="249" w:lineRule="auto" w:before="2"/>
        <w:ind w:left="560" w:right="561" w:firstLine="0"/>
        <w:jc w:val="left"/>
        <w:rPr>
          <w:sz w:val="18"/>
        </w:rPr>
      </w:pPr>
      <w:r>
        <w:rPr>
          <w:sz w:val="18"/>
          <w:vertAlign w:val="superscript"/>
        </w:rPr>
        <w:t>223</w:t>
      </w:r>
      <w:r>
        <w:rPr>
          <w:sz w:val="18"/>
          <w:vertAlign w:val="baseline"/>
        </w:rPr>
        <w:t> Bluhm et al. (2020) ﬁnd that, on average, Chinese ODA and OOF-ﬁnanced connective infrastructure projects reduce economic concentration (as measured by the Gini coefﬁcient of nighttime light output in all 9.3 km square grid cells within a particular subnational locality) by about 2.2 percentage points. They also provide evidence that these projects have effectively relocated economic output from dense areas like city centers to their immediate peripheries (i.e., peri-urban and suburban areas). The installation of connective infrastructure can accelerate spatially-inclusive economic development by making it easier for ﬁrms to </w:t>
      </w:r>
      <w:r>
        <w:rPr>
          <w:sz w:val="18"/>
          <w:vertAlign w:val="baseline"/>
        </w:rPr>
        <w:t>reach more distant markets and individuals to commute or relocate to places of work. It also can also lower the cost of consumer goods and inputs, promote the development of new businesses, increase land values, boost agricultural production, and facilitate knowledge and technology spillovers.</w:t>
      </w:r>
    </w:p>
    <w:p>
      <w:pPr>
        <w:spacing w:after="0" w:line="249" w:lineRule="auto"/>
        <w:jc w:val="left"/>
        <w:rPr>
          <w:sz w:val="18"/>
        </w:rPr>
        <w:sectPr>
          <w:pgSz w:w="12240" w:h="15840"/>
          <w:pgMar w:header="0" w:footer="720" w:top="1360" w:bottom="920" w:left="1240" w:right="1260"/>
        </w:sectPr>
      </w:pPr>
    </w:p>
    <w:p>
      <w:pPr>
        <w:pStyle w:val="BodyText"/>
        <w:spacing w:line="333" w:lineRule="auto" w:before="27"/>
        <w:ind w:left="560" w:right="550"/>
      </w:pPr>
      <w:r>
        <w:rPr/>
        <w:t>Beijing’s track record of bankrolling and building big-ticket infrastructure </w:t>
      </w:r>
      <w:r>
        <w:rPr/>
        <w:t>projects with record speed and near-term economic impact changed the nature of policymaker demand in the Global South. Through its </w:t>
      </w:r>
      <w:r>
        <w:rPr>
          <w:i/>
        </w:rPr>
        <w:t>Listening to Leaders</w:t>
      </w:r>
      <w:r>
        <w:rPr>
          <w:i/>
        </w:rPr>
        <w:t> </w:t>
      </w:r>
      <w:r>
        <w:rPr/>
        <w:t>program, AidData has repeatedly surveyed thousands of senior and mid-level governmental</w:t>
      </w:r>
      <w:r>
        <w:rPr>
          <w:spacing w:val="-6"/>
        </w:rPr>
        <w:t> </w:t>
      </w:r>
      <w:r>
        <w:rPr/>
        <w:t>ofﬁcials</w:t>
      </w:r>
      <w:r>
        <w:rPr>
          <w:spacing w:val="-6"/>
        </w:rPr>
        <w:t> </w:t>
      </w:r>
      <w:r>
        <w:rPr/>
        <w:t>across</w:t>
      </w:r>
      <w:r>
        <w:rPr>
          <w:spacing w:val="-6"/>
        </w:rPr>
        <w:t> </w:t>
      </w:r>
      <w:r>
        <w:rPr/>
        <w:t>140</w:t>
      </w:r>
      <w:r>
        <w:rPr>
          <w:spacing w:val="-6"/>
        </w:rPr>
        <w:t> </w:t>
      </w:r>
      <w:r>
        <w:rPr/>
        <w:t>LICs</w:t>
      </w:r>
      <w:r>
        <w:rPr>
          <w:spacing w:val="-6"/>
        </w:rPr>
        <w:t> </w:t>
      </w:r>
      <w:r>
        <w:rPr/>
        <w:t>and</w:t>
      </w:r>
      <w:r>
        <w:rPr>
          <w:spacing w:val="-6"/>
        </w:rPr>
        <w:t> </w:t>
      </w:r>
      <w:r>
        <w:rPr/>
        <w:t>MICs,</w:t>
      </w:r>
      <w:r>
        <w:rPr>
          <w:spacing w:val="-6"/>
        </w:rPr>
        <w:t> </w:t>
      </w:r>
      <w:r>
        <w:rPr/>
        <w:t>and</w:t>
      </w:r>
      <w:r>
        <w:rPr>
          <w:spacing w:val="-6"/>
        </w:rPr>
        <w:t> </w:t>
      </w:r>
      <w:r>
        <w:rPr/>
        <w:t>these</w:t>
      </w:r>
      <w:r>
        <w:rPr>
          <w:spacing w:val="-6"/>
        </w:rPr>
        <w:t> </w:t>
      </w:r>
      <w:r>
        <w:rPr/>
        <w:t>leaders</w:t>
      </w:r>
      <w:r>
        <w:rPr>
          <w:spacing w:val="-6"/>
        </w:rPr>
        <w:t> </w:t>
      </w:r>
      <w:r>
        <w:rPr/>
        <w:t>now</w:t>
      </w:r>
      <w:r>
        <w:rPr>
          <w:spacing w:val="-6"/>
        </w:rPr>
        <w:t> </w:t>
      </w:r>
      <w:r>
        <w:rPr/>
        <w:t>report</w:t>
      </w:r>
      <w:r>
        <w:rPr>
          <w:spacing w:val="-6"/>
        </w:rPr>
        <w:t> </w:t>
      </w:r>
      <w:r>
        <w:rPr/>
        <w:t>a strong preference for working with Beijing rather than its competitors on infrastructure projects (Custer et al. 2021; Horigoshi et al. 2022; Blair et al.</w:t>
      </w:r>
    </w:p>
    <w:p>
      <w:pPr>
        <w:pStyle w:val="BodyText"/>
        <w:spacing w:line="273" w:lineRule="exact"/>
        <w:ind w:left="560"/>
      </w:pPr>
      <w:r>
        <w:rPr>
          <w:spacing w:val="-2"/>
        </w:rPr>
        <w:t>2022b).</w:t>
      </w:r>
    </w:p>
    <w:p>
      <w:pPr>
        <w:pStyle w:val="BodyText"/>
      </w:pPr>
    </w:p>
    <w:p>
      <w:pPr>
        <w:pStyle w:val="BodyText"/>
        <w:spacing w:line="333" w:lineRule="auto" w:before="151"/>
        <w:ind w:left="560" w:right="702"/>
      </w:pPr>
      <w:r>
        <w:rPr/>
        <w:t>Still, the fact that China—seemingly overnight—became the Global South’s infrastructure ﬁnancier of ﬁrst resort is remarkable. Large-scale infrastructure projects are notoriously difﬁcult to implement. They often encounter major delays and cost overruns and raise concerns about pollution, biodiversity </w:t>
      </w:r>
      <w:r>
        <w:rPr/>
        <w:t>loss, the displacement of nearby residents, and the preservation of cultural heritage.</w:t>
      </w:r>
      <w:r>
        <w:rPr>
          <w:vertAlign w:val="superscript"/>
        </w:rPr>
        <w:t>224</w:t>
      </w:r>
      <w:r>
        <w:rPr>
          <w:vertAlign w:val="baseline"/>
        </w:rPr>
        <w:t> If they are not carefully designed and implemented, they can also lead to public protests, lawsuits, labor strikes, corruption scandals, and allegations of political favoritism.</w:t>
      </w:r>
      <w:r>
        <w:rPr>
          <w:vertAlign w:val="superscript"/>
        </w:rPr>
        <w:t>225</w:t>
      </w:r>
    </w:p>
    <w:p>
      <w:pPr>
        <w:pStyle w:val="BodyText"/>
        <w:spacing w:before="5"/>
        <w:rPr>
          <w:sz w:val="27"/>
        </w:rPr>
      </w:pPr>
    </w:p>
    <w:p>
      <w:pPr>
        <w:pStyle w:val="BodyText"/>
        <w:spacing w:line="333" w:lineRule="auto"/>
        <w:ind w:left="560" w:right="680"/>
      </w:pPr>
      <w:r>
        <w:rPr/>
        <w:t>Beijing initially sought to overcome these challenges by asking political </w:t>
      </w:r>
      <w:r>
        <w:rPr/>
        <w:t>leaders, rather than technocrats, to propose infrastructure projects and oversee their implementation (Dreher et al. 2019, 2022).</w:t>
      </w:r>
      <w:r>
        <w:rPr>
          <w:vertAlign w:val="superscript"/>
        </w:rPr>
        <w:t>226</w:t>
      </w:r>
      <w:r>
        <w:rPr>
          <w:vertAlign w:val="baseline"/>
        </w:rPr>
        <w:t> It relied on presidents and prime ministers and their deputies to resolve complex and contentious matters that could delay or derail projects—for example, the grievances and compensation demands of those displaced or harmed by construction activities (Dreher et al. 2022). It also dispensed with many of the costly and cumbersome requirements of Western donors and multilateral development banks (MDBs). Rather than insisting upon strict adherence to international ESG safeguards (such as those</w:t>
      </w:r>
    </w:p>
    <w:p>
      <w:pPr>
        <w:pStyle w:val="BodyText"/>
        <w:spacing w:before="6"/>
        <w:rPr>
          <w:sz w:val="14"/>
        </w:rPr>
      </w:pPr>
      <w:r>
        <w:rPr/>
        <w:pict>
          <v:shape style="position:absolute;margin-left:90pt;margin-top:9.568604pt;width:144pt;height:.1pt;mso-position-horizontal-relative:page;mso-position-vertical-relative:paragraph;z-index:-15727104;mso-wrap-distance-left:0;mso-wrap-distance-right:0" id="docshape4" coordorigin="1800,191" coordsize="2880,0" path="m1800,191l4680,191e" filled="false" stroked="true" strokeweight=".75pt" strokecolor="#000000">
            <v:path arrowok="t"/>
            <v:stroke dashstyle="solid"/>
            <w10:wrap type="topAndBottom"/>
          </v:shape>
        </w:pict>
      </w:r>
    </w:p>
    <w:p>
      <w:pPr>
        <w:spacing w:line="249" w:lineRule="auto" w:before="107"/>
        <w:ind w:left="560" w:right="561" w:firstLine="0"/>
        <w:jc w:val="left"/>
        <w:rPr>
          <w:sz w:val="18"/>
        </w:rPr>
      </w:pPr>
      <w:r>
        <w:rPr>
          <w:spacing w:val="-2"/>
          <w:w w:val="105"/>
          <w:sz w:val="18"/>
          <w:vertAlign w:val="superscript"/>
        </w:rPr>
        <w:t>224</w:t>
      </w:r>
      <w:r>
        <w:rPr>
          <w:spacing w:val="-7"/>
          <w:w w:val="105"/>
          <w:sz w:val="18"/>
          <w:vertAlign w:val="baseline"/>
        </w:rPr>
        <w:t> </w:t>
      </w:r>
      <w:r>
        <w:rPr>
          <w:spacing w:val="-2"/>
          <w:w w:val="105"/>
          <w:sz w:val="18"/>
          <w:vertAlign w:val="baseline"/>
        </w:rPr>
        <w:t>On</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difﬁculty</w:t>
      </w:r>
      <w:r>
        <w:rPr>
          <w:spacing w:val="-6"/>
          <w:w w:val="105"/>
          <w:sz w:val="18"/>
          <w:vertAlign w:val="baseline"/>
        </w:rPr>
        <w:t> </w:t>
      </w:r>
      <w:r>
        <w:rPr>
          <w:spacing w:val="-2"/>
          <w:w w:val="105"/>
          <w:sz w:val="18"/>
          <w:vertAlign w:val="baseline"/>
        </w:rPr>
        <w:t>of</w:t>
      </w:r>
      <w:r>
        <w:rPr>
          <w:spacing w:val="-6"/>
          <w:w w:val="105"/>
          <w:sz w:val="18"/>
          <w:vertAlign w:val="baseline"/>
        </w:rPr>
        <w:t> </w:t>
      </w:r>
      <w:r>
        <w:rPr>
          <w:spacing w:val="-2"/>
          <w:w w:val="105"/>
          <w:sz w:val="18"/>
          <w:vertAlign w:val="baseline"/>
        </w:rPr>
        <w:t>implementing</w:t>
      </w:r>
      <w:r>
        <w:rPr>
          <w:spacing w:val="-6"/>
          <w:w w:val="105"/>
          <w:sz w:val="18"/>
          <w:vertAlign w:val="baseline"/>
        </w:rPr>
        <w:t> </w:t>
      </w:r>
      <w:r>
        <w:rPr>
          <w:spacing w:val="-2"/>
          <w:w w:val="105"/>
          <w:sz w:val="18"/>
          <w:vertAlign w:val="baseline"/>
        </w:rPr>
        <w:t>these</w:t>
      </w:r>
      <w:r>
        <w:rPr>
          <w:spacing w:val="-6"/>
          <w:w w:val="105"/>
          <w:sz w:val="18"/>
          <w:vertAlign w:val="baseline"/>
        </w:rPr>
        <w:t> </w:t>
      </w:r>
      <w:r>
        <w:rPr>
          <w:spacing w:val="-2"/>
          <w:w w:val="105"/>
          <w:sz w:val="18"/>
          <w:vertAlign w:val="baseline"/>
        </w:rPr>
        <w:t>types</w:t>
      </w:r>
      <w:r>
        <w:rPr>
          <w:spacing w:val="-6"/>
          <w:w w:val="105"/>
          <w:sz w:val="18"/>
          <w:vertAlign w:val="baseline"/>
        </w:rPr>
        <w:t> </w:t>
      </w:r>
      <w:r>
        <w:rPr>
          <w:spacing w:val="-2"/>
          <w:w w:val="105"/>
          <w:sz w:val="18"/>
          <w:vertAlign w:val="baseline"/>
        </w:rPr>
        <w:t>of</w:t>
      </w:r>
      <w:r>
        <w:rPr>
          <w:spacing w:val="-6"/>
          <w:w w:val="105"/>
          <w:sz w:val="18"/>
          <w:vertAlign w:val="baseline"/>
        </w:rPr>
        <w:t> </w:t>
      </w:r>
      <w:r>
        <w:rPr>
          <w:spacing w:val="-2"/>
          <w:w w:val="105"/>
          <w:sz w:val="18"/>
          <w:vertAlign w:val="baseline"/>
        </w:rPr>
        <w:t>projects</w:t>
      </w:r>
      <w:r>
        <w:rPr>
          <w:spacing w:val="-6"/>
          <w:w w:val="105"/>
          <w:sz w:val="18"/>
          <w:vertAlign w:val="baseline"/>
        </w:rPr>
        <w:t> </w:t>
      </w:r>
      <w:r>
        <w:rPr>
          <w:spacing w:val="-2"/>
          <w:w w:val="105"/>
          <w:sz w:val="18"/>
          <w:vertAlign w:val="baseline"/>
        </w:rPr>
        <w:t>on</w:t>
      </w:r>
      <w:r>
        <w:rPr>
          <w:spacing w:val="-6"/>
          <w:w w:val="105"/>
          <w:sz w:val="18"/>
          <w:vertAlign w:val="baseline"/>
        </w:rPr>
        <w:t> </w:t>
      </w:r>
      <w:r>
        <w:rPr>
          <w:spacing w:val="-2"/>
          <w:w w:val="105"/>
          <w:sz w:val="18"/>
          <w:vertAlign w:val="baseline"/>
        </w:rPr>
        <w:t>time</w:t>
      </w:r>
      <w:r>
        <w:rPr>
          <w:spacing w:val="-6"/>
          <w:w w:val="105"/>
          <w:sz w:val="18"/>
          <w:vertAlign w:val="baseline"/>
        </w:rPr>
        <w:t> </w:t>
      </w:r>
      <w:r>
        <w:rPr>
          <w:spacing w:val="-2"/>
          <w:w w:val="105"/>
          <w:sz w:val="18"/>
          <w:vertAlign w:val="baseline"/>
        </w:rPr>
        <w:t>and</w:t>
      </w:r>
      <w:r>
        <w:rPr>
          <w:spacing w:val="-6"/>
          <w:w w:val="105"/>
          <w:sz w:val="18"/>
          <w:vertAlign w:val="baseline"/>
        </w:rPr>
        <w:t> </w:t>
      </w:r>
      <w:r>
        <w:rPr>
          <w:spacing w:val="-2"/>
          <w:w w:val="105"/>
          <w:sz w:val="18"/>
          <w:vertAlign w:val="baseline"/>
        </w:rPr>
        <w:t>on</w:t>
      </w:r>
      <w:r>
        <w:rPr>
          <w:spacing w:val="-6"/>
          <w:w w:val="105"/>
          <w:sz w:val="18"/>
          <w:vertAlign w:val="baseline"/>
        </w:rPr>
        <w:t> </w:t>
      </w:r>
      <w:r>
        <w:rPr>
          <w:spacing w:val="-2"/>
          <w:w w:val="105"/>
          <w:sz w:val="18"/>
          <w:vertAlign w:val="baseline"/>
        </w:rPr>
        <w:t>budget,</w:t>
      </w:r>
      <w:r>
        <w:rPr>
          <w:spacing w:val="-6"/>
          <w:w w:val="105"/>
          <w:sz w:val="18"/>
          <w:vertAlign w:val="baseline"/>
        </w:rPr>
        <w:t> </w:t>
      </w:r>
      <w:r>
        <w:rPr>
          <w:spacing w:val="-2"/>
          <w:w w:val="105"/>
          <w:sz w:val="18"/>
          <w:vertAlign w:val="baseline"/>
        </w:rPr>
        <w:t>see</w:t>
      </w:r>
      <w:r>
        <w:rPr>
          <w:spacing w:val="-6"/>
          <w:w w:val="105"/>
          <w:sz w:val="18"/>
          <w:vertAlign w:val="baseline"/>
        </w:rPr>
        <w:t> </w:t>
      </w:r>
      <w:r>
        <w:rPr>
          <w:spacing w:val="-2"/>
          <w:w w:val="105"/>
          <w:sz w:val="18"/>
          <w:vertAlign w:val="baseline"/>
        </w:rPr>
        <w:t>Flyvbjerg</w:t>
      </w:r>
      <w:r>
        <w:rPr>
          <w:spacing w:val="-6"/>
          <w:w w:val="105"/>
          <w:sz w:val="18"/>
          <w:vertAlign w:val="baseline"/>
        </w:rPr>
        <w:t> </w:t>
      </w:r>
      <w:r>
        <w:rPr>
          <w:spacing w:val="-2"/>
          <w:w w:val="105"/>
          <w:sz w:val="18"/>
          <w:vertAlign w:val="baseline"/>
        </w:rPr>
        <w:t>et</w:t>
      </w:r>
      <w:r>
        <w:rPr>
          <w:spacing w:val="-6"/>
          <w:w w:val="105"/>
          <w:sz w:val="18"/>
          <w:vertAlign w:val="baseline"/>
        </w:rPr>
        <w:t> </w:t>
      </w:r>
      <w:r>
        <w:rPr>
          <w:spacing w:val="-2"/>
          <w:w w:val="105"/>
          <w:sz w:val="18"/>
          <w:vertAlign w:val="baseline"/>
        </w:rPr>
        <w:t>al. (2002).</w:t>
      </w:r>
    </w:p>
    <w:p>
      <w:pPr>
        <w:spacing w:line="249" w:lineRule="auto" w:before="1"/>
        <w:ind w:left="560" w:right="0" w:firstLine="0"/>
        <w:jc w:val="left"/>
        <w:rPr>
          <w:sz w:val="18"/>
        </w:rPr>
      </w:pPr>
      <w:r>
        <w:rPr>
          <w:spacing w:val="-2"/>
          <w:sz w:val="18"/>
          <w:vertAlign w:val="superscript"/>
        </w:rPr>
        <w:t>225</w:t>
      </w:r>
      <w:r>
        <w:rPr>
          <w:spacing w:val="-4"/>
          <w:sz w:val="18"/>
          <w:vertAlign w:val="baseline"/>
        </w:rPr>
        <w:t> </w:t>
      </w:r>
      <w:r>
        <w:rPr>
          <w:spacing w:val="-2"/>
          <w:sz w:val="18"/>
          <w:vertAlign w:val="baseline"/>
        </w:rPr>
        <w:t>On this point, see Isaksson</w:t>
      </w:r>
      <w:r>
        <w:rPr>
          <w:spacing w:val="-14"/>
          <w:sz w:val="18"/>
          <w:vertAlign w:val="baseline"/>
        </w:rPr>
        <w:t> </w:t>
      </w:r>
      <w:r>
        <w:rPr>
          <w:spacing w:val="-2"/>
          <w:sz w:val="18"/>
          <w:vertAlign w:val="baseline"/>
        </w:rPr>
        <w:t>and Kotsadam (2018a,</w:t>
      </w:r>
      <w:r>
        <w:rPr>
          <w:spacing w:val="-14"/>
          <w:sz w:val="18"/>
          <w:vertAlign w:val="baseline"/>
        </w:rPr>
        <w:t> </w:t>
      </w:r>
      <w:r>
        <w:rPr>
          <w:spacing w:val="-2"/>
          <w:sz w:val="18"/>
          <w:vertAlign w:val="baseline"/>
        </w:rPr>
        <w:t>2018b), Isaksson</w:t>
      </w:r>
      <w:r>
        <w:rPr>
          <w:spacing w:val="-14"/>
          <w:sz w:val="18"/>
          <w:vertAlign w:val="baseline"/>
        </w:rPr>
        <w:t> </w:t>
      </w:r>
      <w:r>
        <w:rPr>
          <w:spacing w:val="-2"/>
          <w:sz w:val="18"/>
          <w:vertAlign w:val="baseline"/>
        </w:rPr>
        <w:t>(2020), Dreher et al. (2019, </w:t>
      </w:r>
      <w:r>
        <w:rPr>
          <w:spacing w:val="-2"/>
          <w:sz w:val="18"/>
          <w:vertAlign w:val="baseline"/>
        </w:rPr>
        <w:t>2022), </w:t>
      </w:r>
      <w:r>
        <w:rPr>
          <w:sz w:val="18"/>
          <w:vertAlign w:val="baseline"/>
        </w:rPr>
        <w:t>Anaxagorou et al. (2020), Iacoella et al. (2021), and Baehr et al. (forthcoming).</w:t>
      </w:r>
    </w:p>
    <w:p>
      <w:pPr>
        <w:spacing w:line="249" w:lineRule="auto" w:before="2"/>
        <w:ind w:left="560" w:right="578" w:firstLine="0"/>
        <w:jc w:val="left"/>
        <w:rPr>
          <w:sz w:val="18"/>
        </w:rPr>
      </w:pPr>
      <w:r>
        <w:rPr>
          <w:sz w:val="18"/>
          <w:vertAlign w:val="superscript"/>
        </w:rPr>
        <w:t>226</w:t>
      </w:r>
      <w:r>
        <w:rPr>
          <w:sz w:val="18"/>
          <w:vertAlign w:val="baseline"/>
        </w:rPr>
        <w:t> China’s demand-driven project selection system also encourages collusion between host country politicians and Chinese contractors. As Zhang and Smith (2017: 2335) explain, “Chinese ﬁrms and host governments enter into an informal alliance in which China’s companies persuade host governments to</w:t>
      </w:r>
      <w:r>
        <w:rPr>
          <w:spacing w:val="40"/>
          <w:sz w:val="18"/>
          <w:vertAlign w:val="baseline"/>
        </w:rPr>
        <w:t> </w:t>
      </w:r>
      <w:r>
        <w:rPr>
          <w:sz w:val="18"/>
          <w:vertAlign w:val="baseline"/>
        </w:rPr>
        <w:t>raise new aid projects with China while the contractors promise to help behind the scenes to secure ﬁnancing. The projects are reverse-engineered to suit the political needs of local politicians and the commercial strategies of Chinese contractors.” Similarly, Bräutigam (2019) argues that “[t]he Achilles Heel</w:t>
      </w:r>
      <w:r>
        <w:rPr>
          <w:spacing w:val="40"/>
          <w:sz w:val="18"/>
          <w:vertAlign w:val="baseline"/>
        </w:rPr>
        <w:t> </w:t>
      </w:r>
      <w:r>
        <w:rPr>
          <w:sz w:val="18"/>
          <w:vertAlign w:val="baseline"/>
        </w:rPr>
        <w:t>of China’s bank ﬁnancing model is that it relies heavily on Chinese companies to develop projects together with</w:t>
      </w:r>
      <w:r>
        <w:rPr>
          <w:spacing w:val="-3"/>
          <w:sz w:val="18"/>
          <w:vertAlign w:val="baseline"/>
        </w:rPr>
        <w:t> </w:t>
      </w:r>
      <w:r>
        <w:rPr>
          <w:sz w:val="18"/>
          <w:vertAlign w:val="baseline"/>
        </w:rPr>
        <w:t>host</w:t>
      </w:r>
      <w:r>
        <w:rPr>
          <w:spacing w:val="-3"/>
          <w:sz w:val="18"/>
          <w:vertAlign w:val="baseline"/>
        </w:rPr>
        <w:t> </w:t>
      </w:r>
      <w:r>
        <w:rPr>
          <w:sz w:val="18"/>
          <w:vertAlign w:val="baseline"/>
        </w:rPr>
        <w:t>country</w:t>
      </w:r>
      <w:r>
        <w:rPr>
          <w:spacing w:val="-3"/>
          <w:sz w:val="18"/>
          <w:vertAlign w:val="baseline"/>
        </w:rPr>
        <w:t> </w:t>
      </w:r>
      <w:r>
        <w:rPr>
          <w:sz w:val="18"/>
          <w:vertAlign w:val="baseline"/>
        </w:rPr>
        <w:t>ofﬁcials.</w:t>
      </w:r>
      <w:r>
        <w:rPr>
          <w:spacing w:val="-3"/>
          <w:sz w:val="18"/>
          <w:vertAlign w:val="baseline"/>
        </w:rPr>
        <w:t> </w:t>
      </w:r>
      <w:r>
        <w:rPr>
          <w:sz w:val="18"/>
          <w:vertAlign w:val="baseline"/>
        </w:rPr>
        <w:t>This</w:t>
      </w:r>
      <w:r>
        <w:rPr>
          <w:spacing w:val="-3"/>
          <w:sz w:val="18"/>
          <w:vertAlign w:val="baseline"/>
        </w:rPr>
        <w:t> </w:t>
      </w:r>
      <w:r>
        <w:rPr>
          <w:sz w:val="18"/>
          <w:vertAlign w:val="baseline"/>
        </w:rPr>
        <w:t>creates</w:t>
      </w:r>
      <w:r>
        <w:rPr>
          <w:spacing w:val="-3"/>
          <w:sz w:val="18"/>
          <w:vertAlign w:val="baseline"/>
        </w:rPr>
        <w:t> </w:t>
      </w:r>
      <w:r>
        <w:rPr>
          <w:sz w:val="18"/>
          <w:vertAlign w:val="baseline"/>
        </w:rPr>
        <w:t>strong</w:t>
      </w:r>
      <w:r>
        <w:rPr>
          <w:spacing w:val="-3"/>
          <w:sz w:val="18"/>
          <w:vertAlign w:val="baseline"/>
        </w:rPr>
        <w:t> </w:t>
      </w:r>
      <w:r>
        <w:rPr>
          <w:sz w:val="18"/>
          <w:vertAlign w:val="baseline"/>
        </w:rPr>
        <w:t>incentives</w:t>
      </w:r>
      <w:r>
        <w:rPr>
          <w:spacing w:val="-3"/>
          <w:sz w:val="18"/>
          <w:vertAlign w:val="baseline"/>
        </w:rPr>
        <w:t> </w:t>
      </w:r>
      <w:r>
        <w:rPr>
          <w:sz w:val="18"/>
          <w:vertAlign w:val="baseline"/>
        </w:rPr>
        <w:t>for</w:t>
      </w:r>
      <w:r>
        <w:rPr>
          <w:spacing w:val="-3"/>
          <w:sz w:val="18"/>
          <w:vertAlign w:val="baseline"/>
        </w:rPr>
        <w:t> </w:t>
      </w:r>
      <w:r>
        <w:rPr>
          <w:sz w:val="18"/>
          <w:vertAlign w:val="baseline"/>
        </w:rPr>
        <w:t>kickbacks</w:t>
      </w:r>
      <w:r>
        <w:rPr>
          <w:spacing w:val="-3"/>
          <w:sz w:val="18"/>
          <w:vertAlign w:val="baseline"/>
        </w:rPr>
        <w:t> </w:t>
      </w:r>
      <w:r>
        <w:rPr>
          <w:sz w:val="18"/>
          <w:vertAlign w:val="baseline"/>
        </w:rPr>
        <w:t>and</w:t>
      </w:r>
      <w:r>
        <w:rPr>
          <w:spacing w:val="-3"/>
          <w:sz w:val="18"/>
          <w:vertAlign w:val="baseline"/>
        </w:rPr>
        <w:t> </w:t>
      </w:r>
      <w:r>
        <w:rPr>
          <w:sz w:val="18"/>
          <w:vertAlign w:val="baseline"/>
        </w:rPr>
        <w:t>inﬂated</w:t>
      </w:r>
      <w:r>
        <w:rPr>
          <w:spacing w:val="-3"/>
          <w:sz w:val="18"/>
          <w:vertAlign w:val="baseline"/>
        </w:rPr>
        <w:t> </w:t>
      </w:r>
      <w:r>
        <w:rPr>
          <w:sz w:val="18"/>
          <w:vertAlign w:val="baseline"/>
        </w:rPr>
        <w:t>project</w:t>
      </w:r>
      <w:r>
        <w:rPr>
          <w:spacing w:val="-3"/>
          <w:sz w:val="18"/>
          <w:vertAlign w:val="baseline"/>
        </w:rPr>
        <w:t> </w:t>
      </w:r>
      <w:r>
        <w:rPr>
          <w:sz w:val="18"/>
          <w:vertAlign w:val="baseline"/>
        </w:rPr>
        <w:t>costs.</w:t>
      </w:r>
      <w:r>
        <w:rPr>
          <w:spacing w:val="-3"/>
          <w:sz w:val="18"/>
          <w:vertAlign w:val="baseline"/>
        </w:rPr>
        <w:t> </w:t>
      </w:r>
      <w:r>
        <w:rPr>
          <w:sz w:val="18"/>
          <w:vertAlign w:val="baseline"/>
        </w:rPr>
        <w:t>Particularly in election years, companies and public works ministers may collude to get projects approved.”</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61"/>
      </w:pPr>
      <w:r>
        <w:rPr/>
        <w:t>described in the IFC’s Performance Standards on Environmental and Social Sustainability), Beijing’s state-owned banks requested compliance with national rules and standards (Export-Import Bank of China 2017; Chen and Landry 2018; Baehr et al. forthcoming). To facilitate rapid mobilization as soon as loan or </w:t>
      </w:r>
      <w:r>
        <w:rPr/>
        <w:t>grant applications were approved, they issued no-bid contracts to Chinese companies with an established, on-the-ground presence (Bräutigam 2019).</w:t>
      </w:r>
      <w:r>
        <w:rPr>
          <w:vertAlign w:val="superscript"/>
        </w:rPr>
        <w:t>227</w:t>
      </w:r>
      <w:r>
        <w:rPr>
          <w:vertAlign w:val="baseline"/>
        </w:rPr>
        <w:t> The absence of any requirement or expectation to coordinate with other donors and lenders eliminated additional obstacles to implementation (Bourguignon and Platteau 2015; Furukawa 2018).</w:t>
      </w:r>
    </w:p>
    <w:p>
      <w:pPr>
        <w:pStyle w:val="BodyText"/>
        <w:spacing w:before="4"/>
        <w:rPr>
          <w:sz w:val="27"/>
        </w:rPr>
      </w:pPr>
    </w:p>
    <w:p>
      <w:pPr>
        <w:pStyle w:val="BodyText"/>
        <w:spacing w:line="333" w:lineRule="auto" w:before="1"/>
        <w:ind w:left="560" w:right="579"/>
      </w:pPr>
      <w:r>
        <w:rPr/>
        <w:t>But speed and convenience came at a cost: at least 54% of China’s overseas infrastructure project portfolio from 2000 to 2017 had signiﬁcant environmental, social,</w:t>
      </w:r>
      <w:r>
        <w:rPr>
          <w:spacing w:val="-4"/>
        </w:rPr>
        <w:t> </w:t>
      </w:r>
      <w:r>
        <w:rPr/>
        <w:t>or</w:t>
      </w:r>
      <w:r>
        <w:rPr>
          <w:spacing w:val="-4"/>
        </w:rPr>
        <w:t> </w:t>
      </w:r>
      <w:r>
        <w:rPr/>
        <w:t>governance</w:t>
      </w:r>
      <w:r>
        <w:rPr>
          <w:spacing w:val="-4"/>
        </w:rPr>
        <w:t> </w:t>
      </w:r>
      <w:r>
        <w:rPr/>
        <w:t>risk</w:t>
      </w:r>
      <w:r>
        <w:rPr>
          <w:spacing w:val="-4"/>
        </w:rPr>
        <w:t> </w:t>
      </w:r>
      <w:r>
        <w:rPr/>
        <w:t>exposure</w:t>
      </w:r>
      <w:r>
        <w:rPr>
          <w:spacing w:val="-4"/>
        </w:rPr>
        <w:t> </w:t>
      </w:r>
      <w:r>
        <w:rPr/>
        <w:t>(see</w:t>
      </w:r>
      <w:r>
        <w:rPr>
          <w:spacing w:val="-4"/>
        </w:rPr>
        <w:t> </w:t>
      </w:r>
      <w:r>
        <w:rPr/>
        <w:t>Figure</w:t>
      </w:r>
      <w:r>
        <w:rPr>
          <w:spacing w:val="-4"/>
        </w:rPr>
        <w:t> </w:t>
      </w:r>
      <w:r>
        <w:rPr/>
        <w:t>A38</w:t>
      </w:r>
      <w:r>
        <w:rPr>
          <w:spacing w:val="-4"/>
        </w:rPr>
        <w:t> </w:t>
      </w:r>
      <w:r>
        <w:rPr/>
        <w:t>in</w:t>
      </w:r>
      <w:r>
        <w:rPr>
          <w:spacing w:val="-4"/>
        </w:rPr>
        <w:t> </w:t>
      </w:r>
      <w:r>
        <w:rPr/>
        <w:t>the</w:t>
      </w:r>
      <w:r>
        <w:rPr>
          <w:spacing w:val="-4"/>
        </w:rPr>
        <w:t> </w:t>
      </w:r>
      <w:r>
        <w:rPr/>
        <w:t>Appendix).</w:t>
      </w:r>
      <w:r>
        <w:rPr>
          <w:vertAlign w:val="superscript"/>
        </w:rPr>
        <w:t>228</w:t>
      </w:r>
      <w:r>
        <w:rPr>
          <w:spacing w:val="-5"/>
          <w:vertAlign w:val="baseline"/>
        </w:rPr>
        <w:t> </w:t>
      </w:r>
      <w:r>
        <w:rPr>
          <w:vertAlign w:val="baseline"/>
        </w:rPr>
        <w:t>In</w:t>
      </w:r>
      <w:r>
        <w:rPr>
          <w:spacing w:val="-4"/>
          <w:vertAlign w:val="baseline"/>
        </w:rPr>
        <w:t> </w:t>
      </w:r>
      <w:r>
        <w:rPr>
          <w:vertAlign w:val="baseline"/>
        </w:rPr>
        <w:t>some cases, multi-billion dollar public investment projects were suspended or</w:t>
      </w:r>
      <w:r>
        <w:rPr>
          <w:spacing w:val="40"/>
          <w:vertAlign w:val="baseline"/>
        </w:rPr>
        <w:t> </w:t>
      </w:r>
      <w:r>
        <w:rPr>
          <w:vertAlign w:val="baseline"/>
        </w:rPr>
        <w:t>rescoped because of insufﬁcient inattention to environmental and social impact assessments</w:t>
      </w:r>
      <w:r>
        <w:rPr>
          <w:spacing w:val="-13"/>
          <w:vertAlign w:val="baseline"/>
        </w:rPr>
        <w:t> </w:t>
      </w:r>
      <w:r>
        <w:rPr>
          <w:vertAlign w:val="baseline"/>
        </w:rPr>
        <w:t>(see</w:t>
      </w:r>
      <w:r>
        <w:rPr>
          <w:spacing w:val="-13"/>
          <w:vertAlign w:val="baseline"/>
        </w:rPr>
        <w:t> </w:t>
      </w:r>
      <w:r>
        <w:rPr>
          <w:vertAlign w:val="baseline"/>
        </w:rPr>
        <w:t>Lu</w:t>
      </w:r>
      <w:r>
        <w:rPr>
          <w:spacing w:val="-13"/>
          <w:vertAlign w:val="baseline"/>
        </w:rPr>
        <w:t> </w:t>
      </w:r>
      <w:r>
        <w:rPr>
          <w:vertAlign w:val="baseline"/>
        </w:rPr>
        <w:t>et</w:t>
      </w:r>
      <w:r>
        <w:rPr>
          <w:spacing w:val="-13"/>
          <w:vertAlign w:val="baseline"/>
        </w:rPr>
        <w:t> </w:t>
      </w:r>
      <w:r>
        <w:rPr>
          <w:vertAlign w:val="baseline"/>
        </w:rPr>
        <w:t>al.</w:t>
      </w:r>
      <w:r>
        <w:rPr>
          <w:spacing w:val="-13"/>
          <w:vertAlign w:val="baseline"/>
        </w:rPr>
        <w:t> </w:t>
      </w:r>
      <w:r>
        <w:rPr>
          <w:vertAlign w:val="baseline"/>
        </w:rPr>
        <w:t>2023b</w:t>
      </w:r>
      <w:r>
        <w:rPr>
          <w:spacing w:val="-13"/>
          <w:vertAlign w:val="baseline"/>
        </w:rPr>
        <w:t> </w:t>
      </w:r>
      <w:r>
        <w:rPr>
          <w:vertAlign w:val="baseline"/>
        </w:rPr>
        <w:t>and</w:t>
      </w:r>
      <w:r>
        <w:rPr>
          <w:spacing w:val="-13"/>
          <w:vertAlign w:val="baseline"/>
        </w:rPr>
        <w:t> </w:t>
      </w:r>
      <w:r>
        <w:rPr>
          <w:vertAlign w:val="baseline"/>
        </w:rPr>
        <w:t>Box</w:t>
      </w:r>
      <w:r>
        <w:rPr>
          <w:spacing w:val="-13"/>
          <w:vertAlign w:val="baseline"/>
        </w:rPr>
        <w:t> </w:t>
      </w:r>
      <w:r>
        <w:rPr>
          <w:vertAlign w:val="baseline"/>
        </w:rPr>
        <w:t>3b).</w:t>
      </w:r>
      <w:r>
        <w:rPr>
          <w:spacing w:val="-13"/>
          <w:vertAlign w:val="baseline"/>
        </w:rPr>
        <w:t> </w:t>
      </w:r>
      <w:r>
        <w:rPr>
          <w:vertAlign w:val="baseline"/>
        </w:rPr>
        <w:t>In</w:t>
      </w:r>
      <w:r>
        <w:rPr>
          <w:spacing w:val="-13"/>
          <w:vertAlign w:val="baseline"/>
        </w:rPr>
        <w:t> </w:t>
      </w:r>
      <w:r>
        <w:rPr>
          <w:vertAlign w:val="baseline"/>
        </w:rPr>
        <w:t>other</w:t>
      </w:r>
      <w:r>
        <w:rPr>
          <w:spacing w:val="-13"/>
          <w:vertAlign w:val="baseline"/>
        </w:rPr>
        <w:t> </w:t>
      </w:r>
      <w:r>
        <w:rPr>
          <w:vertAlign w:val="baseline"/>
        </w:rPr>
        <w:t>cases,</w:t>
      </w:r>
      <w:r>
        <w:rPr>
          <w:spacing w:val="-13"/>
          <w:vertAlign w:val="baseline"/>
        </w:rPr>
        <w:t> </w:t>
      </w:r>
      <w:r>
        <w:rPr>
          <w:vertAlign w:val="baseline"/>
        </w:rPr>
        <w:t>journalists</w:t>
      </w:r>
      <w:r>
        <w:rPr>
          <w:spacing w:val="-13"/>
          <w:vertAlign w:val="baseline"/>
        </w:rPr>
        <w:t> </w:t>
      </w:r>
      <w:r>
        <w:rPr>
          <w:vertAlign w:val="baseline"/>
        </w:rPr>
        <w:t>and</w:t>
      </w:r>
      <w:r>
        <w:rPr>
          <w:spacing w:val="-13"/>
          <w:vertAlign w:val="baseline"/>
        </w:rPr>
        <w:t> </w:t>
      </w:r>
      <w:r>
        <w:rPr>
          <w:vertAlign w:val="baseline"/>
        </w:rPr>
        <w:t>civil society organizations uncovered evidence of Chinese companies and host government ofﬁcials colluding by artiﬁcially inﬂating sole-source contract prices for construction projects and sharing the illicit proceeds (Malik et al. 2021: 67; Dreher et al. 2022: 11-12). In still other cases, local grievances were not addressed in a timely or thorough manner and they metastasized into reputational liabilities (that we analyze at greater length in Chapter 4).</w:t>
      </w:r>
      <w:r>
        <w:rPr>
          <w:vertAlign w:val="superscript"/>
        </w:rPr>
        <w:t>229</w:t>
      </w:r>
    </w:p>
    <w:p>
      <w:pPr>
        <w:pStyle w:val="BodyText"/>
        <w:spacing w:before="2"/>
        <w:rPr>
          <w:sz w:val="27"/>
        </w:rPr>
      </w:pPr>
    </w:p>
    <w:p>
      <w:pPr>
        <w:pStyle w:val="BodyText"/>
        <w:spacing w:line="333" w:lineRule="auto"/>
        <w:ind w:left="560" w:right="561"/>
      </w:pPr>
      <w:r>
        <w:rPr/>
        <w:t>By the end of the early BRI era, the authorities in Beijing seemed to coalesce around</w:t>
      </w:r>
      <w:r>
        <w:rPr>
          <w:spacing w:val="8"/>
        </w:rPr>
        <w:t> </w:t>
      </w:r>
      <w:r>
        <w:rPr/>
        <w:t>the</w:t>
      </w:r>
      <w:r>
        <w:rPr>
          <w:spacing w:val="9"/>
        </w:rPr>
        <w:t> </w:t>
      </w:r>
      <w:r>
        <w:rPr/>
        <w:t>idea</w:t>
      </w:r>
      <w:r>
        <w:rPr>
          <w:spacing w:val="9"/>
        </w:rPr>
        <w:t> </w:t>
      </w:r>
      <w:r>
        <w:rPr/>
        <w:t>that</w:t>
      </w:r>
      <w:r>
        <w:rPr>
          <w:spacing w:val="9"/>
        </w:rPr>
        <w:t> </w:t>
      </w:r>
      <w:r>
        <w:rPr/>
        <w:t>sustaining</w:t>
      </w:r>
      <w:r>
        <w:rPr>
          <w:spacing w:val="8"/>
        </w:rPr>
        <w:t> </w:t>
      </w:r>
      <w:r>
        <w:rPr/>
        <w:t>elite</w:t>
      </w:r>
      <w:r>
        <w:rPr>
          <w:spacing w:val="9"/>
        </w:rPr>
        <w:t> </w:t>
      </w:r>
      <w:r>
        <w:rPr/>
        <w:t>and</w:t>
      </w:r>
      <w:r>
        <w:rPr>
          <w:spacing w:val="9"/>
        </w:rPr>
        <w:t> </w:t>
      </w:r>
      <w:r>
        <w:rPr/>
        <w:t>public</w:t>
      </w:r>
      <w:r>
        <w:rPr>
          <w:spacing w:val="9"/>
        </w:rPr>
        <w:t> </w:t>
      </w:r>
      <w:r>
        <w:rPr/>
        <w:t>support</w:t>
      </w:r>
      <w:r>
        <w:rPr>
          <w:spacing w:val="9"/>
        </w:rPr>
        <w:t> </w:t>
      </w:r>
      <w:r>
        <w:rPr/>
        <w:t>for</w:t>
      </w:r>
      <w:r>
        <w:rPr>
          <w:spacing w:val="8"/>
        </w:rPr>
        <w:t> </w:t>
      </w:r>
      <w:r>
        <w:rPr/>
        <w:t>its</w:t>
      </w:r>
      <w:r>
        <w:rPr>
          <w:spacing w:val="9"/>
        </w:rPr>
        <w:t> </w:t>
      </w:r>
      <w:r>
        <w:rPr/>
        <w:t>ﬂagship</w:t>
      </w:r>
      <w:r>
        <w:rPr>
          <w:spacing w:val="9"/>
        </w:rPr>
        <w:t> </w:t>
      </w:r>
      <w:r>
        <w:rPr>
          <w:spacing w:val="-2"/>
        </w:rPr>
        <w:t>global</w:t>
      </w:r>
    </w:p>
    <w:p>
      <w:pPr>
        <w:pStyle w:val="BodyText"/>
        <w:spacing w:before="11"/>
        <w:rPr>
          <w:sz w:val="5"/>
        </w:rPr>
      </w:pPr>
      <w:r>
        <w:rPr/>
        <w:pict>
          <v:shape style="position:absolute;margin-left:90pt;margin-top:4.635352pt;width:144pt;height:.1pt;mso-position-horizontal-relative:page;mso-position-vertical-relative:paragraph;z-index:-15726592;mso-wrap-distance-left:0;mso-wrap-distance-right:0" id="docshape5" coordorigin="1800,93" coordsize="2880,0" path="m1800,93l4680,93e" filled="false" stroked="true" strokeweight=".75pt" strokecolor="#000000">
            <v:path arrowok="t"/>
            <v:stroke dashstyle="solid"/>
            <w10:wrap type="topAndBottom"/>
          </v:shape>
        </w:pict>
      </w:r>
    </w:p>
    <w:p>
      <w:pPr>
        <w:spacing w:line="249" w:lineRule="auto" w:before="113"/>
        <w:ind w:left="560" w:right="616" w:firstLine="0"/>
        <w:jc w:val="left"/>
        <w:rPr>
          <w:sz w:val="18"/>
        </w:rPr>
      </w:pPr>
      <w:r>
        <w:rPr>
          <w:sz w:val="18"/>
          <w:vertAlign w:val="superscript"/>
        </w:rPr>
        <w:t>227</w:t>
      </w:r>
      <w:r>
        <w:rPr>
          <w:sz w:val="18"/>
          <w:vertAlign w:val="baseline"/>
        </w:rPr>
        <w:t> Sole-source procurement is the rule rather than the exception in most of CDB and China Eximbank’s overseas loan agreements. In fact, these agreements almost always reference a speciﬁc commercial contract with a speciﬁc Chinese ﬁrm and strictly instruct the borrower to exclusively use the proceeds of </w:t>
      </w:r>
      <w:r>
        <w:rPr>
          <w:sz w:val="18"/>
          <w:vertAlign w:val="baseline"/>
        </w:rPr>
        <w:t>the loan to ﬁnance the pre-selected commercial contract that is referenced in the loan agreement (Gelpern et</w:t>
      </w:r>
      <w:r>
        <w:rPr>
          <w:spacing w:val="80"/>
          <w:sz w:val="18"/>
          <w:vertAlign w:val="baseline"/>
        </w:rPr>
        <w:t> </w:t>
      </w:r>
      <w:r>
        <w:rPr>
          <w:sz w:val="18"/>
          <w:vertAlign w:val="baseline"/>
        </w:rPr>
        <w:t>al. 2021, 2022).</w:t>
      </w:r>
    </w:p>
    <w:p>
      <w:pPr>
        <w:spacing w:line="249" w:lineRule="auto" w:before="4"/>
        <w:ind w:left="560" w:right="561" w:firstLine="0"/>
        <w:jc w:val="left"/>
        <w:rPr>
          <w:sz w:val="18"/>
        </w:rPr>
      </w:pPr>
      <w:r>
        <w:rPr>
          <w:sz w:val="18"/>
          <w:vertAlign w:val="superscript"/>
        </w:rPr>
        <w:t>228</w:t>
      </w:r>
      <w:r>
        <w:rPr>
          <w:sz w:val="18"/>
          <w:vertAlign w:val="baseline"/>
        </w:rPr>
        <w:t> This ﬁgure represents the cumulative percentage of China’s grant- and loan-ﬁnanced infrastructure project portfolio (measured in constant 2021 USD) between 2000 and 2017 with signiﬁcant environmental, social,</w:t>
      </w:r>
      <w:r>
        <w:rPr>
          <w:spacing w:val="-6"/>
          <w:sz w:val="18"/>
          <w:vertAlign w:val="baseline"/>
        </w:rPr>
        <w:t> </w:t>
      </w:r>
      <w:r>
        <w:rPr>
          <w:sz w:val="18"/>
          <w:vertAlign w:val="baseline"/>
        </w:rPr>
        <w:t>or</w:t>
      </w:r>
      <w:r>
        <w:rPr>
          <w:spacing w:val="-6"/>
          <w:sz w:val="18"/>
          <w:vertAlign w:val="baseline"/>
        </w:rPr>
        <w:t> </w:t>
      </w:r>
      <w:r>
        <w:rPr>
          <w:sz w:val="18"/>
          <w:vertAlign w:val="baseline"/>
        </w:rPr>
        <w:t>governance</w:t>
      </w:r>
      <w:r>
        <w:rPr>
          <w:spacing w:val="-6"/>
          <w:sz w:val="18"/>
          <w:vertAlign w:val="baseline"/>
        </w:rPr>
        <w:t> </w:t>
      </w:r>
      <w:r>
        <w:rPr>
          <w:sz w:val="18"/>
          <w:vertAlign w:val="baseline"/>
        </w:rPr>
        <w:t>risk</w:t>
      </w:r>
      <w:r>
        <w:rPr>
          <w:spacing w:val="-6"/>
          <w:sz w:val="18"/>
          <w:vertAlign w:val="baseline"/>
        </w:rPr>
        <w:t> </w:t>
      </w:r>
      <w:r>
        <w:rPr>
          <w:sz w:val="18"/>
          <w:vertAlign w:val="baseline"/>
        </w:rPr>
        <w:t>exposure.</w:t>
      </w:r>
      <w:r>
        <w:rPr>
          <w:spacing w:val="-6"/>
          <w:sz w:val="18"/>
          <w:vertAlign w:val="baseline"/>
        </w:rPr>
        <w:t> </w:t>
      </w:r>
      <w:r>
        <w:rPr>
          <w:sz w:val="18"/>
          <w:vertAlign w:val="baseline"/>
        </w:rPr>
        <w:t>The</w:t>
      </w:r>
      <w:r>
        <w:rPr>
          <w:spacing w:val="-6"/>
          <w:sz w:val="18"/>
          <w:vertAlign w:val="baseline"/>
        </w:rPr>
        <w:t> </w:t>
      </w:r>
      <w:r>
        <w:rPr>
          <w:sz w:val="18"/>
          <w:vertAlign w:val="baseline"/>
        </w:rPr>
        <w:t>average</w:t>
      </w:r>
      <w:r>
        <w:rPr>
          <w:spacing w:val="-6"/>
          <w:sz w:val="18"/>
          <w:vertAlign w:val="baseline"/>
        </w:rPr>
        <w:t> </w:t>
      </w:r>
      <w:r>
        <w:rPr>
          <w:sz w:val="18"/>
          <w:vertAlign w:val="baseline"/>
        </w:rPr>
        <w:t>annual</w:t>
      </w:r>
      <w:r>
        <w:rPr>
          <w:spacing w:val="-6"/>
          <w:sz w:val="18"/>
          <w:vertAlign w:val="baseline"/>
        </w:rPr>
        <w:t> </w:t>
      </w:r>
      <w:r>
        <w:rPr>
          <w:sz w:val="18"/>
          <w:vertAlign w:val="baseline"/>
        </w:rPr>
        <w:t>ESG</w:t>
      </w:r>
      <w:r>
        <w:rPr>
          <w:spacing w:val="-6"/>
          <w:sz w:val="18"/>
          <w:vertAlign w:val="baseline"/>
        </w:rPr>
        <w:t> </w:t>
      </w:r>
      <w:r>
        <w:rPr>
          <w:sz w:val="18"/>
          <w:vertAlign w:val="baseline"/>
        </w:rPr>
        <w:t>risk</w:t>
      </w:r>
      <w:r>
        <w:rPr>
          <w:spacing w:val="-6"/>
          <w:sz w:val="18"/>
          <w:vertAlign w:val="baseline"/>
        </w:rPr>
        <w:t> </w:t>
      </w:r>
      <w:r>
        <w:rPr>
          <w:sz w:val="18"/>
          <w:vertAlign w:val="baseline"/>
        </w:rPr>
        <w:t>prevalence</w:t>
      </w:r>
      <w:r>
        <w:rPr>
          <w:spacing w:val="-6"/>
          <w:sz w:val="18"/>
          <w:vertAlign w:val="baseline"/>
        </w:rPr>
        <w:t> </w:t>
      </w:r>
      <w:r>
        <w:rPr>
          <w:sz w:val="18"/>
          <w:vertAlign w:val="baseline"/>
        </w:rPr>
        <w:t>rate,</w:t>
      </w:r>
      <w:r>
        <w:rPr>
          <w:spacing w:val="-6"/>
          <w:sz w:val="18"/>
          <w:vertAlign w:val="baseline"/>
        </w:rPr>
        <w:t> </w:t>
      </w:r>
      <w:r>
        <w:rPr>
          <w:sz w:val="18"/>
          <w:vertAlign w:val="baseline"/>
        </w:rPr>
        <w:t>as</w:t>
      </w:r>
      <w:r>
        <w:rPr>
          <w:spacing w:val="-6"/>
          <w:sz w:val="18"/>
          <w:vertAlign w:val="baseline"/>
        </w:rPr>
        <w:t> </w:t>
      </w:r>
      <w:r>
        <w:rPr>
          <w:sz w:val="18"/>
          <w:vertAlign w:val="baseline"/>
        </w:rPr>
        <w:t>deﬁned</w:t>
      </w:r>
      <w:r>
        <w:rPr>
          <w:spacing w:val="-6"/>
          <w:sz w:val="18"/>
          <w:vertAlign w:val="baseline"/>
        </w:rPr>
        <w:t> </w:t>
      </w:r>
      <w:r>
        <w:rPr>
          <w:sz w:val="18"/>
          <w:vertAlign w:val="baseline"/>
        </w:rPr>
        <w:t>in</w:t>
      </w:r>
      <w:r>
        <w:rPr>
          <w:spacing w:val="-6"/>
          <w:sz w:val="18"/>
          <w:vertAlign w:val="baseline"/>
        </w:rPr>
        <w:t> </w:t>
      </w:r>
      <w:r>
        <w:rPr>
          <w:sz w:val="18"/>
          <w:vertAlign w:val="baseline"/>
        </w:rPr>
        <w:t>Figure</w:t>
      </w:r>
      <w:r>
        <w:rPr>
          <w:spacing w:val="-6"/>
          <w:sz w:val="18"/>
          <w:vertAlign w:val="baseline"/>
        </w:rPr>
        <w:t> </w:t>
      </w:r>
      <w:r>
        <w:rPr>
          <w:sz w:val="18"/>
          <w:vertAlign w:val="baseline"/>
        </w:rPr>
        <w:t>3.2), was 47% between 2000 and 2017. Between 2000 and 2017, 1,403 infrastructure projects in LICs and MICs supported by grants and loans from China worth $383 billion (in constant 2021 USD) presented a </w:t>
      </w:r>
      <w:r>
        <w:rPr>
          <w:sz w:val="18"/>
          <w:vertAlign w:val="baseline"/>
        </w:rPr>
        <w:t>signiﬁcant environmental, social, or governance risk (see Figure 1.13).</w:t>
      </w:r>
    </w:p>
    <w:p>
      <w:pPr>
        <w:spacing w:line="249" w:lineRule="auto" w:before="4"/>
        <w:ind w:left="560" w:right="675" w:firstLine="0"/>
        <w:jc w:val="left"/>
        <w:rPr>
          <w:sz w:val="18"/>
        </w:rPr>
      </w:pPr>
      <w:r>
        <w:rPr>
          <w:sz w:val="18"/>
          <w:vertAlign w:val="superscript"/>
        </w:rPr>
        <w:t>229</w:t>
      </w:r>
      <w:r>
        <w:rPr>
          <w:sz w:val="18"/>
          <w:vertAlign w:val="baseline"/>
        </w:rPr>
        <w:t> Many of these problems probably could have been avoided via a variety of mechanisms: environmental and social impact assessments to ensure that indigenous peoples are granted free, prior, and informed consent (FPIC) and avoid siting projects near endangered habitats; competitive bidding rules to ensure good value-for-money; blacklisting procedures to avoid hiring contractors with a track record of</w:t>
      </w:r>
      <w:r>
        <w:rPr>
          <w:spacing w:val="80"/>
          <w:sz w:val="18"/>
          <w:vertAlign w:val="baseline"/>
        </w:rPr>
        <w:t> </w:t>
      </w:r>
      <w:r>
        <w:rPr>
          <w:sz w:val="18"/>
          <w:vertAlign w:val="baseline"/>
        </w:rPr>
        <w:t>participating in corrupt and collusive behavior; and grievance mechanisms to make it easier to identify </w:t>
      </w:r>
      <w:r>
        <w:rPr>
          <w:sz w:val="18"/>
          <w:vertAlign w:val="baseline"/>
        </w:rPr>
        <w:t>and respond to the concerns of local stakeholders (Parks 2019; Dreher et al. 2022).</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89"/>
      </w:pPr>
      <w:r>
        <w:rPr/>
        <w:t>infrastructure initiative would require more effective ESG risk management and mitigation. One of the ﬁrst signs that change was afoot came in November </w:t>
      </w:r>
      <w:r>
        <w:rPr/>
        <w:t>2017 when the China Banking Regulatory Commission (CBRC)—the country's top banking regulator—issued a new set of rules, requiring CDB and China Eximbank to put in place more robust environmental and social risk</w:t>
      </w:r>
      <w:r>
        <w:rPr>
          <w:spacing w:val="80"/>
        </w:rPr>
        <w:t> </w:t>
      </w:r>
      <w:r>
        <w:rPr/>
        <w:t>management</w:t>
      </w:r>
      <w:r>
        <w:rPr>
          <w:spacing w:val="-8"/>
        </w:rPr>
        <w:t> </w:t>
      </w:r>
      <w:r>
        <w:rPr/>
        <w:t>procedures</w:t>
      </w:r>
      <w:r>
        <w:rPr>
          <w:spacing w:val="-8"/>
        </w:rPr>
        <w:t> </w:t>
      </w:r>
      <w:r>
        <w:rPr/>
        <w:t>(CBRC</w:t>
      </w:r>
      <w:r>
        <w:rPr>
          <w:spacing w:val="-8"/>
        </w:rPr>
        <w:t> </w:t>
      </w:r>
      <w:r>
        <w:rPr/>
        <w:t>2017a,</w:t>
      </w:r>
      <w:r>
        <w:rPr>
          <w:spacing w:val="-8"/>
        </w:rPr>
        <w:t> </w:t>
      </w:r>
      <w:r>
        <w:rPr/>
        <w:t>2017b).</w:t>
      </w:r>
      <w:r>
        <w:rPr>
          <w:vertAlign w:val="superscript"/>
        </w:rPr>
        <w:t>230</w:t>
      </w:r>
      <w:r>
        <w:rPr>
          <w:spacing w:val="-9"/>
          <w:vertAlign w:val="baseline"/>
        </w:rPr>
        <w:t> </w:t>
      </w:r>
      <w:r>
        <w:rPr>
          <w:vertAlign w:val="baseline"/>
        </w:rPr>
        <w:t>By</w:t>
      </w:r>
      <w:r>
        <w:rPr>
          <w:spacing w:val="-8"/>
          <w:vertAlign w:val="baseline"/>
        </w:rPr>
        <w:t> </w:t>
      </w:r>
      <w:r>
        <w:rPr>
          <w:vertAlign w:val="baseline"/>
        </w:rPr>
        <w:t>2018,</w:t>
      </w:r>
      <w:r>
        <w:rPr>
          <w:spacing w:val="-8"/>
          <w:vertAlign w:val="baseline"/>
        </w:rPr>
        <w:t> </w:t>
      </w:r>
      <w:r>
        <w:rPr>
          <w:vertAlign w:val="baseline"/>
        </w:rPr>
        <w:t>the</w:t>
      </w:r>
      <w:r>
        <w:rPr>
          <w:spacing w:val="-8"/>
          <w:vertAlign w:val="baseline"/>
        </w:rPr>
        <w:t> </w:t>
      </w:r>
      <w:r>
        <w:rPr>
          <w:vertAlign w:val="baseline"/>
        </w:rPr>
        <w:t>authorities</w:t>
      </w:r>
      <w:r>
        <w:rPr>
          <w:spacing w:val="-8"/>
          <w:vertAlign w:val="baseline"/>
        </w:rPr>
        <w:t> </w:t>
      </w:r>
      <w:r>
        <w:rPr>
          <w:vertAlign w:val="baseline"/>
        </w:rPr>
        <w:t>were planning a transition “from a hazily deﬁned BRI 1.0 to a more ﬁne-tuned BRI</w:t>
      </w:r>
      <w:r>
        <w:rPr>
          <w:spacing w:val="80"/>
          <w:w w:val="150"/>
          <w:vertAlign w:val="baseline"/>
        </w:rPr>
        <w:t> </w:t>
      </w:r>
      <w:r>
        <w:rPr>
          <w:vertAlign w:val="baseline"/>
        </w:rPr>
        <w:t>2.0”</w:t>
      </w:r>
      <w:r>
        <w:rPr>
          <w:spacing w:val="19"/>
          <w:vertAlign w:val="baseline"/>
        </w:rPr>
        <w:t> </w:t>
      </w:r>
      <w:r>
        <w:rPr>
          <w:vertAlign w:val="baseline"/>
        </w:rPr>
        <w:t>(Ang</w:t>
      </w:r>
      <w:r>
        <w:rPr>
          <w:spacing w:val="19"/>
          <w:vertAlign w:val="baseline"/>
        </w:rPr>
        <w:t> </w:t>
      </w:r>
      <w:r>
        <w:rPr>
          <w:vertAlign w:val="baseline"/>
        </w:rPr>
        <w:t>2019).</w:t>
      </w:r>
      <w:r>
        <w:rPr>
          <w:spacing w:val="19"/>
          <w:vertAlign w:val="baseline"/>
        </w:rPr>
        <w:t> </w:t>
      </w:r>
      <w:r>
        <w:rPr>
          <w:vertAlign w:val="baseline"/>
        </w:rPr>
        <w:t>On</w:t>
      </w:r>
      <w:r>
        <w:rPr>
          <w:spacing w:val="19"/>
          <w:vertAlign w:val="baseline"/>
        </w:rPr>
        <w:t> </w:t>
      </w:r>
      <w:r>
        <w:rPr>
          <w:vertAlign w:val="baseline"/>
        </w:rPr>
        <w:t>August</w:t>
      </w:r>
      <w:r>
        <w:rPr>
          <w:spacing w:val="19"/>
          <w:vertAlign w:val="baseline"/>
        </w:rPr>
        <w:t> </w:t>
      </w:r>
      <w:r>
        <w:rPr>
          <w:vertAlign w:val="baseline"/>
        </w:rPr>
        <w:t>27,</w:t>
      </w:r>
      <w:r>
        <w:rPr>
          <w:spacing w:val="19"/>
          <w:vertAlign w:val="baseline"/>
        </w:rPr>
        <w:t> </w:t>
      </w:r>
      <w:r>
        <w:rPr>
          <w:vertAlign w:val="baseline"/>
        </w:rPr>
        <w:t>2018,</w:t>
      </w:r>
      <w:r>
        <w:rPr>
          <w:spacing w:val="19"/>
          <w:vertAlign w:val="baseline"/>
        </w:rPr>
        <w:t> </w:t>
      </w:r>
      <w:r>
        <w:rPr>
          <w:vertAlign w:val="baseline"/>
        </w:rPr>
        <w:t>in</w:t>
      </w:r>
      <w:r>
        <w:rPr>
          <w:spacing w:val="19"/>
          <w:vertAlign w:val="baseline"/>
        </w:rPr>
        <w:t> </w:t>
      </w:r>
      <w:r>
        <w:rPr>
          <w:vertAlign w:val="baseline"/>
        </w:rPr>
        <w:t>the</w:t>
      </w:r>
      <w:r>
        <w:rPr>
          <w:spacing w:val="19"/>
          <w:vertAlign w:val="baseline"/>
        </w:rPr>
        <w:t> </w:t>
      </w:r>
      <w:r>
        <w:rPr>
          <w:vertAlign w:val="baseline"/>
        </w:rPr>
        <w:t>run-up</w:t>
      </w:r>
      <w:r>
        <w:rPr>
          <w:spacing w:val="19"/>
          <w:vertAlign w:val="baseline"/>
        </w:rPr>
        <w:t> </w:t>
      </w:r>
      <w:r>
        <w:rPr>
          <w:vertAlign w:val="baseline"/>
        </w:rPr>
        <w:t>to</w:t>
      </w:r>
      <w:r>
        <w:rPr>
          <w:spacing w:val="19"/>
          <w:vertAlign w:val="baseline"/>
        </w:rPr>
        <w:t> </w:t>
      </w:r>
      <w:r>
        <w:rPr>
          <w:vertAlign w:val="baseline"/>
        </w:rPr>
        <w:t>the</w:t>
      </w:r>
      <w:r>
        <w:rPr>
          <w:spacing w:val="19"/>
          <w:vertAlign w:val="baseline"/>
        </w:rPr>
        <w:t> </w:t>
      </w:r>
      <w:r>
        <w:rPr>
          <w:vertAlign w:val="baseline"/>
        </w:rPr>
        <w:t>ﬁfth</w:t>
      </w:r>
      <w:r>
        <w:rPr>
          <w:spacing w:val="19"/>
          <w:vertAlign w:val="baseline"/>
        </w:rPr>
        <w:t> </w:t>
      </w:r>
      <w:r>
        <w:rPr>
          <w:vertAlign w:val="baseline"/>
        </w:rPr>
        <w:t>anniversary</w:t>
      </w:r>
      <w:r>
        <w:rPr>
          <w:spacing w:val="19"/>
          <w:vertAlign w:val="baseline"/>
        </w:rPr>
        <w:t> </w:t>
      </w:r>
      <w:r>
        <w:rPr>
          <w:vertAlign w:val="baseline"/>
        </w:rPr>
        <w:t>of the BRI, Xi Jinping used a Chinese painting metaphor to call for “a switch from xieyi, freehand painting for outlining broad strokes, to gongbi, the careful inscription of details” (Ang 2019). Then, in April 2019, he gave a speech at the Second Belt and Road Forum for International Cooperation where he</w:t>
      </w:r>
      <w:r>
        <w:rPr>
          <w:spacing w:val="80"/>
          <w:vertAlign w:val="baseline"/>
        </w:rPr>
        <w:t> </w:t>
      </w:r>
      <w:r>
        <w:rPr>
          <w:vertAlign w:val="baseline"/>
        </w:rPr>
        <w:t>announced that China would “adopt widely accepted rules and standards and encourage participating companies to follow general international rules and standards in project development, operation, procurement and tendering and bidding” (Ministry of Foreign Affairs of the People's Republic of China 2019). He conveyed during the same speech that “in pursuing Belt and Road cooperation, everything should be done in a transparent way, and we should have zero tolerance for corruption” (Ministry of Foreign Affairs of the People's Republic of China 2019).</w:t>
      </w:r>
      <w:r>
        <w:rPr>
          <w:vertAlign w:val="superscript"/>
        </w:rPr>
        <w:t>231</w:t>
      </w:r>
    </w:p>
    <w:p>
      <w:pPr>
        <w:pStyle w:val="BodyText"/>
        <w:spacing w:before="9"/>
        <w:rPr>
          <w:sz w:val="26"/>
        </w:rPr>
      </w:pPr>
    </w:p>
    <w:p>
      <w:pPr>
        <w:pStyle w:val="BodyText"/>
        <w:spacing w:line="333" w:lineRule="auto" w:before="1"/>
        <w:ind w:left="560" w:right="561"/>
      </w:pPr>
      <w:r>
        <w:rPr/>
        <w:t>One year later, Beijing signaled preliminary interest in “multilateralizing” the </w:t>
      </w:r>
      <w:r>
        <w:rPr/>
        <w:t>BRI by co-ﬁnancing, co-designing, and co-implementing infrastructure projects with Western and multilateral development ﬁnance institutions and subjecting these projects to stronger safeguards.</w:t>
      </w:r>
      <w:r>
        <w:rPr>
          <w:vertAlign w:val="superscript"/>
        </w:rPr>
        <w:t>232</w:t>
      </w:r>
      <w:r>
        <w:rPr>
          <w:vertAlign w:val="baseline"/>
        </w:rPr>
        <w:t> It teamed up with eight multilateral institutions—the World Bank, the Inter-American Development Bank, the Asian Development Bank, the European Bank for Reconstruction and Development,</w:t>
      </w:r>
    </w:p>
    <w:p>
      <w:pPr>
        <w:pStyle w:val="BodyText"/>
        <w:spacing w:before="6"/>
        <w:rPr>
          <w:sz w:val="27"/>
        </w:rPr>
      </w:pPr>
      <w:r>
        <w:rPr/>
        <w:pict>
          <v:shape style="position:absolute;margin-left:90pt;margin-top:17.042871pt;width:144pt;height:.1pt;mso-position-horizontal-relative:page;mso-position-vertical-relative:paragraph;z-index:-15726080;mso-wrap-distance-left:0;mso-wrap-distance-right:0" id="docshape6" coordorigin="1800,341" coordsize="2880,0" path="m1800,341l4680,341e" filled="false" stroked="true" strokeweight=".75pt" strokecolor="#000000">
            <v:path arrowok="t"/>
            <v:stroke dashstyle="solid"/>
            <w10:wrap type="topAndBottom"/>
          </v:shape>
        </w:pict>
      </w:r>
    </w:p>
    <w:p>
      <w:pPr>
        <w:spacing w:line="249" w:lineRule="auto" w:before="113"/>
        <w:ind w:left="560" w:right="1235" w:firstLine="0"/>
        <w:jc w:val="left"/>
        <w:rPr>
          <w:sz w:val="18"/>
        </w:rPr>
      </w:pPr>
      <w:r>
        <w:rPr>
          <w:sz w:val="18"/>
          <w:vertAlign w:val="superscript"/>
        </w:rPr>
        <w:t>230</w:t>
      </w:r>
      <w:r>
        <w:rPr>
          <w:sz w:val="18"/>
          <w:vertAlign w:val="baseline"/>
        </w:rPr>
        <w:t> In 2018, Beijing also ﬁnanced the creation of a China-IMF Capacity Development Center to </w:t>
      </w:r>
      <w:r>
        <w:rPr>
          <w:sz w:val="18"/>
          <w:vertAlign w:val="baseline"/>
        </w:rPr>
        <w:t>train government ofﬁcials on debt sustainability frameworks (DSFs) in low-income countries and other BRI-related policy issues (Morris et al. 2020).</w:t>
      </w:r>
    </w:p>
    <w:p>
      <w:pPr>
        <w:spacing w:before="2"/>
        <w:ind w:left="560" w:right="0" w:firstLine="0"/>
        <w:jc w:val="left"/>
        <w:rPr>
          <w:sz w:val="18"/>
        </w:rPr>
      </w:pPr>
      <w:r>
        <w:rPr>
          <w:sz w:val="18"/>
          <w:vertAlign w:val="superscript"/>
        </w:rPr>
        <w:t>231</w:t>
      </w:r>
      <w:r>
        <w:rPr>
          <w:spacing w:val="-2"/>
          <w:sz w:val="18"/>
          <w:vertAlign w:val="baseline"/>
        </w:rPr>
        <w:t> </w:t>
      </w:r>
      <w:r>
        <w:rPr>
          <w:sz w:val="18"/>
          <w:vertAlign w:val="baseline"/>
        </w:rPr>
        <w:t>In</w:t>
      </w:r>
      <w:r>
        <w:rPr>
          <w:spacing w:val="-1"/>
          <w:sz w:val="18"/>
          <w:vertAlign w:val="baseline"/>
        </w:rPr>
        <w:t> </w:t>
      </w:r>
      <w:r>
        <w:rPr>
          <w:sz w:val="18"/>
          <w:vertAlign w:val="baseline"/>
        </w:rPr>
        <w:t>January</w:t>
      </w:r>
      <w:r>
        <w:rPr>
          <w:spacing w:val="-1"/>
          <w:sz w:val="18"/>
          <w:vertAlign w:val="baseline"/>
        </w:rPr>
        <w:t> </w:t>
      </w:r>
      <w:r>
        <w:rPr>
          <w:sz w:val="18"/>
          <w:vertAlign w:val="baseline"/>
        </w:rPr>
        <w:t>2021,</w:t>
      </w:r>
      <w:r>
        <w:rPr>
          <w:spacing w:val="-1"/>
          <w:sz w:val="18"/>
          <w:vertAlign w:val="baseline"/>
        </w:rPr>
        <w:t> </w:t>
      </w:r>
      <w:r>
        <w:rPr>
          <w:sz w:val="18"/>
          <w:vertAlign w:val="baseline"/>
        </w:rPr>
        <w:t>Hu</w:t>
      </w:r>
      <w:r>
        <w:rPr>
          <w:spacing w:val="-1"/>
          <w:sz w:val="18"/>
          <w:vertAlign w:val="baseline"/>
        </w:rPr>
        <w:t> </w:t>
      </w:r>
      <w:r>
        <w:rPr>
          <w:sz w:val="18"/>
          <w:vertAlign w:val="baseline"/>
        </w:rPr>
        <w:t>Huaibang,</w:t>
      </w:r>
      <w:r>
        <w:rPr>
          <w:spacing w:val="-1"/>
          <w:sz w:val="18"/>
          <w:vertAlign w:val="baseline"/>
        </w:rPr>
        <w:t> </w:t>
      </w:r>
      <w:r>
        <w:rPr>
          <w:sz w:val="18"/>
          <w:vertAlign w:val="baseline"/>
        </w:rPr>
        <w:t>the</w:t>
      </w:r>
      <w:r>
        <w:rPr>
          <w:spacing w:val="-1"/>
          <w:sz w:val="18"/>
          <w:vertAlign w:val="baseline"/>
        </w:rPr>
        <w:t> </w:t>
      </w:r>
      <w:r>
        <w:rPr>
          <w:sz w:val="18"/>
          <w:vertAlign w:val="baseline"/>
        </w:rPr>
        <w:t>former chairman</w:t>
      </w:r>
      <w:r>
        <w:rPr>
          <w:spacing w:val="-1"/>
          <w:sz w:val="18"/>
          <w:vertAlign w:val="baseline"/>
        </w:rPr>
        <w:t> </w:t>
      </w:r>
      <w:r>
        <w:rPr>
          <w:sz w:val="18"/>
          <w:vertAlign w:val="baseline"/>
        </w:rPr>
        <w:t>of</w:t>
      </w:r>
      <w:r>
        <w:rPr>
          <w:spacing w:val="-1"/>
          <w:sz w:val="18"/>
          <w:vertAlign w:val="baseline"/>
        </w:rPr>
        <w:t> </w:t>
      </w:r>
      <w:r>
        <w:rPr>
          <w:sz w:val="18"/>
          <w:vertAlign w:val="baseline"/>
        </w:rPr>
        <w:t>CDB,</w:t>
      </w:r>
      <w:r>
        <w:rPr>
          <w:spacing w:val="-1"/>
          <w:sz w:val="18"/>
          <w:vertAlign w:val="baseline"/>
        </w:rPr>
        <w:t> </w:t>
      </w:r>
      <w:r>
        <w:rPr>
          <w:sz w:val="18"/>
          <w:vertAlign w:val="baseline"/>
        </w:rPr>
        <w:t>was</w:t>
      </w:r>
      <w:r>
        <w:rPr>
          <w:spacing w:val="-1"/>
          <w:sz w:val="18"/>
          <w:vertAlign w:val="baseline"/>
        </w:rPr>
        <w:t> </w:t>
      </w:r>
      <w:r>
        <w:rPr>
          <w:sz w:val="18"/>
          <w:vertAlign w:val="baseline"/>
        </w:rPr>
        <w:t>sentenced</w:t>
      </w:r>
      <w:r>
        <w:rPr>
          <w:spacing w:val="-1"/>
          <w:sz w:val="18"/>
          <w:vertAlign w:val="baseline"/>
        </w:rPr>
        <w:t> </w:t>
      </w:r>
      <w:r>
        <w:rPr>
          <w:sz w:val="18"/>
          <w:vertAlign w:val="baseline"/>
        </w:rPr>
        <w:t>to</w:t>
      </w:r>
      <w:r>
        <w:rPr>
          <w:spacing w:val="-1"/>
          <w:sz w:val="18"/>
          <w:vertAlign w:val="baseline"/>
        </w:rPr>
        <w:t> </w:t>
      </w:r>
      <w:r>
        <w:rPr>
          <w:sz w:val="18"/>
          <w:vertAlign w:val="baseline"/>
        </w:rPr>
        <w:t>life</w:t>
      </w:r>
      <w:r>
        <w:rPr>
          <w:spacing w:val="-1"/>
          <w:sz w:val="18"/>
          <w:vertAlign w:val="baseline"/>
        </w:rPr>
        <w:t> </w:t>
      </w:r>
      <w:r>
        <w:rPr>
          <w:sz w:val="18"/>
          <w:vertAlign w:val="baseline"/>
        </w:rPr>
        <w:t>in prison</w:t>
      </w:r>
      <w:r>
        <w:rPr>
          <w:spacing w:val="-1"/>
          <w:sz w:val="18"/>
          <w:vertAlign w:val="baseline"/>
        </w:rPr>
        <w:t> </w:t>
      </w:r>
      <w:r>
        <w:rPr>
          <w:sz w:val="18"/>
          <w:vertAlign w:val="baseline"/>
        </w:rPr>
        <w:t>for</w:t>
      </w:r>
      <w:r>
        <w:rPr>
          <w:spacing w:val="-1"/>
          <w:sz w:val="18"/>
          <w:vertAlign w:val="baseline"/>
        </w:rPr>
        <w:t> </w:t>
      </w:r>
      <w:r>
        <w:rPr>
          <w:spacing w:val="-2"/>
          <w:sz w:val="18"/>
          <w:vertAlign w:val="baseline"/>
        </w:rPr>
        <w:t>taking</w:t>
      </w:r>
    </w:p>
    <w:p>
      <w:pPr>
        <w:spacing w:line="249" w:lineRule="auto" w:before="9"/>
        <w:ind w:left="560" w:right="561" w:firstLine="0"/>
        <w:jc w:val="left"/>
        <w:rPr>
          <w:sz w:val="18"/>
        </w:rPr>
      </w:pPr>
      <w:r>
        <w:rPr>
          <w:w w:val="105"/>
          <w:sz w:val="18"/>
        </w:rPr>
        <w:t>$13</w:t>
      </w:r>
      <w:r>
        <w:rPr>
          <w:spacing w:val="-13"/>
          <w:w w:val="105"/>
          <w:sz w:val="18"/>
        </w:rPr>
        <w:t> </w:t>
      </w:r>
      <w:r>
        <w:rPr>
          <w:w w:val="105"/>
          <w:sz w:val="18"/>
        </w:rPr>
        <w:t>million</w:t>
      </w:r>
      <w:r>
        <w:rPr>
          <w:spacing w:val="-13"/>
          <w:w w:val="105"/>
          <w:sz w:val="18"/>
        </w:rPr>
        <w:t> </w:t>
      </w:r>
      <w:r>
        <w:rPr>
          <w:w w:val="105"/>
          <w:sz w:val="18"/>
        </w:rPr>
        <w:t>in</w:t>
      </w:r>
      <w:r>
        <w:rPr>
          <w:spacing w:val="-13"/>
          <w:w w:val="105"/>
          <w:sz w:val="18"/>
        </w:rPr>
        <w:t> </w:t>
      </w:r>
      <w:r>
        <w:rPr>
          <w:w w:val="105"/>
          <w:sz w:val="18"/>
        </w:rPr>
        <w:t>bribes.</w:t>
      </w:r>
      <w:r>
        <w:rPr>
          <w:spacing w:val="-13"/>
          <w:w w:val="105"/>
          <w:sz w:val="18"/>
        </w:rPr>
        <w:t> </w:t>
      </w:r>
      <w:r>
        <w:rPr>
          <w:w w:val="105"/>
          <w:sz w:val="18"/>
        </w:rPr>
        <w:t>Then,</w:t>
      </w:r>
      <w:r>
        <w:rPr>
          <w:spacing w:val="-13"/>
          <w:w w:val="105"/>
          <w:sz w:val="18"/>
        </w:rPr>
        <w:t> </w:t>
      </w:r>
      <w:r>
        <w:rPr>
          <w:w w:val="105"/>
          <w:sz w:val="18"/>
        </w:rPr>
        <w:t>in</w:t>
      </w:r>
      <w:r>
        <w:rPr>
          <w:spacing w:val="-13"/>
          <w:w w:val="105"/>
          <w:sz w:val="18"/>
        </w:rPr>
        <w:t> </w:t>
      </w:r>
      <w:r>
        <w:rPr>
          <w:w w:val="105"/>
          <w:sz w:val="18"/>
        </w:rPr>
        <w:t>September</w:t>
      </w:r>
      <w:r>
        <w:rPr>
          <w:spacing w:val="-13"/>
          <w:w w:val="105"/>
          <w:sz w:val="18"/>
        </w:rPr>
        <w:t> </w:t>
      </w:r>
      <w:r>
        <w:rPr>
          <w:w w:val="105"/>
          <w:sz w:val="18"/>
        </w:rPr>
        <w:t>2021,</w:t>
      </w:r>
      <w:r>
        <w:rPr>
          <w:spacing w:val="-13"/>
          <w:w w:val="105"/>
          <w:sz w:val="18"/>
        </w:rPr>
        <w:t> </w:t>
      </w:r>
      <w:r>
        <w:rPr>
          <w:w w:val="105"/>
          <w:sz w:val="18"/>
        </w:rPr>
        <w:t>He</w:t>
      </w:r>
      <w:r>
        <w:rPr>
          <w:spacing w:val="-13"/>
          <w:w w:val="105"/>
          <w:sz w:val="18"/>
        </w:rPr>
        <w:t> </w:t>
      </w:r>
      <w:r>
        <w:rPr>
          <w:w w:val="105"/>
          <w:sz w:val="18"/>
        </w:rPr>
        <w:t>Xingxiang,</w:t>
      </w:r>
      <w:r>
        <w:rPr>
          <w:spacing w:val="-13"/>
          <w:w w:val="105"/>
          <w:sz w:val="18"/>
        </w:rPr>
        <w:t> </w:t>
      </w:r>
      <w:r>
        <w:rPr>
          <w:w w:val="105"/>
          <w:sz w:val="18"/>
        </w:rPr>
        <w:t>a</w:t>
      </w:r>
      <w:r>
        <w:rPr>
          <w:spacing w:val="-13"/>
          <w:w w:val="105"/>
          <w:sz w:val="18"/>
        </w:rPr>
        <w:t> </w:t>
      </w:r>
      <w:r>
        <w:rPr>
          <w:w w:val="105"/>
          <w:sz w:val="18"/>
        </w:rPr>
        <w:t>CDB</w:t>
      </w:r>
      <w:r>
        <w:rPr>
          <w:spacing w:val="-13"/>
          <w:w w:val="105"/>
          <w:sz w:val="18"/>
        </w:rPr>
        <w:t> </w:t>
      </w:r>
      <w:r>
        <w:rPr>
          <w:w w:val="105"/>
          <w:sz w:val="18"/>
        </w:rPr>
        <w:t>vice</w:t>
      </w:r>
      <w:r>
        <w:rPr>
          <w:spacing w:val="-13"/>
          <w:w w:val="105"/>
          <w:sz w:val="18"/>
        </w:rPr>
        <w:t> </w:t>
      </w:r>
      <w:r>
        <w:rPr>
          <w:w w:val="105"/>
          <w:sz w:val="18"/>
        </w:rPr>
        <w:t>president,</w:t>
      </w:r>
      <w:r>
        <w:rPr>
          <w:spacing w:val="-13"/>
          <w:w w:val="105"/>
          <w:sz w:val="18"/>
        </w:rPr>
        <w:t> </w:t>
      </w:r>
      <w:r>
        <w:rPr>
          <w:w w:val="105"/>
          <w:sz w:val="18"/>
        </w:rPr>
        <w:t>was</w:t>
      </w:r>
      <w:r>
        <w:rPr>
          <w:spacing w:val="-13"/>
          <w:w w:val="105"/>
          <w:sz w:val="18"/>
        </w:rPr>
        <w:t> </w:t>
      </w:r>
      <w:r>
        <w:rPr>
          <w:w w:val="105"/>
          <w:sz w:val="18"/>
        </w:rPr>
        <w:t>placed</w:t>
      </w:r>
      <w:r>
        <w:rPr>
          <w:spacing w:val="-13"/>
          <w:w w:val="105"/>
          <w:sz w:val="18"/>
        </w:rPr>
        <w:t> </w:t>
      </w:r>
      <w:r>
        <w:rPr>
          <w:w w:val="105"/>
          <w:sz w:val="18"/>
        </w:rPr>
        <w:t>under </w:t>
      </w:r>
      <w:r>
        <w:rPr>
          <w:sz w:val="18"/>
        </w:rPr>
        <w:t>investigation</w:t>
      </w:r>
      <w:r>
        <w:rPr>
          <w:spacing w:val="-1"/>
          <w:sz w:val="18"/>
        </w:rPr>
        <w:t> </w:t>
      </w:r>
      <w:r>
        <w:rPr>
          <w:sz w:val="18"/>
        </w:rPr>
        <w:t>by</w:t>
      </w:r>
      <w:r>
        <w:rPr>
          <w:spacing w:val="-1"/>
          <w:sz w:val="18"/>
        </w:rPr>
        <w:t> </w:t>
      </w:r>
      <w:r>
        <w:rPr>
          <w:sz w:val="18"/>
        </w:rPr>
        <w:t>China’s</w:t>
      </w:r>
      <w:r>
        <w:rPr>
          <w:spacing w:val="-1"/>
          <w:sz w:val="18"/>
        </w:rPr>
        <w:t> </w:t>
      </w:r>
      <w:r>
        <w:rPr>
          <w:sz w:val="18"/>
        </w:rPr>
        <w:t>Central</w:t>
      </w:r>
      <w:r>
        <w:rPr>
          <w:spacing w:val="-1"/>
          <w:sz w:val="18"/>
        </w:rPr>
        <w:t> </w:t>
      </w:r>
      <w:r>
        <w:rPr>
          <w:sz w:val="18"/>
        </w:rPr>
        <w:t>Commission</w:t>
      </w:r>
      <w:r>
        <w:rPr>
          <w:spacing w:val="-1"/>
          <w:sz w:val="18"/>
        </w:rPr>
        <w:t> </w:t>
      </w:r>
      <w:r>
        <w:rPr>
          <w:sz w:val="18"/>
        </w:rPr>
        <w:t>for</w:t>
      </w:r>
      <w:r>
        <w:rPr>
          <w:spacing w:val="-1"/>
          <w:sz w:val="18"/>
        </w:rPr>
        <w:t> </w:t>
      </w:r>
      <w:r>
        <w:rPr>
          <w:sz w:val="18"/>
        </w:rPr>
        <w:t>Discipline</w:t>
      </w:r>
      <w:r>
        <w:rPr>
          <w:spacing w:val="-1"/>
          <w:sz w:val="18"/>
        </w:rPr>
        <w:t> </w:t>
      </w:r>
      <w:r>
        <w:rPr>
          <w:sz w:val="18"/>
        </w:rPr>
        <w:t>Inspection</w:t>
      </w:r>
      <w:r>
        <w:rPr>
          <w:spacing w:val="-1"/>
          <w:sz w:val="18"/>
        </w:rPr>
        <w:t> </w:t>
      </w:r>
      <w:r>
        <w:rPr>
          <w:sz w:val="18"/>
        </w:rPr>
        <w:t>(CCDI)</w:t>
      </w:r>
      <w:r>
        <w:rPr>
          <w:spacing w:val="-1"/>
          <w:sz w:val="18"/>
        </w:rPr>
        <w:t> </w:t>
      </w:r>
      <w:r>
        <w:rPr>
          <w:sz w:val="18"/>
        </w:rPr>
        <w:t>for</w:t>
      </w:r>
      <w:r>
        <w:rPr>
          <w:spacing w:val="-1"/>
          <w:sz w:val="18"/>
        </w:rPr>
        <w:t> </w:t>
      </w:r>
      <w:r>
        <w:rPr>
          <w:sz w:val="18"/>
        </w:rPr>
        <w:t>“severe</w:t>
      </w:r>
      <w:r>
        <w:rPr>
          <w:spacing w:val="-1"/>
          <w:sz w:val="18"/>
        </w:rPr>
        <w:t> </w:t>
      </w:r>
      <w:r>
        <w:rPr>
          <w:sz w:val="18"/>
        </w:rPr>
        <w:t>discipline</w:t>
      </w:r>
      <w:r>
        <w:rPr>
          <w:spacing w:val="-1"/>
          <w:sz w:val="18"/>
        </w:rPr>
        <w:t> </w:t>
      </w:r>
      <w:r>
        <w:rPr>
          <w:sz w:val="18"/>
        </w:rPr>
        <w:t>and</w:t>
      </w:r>
      <w:r>
        <w:rPr>
          <w:spacing w:val="-1"/>
          <w:sz w:val="18"/>
        </w:rPr>
        <w:t> </w:t>
      </w:r>
      <w:r>
        <w:rPr>
          <w:sz w:val="18"/>
        </w:rPr>
        <w:t>law </w:t>
      </w:r>
      <w:r>
        <w:rPr>
          <w:w w:val="105"/>
          <w:sz w:val="18"/>
        </w:rPr>
        <w:t>violations”</w:t>
      </w:r>
      <w:r>
        <w:rPr>
          <w:spacing w:val="-13"/>
          <w:w w:val="105"/>
          <w:sz w:val="18"/>
        </w:rPr>
        <w:t> </w:t>
      </w:r>
      <w:r>
        <w:rPr>
          <w:w w:val="105"/>
          <w:sz w:val="18"/>
        </w:rPr>
        <w:t>(Wilson</w:t>
      </w:r>
      <w:r>
        <w:rPr>
          <w:spacing w:val="-13"/>
          <w:w w:val="105"/>
          <w:sz w:val="18"/>
        </w:rPr>
        <w:t> </w:t>
      </w:r>
      <w:r>
        <w:rPr>
          <w:w w:val="105"/>
          <w:sz w:val="18"/>
        </w:rPr>
        <w:t>2022).</w:t>
      </w:r>
      <w:r>
        <w:rPr>
          <w:spacing w:val="-13"/>
          <w:w w:val="105"/>
          <w:sz w:val="18"/>
        </w:rPr>
        <w:t> </w:t>
      </w:r>
      <w:r>
        <w:rPr>
          <w:w w:val="105"/>
          <w:sz w:val="18"/>
        </w:rPr>
        <w:t>One</w:t>
      </w:r>
      <w:r>
        <w:rPr>
          <w:spacing w:val="-13"/>
          <w:w w:val="105"/>
          <w:sz w:val="18"/>
        </w:rPr>
        <w:t> </w:t>
      </w:r>
      <w:r>
        <w:rPr>
          <w:w w:val="105"/>
          <w:sz w:val="18"/>
        </w:rPr>
        <w:t>year</w:t>
      </w:r>
      <w:r>
        <w:rPr>
          <w:spacing w:val="-13"/>
          <w:w w:val="105"/>
          <w:sz w:val="18"/>
        </w:rPr>
        <w:t> </w:t>
      </w:r>
      <w:r>
        <w:rPr>
          <w:w w:val="105"/>
          <w:sz w:val="18"/>
        </w:rPr>
        <w:t>later,</w:t>
      </w:r>
      <w:r>
        <w:rPr>
          <w:spacing w:val="-13"/>
          <w:w w:val="105"/>
          <w:sz w:val="18"/>
        </w:rPr>
        <w:t> </w:t>
      </w:r>
      <w:r>
        <w:rPr>
          <w:w w:val="105"/>
          <w:sz w:val="18"/>
        </w:rPr>
        <w:t>Li</w:t>
      </w:r>
      <w:r>
        <w:rPr>
          <w:spacing w:val="-13"/>
          <w:w w:val="105"/>
          <w:sz w:val="18"/>
        </w:rPr>
        <w:t> </w:t>
      </w:r>
      <w:r>
        <w:rPr>
          <w:w w:val="105"/>
          <w:sz w:val="18"/>
        </w:rPr>
        <w:t>Li,</w:t>
      </w:r>
      <w:r>
        <w:rPr>
          <w:spacing w:val="-13"/>
          <w:w w:val="105"/>
          <w:sz w:val="18"/>
        </w:rPr>
        <w:t> </w:t>
      </w:r>
      <w:r>
        <w:rPr>
          <w:w w:val="105"/>
          <w:sz w:val="18"/>
        </w:rPr>
        <w:t>the</w:t>
      </w:r>
      <w:r>
        <w:rPr>
          <w:spacing w:val="-13"/>
          <w:w w:val="105"/>
          <w:sz w:val="18"/>
        </w:rPr>
        <w:t> </w:t>
      </w:r>
      <w:r>
        <w:rPr>
          <w:w w:val="105"/>
          <w:sz w:val="18"/>
        </w:rPr>
        <w:t>former</w:t>
      </w:r>
      <w:r>
        <w:rPr>
          <w:spacing w:val="-13"/>
          <w:w w:val="105"/>
          <w:sz w:val="18"/>
        </w:rPr>
        <w:t> </w:t>
      </w:r>
      <w:r>
        <w:rPr>
          <w:w w:val="105"/>
          <w:sz w:val="18"/>
        </w:rPr>
        <w:t>President</w:t>
      </w:r>
      <w:r>
        <w:rPr>
          <w:spacing w:val="-13"/>
          <w:w w:val="105"/>
          <w:sz w:val="18"/>
        </w:rPr>
        <w:t> </w:t>
      </w:r>
      <w:r>
        <w:rPr>
          <w:w w:val="105"/>
          <w:sz w:val="18"/>
        </w:rPr>
        <w:t>of</w:t>
      </w:r>
      <w:r>
        <w:rPr>
          <w:spacing w:val="-13"/>
          <w:w w:val="105"/>
          <w:sz w:val="18"/>
        </w:rPr>
        <w:t> </w:t>
      </w:r>
      <w:r>
        <w:rPr>
          <w:w w:val="105"/>
          <w:sz w:val="18"/>
        </w:rPr>
        <w:t>the</w:t>
      </w:r>
      <w:r>
        <w:rPr>
          <w:spacing w:val="-13"/>
          <w:w w:val="105"/>
          <w:sz w:val="18"/>
        </w:rPr>
        <w:t> </w:t>
      </w:r>
      <w:r>
        <w:rPr>
          <w:w w:val="105"/>
          <w:sz w:val="18"/>
        </w:rPr>
        <w:t>Beijing</w:t>
      </w:r>
      <w:r>
        <w:rPr>
          <w:spacing w:val="-13"/>
          <w:w w:val="105"/>
          <w:sz w:val="18"/>
        </w:rPr>
        <w:t> </w:t>
      </w:r>
      <w:r>
        <w:rPr>
          <w:w w:val="105"/>
          <w:sz w:val="18"/>
        </w:rPr>
        <w:t>Branch</w:t>
      </w:r>
      <w:r>
        <w:rPr>
          <w:spacing w:val="-13"/>
          <w:w w:val="105"/>
          <w:sz w:val="18"/>
        </w:rPr>
        <w:t> </w:t>
      </w:r>
      <w:r>
        <w:rPr>
          <w:w w:val="105"/>
          <w:sz w:val="18"/>
        </w:rPr>
        <w:t>of</w:t>
      </w:r>
      <w:r>
        <w:rPr>
          <w:spacing w:val="-13"/>
          <w:w w:val="105"/>
          <w:sz w:val="18"/>
        </w:rPr>
        <w:t> </w:t>
      </w:r>
      <w:r>
        <w:rPr>
          <w:w w:val="105"/>
          <w:sz w:val="18"/>
        </w:rPr>
        <w:t>the</w:t>
      </w:r>
      <w:r>
        <w:rPr>
          <w:spacing w:val="-13"/>
          <w:w w:val="105"/>
          <w:sz w:val="18"/>
        </w:rPr>
        <w:t> </w:t>
      </w:r>
      <w:r>
        <w:rPr>
          <w:w w:val="105"/>
          <w:sz w:val="18"/>
        </w:rPr>
        <w:t>China </w:t>
      </w:r>
      <w:r>
        <w:rPr>
          <w:spacing w:val="-2"/>
          <w:w w:val="105"/>
          <w:sz w:val="18"/>
        </w:rPr>
        <w:t>Eximbank</w:t>
      </w:r>
      <w:r>
        <w:rPr>
          <w:spacing w:val="-5"/>
          <w:w w:val="105"/>
          <w:sz w:val="18"/>
        </w:rPr>
        <w:t> </w:t>
      </w:r>
      <w:r>
        <w:rPr>
          <w:spacing w:val="-2"/>
          <w:w w:val="105"/>
          <w:sz w:val="18"/>
        </w:rPr>
        <w:t>was</w:t>
      </w:r>
      <w:r>
        <w:rPr>
          <w:spacing w:val="-5"/>
          <w:w w:val="105"/>
          <w:sz w:val="18"/>
        </w:rPr>
        <w:t> </w:t>
      </w:r>
      <w:r>
        <w:rPr>
          <w:spacing w:val="-2"/>
          <w:w w:val="105"/>
          <w:sz w:val="18"/>
        </w:rPr>
        <w:t>expelled</w:t>
      </w:r>
      <w:r>
        <w:rPr>
          <w:spacing w:val="-5"/>
          <w:w w:val="105"/>
          <w:sz w:val="18"/>
        </w:rPr>
        <w:t> </w:t>
      </w:r>
      <w:r>
        <w:rPr>
          <w:spacing w:val="-2"/>
          <w:w w:val="105"/>
          <w:sz w:val="18"/>
        </w:rPr>
        <w:t>from</w:t>
      </w:r>
      <w:r>
        <w:rPr>
          <w:spacing w:val="-5"/>
          <w:w w:val="105"/>
          <w:sz w:val="18"/>
        </w:rPr>
        <w:t> </w:t>
      </w:r>
      <w:r>
        <w:rPr>
          <w:spacing w:val="-2"/>
          <w:w w:val="105"/>
          <w:sz w:val="18"/>
        </w:rPr>
        <w:t>the</w:t>
      </w:r>
      <w:r>
        <w:rPr>
          <w:spacing w:val="-5"/>
          <w:w w:val="105"/>
          <w:sz w:val="18"/>
        </w:rPr>
        <w:t> </w:t>
      </w:r>
      <w:r>
        <w:rPr>
          <w:spacing w:val="-2"/>
          <w:w w:val="105"/>
          <w:sz w:val="18"/>
        </w:rPr>
        <w:t>Chinese</w:t>
      </w:r>
      <w:r>
        <w:rPr>
          <w:spacing w:val="-5"/>
          <w:w w:val="105"/>
          <w:sz w:val="18"/>
        </w:rPr>
        <w:t> </w:t>
      </w:r>
      <w:r>
        <w:rPr>
          <w:spacing w:val="-2"/>
          <w:w w:val="105"/>
          <w:sz w:val="18"/>
        </w:rPr>
        <w:t>Communist</w:t>
      </w:r>
      <w:r>
        <w:rPr>
          <w:spacing w:val="-5"/>
          <w:w w:val="105"/>
          <w:sz w:val="18"/>
        </w:rPr>
        <w:t> </w:t>
      </w:r>
      <w:r>
        <w:rPr>
          <w:spacing w:val="-2"/>
          <w:w w:val="105"/>
          <w:sz w:val="18"/>
        </w:rPr>
        <w:t>Party</w:t>
      </w:r>
      <w:r>
        <w:rPr>
          <w:spacing w:val="-5"/>
          <w:w w:val="105"/>
          <w:sz w:val="18"/>
        </w:rPr>
        <w:t> </w:t>
      </w:r>
      <w:r>
        <w:rPr>
          <w:spacing w:val="-2"/>
          <w:w w:val="105"/>
          <w:sz w:val="18"/>
        </w:rPr>
        <w:t>due</w:t>
      </w:r>
      <w:r>
        <w:rPr>
          <w:spacing w:val="-5"/>
          <w:w w:val="105"/>
          <w:sz w:val="18"/>
        </w:rPr>
        <w:t> </w:t>
      </w:r>
      <w:r>
        <w:rPr>
          <w:spacing w:val="-2"/>
          <w:w w:val="105"/>
          <w:sz w:val="18"/>
        </w:rPr>
        <w:t>to</w:t>
      </w:r>
      <w:r>
        <w:rPr>
          <w:spacing w:val="-5"/>
          <w:w w:val="105"/>
          <w:sz w:val="18"/>
        </w:rPr>
        <w:t> </w:t>
      </w:r>
      <w:r>
        <w:rPr>
          <w:spacing w:val="-2"/>
          <w:w w:val="105"/>
          <w:sz w:val="18"/>
        </w:rPr>
        <w:t>corruption</w:t>
      </w:r>
      <w:r>
        <w:rPr>
          <w:spacing w:val="-5"/>
          <w:w w:val="105"/>
          <w:sz w:val="18"/>
        </w:rPr>
        <w:t> </w:t>
      </w:r>
      <w:r>
        <w:rPr>
          <w:spacing w:val="-2"/>
          <w:w w:val="105"/>
          <w:sz w:val="18"/>
        </w:rPr>
        <w:t>charges.</w:t>
      </w:r>
      <w:r>
        <w:rPr>
          <w:spacing w:val="-5"/>
          <w:w w:val="105"/>
          <w:sz w:val="18"/>
        </w:rPr>
        <w:t> </w:t>
      </w:r>
      <w:r>
        <w:rPr>
          <w:spacing w:val="-2"/>
          <w:w w:val="105"/>
          <w:sz w:val="18"/>
        </w:rPr>
        <w:t>Then,</w:t>
      </w:r>
      <w:r>
        <w:rPr>
          <w:spacing w:val="-5"/>
          <w:w w:val="105"/>
          <w:sz w:val="18"/>
        </w:rPr>
        <w:t> </w:t>
      </w:r>
      <w:r>
        <w:rPr>
          <w:spacing w:val="-2"/>
          <w:w w:val="105"/>
          <w:sz w:val="18"/>
        </w:rPr>
        <w:t>in</w:t>
      </w:r>
      <w:r>
        <w:rPr>
          <w:spacing w:val="-5"/>
          <w:w w:val="105"/>
          <w:sz w:val="18"/>
        </w:rPr>
        <w:t> </w:t>
      </w:r>
      <w:r>
        <w:rPr>
          <w:spacing w:val="-2"/>
          <w:w w:val="105"/>
          <w:sz w:val="18"/>
        </w:rPr>
        <w:t>March </w:t>
      </w:r>
      <w:r>
        <w:rPr>
          <w:w w:val="105"/>
          <w:sz w:val="18"/>
        </w:rPr>
        <w:t>2023,</w:t>
      </w:r>
      <w:r>
        <w:rPr>
          <w:spacing w:val="-14"/>
          <w:w w:val="105"/>
          <w:sz w:val="18"/>
        </w:rPr>
        <w:t> </w:t>
      </w:r>
      <w:r>
        <w:rPr>
          <w:w w:val="105"/>
          <w:sz w:val="18"/>
        </w:rPr>
        <w:t>Liu</w:t>
      </w:r>
      <w:r>
        <w:rPr>
          <w:spacing w:val="-13"/>
          <w:w w:val="105"/>
          <w:sz w:val="18"/>
        </w:rPr>
        <w:t> </w:t>
      </w:r>
      <w:r>
        <w:rPr>
          <w:w w:val="105"/>
          <w:sz w:val="18"/>
        </w:rPr>
        <w:t>Liange</w:t>
      </w:r>
      <w:r>
        <w:rPr>
          <w:spacing w:val="-13"/>
          <w:w w:val="105"/>
          <w:sz w:val="18"/>
        </w:rPr>
        <w:t> </w:t>
      </w:r>
      <w:r>
        <w:rPr>
          <w:w w:val="105"/>
          <w:sz w:val="18"/>
        </w:rPr>
        <w:t>resigned</w:t>
      </w:r>
      <w:r>
        <w:rPr>
          <w:spacing w:val="-13"/>
          <w:w w:val="105"/>
          <w:sz w:val="18"/>
        </w:rPr>
        <w:t> </w:t>
      </w:r>
      <w:r>
        <w:rPr>
          <w:w w:val="105"/>
          <w:sz w:val="18"/>
        </w:rPr>
        <w:t>from</w:t>
      </w:r>
      <w:r>
        <w:rPr>
          <w:spacing w:val="-13"/>
          <w:w w:val="105"/>
          <w:sz w:val="18"/>
        </w:rPr>
        <w:t> </w:t>
      </w:r>
      <w:r>
        <w:rPr>
          <w:w w:val="105"/>
          <w:sz w:val="18"/>
        </w:rPr>
        <w:t>his</w:t>
      </w:r>
      <w:r>
        <w:rPr>
          <w:spacing w:val="-13"/>
          <w:w w:val="105"/>
          <w:sz w:val="18"/>
        </w:rPr>
        <w:t> </w:t>
      </w:r>
      <w:r>
        <w:rPr>
          <w:w w:val="105"/>
          <w:sz w:val="18"/>
        </w:rPr>
        <w:t>position</w:t>
      </w:r>
      <w:r>
        <w:rPr>
          <w:spacing w:val="-13"/>
          <w:w w:val="105"/>
          <w:sz w:val="18"/>
        </w:rPr>
        <w:t> </w:t>
      </w:r>
      <w:r>
        <w:rPr>
          <w:w w:val="105"/>
          <w:sz w:val="18"/>
        </w:rPr>
        <w:t>as</w:t>
      </w:r>
      <w:r>
        <w:rPr>
          <w:spacing w:val="-14"/>
          <w:w w:val="105"/>
          <w:sz w:val="18"/>
        </w:rPr>
        <w:t> </w:t>
      </w:r>
      <w:r>
        <w:rPr>
          <w:w w:val="105"/>
          <w:sz w:val="18"/>
        </w:rPr>
        <w:t>chairman</w:t>
      </w:r>
      <w:r>
        <w:rPr>
          <w:spacing w:val="-13"/>
          <w:w w:val="105"/>
          <w:sz w:val="18"/>
        </w:rPr>
        <w:t> </w:t>
      </w:r>
      <w:r>
        <w:rPr>
          <w:w w:val="105"/>
          <w:sz w:val="18"/>
        </w:rPr>
        <w:t>of</w:t>
      </w:r>
      <w:r>
        <w:rPr>
          <w:spacing w:val="-13"/>
          <w:w w:val="105"/>
          <w:sz w:val="18"/>
        </w:rPr>
        <w:t> </w:t>
      </w:r>
      <w:r>
        <w:rPr>
          <w:w w:val="105"/>
          <w:sz w:val="18"/>
        </w:rPr>
        <w:t>Bank</w:t>
      </w:r>
      <w:r>
        <w:rPr>
          <w:spacing w:val="-13"/>
          <w:w w:val="105"/>
          <w:sz w:val="18"/>
        </w:rPr>
        <w:t> </w:t>
      </w:r>
      <w:r>
        <w:rPr>
          <w:w w:val="105"/>
          <w:sz w:val="18"/>
        </w:rPr>
        <w:t>of</w:t>
      </w:r>
      <w:r>
        <w:rPr>
          <w:spacing w:val="-13"/>
          <w:w w:val="105"/>
          <w:sz w:val="18"/>
        </w:rPr>
        <w:t> </w:t>
      </w:r>
      <w:r>
        <w:rPr>
          <w:w w:val="105"/>
          <w:sz w:val="18"/>
        </w:rPr>
        <w:t>China</w:t>
      </w:r>
      <w:r>
        <w:rPr>
          <w:spacing w:val="-13"/>
          <w:w w:val="105"/>
          <w:sz w:val="18"/>
        </w:rPr>
        <w:t> </w:t>
      </w:r>
      <w:r>
        <w:rPr>
          <w:w w:val="105"/>
          <w:sz w:val="18"/>
        </w:rPr>
        <w:t>and</w:t>
      </w:r>
      <w:r>
        <w:rPr>
          <w:spacing w:val="-13"/>
          <w:w w:val="105"/>
          <w:sz w:val="18"/>
        </w:rPr>
        <w:t> </w:t>
      </w:r>
      <w:r>
        <w:rPr>
          <w:w w:val="105"/>
          <w:sz w:val="18"/>
        </w:rPr>
        <w:t>CCDI</w:t>
      </w:r>
      <w:r>
        <w:rPr>
          <w:spacing w:val="-13"/>
          <w:w w:val="105"/>
          <w:sz w:val="18"/>
        </w:rPr>
        <w:t> </w:t>
      </w:r>
      <w:r>
        <w:rPr>
          <w:w w:val="105"/>
          <w:sz w:val="18"/>
        </w:rPr>
        <w:t>investigated</w:t>
      </w:r>
      <w:r>
        <w:rPr>
          <w:spacing w:val="-14"/>
          <w:w w:val="105"/>
          <w:sz w:val="18"/>
        </w:rPr>
        <w:t> </w:t>
      </w:r>
      <w:r>
        <w:rPr>
          <w:w w:val="105"/>
          <w:sz w:val="18"/>
        </w:rPr>
        <w:t>him</w:t>
      </w:r>
      <w:r>
        <w:rPr>
          <w:spacing w:val="-13"/>
          <w:w w:val="105"/>
          <w:sz w:val="18"/>
        </w:rPr>
        <w:t> </w:t>
      </w:r>
      <w:r>
        <w:rPr>
          <w:w w:val="105"/>
          <w:sz w:val="18"/>
        </w:rPr>
        <w:t>on suspicions</w:t>
      </w:r>
      <w:r>
        <w:rPr>
          <w:spacing w:val="-7"/>
          <w:w w:val="105"/>
          <w:sz w:val="18"/>
        </w:rPr>
        <w:t> </w:t>
      </w:r>
      <w:r>
        <w:rPr>
          <w:w w:val="105"/>
          <w:sz w:val="18"/>
        </w:rPr>
        <w:t>of</w:t>
      </w:r>
      <w:r>
        <w:rPr>
          <w:spacing w:val="-7"/>
          <w:w w:val="105"/>
          <w:sz w:val="18"/>
        </w:rPr>
        <w:t> </w:t>
      </w:r>
      <w:r>
        <w:rPr>
          <w:w w:val="105"/>
          <w:sz w:val="18"/>
        </w:rPr>
        <w:t>corruption</w:t>
      </w:r>
      <w:r>
        <w:rPr>
          <w:spacing w:val="-7"/>
          <w:w w:val="105"/>
          <w:sz w:val="18"/>
        </w:rPr>
        <w:t> </w:t>
      </w:r>
      <w:r>
        <w:rPr>
          <w:w w:val="105"/>
          <w:sz w:val="18"/>
        </w:rPr>
        <w:t>and</w:t>
      </w:r>
      <w:r>
        <w:rPr>
          <w:spacing w:val="-7"/>
          <w:w w:val="105"/>
          <w:sz w:val="18"/>
        </w:rPr>
        <w:t> </w:t>
      </w:r>
      <w:r>
        <w:rPr>
          <w:w w:val="105"/>
          <w:sz w:val="18"/>
        </w:rPr>
        <w:t>graft</w:t>
      </w:r>
      <w:r>
        <w:rPr>
          <w:spacing w:val="-7"/>
          <w:w w:val="105"/>
          <w:sz w:val="18"/>
        </w:rPr>
        <w:t> </w:t>
      </w:r>
      <w:r>
        <w:rPr>
          <w:w w:val="105"/>
          <w:sz w:val="18"/>
        </w:rPr>
        <w:t>(Wong</w:t>
      </w:r>
      <w:r>
        <w:rPr>
          <w:spacing w:val="-7"/>
          <w:w w:val="105"/>
          <w:sz w:val="18"/>
        </w:rPr>
        <w:t> </w:t>
      </w:r>
      <w:r>
        <w:rPr>
          <w:w w:val="105"/>
          <w:sz w:val="18"/>
        </w:rPr>
        <w:t>and</w:t>
      </w:r>
      <w:r>
        <w:rPr>
          <w:spacing w:val="-7"/>
          <w:w w:val="105"/>
          <w:sz w:val="18"/>
        </w:rPr>
        <w:t> </w:t>
      </w:r>
      <w:r>
        <w:rPr>
          <w:w w:val="105"/>
          <w:sz w:val="18"/>
        </w:rPr>
        <w:t>Zhai</w:t>
      </w:r>
      <w:r>
        <w:rPr>
          <w:spacing w:val="-7"/>
          <w:w w:val="105"/>
          <w:sz w:val="18"/>
        </w:rPr>
        <w:t> </w:t>
      </w:r>
      <w:r>
        <w:rPr>
          <w:w w:val="105"/>
          <w:sz w:val="18"/>
        </w:rPr>
        <w:t>2023).</w:t>
      </w:r>
    </w:p>
    <w:p>
      <w:pPr>
        <w:spacing w:line="249" w:lineRule="auto" w:before="5"/>
        <w:ind w:left="560" w:right="561" w:firstLine="0"/>
        <w:jc w:val="left"/>
        <w:rPr>
          <w:sz w:val="18"/>
        </w:rPr>
      </w:pPr>
      <w:r>
        <w:rPr>
          <w:sz w:val="18"/>
          <w:vertAlign w:val="superscript"/>
        </w:rPr>
        <w:t>232</w:t>
      </w:r>
      <w:r>
        <w:rPr>
          <w:spacing w:val="-3"/>
          <w:sz w:val="18"/>
          <w:vertAlign w:val="baseline"/>
        </w:rPr>
        <w:t> </w:t>
      </w:r>
      <w:r>
        <w:rPr>
          <w:sz w:val="18"/>
          <w:vertAlign w:val="baseline"/>
        </w:rPr>
        <w:t>There</w:t>
      </w:r>
      <w:r>
        <w:rPr>
          <w:spacing w:val="-2"/>
          <w:sz w:val="18"/>
          <w:vertAlign w:val="baseline"/>
        </w:rPr>
        <w:t> </w:t>
      </w:r>
      <w:r>
        <w:rPr>
          <w:sz w:val="18"/>
          <w:vertAlign w:val="baseline"/>
        </w:rPr>
        <w:t>is</w:t>
      </w:r>
      <w:r>
        <w:rPr>
          <w:spacing w:val="-2"/>
          <w:sz w:val="18"/>
          <w:vertAlign w:val="baseline"/>
        </w:rPr>
        <w:t> </w:t>
      </w:r>
      <w:r>
        <w:rPr>
          <w:sz w:val="18"/>
          <w:vertAlign w:val="baseline"/>
        </w:rPr>
        <w:t>some</w:t>
      </w:r>
      <w:r>
        <w:rPr>
          <w:spacing w:val="-2"/>
          <w:sz w:val="18"/>
          <w:vertAlign w:val="baseline"/>
        </w:rPr>
        <w:t> </w:t>
      </w:r>
      <w:r>
        <w:rPr>
          <w:sz w:val="18"/>
          <w:vertAlign w:val="baseline"/>
        </w:rPr>
        <w:t>evidence</w:t>
      </w:r>
      <w:r>
        <w:rPr>
          <w:spacing w:val="-2"/>
          <w:sz w:val="18"/>
          <w:vertAlign w:val="baseline"/>
        </w:rPr>
        <w:t> </w:t>
      </w:r>
      <w:r>
        <w:rPr>
          <w:sz w:val="18"/>
          <w:vertAlign w:val="baseline"/>
        </w:rPr>
        <w:t>of</w:t>
      </w:r>
      <w:r>
        <w:rPr>
          <w:spacing w:val="-2"/>
          <w:sz w:val="18"/>
          <w:vertAlign w:val="baseline"/>
        </w:rPr>
        <w:t> </w:t>
      </w:r>
      <w:r>
        <w:rPr>
          <w:sz w:val="18"/>
          <w:vertAlign w:val="baseline"/>
        </w:rPr>
        <w:t>international</w:t>
      </w:r>
      <w:r>
        <w:rPr>
          <w:spacing w:val="-2"/>
          <w:sz w:val="18"/>
          <w:vertAlign w:val="baseline"/>
        </w:rPr>
        <w:t> </w:t>
      </w:r>
      <w:r>
        <w:rPr>
          <w:sz w:val="18"/>
          <w:vertAlign w:val="baseline"/>
        </w:rPr>
        <w:t>ﬁnancial</w:t>
      </w:r>
      <w:r>
        <w:rPr>
          <w:spacing w:val="-2"/>
          <w:sz w:val="18"/>
          <w:vertAlign w:val="baseline"/>
        </w:rPr>
        <w:t> </w:t>
      </w:r>
      <w:r>
        <w:rPr>
          <w:sz w:val="18"/>
          <w:vertAlign w:val="baseline"/>
        </w:rPr>
        <w:t>institution</w:t>
      </w:r>
      <w:r>
        <w:rPr>
          <w:spacing w:val="-2"/>
          <w:sz w:val="18"/>
          <w:vertAlign w:val="baseline"/>
        </w:rPr>
        <w:t> </w:t>
      </w:r>
      <w:r>
        <w:rPr>
          <w:sz w:val="18"/>
          <w:vertAlign w:val="baseline"/>
        </w:rPr>
        <w:t>(IFI)</w:t>
      </w:r>
      <w:r>
        <w:rPr>
          <w:spacing w:val="-2"/>
          <w:sz w:val="18"/>
          <w:vertAlign w:val="baseline"/>
        </w:rPr>
        <w:t> </w:t>
      </w:r>
      <w:r>
        <w:rPr>
          <w:sz w:val="18"/>
          <w:vertAlign w:val="baseline"/>
        </w:rPr>
        <w:t>leaders</w:t>
      </w:r>
      <w:r>
        <w:rPr>
          <w:spacing w:val="-2"/>
          <w:sz w:val="18"/>
          <w:vertAlign w:val="baseline"/>
        </w:rPr>
        <w:t> </w:t>
      </w:r>
      <w:r>
        <w:rPr>
          <w:sz w:val="18"/>
          <w:vertAlign w:val="baseline"/>
        </w:rPr>
        <w:t>trying</w:t>
      </w:r>
      <w:r>
        <w:rPr>
          <w:spacing w:val="-2"/>
          <w:sz w:val="18"/>
          <w:vertAlign w:val="baseline"/>
        </w:rPr>
        <w:t> </w:t>
      </w:r>
      <w:r>
        <w:rPr>
          <w:sz w:val="18"/>
          <w:vertAlign w:val="baseline"/>
        </w:rPr>
        <w:t>to</w:t>
      </w:r>
      <w:r>
        <w:rPr>
          <w:spacing w:val="-2"/>
          <w:sz w:val="18"/>
          <w:vertAlign w:val="baseline"/>
        </w:rPr>
        <w:t> </w:t>
      </w:r>
      <w:r>
        <w:rPr>
          <w:sz w:val="18"/>
          <w:vertAlign w:val="baseline"/>
        </w:rPr>
        <w:t>steer</w:t>
      </w:r>
      <w:r>
        <w:rPr>
          <w:spacing w:val="-2"/>
          <w:sz w:val="18"/>
          <w:vertAlign w:val="baseline"/>
        </w:rPr>
        <w:t> </w:t>
      </w:r>
      <w:r>
        <w:rPr>
          <w:sz w:val="18"/>
          <w:vertAlign w:val="baseline"/>
        </w:rPr>
        <w:t>China</w:t>
      </w:r>
      <w:r>
        <w:rPr>
          <w:spacing w:val="-2"/>
          <w:sz w:val="18"/>
          <w:vertAlign w:val="baseline"/>
        </w:rPr>
        <w:t> </w:t>
      </w:r>
      <w:r>
        <w:rPr>
          <w:sz w:val="18"/>
          <w:vertAlign w:val="baseline"/>
        </w:rPr>
        <w:t>in</w:t>
      </w:r>
      <w:r>
        <w:rPr>
          <w:spacing w:val="-2"/>
          <w:sz w:val="18"/>
          <w:vertAlign w:val="baseline"/>
        </w:rPr>
        <w:t> </w:t>
      </w:r>
      <w:r>
        <w:rPr>
          <w:sz w:val="18"/>
          <w:vertAlign w:val="baseline"/>
        </w:rPr>
        <w:t>this direction (e.g., Kim 2017; Lagarde 2019).</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69"/>
      </w:pPr>
      <w:r>
        <w:rPr/>
        <w:t>the European Investment Bank, the International Fund for Agricultural Development (IFAD), Corporación Andina de Fomento, and the Asian Infrastructure Investment Bank—to establish a Multilateral Cooperation Center</w:t>
      </w:r>
      <w:r>
        <w:rPr>
          <w:spacing w:val="40"/>
        </w:rPr>
        <w:t> </w:t>
      </w:r>
      <w:r>
        <w:rPr/>
        <w:t>for Development Finance (MCDF).</w:t>
      </w:r>
      <w:r>
        <w:rPr>
          <w:vertAlign w:val="superscript"/>
        </w:rPr>
        <w:t>233</w:t>
      </w:r>
      <w:r>
        <w:rPr>
          <w:vertAlign w:val="baseline"/>
        </w:rPr>
        <w:t> The Center’s mandate is to (a) invest in more upstream project preparation work; (b) build the capacity of lenders and borrowers to more effectively manage and mitigate risks related to debt sustainability,</w:t>
      </w:r>
      <w:r>
        <w:rPr>
          <w:spacing w:val="-1"/>
          <w:vertAlign w:val="baseline"/>
        </w:rPr>
        <w:t> </w:t>
      </w:r>
      <w:r>
        <w:rPr>
          <w:vertAlign w:val="baseline"/>
        </w:rPr>
        <w:t>procurement,</w:t>
      </w:r>
      <w:r>
        <w:rPr>
          <w:spacing w:val="-1"/>
          <w:vertAlign w:val="baseline"/>
        </w:rPr>
        <w:t> </w:t>
      </w:r>
      <w:r>
        <w:rPr>
          <w:vertAlign w:val="baseline"/>
        </w:rPr>
        <w:t>corruption,</w:t>
      </w:r>
      <w:r>
        <w:rPr>
          <w:spacing w:val="-1"/>
          <w:vertAlign w:val="baseline"/>
        </w:rPr>
        <w:t> </w:t>
      </w:r>
      <w:r>
        <w:rPr>
          <w:vertAlign w:val="baseline"/>
        </w:rPr>
        <w:t>and</w:t>
      </w:r>
      <w:r>
        <w:rPr>
          <w:spacing w:val="-1"/>
          <w:vertAlign w:val="baseline"/>
        </w:rPr>
        <w:t> </w:t>
      </w:r>
      <w:r>
        <w:rPr>
          <w:vertAlign w:val="baseline"/>
        </w:rPr>
        <w:t>environmental</w:t>
      </w:r>
      <w:r>
        <w:rPr>
          <w:spacing w:val="-1"/>
          <w:vertAlign w:val="baseline"/>
        </w:rPr>
        <w:t> </w:t>
      </w:r>
      <w:r>
        <w:rPr>
          <w:vertAlign w:val="baseline"/>
        </w:rPr>
        <w:t>and</w:t>
      </w:r>
      <w:r>
        <w:rPr>
          <w:spacing w:val="-1"/>
          <w:vertAlign w:val="baseline"/>
        </w:rPr>
        <w:t> </w:t>
      </w:r>
      <w:r>
        <w:rPr>
          <w:vertAlign w:val="baseline"/>
        </w:rPr>
        <w:t>social</w:t>
      </w:r>
      <w:r>
        <w:rPr>
          <w:spacing w:val="-1"/>
          <w:vertAlign w:val="baseline"/>
        </w:rPr>
        <w:t> </w:t>
      </w:r>
      <w:r>
        <w:rPr>
          <w:vertAlign w:val="baseline"/>
        </w:rPr>
        <w:t>issues;</w:t>
      </w:r>
      <w:r>
        <w:rPr>
          <w:spacing w:val="-1"/>
          <w:vertAlign w:val="baseline"/>
        </w:rPr>
        <w:t> </w:t>
      </w:r>
      <w:r>
        <w:rPr>
          <w:vertAlign w:val="baseline"/>
        </w:rPr>
        <w:t>and</w:t>
      </w:r>
    </w:p>
    <w:p>
      <w:pPr>
        <w:pStyle w:val="BodyText"/>
        <w:spacing w:line="333" w:lineRule="auto"/>
        <w:ind w:left="560" w:right="684"/>
      </w:pPr>
      <w:r>
        <w:rPr/>
        <w:t>(c) facilitate greater information-sharing and coordination between Chinese </w:t>
      </w:r>
      <w:r>
        <w:rPr/>
        <w:t>and</w:t>
      </w:r>
      <w:r>
        <w:rPr/>
        <w:t> non-Chinese development ﬁnance institutions (AIIB 2021).</w:t>
      </w:r>
      <w:r>
        <w:rPr>
          <w:vertAlign w:val="superscript"/>
        </w:rPr>
        <w:t>2</w:t>
      </w:r>
      <w:r>
        <w:rPr>
          <w:vertAlign w:val="superscript"/>
        </w:rPr>
        <w:t>3</w:t>
      </w:r>
      <w:r>
        <w:rPr>
          <w:vertAlign w:val="superscript"/>
        </w:rPr>
        <w:t>4</w:t>
      </w:r>
    </w:p>
    <w:p>
      <w:pPr>
        <w:pStyle w:val="BodyText"/>
        <w:spacing w:before="4"/>
        <w:rPr>
          <w:sz w:val="27"/>
        </w:rPr>
      </w:pPr>
    </w:p>
    <w:p>
      <w:pPr>
        <w:pStyle w:val="BodyText"/>
        <w:spacing w:before="1"/>
        <w:ind w:left="560"/>
      </w:pPr>
      <w:r>
        <w:rPr/>
        <w:t>Then, in</w:t>
      </w:r>
      <w:r>
        <w:rPr>
          <w:spacing w:val="1"/>
        </w:rPr>
        <w:t> </w:t>
      </w:r>
      <w:r>
        <w:rPr/>
        <w:t>2021,</w:t>
      </w:r>
      <w:r>
        <w:rPr>
          <w:spacing w:val="1"/>
        </w:rPr>
        <w:t> </w:t>
      </w:r>
      <w:r>
        <w:rPr/>
        <w:t>SAFE—the</w:t>
      </w:r>
      <w:r>
        <w:rPr>
          <w:spacing w:val="1"/>
        </w:rPr>
        <w:t> </w:t>
      </w:r>
      <w:r>
        <w:rPr/>
        <w:t>ultimate</w:t>
      </w:r>
      <w:r>
        <w:rPr>
          <w:spacing w:val="1"/>
        </w:rPr>
        <w:t> </w:t>
      </w:r>
      <w:r>
        <w:rPr/>
        <w:t>source</w:t>
      </w:r>
      <w:r>
        <w:rPr>
          <w:spacing w:val="1"/>
        </w:rPr>
        <w:t> </w:t>
      </w:r>
      <w:r>
        <w:rPr/>
        <w:t>of</w:t>
      </w:r>
      <w:r>
        <w:rPr>
          <w:spacing w:val="1"/>
        </w:rPr>
        <w:t> </w:t>
      </w:r>
      <w:r>
        <w:rPr/>
        <w:t>funding</w:t>
      </w:r>
      <w:r>
        <w:rPr>
          <w:spacing w:val="1"/>
        </w:rPr>
        <w:t> </w:t>
      </w:r>
      <w:r>
        <w:rPr/>
        <w:t>for most</w:t>
      </w:r>
      <w:r>
        <w:rPr>
          <w:spacing w:val="1"/>
        </w:rPr>
        <w:t> </w:t>
      </w:r>
      <w:r>
        <w:rPr/>
        <w:t>of</w:t>
      </w:r>
      <w:r>
        <w:rPr>
          <w:spacing w:val="1"/>
        </w:rPr>
        <w:t> </w:t>
      </w:r>
      <w:r>
        <w:rPr>
          <w:spacing w:val="-2"/>
        </w:rPr>
        <w:t>China’s</w:t>
      </w:r>
    </w:p>
    <w:p>
      <w:pPr>
        <w:pStyle w:val="BodyText"/>
        <w:spacing w:line="333" w:lineRule="auto" w:before="107"/>
        <w:ind w:left="560" w:right="622"/>
      </w:pPr>
      <w:r>
        <w:rPr/>
        <w:t>state-owned policy banks, commercial banks, and investment funds (see Box 2b in Chapter 2)—announced that it would prioritize “adopting MDB’s ESG </w:t>
      </w:r>
      <w:r>
        <w:rPr/>
        <w:t>criteria” and “incorporating ESG principles into the whole project investment process</w:t>
      </w:r>
      <w:r>
        <w:rPr>
          <w:spacing w:val="40"/>
        </w:rPr>
        <w:t> </w:t>
      </w:r>
      <w:r>
        <w:rPr/>
        <w:t>from decision-making to post-investment management” (SAFE 2021: 54).</w:t>
      </w:r>
      <w:r>
        <w:rPr>
          <w:vertAlign w:val="superscript"/>
        </w:rPr>
        <w:t>235</w:t>
      </w:r>
      <w:r>
        <w:rPr>
          <w:vertAlign w:val="baseline"/>
        </w:rPr>
        <w:t> In parallel, through a multilateral forum known as the International Platform on Sustainable</w:t>
      </w:r>
      <w:r>
        <w:rPr>
          <w:spacing w:val="-2"/>
          <w:vertAlign w:val="baseline"/>
        </w:rPr>
        <w:t> </w:t>
      </w:r>
      <w:r>
        <w:rPr>
          <w:vertAlign w:val="baseline"/>
        </w:rPr>
        <w:t>Finance</w:t>
      </w:r>
      <w:r>
        <w:rPr>
          <w:spacing w:val="-2"/>
          <w:vertAlign w:val="baseline"/>
        </w:rPr>
        <w:t> </w:t>
      </w:r>
      <w:r>
        <w:rPr>
          <w:vertAlign w:val="baseline"/>
        </w:rPr>
        <w:t>(IPSF),</w:t>
      </w:r>
      <w:r>
        <w:rPr>
          <w:spacing w:val="-2"/>
          <w:vertAlign w:val="baseline"/>
        </w:rPr>
        <w:t> </w:t>
      </w:r>
      <w:r>
        <w:rPr>
          <w:vertAlign w:val="baseline"/>
        </w:rPr>
        <w:t>the</w:t>
      </w:r>
      <w:r>
        <w:rPr>
          <w:spacing w:val="-2"/>
          <w:vertAlign w:val="baseline"/>
        </w:rPr>
        <w:t> </w:t>
      </w:r>
      <w:r>
        <w:rPr>
          <w:vertAlign w:val="baseline"/>
        </w:rPr>
        <w:t>EU</w:t>
      </w:r>
      <w:r>
        <w:rPr>
          <w:spacing w:val="-2"/>
          <w:vertAlign w:val="baseline"/>
        </w:rPr>
        <w:t> </w:t>
      </w:r>
      <w:r>
        <w:rPr>
          <w:vertAlign w:val="baseline"/>
        </w:rPr>
        <w:t>and</w:t>
      </w:r>
      <w:r>
        <w:rPr>
          <w:spacing w:val="-2"/>
          <w:vertAlign w:val="baseline"/>
        </w:rPr>
        <w:t> </w:t>
      </w:r>
      <w:r>
        <w:rPr>
          <w:vertAlign w:val="baseline"/>
        </w:rPr>
        <w:t>China</w:t>
      </w:r>
      <w:r>
        <w:rPr>
          <w:spacing w:val="-2"/>
          <w:vertAlign w:val="baseline"/>
        </w:rPr>
        <w:t> </w:t>
      </w:r>
      <w:r>
        <w:rPr>
          <w:vertAlign w:val="baseline"/>
        </w:rPr>
        <w:t>launched</w:t>
      </w:r>
      <w:r>
        <w:rPr>
          <w:spacing w:val="-2"/>
          <w:vertAlign w:val="baseline"/>
        </w:rPr>
        <w:t> </w:t>
      </w:r>
      <w:r>
        <w:rPr>
          <w:vertAlign w:val="baseline"/>
        </w:rPr>
        <w:t>a</w:t>
      </w:r>
      <w:r>
        <w:rPr>
          <w:spacing w:val="-2"/>
          <w:vertAlign w:val="baseline"/>
        </w:rPr>
        <w:t> </w:t>
      </w:r>
      <w:r>
        <w:rPr>
          <w:vertAlign w:val="baseline"/>
        </w:rPr>
        <w:t>joint</w:t>
      </w:r>
      <w:r>
        <w:rPr>
          <w:spacing w:val="-2"/>
          <w:vertAlign w:val="baseline"/>
        </w:rPr>
        <w:t> </w:t>
      </w:r>
      <w:r>
        <w:rPr>
          <w:vertAlign w:val="baseline"/>
        </w:rPr>
        <w:t>effort</w:t>
      </w:r>
      <w:r>
        <w:rPr>
          <w:spacing w:val="-2"/>
          <w:vertAlign w:val="baseline"/>
        </w:rPr>
        <w:t> </w:t>
      </w:r>
      <w:r>
        <w:rPr>
          <w:vertAlign w:val="baseline"/>
        </w:rPr>
        <w:t>to</w:t>
      </w:r>
      <w:r>
        <w:rPr>
          <w:spacing w:val="-2"/>
          <w:vertAlign w:val="baseline"/>
        </w:rPr>
        <w:t> </w:t>
      </w:r>
      <w:r>
        <w:rPr>
          <w:vertAlign w:val="baseline"/>
        </w:rPr>
        <w:t>assess the commonalities and differences in their respective taxonomies for environmentally sustainable investments (Moody's Investor Service 2022; IPSF 2022; HKGFA and Guangdong Green Finance Committee 2022).</w:t>
      </w:r>
      <w:r>
        <w:rPr>
          <w:vertAlign w:val="superscript"/>
        </w:rPr>
        <w:t>236</w:t>
      </w:r>
      <w:r>
        <w:rPr>
          <w:vertAlign w:val="baseline"/>
        </w:rPr>
        <w:t> This collaboration resulted in the 2021 publication of a so-called Common Ground Taxonomy (CGT), which in turn was “incorporated into domestic regulation [in China]” and “directly used by Chinese banks as standards for issuing green bonds in the international market” (Cheng and Zhang 2023: 10).</w:t>
      </w:r>
    </w:p>
    <w:p>
      <w:pPr>
        <w:pStyle w:val="BodyText"/>
        <w:rPr>
          <w:sz w:val="20"/>
        </w:rPr>
      </w:pPr>
    </w:p>
    <w:p>
      <w:pPr>
        <w:pStyle w:val="BodyText"/>
        <w:rPr>
          <w:sz w:val="20"/>
        </w:rPr>
      </w:pPr>
    </w:p>
    <w:p>
      <w:pPr>
        <w:pStyle w:val="BodyText"/>
        <w:spacing w:before="8"/>
        <w:rPr>
          <w:sz w:val="12"/>
        </w:rPr>
      </w:pPr>
      <w:r>
        <w:rPr/>
        <w:pict>
          <v:shape style="position:absolute;margin-left:90pt;margin-top:8.542529pt;width:144pt;height:.1pt;mso-position-horizontal-relative:page;mso-position-vertical-relative:paragraph;z-index:-15725568;mso-wrap-distance-left:0;mso-wrap-distance-right:0" id="docshape7" coordorigin="1800,171" coordsize="2880,0" path="m1800,171l4680,171e" filled="false" stroked="true" strokeweight=".75pt" strokecolor="#000000">
            <v:path arrowok="t"/>
            <v:stroke dashstyle="solid"/>
            <w10:wrap type="topAndBottom"/>
          </v:shape>
        </w:pict>
      </w:r>
    </w:p>
    <w:p>
      <w:pPr>
        <w:spacing w:line="249" w:lineRule="auto" w:before="104"/>
        <w:ind w:left="560" w:right="2580" w:firstLine="0"/>
        <w:jc w:val="left"/>
        <w:rPr>
          <w:sz w:val="18"/>
        </w:rPr>
      </w:pPr>
      <w:r>
        <w:rPr>
          <w:w w:val="105"/>
          <w:sz w:val="18"/>
          <w:vertAlign w:val="superscript"/>
        </w:rPr>
        <w:t>233</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MOU</w:t>
      </w:r>
      <w:r>
        <w:rPr>
          <w:spacing w:val="-11"/>
          <w:w w:val="105"/>
          <w:sz w:val="18"/>
          <w:vertAlign w:val="baseline"/>
        </w:rPr>
        <w:t> </w:t>
      </w:r>
      <w:r>
        <w:rPr>
          <w:w w:val="105"/>
          <w:sz w:val="18"/>
          <w:vertAlign w:val="baseline"/>
        </w:rPr>
        <w:t>that</w:t>
      </w:r>
      <w:r>
        <w:rPr>
          <w:spacing w:val="-11"/>
          <w:w w:val="105"/>
          <w:sz w:val="18"/>
          <w:vertAlign w:val="baseline"/>
        </w:rPr>
        <w:t> </w:t>
      </w:r>
      <w:r>
        <w:rPr>
          <w:w w:val="105"/>
          <w:sz w:val="18"/>
          <w:vertAlign w:val="baseline"/>
        </w:rPr>
        <w:t>established</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MCDF</w:t>
      </w:r>
      <w:r>
        <w:rPr>
          <w:spacing w:val="-11"/>
          <w:w w:val="105"/>
          <w:sz w:val="18"/>
          <w:vertAlign w:val="baseline"/>
        </w:rPr>
        <w:t> </w:t>
      </w:r>
      <w:r>
        <w:rPr>
          <w:w w:val="105"/>
          <w:sz w:val="18"/>
          <w:vertAlign w:val="baseline"/>
        </w:rPr>
        <w:t>can</w:t>
      </w:r>
      <w:r>
        <w:rPr>
          <w:spacing w:val="-11"/>
          <w:w w:val="105"/>
          <w:sz w:val="18"/>
          <w:vertAlign w:val="baseline"/>
        </w:rPr>
        <w:t> </w:t>
      </w:r>
      <w:r>
        <w:rPr>
          <w:w w:val="105"/>
          <w:sz w:val="18"/>
          <w:vertAlign w:val="baseline"/>
        </w:rPr>
        <w:t>be</w:t>
      </w:r>
      <w:r>
        <w:rPr>
          <w:spacing w:val="-11"/>
          <w:w w:val="105"/>
          <w:sz w:val="18"/>
          <w:vertAlign w:val="baseline"/>
        </w:rPr>
        <w:t> </w:t>
      </w:r>
      <w:r>
        <w:rPr>
          <w:w w:val="105"/>
          <w:sz w:val="18"/>
          <w:vertAlign w:val="baseline"/>
        </w:rPr>
        <w:t>accessed</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its</w:t>
      </w:r>
      <w:r>
        <w:rPr>
          <w:spacing w:val="-11"/>
          <w:w w:val="105"/>
          <w:sz w:val="18"/>
          <w:vertAlign w:val="baseline"/>
        </w:rPr>
        <w:t> </w:t>
      </w:r>
      <w:r>
        <w:rPr>
          <w:w w:val="105"/>
          <w:sz w:val="18"/>
          <w:vertAlign w:val="baseline"/>
        </w:rPr>
        <w:t>entirety</w:t>
      </w:r>
      <w:r>
        <w:rPr>
          <w:spacing w:val="-11"/>
          <w:w w:val="105"/>
          <w:sz w:val="18"/>
          <w:vertAlign w:val="baseline"/>
        </w:rPr>
        <w:t> </w:t>
      </w:r>
      <w:r>
        <w:rPr>
          <w:w w:val="105"/>
          <w:sz w:val="18"/>
          <w:vertAlign w:val="baseline"/>
        </w:rPr>
        <w:t>via </w:t>
      </w:r>
      <w:hyperlink r:id="rId7">
        <w:r>
          <w:rPr>
            <w:color w:val="1154CC"/>
            <w:spacing w:val="-2"/>
            <w:sz w:val="18"/>
            <w:u w:val="thick" w:color="1154CC"/>
            <w:vertAlign w:val="baseline"/>
          </w:rPr>
          <w:t>https://www.ndb.int/wp-content/uploads/2022/11/MCDF-MOU-for-disclosure.pdf</w:t>
        </w:r>
      </w:hyperlink>
      <w:r>
        <w:rPr>
          <w:spacing w:val="-2"/>
          <w:sz w:val="18"/>
          <w:vertAlign w:val="baseline"/>
        </w:rPr>
        <w:t>.</w:t>
      </w:r>
    </w:p>
    <w:p>
      <w:pPr>
        <w:spacing w:line="249" w:lineRule="auto" w:before="1"/>
        <w:ind w:left="560" w:right="960" w:firstLine="0"/>
        <w:jc w:val="left"/>
        <w:rPr>
          <w:sz w:val="18"/>
        </w:rPr>
      </w:pPr>
      <w:r>
        <w:rPr>
          <w:sz w:val="18"/>
          <w:vertAlign w:val="superscript"/>
        </w:rPr>
        <w:t>234</w:t>
      </w:r>
      <w:r>
        <w:rPr>
          <w:spacing w:val="-1"/>
          <w:sz w:val="18"/>
          <w:vertAlign w:val="baseline"/>
        </w:rPr>
        <w:t> </w:t>
      </w:r>
      <w:r>
        <w:rPr>
          <w:sz w:val="18"/>
          <w:vertAlign w:val="baseline"/>
        </w:rPr>
        <w:t>The MCDF, which is administered by the AIIB, describes itself as “a multilateral initiative to increase high-quality infrastructure and connectivity investments in developing countries in compliance with International</w:t>
      </w:r>
      <w:r>
        <w:rPr>
          <w:spacing w:val="-1"/>
          <w:sz w:val="18"/>
          <w:vertAlign w:val="baseline"/>
        </w:rPr>
        <w:t> </w:t>
      </w:r>
      <w:r>
        <w:rPr>
          <w:sz w:val="18"/>
          <w:vertAlign w:val="baseline"/>
        </w:rPr>
        <w:t>Financial</w:t>
      </w:r>
      <w:r>
        <w:rPr>
          <w:spacing w:val="-1"/>
          <w:sz w:val="18"/>
          <w:vertAlign w:val="baseline"/>
        </w:rPr>
        <w:t> </w:t>
      </w:r>
      <w:r>
        <w:rPr>
          <w:sz w:val="18"/>
          <w:vertAlign w:val="baseline"/>
        </w:rPr>
        <w:t>Institution</w:t>
      </w:r>
      <w:r>
        <w:rPr>
          <w:spacing w:val="-1"/>
          <w:sz w:val="18"/>
          <w:vertAlign w:val="baseline"/>
        </w:rPr>
        <w:t> </w:t>
      </w:r>
      <w:r>
        <w:rPr>
          <w:sz w:val="18"/>
          <w:vertAlign w:val="baseline"/>
        </w:rPr>
        <w:t>(IFI)</w:t>
      </w:r>
      <w:r>
        <w:rPr>
          <w:spacing w:val="-1"/>
          <w:sz w:val="18"/>
          <w:vertAlign w:val="baseline"/>
        </w:rPr>
        <w:t> </w:t>
      </w:r>
      <w:r>
        <w:rPr>
          <w:sz w:val="18"/>
          <w:vertAlign w:val="baseline"/>
        </w:rPr>
        <w:t>standards,</w:t>
      </w:r>
      <w:r>
        <w:rPr>
          <w:spacing w:val="-1"/>
          <w:sz w:val="18"/>
          <w:vertAlign w:val="baseline"/>
        </w:rPr>
        <w:t> </w:t>
      </w:r>
      <w:r>
        <w:rPr>
          <w:sz w:val="18"/>
          <w:vertAlign w:val="baseline"/>
        </w:rPr>
        <w:t>including</w:t>
      </w:r>
      <w:r>
        <w:rPr>
          <w:spacing w:val="-1"/>
          <w:sz w:val="18"/>
          <w:vertAlign w:val="baseline"/>
        </w:rPr>
        <w:t> </w:t>
      </w:r>
      <w:r>
        <w:rPr>
          <w:sz w:val="18"/>
          <w:vertAlign w:val="baseline"/>
        </w:rPr>
        <w:t>by</w:t>
      </w:r>
      <w:r>
        <w:rPr>
          <w:spacing w:val="-1"/>
          <w:sz w:val="18"/>
          <w:vertAlign w:val="baseline"/>
        </w:rPr>
        <w:t> </w:t>
      </w:r>
      <w:r>
        <w:rPr>
          <w:sz w:val="18"/>
          <w:vertAlign w:val="baseline"/>
        </w:rPr>
        <w:t>encouraging</w:t>
      </w:r>
      <w:r>
        <w:rPr>
          <w:spacing w:val="-1"/>
          <w:sz w:val="18"/>
          <w:vertAlign w:val="baseline"/>
        </w:rPr>
        <w:t> </w:t>
      </w:r>
      <w:r>
        <w:rPr>
          <w:sz w:val="18"/>
          <w:vertAlign w:val="baseline"/>
        </w:rPr>
        <w:t>other</w:t>
      </w:r>
      <w:r>
        <w:rPr>
          <w:spacing w:val="-1"/>
          <w:sz w:val="18"/>
          <w:vertAlign w:val="baseline"/>
        </w:rPr>
        <w:t> </w:t>
      </w:r>
      <w:r>
        <w:rPr>
          <w:sz w:val="18"/>
          <w:vertAlign w:val="baseline"/>
        </w:rPr>
        <w:t>investors</w:t>
      </w:r>
      <w:r>
        <w:rPr>
          <w:spacing w:val="-1"/>
          <w:sz w:val="18"/>
          <w:vertAlign w:val="baseline"/>
        </w:rPr>
        <w:t> </w:t>
      </w:r>
      <w:r>
        <w:rPr>
          <w:sz w:val="18"/>
          <w:vertAlign w:val="baseline"/>
        </w:rPr>
        <w:t>and</w:t>
      </w:r>
      <w:r>
        <w:rPr>
          <w:spacing w:val="-1"/>
          <w:sz w:val="18"/>
          <w:vertAlign w:val="baseline"/>
        </w:rPr>
        <w:t> </w:t>
      </w:r>
      <w:r>
        <w:rPr>
          <w:sz w:val="18"/>
          <w:vertAlign w:val="baseline"/>
        </w:rPr>
        <w:t>ﬁnancial institutions to adopt such standards” (AIIB 2021).</w:t>
      </w:r>
    </w:p>
    <w:p>
      <w:pPr>
        <w:spacing w:line="249" w:lineRule="auto" w:before="3"/>
        <w:ind w:left="560" w:right="550" w:firstLine="0"/>
        <w:jc w:val="left"/>
        <w:rPr>
          <w:sz w:val="18"/>
        </w:rPr>
      </w:pPr>
      <w:r>
        <w:rPr>
          <w:w w:val="105"/>
          <w:sz w:val="18"/>
          <w:vertAlign w:val="superscript"/>
        </w:rPr>
        <w:t>235</w:t>
      </w:r>
      <w:r>
        <w:rPr>
          <w:spacing w:val="-12"/>
          <w:w w:val="105"/>
          <w:sz w:val="18"/>
          <w:vertAlign w:val="baseline"/>
        </w:rPr>
        <w:t> </w:t>
      </w:r>
      <w:r>
        <w:rPr>
          <w:w w:val="105"/>
          <w:sz w:val="18"/>
          <w:vertAlign w:val="baseline"/>
        </w:rPr>
        <w:t>In</w:t>
      </w:r>
      <w:r>
        <w:rPr>
          <w:spacing w:val="-11"/>
          <w:w w:val="105"/>
          <w:sz w:val="18"/>
          <w:vertAlign w:val="baseline"/>
        </w:rPr>
        <w:t> </w:t>
      </w:r>
      <w:r>
        <w:rPr>
          <w:w w:val="105"/>
          <w:sz w:val="18"/>
          <w:vertAlign w:val="baseline"/>
        </w:rPr>
        <w:t>September</w:t>
      </w:r>
      <w:r>
        <w:rPr>
          <w:spacing w:val="-11"/>
          <w:w w:val="105"/>
          <w:sz w:val="18"/>
          <w:vertAlign w:val="baseline"/>
        </w:rPr>
        <w:t> </w:t>
      </w:r>
      <w:r>
        <w:rPr>
          <w:w w:val="105"/>
          <w:sz w:val="18"/>
          <w:vertAlign w:val="baseline"/>
        </w:rPr>
        <w:t>2021,</w:t>
      </w:r>
      <w:r>
        <w:rPr>
          <w:spacing w:val="-11"/>
          <w:w w:val="105"/>
          <w:sz w:val="18"/>
          <w:vertAlign w:val="baseline"/>
        </w:rPr>
        <w:t> </w:t>
      </w:r>
      <w:r>
        <w:rPr>
          <w:w w:val="105"/>
          <w:sz w:val="18"/>
          <w:vertAlign w:val="baseline"/>
        </w:rPr>
        <w:t>Xi</w:t>
      </w:r>
      <w:r>
        <w:rPr>
          <w:spacing w:val="-11"/>
          <w:w w:val="105"/>
          <w:sz w:val="18"/>
          <w:vertAlign w:val="baseline"/>
        </w:rPr>
        <w:t> </w:t>
      </w:r>
      <w:r>
        <w:rPr>
          <w:w w:val="105"/>
          <w:sz w:val="18"/>
          <w:vertAlign w:val="baseline"/>
        </w:rPr>
        <w:t>Jinping</w:t>
      </w:r>
      <w:r>
        <w:rPr>
          <w:spacing w:val="-11"/>
          <w:w w:val="105"/>
          <w:sz w:val="18"/>
          <w:vertAlign w:val="baseline"/>
        </w:rPr>
        <w:t> </w:t>
      </w:r>
      <w:r>
        <w:rPr>
          <w:w w:val="105"/>
          <w:sz w:val="18"/>
          <w:vertAlign w:val="baseline"/>
        </w:rPr>
        <w:t>announced</w:t>
      </w:r>
      <w:r>
        <w:rPr>
          <w:spacing w:val="-11"/>
          <w:w w:val="105"/>
          <w:sz w:val="18"/>
          <w:vertAlign w:val="baseline"/>
        </w:rPr>
        <w:t> </w:t>
      </w:r>
      <w:r>
        <w:rPr>
          <w:w w:val="105"/>
          <w:sz w:val="18"/>
          <w:vertAlign w:val="baseline"/>
        </w:rPr>
        <w:t>at</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UN</w:t>
      </w:r>
      <w:r>
        <w:rPr>
          <w:spacing w:val="-11"/>
          <w:w w:val="105"/>
          <w:sz w:val="18"/>
          <w:vertAlign w:val="baseline"/>
        </w:rPr>
        <w:t> </w:t>
      </w:r>
      <w:r>
        <w:rPr>
          <w:w w:val="105"/>
          <w:sz w:val="18"/>
          <w:vertAlign w:val="baseline"/>
        </w:rPr>
        <w:t>General</w:t>
      </w:r>
      <w:r>
        <w:rPr>
          <w:spacing w:val="-11"/>
          <w:w w:val="105"/>
          <w:sz w:val="18"/>
          <w:vertAlign w:val="baseline"/>
        </w:rPr>
        <w:t> </w:t>
      </w:r>
      <w:r>
        <w:rPr>
          <w:w w:val="105"/>
          <w:sz w:val="18"/>
          <w:vertAlign w:val="baseline"/>
        </w:rPr>
        <w:t>Assembly</w:t>
      </w:r>
      <w:r>
        <w:rPr>
          <w:spacing w:val="-11"/>
          <w:w w:val="105"/>
          <w:sz w:val="18"/>
          <w:vertAlign w:val="baseline"/>
        </w:rPr>
        <w:t> </w:t>
      </w:r>
      <w:r>
        <w:rPr>
          <w:w w:val="105"/>
          <w:sz w:val="18"/>
          <w:vertAlign w:val="baseline"/>
        </w:rPr>
        <w:t>that</w:t>
      </w:r>
      <w:r>
        <w:rPr>
          <w:spacing w:val="-11"/>
          <w:w w:val="105"/>
          <w:sz w:val="18"/>
          <w:vertAlign w:val="baseline"/>
        </w:rPr>
        <w:t> </w:t>
      </w:r>
      <w:r>
        <w:rPr>
          <w:w w:val="105"/>
          <w:sz w:val="18"/>
          <w:vertAlign w:val="baseline"/>
        </w:rPr>
        <w:t>China</w:t>
      </w:r>
      <w:r>
        <w:rPr>
          <w:spacing w:val="-11"/>
          <w:w w:val="105"/>
          <w:sz w:val="18"/>
          <w:vertAlign w:val="baseline"/>
        </w:rPr>
        <w:t> </w:t>
      </w:r>
      <w:r>
        <w:rPr>
          <w:w w:val="105"/>
          <w:sz w:val="18"/>
          <w:vertAlign w:val="baseline"/>
        </w:rPr>
        <w:t>would</w:t>
      </w:r>
      <w:r>
        <w:rPr>
          <w:spacing w:val="-11"/>
          <w:w w:val="105"/>
          <w:sz w:val="18"/>
          <w:vertAlign w:val="baseline"/>
        </w:rPr>
        <w:t> </w:t>
      </w:r>
      <w:r>
        <w:rPr>
          <w:w w:val="105"/>
          <w:sz w:val="18"/>
          <w:vertAlign w:val="baseline"/>
        </w:rPr>
        <w:t>no</w:t>
      </w:r>
      <w:r>
        <w:rPr>
          <w:spacing w:val="-11"/>
          <w:w w:val="105"/>
          <w:sz w:val="18"/>
          <w:vertAlign w:val="baseline"/>
        </w:rPr>
        <w:t> </w:t>
      </w:r>
      <w:r>
        <w:rPr>
          <w:w w:val="105"/>
          <w:sz w:val="18"/>
          <w:vertAlign w:val="baseline"/>
        </w:rPr>
        <w:t>longer </w:t>
      </w:r>
      <w:r>
        <w:rPr>
          <w:sz w:val="18"/>
          <w:vertAlign w:val="baseline"/>
        </w:rPr>
        <w:t>ﬁnance</w:t>
      </w:r>
      <w:r>
        <w:rPr>
          <w:spacing w:val="-2"/>
          <w:sz w:val="18"/>
          <w:vertAlign w:val="baseline"/>
        </w:rPr>
        <w:t> </w:t>
      </w:r>
      <w:r>
        <w:rPr>
          <w:sz w:val="18"/>
          <w:vertAlign w:val="baseline"/>
        </w:rPr>
        <w:t>new</w:t>
      </w:r>
      <w:r>
        <w:rPr>
          <w:spacing w:val="-2"/>
          <w:sz w:val="18"/>
          <w:vertAlign w:val="baseline"/>
        </w:rPr>
        <w:t> </w:t>
      </w:r>
      <w:r>
        <w:rPr>
          <w:sz w:val="18"/>
          <w:vertAlign w:val="baseline"/>
        </w:rPr>
        <w:t>coal-ﬁred</w:t>
      </w:r>
      <w:r>
        <w:rPr>
          <w:spacing w:val="-2"/>
          <w:sz w:val="18"/>
          <w:vertAlign w:val="baseline"/>
        </w:rPr>
        <w:t> </w:t>
      </w:r>
      <w:r>
        <w:rPr>
          <w:sz w:val="18"/>
          <w:vertAlign w:val="baseline"/>
        </w:rPr>
        <w:t>power</w:t>
      </w:r>
      <w:r>
        <w:rPr>
          <w:spacing w:val="-2"/>
          <w:sz w:val="18"/>
          <w:vertAlign w:val="baseline"/>
        </w:rPr>
        <w:t> </w:t>
      </w:r>
      <w:r>
        <w:rPr>
          <w:sz w:val="18"/>
          <w:vertAlign w:val="baseline"/>
        </w:rPr>
        <w:t>projects</w:t>
      </w:r>
      <w:r>
        <w:rPr>
          <w:spacing w:val="-2"/>
          <w:sz w:val="18"/>
          <w:vertAlign w:val="baseline"/>
        </w:rPr>
        <w:t> </w:t>
      </w:r>
      <w:r>
        <w:rPr>
          <w:sz w:val="18"/>
          <w:vertAlign w:val="baseline"/>
        </w:rPr>
        <w:t>overseas.</w:t>
      </w:r>
      <w:r>
        <w:rPr>
          <w:spacing w:val="-2"/>
          <w:sz w:val="18"/>
          <w:vertAlign w:val="baseline"/>
        </w:rPr>
        <w:t> </w:t>
      </w:r>
      <w:r>
        <w:rPr>
          <w:sz w:val="18"/>
          <w:vertAlign w:val="baseline"/>
        </w:rPr>
        <w:t>Then,</w:t>
      </w:r>
      <w:r>
        <w:rPr>
          <w:spacing w:val="-2"/>
          <w:sz w:val="18"/>
          <w:vertAlign w:val="baseline"/>
        </w:rPr>
        <w:t> </w:t>
      </w:r>
      <w:r>
        <w:rPr>
          <w:sz w:val="18"/>
          <w:vertAlign w:val="baseline"/>
        </w:rPr>
        <w:t>in</w:t>
      </w:r>
      <w:r>
        <w:rPr>
          <w:spacing w:val="-2"/>
          <w:sz w:val="18"/>
          <w:vertAlign w:val="baseline"/>
        </w:rPr>
        <w:t> </w:t>
      </w:r>
      <w:r>
        <w:rPr>
          <w:sz w:val="18"/>
          <w:vertAlign w:val="baseline"/>
        </w:rPr>
        <w:t>March</w:t>
      </w:r>
      <w:r>
        <w:rPr>
          <w:spacing w:val="-2"/>
          <w:sz w:val="18"/>
          <w:vertAlign w:val="baseline"/>
        </w:rPr>
        <w:t> </w:t>
      </w:r>
      <w:r>
        <w:rPr>
          <w:sz w:val="18"/>
          <w:vertAlign w:val="baseline"/>
        </w:rPr>
        <w:t>2022,</w:t>
      </w:r>
      <w:r>
        <w:rPr>
          <w:spacing w:val="-2"/>
          <w:sz w:val="18"/>
          <w:vertAlign w:val="baseline"/>
        </w:rPr>
        <w:t> </w:t>
      </w:r>
      <w:r>
        <w:rPr>
          <w:sz w:val="18"/>
          <w:vertAlign w:val="baseline"/>
        </w:rPr>
        <w:t>NDRC,</w:t>
      </w:r>
      <w:r>
        <w:rPr>
          <w:spacing w:val="-2"/>
          <w:sz w:val="18"/>
          <w:vertAlign w:val="baseline"/>
        </w:rPr>
        <w:t> </w:t>
      </w:r>
      <w:r>
        <w:rPr>
          <w:sz w:val="18"/>
          <w:vertAlign w:val="baseline"/>
        </w:rPr>
        <w:t>the</w:t>
      </w:r>
      <w:r>
        <w:rPr>
          <w:spacing w:val="-2"/>
          <w:sz w:val="18"/>
          <w:vertAlign w:val="baseline"/>
        </w:rPr>
        <w:t> </w:t>
      </w:r>
      <w:r>
        <w:rPr>
          <w:sz w:val="18"/>
          <w:vertAlign w:val="baseline"/>
        </w:rPr>
        <w:t>Ministry</w:t>
      </w:r>
      <w:r>
        <w:rPr>
          <w:spacing w:val="-2"/>
          <w:sz w:val="18"/>
          <w:vertAlign w:val="baseline"/>
        </w:rPr>
        <w:t> </w:t>
      </w:r>
      <w:r>
        <w:rPr>
          <w:sz w:val="18"/>
          <w:vertAlign w:val="baseline"/>
        </w:rPr>
        <w:t>of</w:t>
      </w:r>
      <w:r>
        <w:rPr>
          <w:spacing w:val="-2"/>
          <w:sz w:val="18"/>
          <w:vertAlign w:val="baseline"/>
        </w:rPr>
        <w:t> </w:t>
      </w:r>
      <w:r>
        <w:rPr>
          <w:sz w:val="18"/>
          <w:vertAlign w:val="baseline"/>
        </w:rPr>
        <w:t>Foreign</w:t>
      </w:r>
      <w:r>
        <w:rPr>
          <w:spacing w:val="-2"/>
          <w:sz w:val="18"/>
          <w:vertAlign w:val="baseline"/>
        </w:rPr>
        <w:t> </w:t>
      </w:r>
      <w:r>
        <w:rPr>
          <w:sz w:val="18"/>
          <w:vertAlign w:val="baseline"/>
        </w:rPr>
        <w:t>Affairs, </w:t>
      </w:r>
      <w:r>
        <w:rPr>
          <w:w w:val="105"/>
          <w:sz w:val="18"/>
          <w:vertAlign w:val="baseline"/>
        </w:rPr>
        <w:t>the</w:t>
      </w:r>
      <w:r>
        <w:rPr>
          <w:spacing w:val="-6"/>
          <w:w w:val="105"/>
          <w:sz w:val="18"/>
          <w:vertAlign w:val="baseline"/>
        </w:rPr>
        <w:t> </w:t>
      </w:r>
      <w:r>
        <w:rPr>
          <w:w w:val="105"/>
          <w:sz w:val="18"/>
          <w:vertAlign w:val="baseline"/>
        </w:rPr>
        <w:t>Ministry</w:t>
      </w:r>
      <w:r>
        <w:rPr>
          <w:spacing w:val="-6"/>
          <w:w w:val="105"/>
          <w:sz w:val="18"/>
          <w:vertAlign w:val="baseline"/>
        </w:rPr>
        <w:t> </w:t>
      </w:r>
      <w:r>
        <w:rPr>
          <w:w w:val="105"/>
          <w:sz w:val="18"/>
          <w:vertAlign w:val="baseline"/>
        </w:rPr>
        <w:t>of</w:t>
      </w:r>
      <w:r>
        <w:rPr>
          <w:spacing w:val="-6"/>
          <w:w w:val="105"/>
          <w:sz w:val="18"/>
          <w:vertAlign w:val="baseline"/>
        </w:rPr>
        <w:t> </w:t>
      </w:r>
      <w:r>
        <w:rPr>
          <w:w w:val="105"/>
          <w:sz w:val="18"/>
          <w:vertAlign w:val="baseline"/>
        </w:rPr>
        <w:t>Commerce,</w:t>
      </w:r>
      <w:r>
        <w:rPr>
          <w:spacing w:val="-6"/>
          <w:w w:val="105"/>
          <w:sz w:val="18"/>
          <w:vertAlign w:val="baseline"/>
        </w:rPr>
        <w:t> </w:t>
      </w:r>
      <w:r>
        <w:rPr>
          <w:w w:val="105"/>
          <w:sz w:val="18"/>
          <w:vertAlign w:val="baseline"/>
        </w:rPr>
        <w:t>and</w:t>
      </w:r>
      <w:r>
        <w:rPr>
          <w:spacing w:val="-6"/>
          <w:w w:val="105"/>
          <w:sz w:val="18"/>
          <w:vertAlign w:val="baseline"/>
        </w:rPr>
        <w:t> </w:t>
      </w:r>
      <w:r>
        <w:rPr>
          <w:w w:val="105"/>
          <w:sz w:val="18"/>
          <w:vertAlign w:val="baseline"/>
        </w:rPr>
        <w:t>the</w:t>
      </w:r>
      <w:r>
        <w:rPr>
          <w:spacing w:val="-6"/>
          <w:w w:val="105"/>
          <w:sz w:val="18"/>
          <w:vertAlign w:val="baseline"/>
        </w:rPr>
        <w:t> </w:t>
      </w:r>
      <w:r>
        <w:rPr>
          <w:w w:val="105"/>
          <w:sz w:val="18"/>
          <w:vertAlign w:val="baseline"/>
        </w:rPr>
        <w:t>Ministry</w:t>
      </w:r>
      <w:r>
        <w:rPr>
          <w:spacing w:val="-6"/>
          <w:w w:val="105"/>
          <w:sz w:val="18"/>
          <w:vertAlign w:val="baseline"/>
        </w:rPr>
        <w:t> </w:t>
      </w:r>
      <w:r>
        <w:rPr>
          <w:w w:val="105"/>
          <w:sz w:val="18"/>
          <w:vertAlign w:val="baseline"/>
        </w:rPr>
        <w:t>of</w:t>
      </w:r>
      <w:r>
        <w:rPr>
          <w:spacing w:val="-6"/>
          <w:w w:val="105"/>
          <w:sz w:val="18"/>
          <w:vertAlign w:val="baseline"/>
        </w:rPr>
        <w:t> </w:t>
      </w:r>
      <w:r>
        <w:rPr>
          <w:w w:val="105"/>
          <w:sz w:val="18"/>
          <w:vertAlign w:val="baseline"/>
        </w:rPr>
        <w:t>Ecology</w:t>
      </w:r>
      <w:r>
        <w:rPr>
          <w:spacing w:val="-6"/>
          <w:w w:val="105"/>
          <w:sz w:val="18"/>
          <w:vertAlign w:val="baseline"/>
        </w:rPr>
        <w:t> </w:t>
      </w:r>
      <w:r>
        <w:rPr>
          <w:w w:val="105"/>
          <w:sz w:val="18"/>
          <w:vertAlign w:val="baseline"/>
        </w:rPr>
        <w:t>and</w:t>
      </w:r>
      <w:r>
        <w:rPr>
          <w:spacing w:val="-6"/>
          <w:w w:val="105"/>
          <w:sz w:val="18"/>
          <w:vertAlign w:val="baseline"/>
        </w:rPr>
        <w:t> </w:t>
      </w:r>
      <w:r>
        <w:rPr>
          <w:w w:val="105"/>
          <w:sz w:val="18"/>
          <w:vertAlign w:val="baseline"/>
        </w:rPr>
        <w:t>Environment</w:t>
      </w:r>
      <w:r>
        <w:rPr>
          <w:spacing w:val="-6"/>
          <w:w w:val="105"/>
          <w:sz w:val="18"/>
          <w:vertAlign w:val="baseline"/>
        </w:rPr>
        <w:t> </w:t>
      </w:r>
      <w:r>
        <w:rPr>
          <w:w w:val="105"/>
          <w:sz w:val="18"/>
          <w:vertAlign w:val="baseline"/>
        </w:rPr>
        <w:t>published</w:t>
      </w:r>
      <w:r>
        <w:rPr>
          <w:spacing w:val="-6"/>
          <w:w w:val="105"/>
          <w:sz w:val="18"/>
          <w:vertAlign w:val="baseline"/>
        </w:rPr>
        <w:t> </w:t>
      </w:r>
      <w:r>
        <w:rPr>
          <w:w w:val="105"/>
          <w:sz w:val="18"/>
          <w:vertAlign w:val="baseline"/>
        </w:rPr>
        <w:t>“Opinions</w:t>
      </w:r>
      <w:r>
        <w:rPr>
          <w:spacing w:val="-6"/>
          <w:w w:val="105"/>
          <w:sz w:val="18"/>
          <w:vertAlign w:val="baseline"/>
        </w:rPr>
        <w:t> </w:t>
      </w:r>
      <w:r>
        <w:rPr>
          <w:w w:val="105"/>
          <w:sz w:val="18"/>
          <w:vertAlign w:val="baseline"/>
        </w:rPr>
        <w:t>on</w:t>
      </w:r>
      <w:r>
        <w:rPr>
          <w:spacing w:val="-6"/>
          <w:w w:val="105"/>
          <w:sz w:val="18"/>
          <w:vertAlign w:val="baseline"/>
        </w:rPr>
        <w:t> </w:t>
      </w:r>
      <w:r>
        <w:rPr>
          <w:w w:val="105"/>
          <w:sz w:val="18"/>
          <w:vertAlign w:val="baseline"/>
        </w:rPr>
        <w:t>Jointly Promoting</w:t>
      </w:r>
      <w:r>
        <w:rPr>
          <w:spacing w:val="-2"/>
          <w:w w:val="105"/>
          <w:sz w:val="18"/>
          <w:vertAlign w:val="baseline"/>
        </w:rPr>
        <w:t> </w:t>
      </w:r>
      <w:r>
        <w:rPr>
          <w:w w:val="105"/>
          <w:sz w:val="18"/>
          <w:vertAlign w:val="baseline"/>
        </w:rPr>
        <w:t>Green</w:t>
      </w:r>
      <w:r>
        <w:rPr>
          <w:spacing w:val="-2"/>
          <w:w w:val="105"/>
          <w:sz w:val="18"/>
          <w:vertAlign w:val="baseline"/>
        </w:rPr>
        <w:t> </w:t>
      </w:r>
      <w:r>
        <w:rPr>
          <w:w w:val="105"/>
          <w:sz w:val="18"/>
          <w:vertAlign w:val="baseline"/>
        </w:rPr>
        <w:t>Development</w:t>
      </w:r>
      <w:r>
        <w:rPr>
          <w:spacing w:val="-2"/>
          <w:w w:val="105"/>
          <w:sz w:val="18"/>
          <w:vertAlign w:val="baseline"/>
        </w:rPr>
        <w:t> </w:t>
      </w:r>
      <w:r>
        <w:rPr>
          <w:w w:val="105"/>
          <w:sz w:val="18"/>
          <w:vertAlign w:val="baseline"/>
        </w:rPr>
        <w:t>of</w:t>
      </w:r>
      <w:r>
        <w:rPr>
          <w:spacing w:val="-2"/>
          <w:w w:val="105"/>
          <w:sz w:val="18"/>
          <w:vertAlign w:val="baseline"/>
        </w:rPr>
        <w:t> </w:t>
      </w:r>
      <w:r>
        <w:rPr>
          <w:w w:val="105"/>
          <w:sz w:val="18"/>
          <w:vertAlign w:val="baseline"/>
        </w:rPr>
        <w:t>the</w:t>
      </w:r>
      <w:r>
        <w:rPr>
          <w:spacing w:val="-2"/>
          <w:w w:val="105"/>
          <w:sz w:val="18"/>
          <w:vertAlign w:val="baseline"/>
        </w:rPr>
        <w:t> </w:t>
      </w:r>
      <w:r>
        <w:rPr>
          <w:w w:val="105"/>
          <w:sz w:val="18"/>
          <w:vertAlign w:val="baseline"/>
        </w:rPr>
        <w:t>Belt</w:t>
      </w:r>
      <w:r>
        <w:rPr>
          <w:spacing w:val="-2"/>
          <w:w w:val="105"/>
          <w:sz w:val="18"/>
          <w:vertAlign w:val="baseline"/>
        </w:rPr>
        <w:t> </w:t>
      </w:r>
      <w:r>
        <w:rPr>
          <w:w w:val="105"/>
          <w:sz w:val="18"/>
          <w:vertAlign w:val="baseline"/>
        </w:rPr>
        <w:t>and</w:t>
      </w:r>
      <w:r>
        <w:rPr>
          <w:spacing w:val="-2"/>
          <w:w w:val="105"/>
          <w:sz w:val="18"/>
          <w:vertAlign w:val="baseline"/>
        </w:rPr>
        <w:t> </w:t>
      </w:r>
      <w:r>
        <w:rPr>
          <w:w w:val="105"/>
          <w:sz w:val="18"/>
          <w:vertAlign w:val="baseline"/>
        </w:rPr>
        <w:t>Road,”</w:t>
      </w:r>
      <w:r>
        <w:rPr>
          <w:spacing w:val="-2"/>
          <w:w w:val="105"/>
          <w:sz w:val="18"/>
          <w:vertAlign w:val="baseline"/>
        </w:rPr>
        <w:t> </w:t>
      </w:r>
      <w:r>
        <w:rPr>
          <w:w w:val="105"/>
          <w:sz w:val="18"/>
          <w:vertAlign w:val="baseline"/>
        </w:rPr>
        <w:t>clarifying</w:t>
      </w:r>
      <w:r>
        <w:rPr>
          <w:spacing w:val="-2"/>
          <w:w w:val="105"/>
          <w:sz w:val="18"/>
          <w:vertAlign w:val="baseline"/>
        </w:rPr>
        <w:t> </w:t>
      </w:r>
      <w:r>
        <w:rPr>
          <w:w w:val="105"/>
          <w:sz w:val="18"/>
          <w:vertAlign w:val="baseline"/>
        </w:rPr>
        <w:t>that</w:t>
      </w:r>
      <w:r>
        <w:rPr>
          <w:spacing w:val="-2"/>
          <w:w w:val="105"/>
          <w:sz w:val="18"/>
          <w:vertAlign w:val="baseline"/>
        </w:rPr>
        <w:t> </w:t>
      </w:r>
      <w:r>
        <w:rPr>
          <w:w w:val="105"/>
          <w:sz w:val="18"/>
          <w:vertAlign w:val="baseline"/>
        </w:rPr>
        <w:t>China</w:t>
      </w:r>
      <w:r>
        <w:rPr>
          <w:spacing w:val="-2"/>
          <w:w w:val="105"/>
          <w:sz w:val="18"/>
          <w:vertAlign w:val="baseline"/>
        </w:rPr>
        <w:t> </w:t>
      </w:r>
      <w:r>
        <w:rPr>
          <w:w w:val="105"/>
          <w:sz w:val="18"/>
          <w:vertAlign w:val="baseline"/>
        </w:rPr>
        <w:t>would</w:t>
      </w:r>
      <w:r>
        <w:rPr>
          <w:spacing w:val="-2"/>
          <w:w w:val="105"/>
          <w:sz w:val="18"/>
          <w:vertAlign w:val="baseline"/>
        </w:rPr>
        <w:t> </w:t>
      </w:r>
      <w:r>
        <w:rPr>
          <w:w w:val="105"/>
          <w:sz w:val="18"/>
          <w:vertAlign w:val="baseline"/>
        </w:rPr>
        <w:t>“stop</w:t>
      </w:r>
      <w:r>
        <w:rPr>
          <w:spacing w:val="-2"/>
          <w:w w:val="105"/>
          <w:sz w:val="18"/>
          <w:vertAlign w:val="baseline"/>
        </w:rPr>
        <w:t> </w:t>
      </w:r>
      <w:r>
        <w:rPr>
          <w:w w:val="105"/>
          <w:sz w:val="18"/>
          <w:vertAlign w:val="baseline"/>
        </w:rPr>
        <w:t>building</w:t>
      </w:r>
      <w:r>
        <w:rPr>
          <w:spacing w:val="-2"/>
          <w:w w:val="105"/>
          <w:sz w:val="18"/>
          <w:vertAlign w:val="baseline"/>
        </w:rPr>
        <w:t> </w:t>
      </w:r>
      <w:r>
        <w:rPr>
          <w:w w:val="105"/>
          <w:sz w:val="18"/>
          <w:vertAlign w:val="baseline"/>
        </w:rPr>
        <w:t>new</w:t>
      </w:r>
    </w:p>
    <w:p>
      <w:pPr>
        <w:spacing w:line="249" w:lineRule="auto" w:before="3"/>
        <w:ind w:left="560" w:right="561" w:firstLine="0"/>
        <w:jc w:val="left"/>
        <w:rPr>
          <w:sz w:val="18"/>
        </w:rPr>
      </w:pPr>
      <w:r>
        <w:rPr>
          <w:sz w:val="18"/>
        </w:rPr>
        <w:t>coal-ﬁred power projects abroad and prudently proceed with existing ones that are under </w:t>
      </w:r>
      <w:r>
        <w:rPr>
          <w:sz w:val="18"/>
        </w:rPr>
        <w:t>construction” (National Development and Reform Commission, Ministry of Foreign Affairs, Ministry of Ecology and Environment, and Ministry of Commerce of the People’s Republic of China 2022).</w:t>
      </w:r>
    </w:p>
    <w:p>
      <w:pPr>
        <w:spacing w:line="249" w:lineRule="auto" w:before="2"/>
        <w:ind w:left="560" w:right="589" w:firstLine="0"/>
        <w:jc w:val="left"/>
        <w:rPr>
          <w:sz w:val="18"/>
        </w:rPr>
      </w:pPr>
      <w:r>
        <w:rPr>
          <w:spacing w:val="-2"/>
          <w:w w:val="105"/>
          <w:sz w:val="18"/>
          <w:vertAlign w:val="superscript"/>
        </w:rPr>
        <w:t>236</w:t>
      </w:r>
      <w:r>
        <w:rPr>
          <w:spacing w:val="-6"/>
          <w:w w:val="105"/>
          <w:sz w:val="18"/>
          <w:vertAlign w:val="baseline"/>
        </w:rPr>
        <w:t> </w:t>
      </w:r>
      <w:r>
        <w:rPr>
          <w:spacing w:val="-2"/>
          <w:w w:val="105"/>
          <w:sz w:val="18"/>
          <w:vertAlign w:val="baseline"/>
        </w:rPr>
        <w:t>IPSF</w:t>
      </w:r>
      <w:r>
        <w:rPr>
          <w:spacing w:val="-5"/>
          <w:w w:val="105"/>
          <w:sz w:val="18"/>
          <w:vertAlign w:val="baseline"/>
        </w:rPr>
        <w:t> </w:t>
      </w:r>
      <w:r>
        <w:rPr>
          <w:spacing w:val="-2"/>
          <w:w w:val="105"/>
          <w:sz w:val="18"/>
          <w:vertAlign w:val="baseline"/>
        </w:rPr>
        <w:t>is</w:t>
      </w:r>
      <w:r>
        <w:rPr>
          <w:spacing w:val="-5"/>
          <w:w w:val="105"/>
          <w:sz w:val="18"/>
          <w:vertAlign w:val="baseline"/>
        </w:rPr>
        <w:t> </w:t>
      </w:r>
      <w:r>
        <w:rPr>
          <w:spacing w:val="-2"/>
          <w:w w:val="105"/>
          <w:sz w:val="18"/>
          <w:vertAlign w:val="baseline"/>
        </w:rPr>
        <w:t>a</w:t>
      </w:r>
      <w:r>
        <w:rPr>
          <w:spacing w:val="-5"/>
          <w:w w:val="105"/>
          <w:sz w:val="18"/>
          <w:vertAlign w:val="baseline"/>
        </w:rPr>
        <w:t> </w:t>
      </w:r>
      <w:r>
        <w:rPr>
          <w:spacing w:val="-2"/>
          <w:w w:val="105"/>
          <w:sz w:val="18"/>
          <w:vertAlign w:val="baseline"/>
        </w:rPr>
        <w:t>multilateral</w:t>
      </w:r>
      <w:r>
        <w:rPr>
          <w:spacing w:val="-5"/>
          <w:w w:val="105"/>
          <w:sz w:val="18"/>
          <w:vertAlign w:val="baseline"/>
        </w:rPr>
        <w:t> </w:t>
      </w:r>
      <w:r>
        <w:rPr>
          <w:spacing w:val="-2"/>
          <w:w w:val="105"/>
          <w:sz w:val="18"/>
          <w:vertAlign w:val="baseline"/>
        </w:rPr>
        <w:t>forum</w:t>
      </w:r>
      <w:r>
        <w:rPr>
          <w:spacing w:val="-5"/>
          <w:w w:val="105"/>
          <w:sz w:val="18"/>
          <w:vertAlign w:val="baseline"/>
        </w:rPr>
        <w:t> </w:t>
      </w:r>
      <w:r>
        <w:rPr>
          <w:spacing w:val="-2"/>
          <w:w w:val="105"/>
          <w:sz w:val="18"/>
          <w:vertAlign w:val="baseline"/>
        </w:rPr>
        <w:t>that</w:t>
      </w:r>
      <w:r>
        <w:rPr>
          <w:spacing w:val="-5"/>
          <w:w w:val="105"/>
          <w:sz w:val="18"/>
          <w:vertAlign w:val="baseline"/>
        </w:rPr>
        <w:t> </w:t>
      </w:r>
      <w:r>
        <w:rPr>
          <w:spacing w:val="-2"/>
          <w:w w:val="105"/>
          <w:sz w:val="18"/>
          <w:vertAlign w:val="baseline"/>
        </w:rPr>
        <w:t>aims</w:t>
      </w:r>
      <w:r>
        <w:rPr>
          <w:spacing w:val="-5"/>
          <w:w w:val="105"/>
          <w:sz w:val="18"/>
          <w:vertAlign w:val="baseline"/>
        </w:rPr>
        <w:t> </w:t>
      </w:r>
      <w:r>
        <w:rPr>
          <w:spacing w:val="-2"/>
          <w:w w:val="105"/>
          <w:sz w:val="18"/>
          <w:vertAlign w:val="baseline"/>
        </w:rPr>
        <w:t>to</w:t>
      </w:r>
      <w:r>
        <w:rPr>
          <w:spacing w:val="-5"/>
          <w:w w:val="105"/>
          <w:sz w:val="18"/>
          <w:vertAlign w:val="baseline"/>
        </w:rPr>
        <w:t> </w:t>
      </w:r>
      <w:r>
        <w:rPr>
          <w:spacing w:val="-2"/>
          <w:w w:val="105"/>
          <w:sz w:val="18"/>
          <w:vertAlign w:val="baseline"/>
        </w:rPr>
        <w:t>enable</w:t>
      </w:r>
      <w:r>
        <w:rPr>
          <w:spacing w:val="-5"/>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exchange</w:t>
      </w:r>
      <w:r>
        <w:rPr>
          <w:spacing w:val="-5"/>
          <w:w w:val="105"/>
          <w:sz w:val="18"/>
          <w:vertAlign w:val="baseline"/>
        </w:rPr>
        <w:t> </w:t>
      </w:r>
      <w:r>
        <w:rPr>
          <w:spacing w:val="-2"/>
          <w:w w:val="105"/>
          <w:sz w:val="18"/>
          <w:vertAlign w:val="baseline"/>
        </w:rPr>
        <w:t>of</w:t>
      </w:r>
      <w:r>
        <w:rPr>
          <w:spacing w:val="-5"/>
          <w:w w:val="105"/>
          <w:sz w:val="18"/>
          <w:vertAlign w:val="baseline"/>
        </w:rPr>
        <w:t> </w:t>
      </w:r>
      <w:r>
        <w:rPr>
          <w:spacing w:val="-2"/>
          <w:w w:val="105"/>
          <w:sz w:val="18"/>
          <w:vertAlign w:val="baseline"/>
        </w:rPr>
        <w:t>practices</w:t>
      </w:r>
      <w:r>
        <w:rPr>
          <w:spacing w:val="-5"/>
          <w:w w:val="105"/>
          <w:sz w:val="18"/>
          <w:vertAlign w:val="baseline"/>
        </w:rPr>
        <w:t> </w:t>
      </w:r>
      <w:r>
        <w:rPr>
          <w:spacing w:val="-2"/>
          <w:w w:val="105"/>
          <w:sz w:val="18"/>
          <w:vertAlign w:val="baseline"/>
        </w:rPr>
        <w:t>and</w:t>
      </w:r>
      <w:r>
        <w:rPr>
          <w:spacing w:val="-5"/>
          <w:w w:val="105"/>
          <w:sz w:val="18"/>
          <w:vertAlign w:val="baseline"/>
        </w:rPr>
        <w:t> </w:t>
      </w:r>
      <w:r>
        <w:rPr>
          <w:spacing w:val="-2"/>
          <w:w w:val="105"/>
          <w:sz w:val="18"/>
          <w:vertAlign w:val="baseline"/>
        </w:rPr>
        <w:t>increase</w:t>
      </w:r>
      <w:r>
        <w:rPr>
          <w:spacing w:val="-5"/>
          <w:w w:val="105"/>
          <w:sz w:val="18"/>
          <w:vertAlign w:val="baseline"/>
        </w:rPr>
        <w:t> </w:t>
      </w:r>
      <w:r>
        <w:rPr>
          <w:spacing w:val="-2"/>
          <w:w w:val="105"/>
          <w:sz w:val="18"/>
          <w:vertAlign w:val="baseline"/>
        </w:rPr>
        <w:t>international </w:t>
      </w:r>
      <w:r>
        <w:rPr>
          <w:sz w:val="18"/>
          <w:vertAlign w:val="baseline"/>
        </w:rPr>
        <w:t>cooperation</w:t>
      </w:r>
      <w:r>
        <w:rPr>
          <w:spacing w:val="-2"/>
          <w:sz w:val="18"/>
          <w:vertAlign w:val="baseline"/>
        </w:rPr>
        <w:t> </w:t>
      </w:r>
      <w:r>
        <w:rPr>
          <w:sz w:val="18"/>
          <w:vertAlign w:val="baseline"/>
        </w:rPr>
        <w:t>on</w:t>
      </w:r>
      <w:r>
        <w:rPr>
          <w:spacing w:val="-2"/>
          <w:sz w:val="18"/>
          <w:vertAlign w:val="baseline"/>
        </w:rPr>
        <w:t> </w:t>
      </w:r>
      <w:r>
        <w:rPr>
          <w:sz w:val="18"/>
          <w:vertAlign w:val="baseline"/>
        </w:rPr>
        <w:t>sustainable</w:t>
      </w:r>
      <w:r>
        <w:rPr>
          <w:spacing w:val="-2"/>
          <w:sz w:val="18"/>
          <w:vertAlign w:val="baseline"/>
        </w:rPr>
        <w:t> </w:t>
      </w:r>
      <w:r>
        <w:rPr>
          <w:sz w:val="18"/>
          <w:vertAlign w:val="baseline"/>
        </w:rPr>
        <w:t>ﬁnance</w:t>
      </w:r>
      <w:r>
        <w:rPr>
          <w:spacing w:val="-2"/>
          <w:sz w:val="18"/>
          <w:vertAlign w:val="baseline"/>
        </w:rPr>
        <w:t> </w:t>
      </w:r>
      <w:r>
        <w:rPr>
          <w:sz w:val="18"/>
          <w:vertAlign w:val="baseline"/>
        </w:rPr>
        <w:t>related</w:t>
      </w:r>
      <w:r>
        <w:rPr>
          <w:spacing w:val="-2"/>
          <w:sz w:val="18"/>
          <w:vertAlign w:val="baseline"/>
        </w:rPr>
        <w:t> </w:t>
      </w:r>
      <w:r>
        <w:rPr>
          <w:sz w:val="18"/>
          <w:vertAlign w:val="baseline"/>
        </w:rPr>
        <w:t>matters.</w:t>
      </w:r>
      <w:r>
        <w:rPr>
          <w:spacing w:val="-2"/>
          <w:sz w:val="18"/>
          <w:vertAlign w:val="baseline"/>
        </w:rPr>
        <w:t> </w:t>
      </w:r>
      <w:r>
        <w:rPr>
          <w:sz w:val="18"/>
          <w:vertAlign w:val="baseline"/>
        </w:rPr>
        <w:t>Its</w:t>
      </w:r>
      <w:r>
        <w:rPr>
          <w:spacing w:val="-2"/>
          <w:sz w:val="18"/>
          <w:vertAlign w:val="baseline"/>
        </w:rPr>
        <w:t> </w:t>
      </w:r>
      <w:r>
        <w:rPr>
          <w:sz w:val="18"/>
          <w:vertAlign w:val="baseline"/>
        </w:rPr>
        <w:t>members</w:t>
      </w:r>
      <w:r>
        <w:rPr>
          <w:spacing w:val="-2"/>
          <w:sz w:val="18"/>
          <w:vertAlign w:val="baseline"/>
        </w:rPr>
        <w:t> </w:t>
      </w:r>
      <w:r>
        <w:rPr>
          <w:sz w:val="18"/>
          <w:vertAlign w:val="baseline"/>
        </w:rPr>
        <w:t>include</w:t>
      </w:r>
      <w:r>
        <w:rPr>
          <w:spacing w:val="-2"/>
          <w:sz w:val="18"/>
          <w:vertAlign w:val="baseline"/>
        </w:rPr>
        <w:t> </w:t>
      </w:r>
      <w:r>
        <w:rPr>
          <w:sz w:val="18"/>
          <w:vertAlign w:val="baseline"/>
        </w:rPr>
        <w:t>the</w:t>
      </w:r>
      <w:r>
        <w:rPr>
          <w:spacing w:val="-2"/>
          <w:sz w:val="18"/>
          <w:vertAlign w:val="baseline"/>
        </w:rPr>
        <w:t> </w:t>
      </w:r>
      <w:r>
        <w:rPr>
          <w:sz w:val="18"/>
          <w:vertAlign w:val="baseline"/>
        </w:rPr>
        <w:t>EU,</w:t>
      </w:r>
      <w:r>
        <w:rPr>
          <w:spacing w:val="-2"/>
          <w:sz w:val="18"/>
          <w:vertAlign w:val="baseline"/>
        </w:rPr>
        <w:t> </w:t>
      </w:r>
      <w:r>
        <w:rPr>
          <w:sz w:val="18"/>
          <w:vertAlign w:val="baseline"/>
        </w:rPr>
        <w:t>China,</w:t>
      </w:r>
      <w:r>
        <w:rPr>
          <w:spacing w:val="-2"/>
          <w:sz w:val="18"/>
          <w:vertAlign w:val="baseline"/>
        </w:rPr>
        <w:t> </w:t>
      </w:r>
      <w:r>
        <w:rPr>
          <w:sz w:val="18"/>
          <w:vertAlign w:val="baseline"/>
        </w:rPr>
        <w:t>Singapore,</w:t>
      </w:r>
      <w:r>
        <w:rPr>
          <w:spacing w:val="-2"/>
          <w:sz w:val="18"/>
          <w:vertAlign w:val="baseline"/>
        </w:rPr>
        <w:t> </w:t>
      </w:r>
      <w:r>
        <w:rPr>
          <w:sz w:val="18"/>
          <w:vertAlign w:val="baseline"/>
        </w:rPr>
        <w:t>Japan, </w:t>
      </w:r>
      <w:r>
        <w:rPr>
          <w:w w:val="105"/>
          <w:sz w:val="18"/>
          <w:vertAlign w:val="baseline"/>
        </w:rPr>
        <w:t>and India.</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50"/>
      </w:pPr>
      <w:r>
        <w:rPr>
          <w:w w:val="105"/>
        </w:rPr>
        <w:t>All</w:t>
      </w:r>
      <w:r>
        <w:rPr>
          <w:spacing w:val="-17"/>
          <w:w w:val="105"/>
        </w:rPr>
        <w:t> </w:t>
      </w:r>
      <w:r>
        <w:rPr>
          <w:w w:val="105"/>
        </w:rPr>
        <w:t>of</w:t>
      </w:r>
      <w:r>
        <w:rPr>
          <w:spacing w:val="-17"/>
          <w:w w:val="105"/>
        </w:rPr>
        <w:t> </w:t>
      </w:r>
      <w:r>
        <w:rPr>
          <w:w w:val="105"/>
        </w:rPr>
        <w:t>these</w:t>
      </w:r>
      <w:r>
        <w:rPr>
          <w:spacing w:val="-17"/>
          <w:w w:val="105"/>
        </w:rPr>
        <w:t> </w:t>
      </w:r>
      <w:r>
        <w:rPr>
          <w:w w:val="105"/>
        </w:rPr>
        <w:t>actions</w:t>
      </w:r>
      <w:r>
        <w:rPr>
          <w:spacing w:val="-17"/>
          <w:w w:val="105"/>
        </w:rPr>
        <w:t> </w:t>
      </w:r>
      <w:r>
        <w:rPr>
          <w:w w:val="105"/>
        </w:rPr>
        <w:t>and</w:t>
      </w:r>
      <w:r>
        <w:rPr>
          <w:spacing w:val="-17"/>
          <w:w w:val="105"/>
        </w:rPr>
        <w:t> </w:t>
      </w:r>
      <w:r>
        <w:rPr>
          <w:w w:val="105"/>
        </w:rPr>
        <w:t>rhetorical</w:t>
      </w:r>
      <w:r>
        <w:rPr>
          <w:spacing w:val="-17"/>
          <w:w w:val="105"/>
        </w:rPr>
        <w:t> </w:t>
      </w:r>
      <w:r>
        <w:rPr>
          <w:w w:val="105"/>
        </w:rPr>
        <w:t>commitments</w:t>
      </w:r>
      <w:r>
        <w:rPr>
          <w:spacing w:val="-17"/>
          <w:w w:val="105"/>
        </w:rPr>
        <w:t> </w:t>
      </w:r>
      <w:r>
        <w:rPr>
          <w:w w:val="105"/>
        </w:rPr>
        <w:t>suggest</w:t>
      </w:r>
      <w:r>
        <w:rPr>
          <w:spacing w:val="-17"/>
          <w:w w:val="105"/>
        </w:rPr>
        <w:t> </w:t>
      </w:r>
      <w:r>
        <w:rPr>
          <w:w w:val="105"/>
        </w:rPr>
        <w:t>that</w:t>
      </w:r>
      <w:r>
        <w:rPr>
          <w:spacing w:val="-17"/>
          <w:w w:val="105"/>
        </w:rPr>
        <w:t> </w:t>
      </w:r>
      <w:r>
        <w:rPr>
          <w:w w:val="105"/>
        </w:rPr>
        <w:t>Beijing</w:t>
      </w:r>
      <w:r>
        <w:rPr>
          <w:spacing w:val="-17"/>
          <w:w w:val="105"/>
        </w:rPr>
        <w:t> </w:t>
      </w:r>
      <w:r>
        <w:rPr>
          <w:w w:val="105"/>
        </w:rPr>
        <w:t>has</w:t>
      </w:r>
      <w:r>
        <w:rPr>
          <w:spacing w:val="-17"/>
          <w:w w:val="105"/>
        </w:rPr>
        <w:t> </w:t>
      </w:r>
      <w:r>
        <w:rPr>
          <w:w w:val="105"/>
        </w:rPr>
        <w:t>some </w:t>
      </w:r>
      <w:r>
        <w:rPr/>
        <w:t>level of interest in more effectively managing the ESG risks in its overseas </w:t>
      </w:r>
      <w:r>
        <w:rPr>
          <w:w w:val="105"/>
        </w:rPr>
        <w:t>infrastructure</w:t>
      </w:r>
      <w:r>
        <w:rPr>
          <w:spacing w:val="-12"/>
          <w:w w:val="105"/>
        </w:rPr>
        <w:t> </w:t>
      </w:r>
      <w:r>
        <w:rPr>
          <w:w w:val="105"/>
        </w:rPr>
        <w:t>project</w:t>
      </w:r>
      <w:r>
        <w:rPr>
          <w:spacing w:val="-12"/>
          <w:w w:val="105"/>
        </w:rPr>
        <w:t> </w:t>
      </w:r>
      <w:r>
        <w:rPr>
          <w:w w:val="105"/>
        </w:rPr>
        <w:t>portfolio—and</w:t>
      </w:r>
      <w:r>
        <w:rPr>
          <w:spacing w:val="-12"/>
          <w:w w:val="105"/>
        </w:rPr>
        <w:t> </w:t>
      </w:r>
      <w:r>
        <w:rPr>
          <w:w w:val="105"/>
        </w:rPr>
        <w:t>potentially</w:t>
      </w:r>
      <w:r>
        <w:rPr>
          <w:spacing w:val="-12"/>
          <w:w w:val="105"/>
        </w:rPr>
        <w:t> </w:t>
      </w:r>
      <w:r>
        <w:rPr>
          <w:w w:val="105"/>
        </w:rPr>
        <w:t>even</w:t>
      </w:r>
      <w:r>
        <w:rPr>
          <w:spacing w:val="-12"/>
          <w:w w:val="105"/>
        </w:rPr>
        <w:t> </w:t>
      </w:r>
      <w:r>
        <w:rPr>
          <w:w w:val="105"/>
        </w:rPr>
        <w:t>harmonizing</w:t>
      </w:r>
      <w:r>
        <w:rPr>
          <w:spacing w:val="-12"/>
          <w:w w:val="105"/>
        </w:rPr>
        <w:t> </w:t>
      </w:r>
      <w:r>
        <w:rPr>
          <w:w w:val="105"/>
        </w:rPr>
        <w:t>its</w:t>
      </w:r>
      <w:r>
        <w:rPr>
          <w:spacing w:val="-12"/>
          <w:w w:val="105"/>
        </w:rPr>
        <w:t> </w:t>
      </w:r>
      <w:r>
        <w:rPr>
          <w:w w:val="105"/>
        </w:rPr>
        <w:t>policies and</w:t>
      </w:r>
      <w:r>
        <w:rPr>
          <w:spacing w:val="-15"/>
          <w:w w:val="105"/>
        </w:rPr>
        <w:t> </w:t>
      </w:r>
      <w:r>
        <w:rPr>
          <w:w w:val="105"/>
        </w:rPr>
        <w:t>practices</w:t>
      </w:r>
      <w:r>
        <w:rPr>
          <w:spacing w:val="-15"/>
          <w:w w:val="105"/>
        </w:rPr>
        <w:t> </w:t>
      </w:r>
      <w:r>
        <w:rPr>
          <w:w w:val="105"/>
        </w:rPr>
        <w:t>with</w:t>
      </w:r>
      <w:r>
        <w:rPr>
          <w:spacing w:val="-15"/>
          <w:w w:val="105"/>
        </w:rPr>
        <w:t> </w:t>
      </w:r>
      <w:r>
        <w:rPr>
          <w:w w:val="105"/>
        </w:rPr>
        <w:t>prevailing</w:t>
      </w:r>
      <w:r>
        <w:rPr>
          <w:spacing w:val="-15"/>
          <w:w w:val="105"/>
        </w:rPr>
        <w:t> </w:t>
      </w:r>
      <w:r>
        <w:rPr>
          <w:w w:val="105"/>
        </w:rPr>
        <w:t>international</w:t>
      </w:r>
      <w:r>
        <w:rPr>
          <w:spacing w:val="-15"/>
          <w:w w:val="105"/>
        </w:rPr>
        <w:t> </w:t>
      </w:r>
      <w:r>
        <w:rPr>
          <w:w w:val="105"/>
        </w:rPr>
        <w:t>development</w:t>
      </w:r>
      <w:r>
        <w:rPr>
          <w:spacing w:val="-15"/>
          <w:w w:val="105"/>
        </w:rPr>
        <w:t> </w:t>
      </w:r>
      <w:r>
        <w:rPr>
          <w:w w:val="105"/>
        </w:rPr>
        <w:t>ﬁnance</w:t>
      </w:r>
      <w:r>
        <w:rPr>
          <w:spacing w:val="-15"/>
          <w:w w:val="105"/>
        </w:rPr>
        <w:t> </w:t>
      </w:r>
      <w:r>
        <w:rPr>
          <w:w w:val="105"/>
        </w:rPr>
        <w:t>rules</w:t>
      </w:r>
      <w:r>
        <w:rPr>
          <w:spacing w:val="-15"/>
          <w:w w:val="105"/>
        </w:rPr>
        <w:t> </w:t>
      </w:r>
      <w:r>
        <w:rPr>
          <w:w w:val="105"/>
        </w:rPr>
        <w:t>and </w:t>
      </w:r>
      <w:r>
        <w:rPr/>
        <w:t>standards. However, interest does not necessarily translate into implementation, so</w:t>
      </w:r>
      <w:r>
        <w:rPr>
          <w:spacing w:val="-1"/>
        </w:rPr>
        <w:t> </w:t>
      </w:r>
      <w:r>
        <w:rPr/>
        <w:t>our</w:t>
      </w:r>
      <w:r>
        <w:rPr>
          <w:spacing w:val="-1"/>
        </w:rPr>
        <w:t> </w:t>
      </w:r>
      <w:r>
        <w:rPr/>
        <w:t>aim</w:t>
      </w:r>
      <w:r>
        <w:rPr>
          <w:spacing w:val="-1"/>
        </w:rPr>
        <w:t> </w:t>
      </w:r>
      <w:r>
        <w:rPr/>
        <w:t>in</w:t>
      </w:r>
      <w:r>
        <w:rPr>
          <w:spacing w:val="-1"/>
        </w:rPr>
        <w:t> </w:t>
      </w:r>
      <w:r>
        <w:rPr/>
        <w:t>this</w:t>
      </w:r>
      <w:r>
        <w:rPr>
          <w:spacing w:val="-1"/>
        </w:rPr>
        <w:t> </w:t>
      </w:r>
      <w:r>
        <w:rPr/>
        <w:t>chapter</w:t>
      </w:r>
      <w:r>
        <w:rPr>
          <w:spacing w:val="-1"/>
        </w:rPr>
        <w:t> </w:t>
      </w:r>
      <w:r>
        <w:rPr/>
        <w:t>is</w:t>
      </w:r>
      <w:r>
        <w:rPr>
          <w:spacing w:val="-1"/>
        </w:rPr>
        <w:t> </w:t>
      </w:r>
      <w:r>
        <w:rPr/>
        <w:t>to</w:t>
      </w:r>
      <w:r>
        <w:rPr>
          <w:spacing w:val="-1"/>
        </w:rPr>
        <w:t> </w:t>
      </w:r>
      <w:r>
        <w:rPr/>
        <w:t>determine</w:t>
      </w:r>
      <w:r>
        <w:rPr>
          <w:spacing w:val="-1"/>
        </w:rPr>
        <w:t> </w:t>
      </w:r>
      <w:r>
        <w:rPr/>
        <w:t>if</w:t>
      </w:r>
      <w:r>
        <w:rPr>
          <w:spacing w:val="-1"/>
        </w:rPr>
        <w:t> </w:t>
      </w:r>
      <w:r>
        <w:rPr/>
        <w:t>China</w:t>
      </w:r>
      <w:r>
        <w:rPr>
          <w:spacing w:val="-1"/>
        </w:rPr>
        <w:t> </w:t>
      </w:r>
      <w:r>
        <w:rPr/>
        <w:t>has</w:t>
      </w:r>
      <w:r>
        <w:rPr>
          <w:spacing w:val="-1"/>
        </w:rPr>
        <w:t> </w:t>
      </w:r>
      <w:r>
        <w:rPr/>
        <w:t>learned</w:t>
      </w:r>
      <w:r>
        <w:rPr>
          <w:spacing w:val="-1"/>
        </w:rPr>
        <w:t> </w:t>
      </w:r>
      <w:r>
        <w:rPr/>
        <w:t>from</w:t>
      </w:r>
      <w:r>
        <w:rPr>
          <w:spacing w:val="-1"/>
        </w:rPr>
        <w:t> </w:t>
      </w:r>
      <w:r>
        <w:rPr/>
        <w:t>past</w:t>
      </w:r>
      <w:r>
        <w:rPr>
          <w:spacing w:val="-1"/>
        </w:rPr>
        <w:t> </w:t>
      </w:r>
      <w:r>
        <w:rPr/>
        <w:t>mistakes </w:t>
      </w:r>
      <w:r>
        <w:rPr>
          <w:w w:val="105"/>
        </w:rPr>
        <w:t>and</w:t>
      </w:r>
      <w:r>
        <w:rPr>
          <w:spacing w:val="-18"/>
          <w:w w:val="105"/>
        </w:rPr>
        <w:t> </w:t>
      </w:r>
      <w:r>
        <w:rPr>
          <w:w w:val="105"/>
        </w:rPr>
        <w:t>recalibrated</w:t>
      </w:r>
      <w:r>
        <w:rPr>
          <w:spacing w:val="-17"/>
          <w:w w:val="105"/>
        </w:rPr>
        <w:t> </w:t>
      </w:r>
      <w:r>
        <w:rPr>
          <w:w w:val="105"/>
        </w:rPr>
        <w:t>the</w:t>
      </w:r>
      <w:r>
        <w:rPr>
          <w:spacing w:val="-18"/>
          <w:w w:val="105"/>
        </w:rPr>
        <w:t> </w:t>
      </w:r>
      <w:r>
        <w:rPr>
          <w:w w:val="105"/>
        </w:rPr>
        <w:t>ways</w:t>
      </w:r>
      <w:r>
        <w:rPr>
          <w:spacing w:val="-17"/>
          <w:w w:val="105"/>
        </w:rPr>
        <w:t> </w:t>
      </w:r>
      <w:r>
        <w:rPr>
          <w:w w:val="105"/>
        </w:rPr>
        <w:t>that</w:t>
      </w:r>
      <w:r>
        <w:rPr>
          <w:spacing w:val="-18"/>
          <w:w w:val="105"/>
        </w:rPr>
        <w:t> </w:t>
      </w:r>
      <w:r>
        <w:rPr>
          <w:w w:val="105"/>
        </w:rPr>
        <w:t>it</w:t>
      </w:r>
      <w:r>
        <w:rPr>
          <w:spacing w:val="-17"/>
          <w:w w:val="105"/>
        </w:rPr>
        <w:t> </w:t>
      </w:r>
      <w:r>
        <w:rPr>
          <w:w w:val="105"/>
        </w:rPr>
        <w:t>ﬁnances,</w:t>
      </w:r>
      <w:r>
        <w:rPr>
          <w:spacing w:val="-18"/>
          <w:w w:val="105"/>
        </w:rPr>
        <w:t> </w:t>
      </w:r>
      <w:r>
        <w:rPr>
          <w:w w:val="105"/>
        </w:rPr>
        <w:t>designs,</w:t>
      </w:r>
      <w:r>
        <w:rPr>
          <w:spacing w:val="-17"/>
          <w:w w:val="105"/>
        </w:rPr>
        <w:t> </w:t>
      </w:r>
      <w:r>
        <w:rPr>
          <w:w w:val="105"/>
        </w:rPr>
        <w:t>and</w:t>
      </w:r>
      <w:r>
        <w:rPr>
          <w:spacing w:val="-18"/>
          <w:w w:val="105"/>
        </w:rPr>
        <w:t> </w:t>
      </w:r>
      <w:r>
        <w:rPr>
          <w:w w:val="105"/>
        </w:rPr>
        <w:t>implements infrastructure</w:t>
      </w:r>
      <w:r>
        <w:rPr>
          <w:spacing w:val="-18"/>
          <w:w w:val="105"/>
        </w:rPr>
        <w:t> </w:t>
      </w:r>
      <w:r>
        <w:rPr>
          <w:w w:val="105"/>
        </w:rPr>
        <w:t>projects</w:t>
      </w:r>
      <w:r>
        <w:rPr>
          <w:spacing w:val="-17"/>
          <w:w w:val="105"/>
        </w:rPr>
        <w:t> </w:t>
      </w:r>
      <w:r>
        <w:rPr>
          <w:w w:val="105"/>
        </w:rPr>
        <w:t>in</w:t>
      </w:r>
      <w:r>
        <w:rPr>
          <w:spacing w:val="-18"/>
          <w:w w:val="105"/>
        </w:rPr>
        <w:t> </w:t>
      </w:r>
      <w:r>
        <w:rPr>
          <w:w w:val="105"/>
        </w:rPr>
        <w:t>the</w:t>
      </w:r>
      <w:r>
        <w:rPr>
          <w:spacing w:val="-18"/>
          <w:w w:val="105"/>
        </w:rPr>
        <w:t> </w:t>
      </w:r>
      <w:r>
        <w:rPr>
          <w:w w:val="105"/>
        </w:rPr>
        <w:t>Global</w:t>
      </w:r>
      <w:r>
        <w:rPr>
          <w:spacing w:val="-17"/>
          <w:w w:val="105"/>
        </w:rPr>
        <w:t> </w:t>
      </w:r>
      <w:r>
        <w:rPr>
          <w:w w:val="105"/>
        </w:rPr>
        <w:t>South.</w:t>
      </w:r>
      <w:r>
        <w:rPr>
          <w:w w:val="105"/>
          <w:vertAlign w:val="superscript"/>
        </w:rPr>
        <w:t>237</w:t>
      </w:r>
      <w:r>
        <w:rPr>
          <w:spacing w:val="-18"/>
          <w:w w:val="105"/>
          <w:vertAlign w:val="baseline"/>
        </w:rPr>
        <w:t> </w:t>
      </w:r>
      <w:r>
        <w:rPr>
          <w:w w:val="105"/>
          <w:vertAlign w:val="baseline"/>
        </w:rPr>
        <w:t>More</w:t>
      </w:r>
      <w:r>
        <w:rPr>
          <w:spacing w:val="-17"/>
          <w:w w:val="105"/>
          <w:vertAlign w:val="baseline"/>
        </w:rPr>
        <w:t> </w:t>
      </w:r>
      <w:r>
        <w:rPr>
          <w:w w:val="105"/>
          <w:vertAlign w:val="baseline"/>
        </w:rPr>
        <w:t>speciﬁcally,</w:t>
      </w:r>
      <w:r>
        <w:rPr>
          <w:spacing w:val="-18"/>
          <w:w w:val="105"/>
          <w:vertAlign w:val="baseline"/>
        </w:rPr>
        <w:t> </w:t>
      </w:r>
      <w:r>
        <w:rPr>
          <w:w w:val="105"/>
          <w:vertAlign w:val="baseline"/>
        </w:rPr>
        <w:t>we</w:t>
      </w:r>
      <w:r>
        <w:rPr>
          <w:spacing w:val="-17"/>
          <w:w w:val="105"/>
          <w:vertAlign w:val="baseline"/>
        </w:rPr>
        <w:t> </w:t>
      </w:r>
      <w:r>
        <w:rPr>
          <w:w w:val="105"/>
          <w:vertAlign w:val="baseline"/>
        </w:rPr>
        <w:t>will</w:t>
      </w:r>
      <w:r>
        <w:rPr>
          <w:spacing w:val="-18"/>
          <w:w w:val="105"/>
          <w:vertAlign w:val="baseline"/>
        </w:rPr>
        <w:t> </w:t>
      </w:r>
      <w:r>
        <w:rPr>
          <w:w w:val="105"/>
          <w:vertAlign w:val="baseline"/>
        </w:rPr>
        <w:t>use</w:t>
      </w:r>
      <w:r>
        <w:rPr>
          <w:spacing w:val="-17"/>
          <w:w w:val="105"/>
          <w:vertAlign w:val="baseline"/>
        </w:rPr>
        <w:t> </w:t>
      </w:r>
      <w:r>
        <w:rPr>
          <w:w w:val="105"/>
          <w:vertAlign w:val="baseline"/>
        </w:rPr>
        <w:t>the</w:t>
      </w:r>
    </w:p>
    <w:p>
      <w:pPr>
        <w:pStyle w:val="BodyText"/>
        <w:spacing w:line="333" w:lineRule="auto"/>
        <w:ind w:left="560" w:right="568"/>
      </w:pPr>
      <w:r>
        <w:rPr/>
        <w:t>3.0</w:t>
      </w:r>
      <w:r>
        <w:rPr>
          <w:spacing w:val="-2"/>
        </w:rPr>
        <w:t> </w:t>
      </w:r>
      <w:r>
        <w:rPr/>
        <w:t>version</w:t>
      </w:r>
      <w:r>
        <w:rPr>
          <w:spacing w:val="-2"/>
        </w:rPr>
        <w:t> </w:t>
      </w:r>
      <w:r>
        <w:rPr/>
        <w:t>of</w:t>
      </w:r>
      <w:r>
        <w:rPr>
          <w:spacing w:val="-2"/>
        </w:rPr>
        <w:t> </w:t>
      </w:r>
      <w:r>
        <w:rPr/>
        <w:t>AidData’s</w:t>
      </w:r>
      <w:r>
        <w:rPr>
          <w:spacing w:val="-2"/>
        </w:rPr>
        <w:t> </w:t>
      </w:r>
      <w:r>
        <w:rPr/>
        <w:t>GCDF</w:t>
      </w:r>
      <w:r>
        <w:rPr>
          <w:spacing w:val="-2"/>
        </w:rPr>
        <w:t> </w:t>
      </w:r>
      <w:r>
        <w:rPr/>
        <w:t>dataset</w:t>
      </w:r>
      <w:r>
        <w:rPr>
          <w:spacing w:val="-2"/>
        </w:rPr>
        <w:t> </w:t>
      </w:r>
      <w:r>
        <w:rPr/>
        <w:t>to</w:t>
      </w:r>
      <w:r>
        <w:rPr>
          <w:spacing w:val="-2"/>
        </w:rPr>
        <w:t> </w:t>
      </w:r>
      <w:r>
        <w:rPr/>
        <w:t>(a)</w:t>
      </w:r>
      <w:r>
        <w:rPr>
          <w:spacing w:val="-2"/>
        </w:rPr>
        <w:t> </w:t>
      </w:r>
      <w:r>
        <w:rPr/>
        <w:t>document</w:t>
      </w:r>
      <w:r>
        <w:rPr>
          <w:spacing w:val="-2"/>
        </w:rPr>
        <w:t> </w:t>
      </w:r>
      <w:r>
        <w:rPr/>
        <w:t>the</w:t>
      </w:r>
      <w:r>
        <w:rPr>
          <w:spacing w:val="-2"/>
        </w:rPr>
        <w:t> </w:t>
      </w:r>
      <w:r>
        <w:rPr/>
        <w:t>scope</w:t>
      </w:r>
      <w:r>
        <w:rPr>
          <w:spacing w:val="-2"/>
        </w:rPr>
        <w:t> </w:t>
      </w:r>
      <w:r>
        <w:rPr/>
        <w:t>and</w:t>
      </w:r>
      <w:r>
        <w:rPr>
          <w:spacing w:val="-2"/>
        </w:rPr>
        <w:t> </w:t>
      </w:r>
      <w:r>
        <w:rPr/>
        <w:t>severity</w:t>
      </w:r>
      <w:r>
        <w:rPr>
          <w:spacing w:val="-2"/>
        </w:rPr>
        <w:t> </w:t>
      </w:r>
      <w:r>
        <w:rPr/>
        <w:t>of</w:t>
      </w:r>
      <w:r>
        <w:rPr/>
        <w:t> the ESG risks in China’s overseas infrastructure project portfolio; (b) identify whether, when, and how it has sought to mitigate these project implementation risks; and (c) determine whether its infrastructure projects with and without</w:t>
      </w:r>
      <w:r>
        <w:rPr>
          <w:spacing w:val="80"/>
        </w:rPr>
        <w:t> </w:t>
      </w:r>
      <w:r>
        <w:rPr/>
        <w:t>strong ESG safeguards have fared differently during implementation.</w:t>
      </w:r>
    </w:p>
    <w:p>
      <w:pPr>
        <w:pStyle w:val="BodyText"/>
        <w:spacing w:before="2"/>
        <w:rPr>
          <w:sz w:val="27"/>
        </w:rPr>
      </w:pPr>
    </w:p>
    <w:p>
      <w:pPr>
        <w:pStyle w:val="BodyText"/>
        <w:spacing w:line="333" w:lineRule="auto"/>
        <w:ind w:left="560" w:right="550"/>
      </w:pPr>
      <w:r>
        <w:rPr/>
        <w:t>Our ﬁndings demonstrate that, although the ESG risk proﬁle of China’s overseas infrastructure project portfolio deteriorated during the pre-BRI period and early BRI period, there are signs of improvement during the late BRI (“BRI 2.0”)</w:t>
      </w:r>
      <w:r>
        <w:rPr>
          <w:spacing w:val="80"/>
        </w:rPr>
        <w:t> </w:t>
      </w:r>
      <w:r>
        <w:rPr/>
        <w:t>period. Chinese lenders and donors have responded to rising levels of ESG risk by putting in place increasingly stringent safeguards that may ultimately undermine</w:t>
      </w:r>
      <w:r>
        <w:rPr>
          <w:spacing w:val="27"/>
        </w:rPr>
        <w:t> </w:t>
      </w:r>
      <w:r>
        <w:rPr/>
        <w:t>G7</w:t>
      </w:r>
      <w:r>
        <w:rPr>
          <w:spacing w:val="27"/>
        </w:rPr>
        <w:t> </w:t>
      </w:r>
      <w:r>
        <w:rPr/>
        <w:t>and</w:t>
      </w:r>
      <w:r>
        <w:rPr>
          <w:spacing w:val="27"/>
        </w:rPr>
        <w:t> </w:t>
      </w:r>
      <w:r>
        <w:rPr/>
        <w:t>MDB</w:t>
      </w:r>
      <w:r>
        <w:rPr>
          <w:spacing w:val="27"/>
        </w:rPr>
        <w:t> </w:t>
      </w:r>
      <w:r>
        <w:rPr/>
        <w:t>efforts</w:t>
      </w:r>
      <w:r>
        <w:rPr>
          <w:spacing w:val="27"/>
        </w:rPr>
        <w:t> </w:t>
      </w:r>
      <w:r>
        <w:rPr/>
        <w:t>to</w:t>
      </w:r>
      <w:r>
        <w:rPr>
          <w:spacing w:val="27"/>
        </w:rPr>
        <w:t> </w:t>
      </w:r>
      <w:r>
        <w:rPr/>
        <w:t>outcompete</w:t>
      </w:r>
      <w:r>
        <w:rPr>
          <w:spacing w:val="27"/>
        </w:rPr>
        <w:t> </w:t>
      </w:r>
      <w:r>
        <w:rPr/>
        <w:t>Beijing</w:t>
      </w:r>
      <w:r>
        <w:rPr>
          <w:spacing w:val="27"/>
        </w:rPr>
        <w:t> </w:t>
      </w:r>
      <w:r>
        <w:rPr/>
        <w:t>on</w:t>
      </w:r>
      <w:r>
        <w:rPr>
          <w:spacing w:val="27"/>
        </w:rPr>
        <w:t> </w:t>
      </w:r>
      <w:r>
        <w:rPr/>
        <w:t>“quality”</w:t>
      </w:r>
      <w:r>
        <w:rPr>
          <w:spacing w:val="27"/>
        </w:rPr>
        <w:t> </w:t>
      </w:r>
      <w:r>
        <w:rPr/>
        <w:t>and</w:t>
      </w:r>
      <w:r>
        <w:rPr>
          <w:spacing w:val="27"/>
        </w:rPr>
        <w:t> </w:t>
      </w:r>
      <w:r>
        <w:rPr/>
        <w:t>“safety” grounds. Chinese grant- and loan-ﬁnanced infrastructure projects that are subjected to strong ESG safeguards present fewer environmental, social, and governance risks during implementation. They are also less likely to be suspended or canceled. Perhaps most importantly, Chinese grant- and</w:t>
      </w:r>
    </w:p>
    <w:p>
      <w:pPr>
        <w:pStyle w:val="BodyText"/>
        <w:spacing w:line="333" w:lineRule="auto"/>
        <w:ind w:left="560" w:right="540"/>
      </w:pPr>
      <w:r>
        <w:rPr/>
        <w:t>loan-ﬁnanced</w:t>
      </w:r>
      <w:r>
        <w:rPr>
          <w:spacing w:val="-3"/>
        </w:rPr>
        <w:t> </w:t>
      </w:r>
      <w:r>
        <w:rPr/>
        <w:t>infrastructure</w:t>
      </w:r>
      <w:r>
        <w:rPr>
          <w:spacing w:val="-3"/>
        </w:rPr>
        <w:t> </w:t>
      </w:r>
      <w:r>
        <w:rPr/>
        <w:t>projects</w:t>
      </w:r>
      <w:r>
        <w:rPr>
          <w:spacing w:val="-3"/>
        </w:rPr>
        <w:t> </w:t>
      </w:r>
      <w:r>
        <w:rPr/>
        <w:t>that</w:t>
      </w:r>
      <w:r>
        <w:rPr>
          <w:spacing w:val="-3"/>
        </w:rPr>
        <w:t> </w:t>
      </w:r>
      <w:r>
        <w:rPr/>
        <w:t>are</w:t>
      </w:r>
      <w:r>
        <w:rPr>
          <w:spacing w:val="-3"/>
        </w:rPr>
        <w:t> </w:t>
      </w:r>
      <w:r>
        <w:rPr/>
        <w:t>subjected</w:t>
      </w:r>
      <w:r>
        <w:rPr>
          <w:spacing w:val="-3"/>
        </w:rPr>
        <w:t> </w:t>
      </w:r>
      <w:r>
        <w:rPr/>
        <w:t>to</w:t>
      </w:r>
      <w:r>
        <w:rPr>
          <w:spacing w:val="-3"/>
        </w:rPr>
        <w:t> </w:t>
      </w:r>
      <w:r>
        <w:rPr/>
        <w:t>strong</w:t>
      </w:r>
      <w:r>
        <w:rPr>
          <w:spacing w:val="-3"/>
        </w:rPr>
        <w:t> </w:t>
      </w:r>
      <w:r>
        <w:rPr/>
        <w:t>ESG</w:t>
      </w:r>
      <w:r>
        <w:rPr>
          <w:spacing w:val="-3"/>
        </w:rPr>
        <w:t> </w:t>
      </w:r>
      <w:r>
        <w:rPr/>
        <w:t>safeguards </w:t>
      </w:r>
      <w:r>
        <w:rPr>
          <w:w w:val="105"/>
        </w:rPr>
        <w:t>do</w:t>
      </w:r>
      <w:r>
        <w:rPr>
          <w:spacing w:val="-14"/>
          <w:w w:val="105"/>
        </w:rPr>
        <w:t> </w:t>
      </w:r>
      <w:r>
        <w:rPr>
          <w:w w:val="105"/>
        </w:rPr>
        <w:t>not</w:t>
      </w:r>
      <w:r>
        <w:rPr>
          <w:spacing w:val="-14"/>
          <w:w w:val="105"/>
        </w:rPr>
        <w:t> </w:t>
      </w:r>
      <w:r>
        <w:rPr>
          <w:w w:val="105"/>
        </w:rPr>
        <w:t>face</w:t>
      </w:r>
      <w:r>
        <w:rPr>
          <w:spacing w:val="-14"/>
          <w:w w:val="105"/>
        </w:rPr>
        <w:t> </w:t>
      </w:r>
      <w:r>
        <w:rPr>
          <w:w w:val="105"/>
        </w:rPr>
        <w:t>substantially</w:t>
      </w:r>
      <w:r>
        <w:rPr>
          <w:spacing w:val="-14"/>
          <w:w w:val="105"/>
        </w:rPr>
        <w:t> </w:t>
      </w:r>
      <w:r>
        <w:rPr>
          <w:w w:val="105"/>
        </w:rPr>
        <w:t>longer</w:t>
      </w:r>
      <w:r>
        <w:rPr>
          <w:spacing w:val="-14"/>
          <w:w w:val="105"/>
        </w:rPr>
        <w:t> </w:t>
      </w:r>
      <w:r>
        <w:rPr>
          <w:w w:val="105"/>
        </w:rPr>
        <w:t>implementation</w:t>
      </w:r>
      <w:r>
        <w:rPr>
          <w:spacing w:val="-14"/>
          <w:w w:val="105"/>
        </w:rPr>
        <w:t> </w:t>
      </w:r>
      <w:r>
        <w:rPr>
          <w:w w:val="105"/>
        </w:rPr>
        <w:t>delays</w:t>
      </w:r>
      <w:r>
        <w:rPr>
          <w:spacing w:val="-14"/>
          <w:w w:val="105"/>
        </w:rPr>
        <w:t> </w:t>
      </w:r>
      <w:r>
        <w:rPr>
          <w:w w:val="105"/>
        </w:rPr>
        <w:t>than</w:t>
      </w:r>
      <w:r>
        <w:rPr>
          <w:spacing w:val="-14"/>
          <w:w w:val="105"/>
        </w:rPr>
        <w:t> </w:t>
      </w:r>
      <w:r>
        <w:rPr>
          <w:w w:val="105"/>
        </w:rPr>
        <w:t>those</w:t>
      </w:r>
      <w:r>
        <w:rPr>
          <w:spacing w:val="-14"/>
          <w:w w:val="105"/>
        </w:rPr>
        <w:t> </w:t>
      </w:r>
      <w:r>
        <w:rPr>
          <w:w w:val="105"/>
        </w:rPr>
        <w:t>subjected</w:t>
      </w:r>
      <w:r>
        <w:rPr>
          <w:spacing w:val="-14"/>
          <w:w w:val="105"/>
        </w:rPr>
        <w:t> </w:t>
      </w:r>
      <w:r>
        <w:rPr>
          <w:w w:val="105"/>
        </w:rPr>
        <w:t>to </w:t>
      </w:r>
      <w:r>
        <w:rPr/>
        <w:t>weak ESG safeguards. Our ﬁndings therefore suggest Beijing enjoys a stronger </w:t>
      </w:r>
      <w:r>
        <w:rPr>
          <w:w w:val="105"/>
        </w:rPr>
        <w:t>position</w:t>
      </w:r>
      <w:r>
        <w:rPr>
          <w:spacing w:val="-10"/>
          <w:w w:val="105"/>
        </w:rPr>
        <w:t> </w:t>
      </w:r>
      <w:r>
        <w:rPr>
          <w:w w:val="105"/>
        </w:rPr>
        <w:t>in</w:t>
      </w:r>
      <w:r>
        <w:rPr>
          <w:spacing w:val="-10"/>
          <w:w w:val="105"/>
        </w:rPr>
        <w:t> </w:t>
      </w:r>
      <w:r>
        <w:rPr>
          <w:w w:val="105"/>
        </w:rPr>
        <w:t>the</w:t>
      </w:r>
      <w:r>
        <w:rPr>
          <w:spacing w:val="-10"/>
          <w:w w:val="105"/>
        </w:rPr>
        <w:t> </w:t>
      </w:r>
      <w:r>
        <w:rPr>
          <w:w w:val="105"/>
        </w:rPr>
        <w:t>global</w:t>
      </w:r>
      <w:r>
        <w:rPr>
          <w:spacing w:val="-10"/>
          <w:w w:val="105"/>
        </w:rPr>
        <w:t> </w:t>
      </w:r>
      <w:r>
        <w:rPr>
          <w:w w:val="105"/>
        </w:rPr>
        <w:t>infrastructure</w:t>
      </w:r>
      <w:r>
        <w:rPr>
          <w:spacing w:val="-10"/>
          <w:w w:val="105"/>
        </w:rPr>
        <w:t> </w:t>
      </w:r>
      <w:r>
        <w:rPr>
          <w:w w:val="105"/>
        </w:rPr>
        <w:t>ﬁnancing</w:t>
      </w:r>
      <w:r>
        <w:rPr>
          <w:spacing w:val="-10"/>
          <w:w w:val="105"/>
        </w:rPr>
        <w:t> </w:t>
      </w:r>
      <w:r>
        <w:rPr>
          <w:w w:val="105"/>
        </w:rPr>
        <w:t>market</w:t>
      </w:r>
      <w:r>
        <w:rPr>
          <w:spacing w:val="-10"/>
          <w:w w:val="105"/>
        </w:rPr>
        <w:t> </w:t>
      </w:r>
      <w:r>
        <w:rPr>
          <w:w w:val="105"/>
        </w:rPr>
        <w:t>than</w:t>
      </w:r>
      <w:r>
        <w:rPr>
          <w:spacing w:val="-10"/>
          <w:w w:val="105"/>
        </w:rPr>
        <w:t> </w:t>
      </w:r>
      <w:r>
        <w:rPr>
          <w:w w:val="105"/>
        </w:rPr>
        <w:t>its</w:t>
      </w:r>
      <w:r>
        <w:rPr>
          <w:spacing w:val="-10"/>
          <w:w w:val="105"/>
        </w:rPr>
        <w:t> </w:t>
      </w:r>
      <w:r>
        <w:rPr>
          <w:w w:val="105"/>
        </w:rPr>
        <w:t>bilateral</w:t>
      </w:r>
      <w:r>
        <w:rPr>
          <w:spacing w:val="-10"/>
          <w:w w:val="105"/>
        </w:rPr>
        <w:t> </w:t>
      </w:r>
      <w:r>
        <w:rPr>
          <w:w w:val="105"/>
        </w:rPr>
        <w:t>and multilateral</w:t>
      </w:r>
      <w:r>
        <w:rPr>
          <w:spacing w:val="-15"/>
          <w:w w:val="105"/>
        </w:rPr>
        <w:t> </w:t>
      </w:r>
      <w:r>
        <w:rPr>
          <w:w w:val="105"/>
        </w:rPr>
        <w:t>competitors</w:t>
      </w:r>
      <w:r>
        <w:rPr>
          <w:spacing w:val="-15"/>
          <w:w w:val="105"/>
        </w:rPr>
        <w:t> </w:t>
      </w:r>
      <w:r>
        <w:rPr>
          <w:w w:val="105"/>
        </w:rPr>
        <w:t>realize.</w:t>
      </w:r>
      <w:r>
        <w:rPr>
          <w:spacing w:val="-15"/>
          <w:w w:val="105"/>
        </w:rPr>
        <w:t> </w:t>
      </w:r>
      <w:r>
        <w:rPr>
          <w:w w:val="105"/>
        </w:rPr>
        <w:t>Developing</w:t>
      </w:r>
      <w:r>
        <w:rPr>
          <w:spacing w:val="-15"/>
          <w:w w:val="105"/>
        </w:rPr>
        <w:t> </w:t>
      </w:r>
      <w:r>
        <w:rPr>
          <w:w w:val="105"/>
        </w:rPr>
        <w:t>countries</w:t>
      </w:r>
      <w:r>
        <w:rPr>
          <w:spacing w:val="-15"/>
          <w:w w:val="105"/>
        </w:rPr>
        <w:t> </w:t>
      </w:r>
      <w:r>
        <w:rPr>
          <w:w w:val="105"/>
        </w:rPr>
        <w:t>have</w:t>
      </w:r>
      <w:r>
        <w:rPr>
          <w:spacing w:val="-15"/>
          <w:w w:val="105"/>
        </w:rPr>
        <w:t> </w:t>
      </w:r>
      <w:r>
        <w:rPr>
          <w:w w:val="105"/>
        </w:rPr>
        <w:t>made</w:t>
      </w:r>
      <w:r>
        <w:rPr>
          <w:spacing w:val="-15"/>
          <w:w w:val="105"/>
        </w:rPr>
        <w:t> </w:t>
      </w:r>
      <w:r>
        <w:rPr>
          <w:w w:val="105"/>
        </w:rPr>
        <w:t>their preferences</w:t>
      </w:r>
      <w:r>
        <w:rPr>
          <w:spacing w:val="-16"/>
          <w:w w:val="105"/>
        </w:rPr>
        <w:t> </w:t>
      </w:r>
      <w:r>
        <w:rPr>
          <w:w w:val="105"/>
        </w:rPr>
        <w:t>very</w:t>
      </w:r>
      <w:r>
        <w:rPr>
          <w:spacing w:val="-16"/>
          <w:w w:val="105"/>
        </w:rPr>
        <w:t> </w:t>
      </w:r>
      <w:r>
        <w:rPr>
          <w:w w:val="105"/>
        </w:rPr>
        <w:t>clear:</w:t>
      </w:r>
      <w:r>
        <w:rPr>
          <w:spacing w:val="-16"/>
          <w:w w:val="105"/>
        </w:rPr>
        <w:t> </w:t>
      </w:r>
      <w:r>
        <w:rPr>
          <w:w w:val="105"/>
        </w:rPr>
        <w:t>they</w:t>
      </w:r>
      <w:r>
        <w:rPr>
          <w:spacing w:val="-16"/>
          <w:w w:val="105"/>
        </w:rPr>
        <w:t> </w:t>
      </w:r>
      <w:r>
        <w:rPr>
          <w:w w:val="105"/>
        </w:rPr>
        <w:t>want</w:t>
      </w:r>
      <w:r>
        <w:rPr>
          <w:spacing w:val="-16"/>
          <w:w w:val="105"/>
        </w:rPr>
        <w:t> </w:t>
      </w:r>
      <w:r>
        <w:rPr>
          <w:w w:val="105"/>
        </w:rPr>
        <w:t>to</w:t>
      </w:r>
      <w:r>
        <w:rPr>
          <w:spacing w:val="-16"/>
          <w:w w:val="105"/>
        </w:rPr>
        <w:t> </w:t>
      </w:r>
      <w:r>
        <w:rPr>
          <w:w w:val="105"/>
        </w:rPr>
        <w:t>work</w:t>
      </w:r>
      <w:r>
        <w:rPr>
          <w:spacing w:val="-16"/>
          <w:w w:val="105"/>
        </w:rPr>
        <w:t> </w:t>
      </w:r>
      <w:r>
        <w:rPr>
          <w:w w:val="105"/>
        </w:rPr>
        <w:t>with</w:t>
      </w:r>
      <w:r>
        <w:rPr>
          <w:spacing w:val="-16"/>
          <w:w w:val="105"/>
        </w:rPr>
        <w:t> </w:t>
      </w:r>
      <w:r>
        <w:rPr>
          <w:w w:val="105"/>
        </w:rPr>
        <w:t>lenders</w:t>
      </w:r>
      <w:r>
        <w:rPr>
          <w:spacing w:val="-16"/>
          <w:w w:val="105"/>
        </w:rPr>
        <w:t> </w:t>
      </w:r>
      <w:r>
        <w:rPr>
          <w:w w:val="105"/>
        </w:rPr>
        <w:t>and</w:t>
      </w:r>
      <w:r>
        <w:rPr>
          <w:spacing w:val="-16"/>
          <w:w w:val="105"/>
        </w:rPr>
        <w:t> </w:t>
      </w:r>
      <w:r>
        <w:rPr>
          <w:w w:val="105"/>
        </w:rPr>
        <w:t>donors</w:t>
      </w:r>
      <w:r>
        <w:rPr>
          <w:spacing w:val="-16"/>
          <w:w w:val="105"/>
        </w:rPr>
        <w:t> </w:t>
      </w:r>
      <w:r>
        <w:rPr>
          <w:w w:val="105"/>
        </w:rPr>
        <w:t>that</w:t>
      </w:r>
      <w:r>
        <w:rPr>
          <w:spacing w:val="-16"/>
          <w:w w:val="105"/>
        </w:rPr>
        <w:t> </w:t>
      </w:r>
      <w:r>
        <w:rPr>
          <w:w w:val="105"/>
        </w:rPr>
        <w:t>are willing and able to quickly design and implement big-ticket, high-impact</w:t>
      </w:r>
    </w:p>
    <w:p>
      <w:pPr>
        <w:pStyle w:val="BodyText"/>
        <w:rPr>
          <w:sz w:val="20"/>
        </w:rPr>
      </w:pPr>
    </w:p>
    <w:p>
      <w:pPr>
        <w:pStyle w:val="BodyText"/>
        <w:spacing w:before="9"/>
        <w:rPr>
          <w:sz w:val="23"/>
        </w:rPr>
      </w:pPr>
      <w:r>
        <w:rPr/>
        <w:pict>
          <v:shape style="position:absolute;margin-left:90pt;margin-top:14.897412pt;width:144pt;height:.1pt;mso-position-horizontal-relative:page;mso-position-vertical-relative:paragraph;z-index:-15725056;mso-wrap-distance-left:0;mso-wrap-distance-right:0" id="docshape8" coordorigin="1800,298" coordsize="2880,0" path="m1800,298l4680,298e" filled="false" stroked="true" strokeweight=".75pt" strokecolor="#000000">
            <v:path arrowok="t"/>
            <v:stroke dashstyle="solid"/>
            <w10:wrap type="topAndBottom"/>
          </v:shape>
        </w:pict>
      </w:r>
    </w:p>
    <w:p>
      <w:pPr>
        <w:spacing w:line="249" w:lineRule="auto" w:before="116"/>
        <w:ind w:left="560" w:right="561" w:firstLine="0"/>
        <w:jc w:val="left"/>
        <w:rPr>
          <w:sz w:val="18"/>
        </w:rPr>
      </w:pPr>
      <w:r>
        <w:rPr>
          <w:sz w:val="18"/>
          <w:vertAlign w:val="superscript"/>
        </w:rPr>
        <w:t>237</w:t>
      </w:r>
      <w:r>
        <w:rPr>
          <w:spacing w:val="-2"/>
          <w:sz w:val="18"/>
          <w:vertAlign w:val="baseline"/>
        </w:rPr>
        <w:t> </w:t>
      </w:r>
      <w:r>
        <w:rPr>
          <w:sz w:val="18"/>
          <w:vertAlign w:val="baseline"/>
        </w:rPr>
        <w:t>In</w:t>
      </w:r>
      <w:r>
        <w:rPr>
          <w:spacing w:val="-1"/>
          <w:sz w:val="18"/>
          <w:vertAlign w:val="baseline"/>
        </w:rPr>
        <w:t> </w:t>
      </w:r>
      <w:r>
        <w:rPr>
          <w:sz w:val="18"/>
          <w:vertAlign w:val="baseline"/>
        </w:rPr>
        <w:t>February</w:t>
      </w:r>
      <w:r>
        <w:rPr>
          <w:spacing w:val="-1"/>
          <w:sz w:val="18"/>
          <w:vertAlign w:val="baseline"/>
        </w:rPr>
        <w:t> </w:t>
      </w:r>
      <w:r>
        <w:rPr>
          <w:sz w:val="18"/>
          <w:vertAlign w:val="baseline"/>
        </w:rPr>
        <w:t>2022,</w:t>
      </w:r>
      <w:r>
        <w:rPr>
          <w:spacing w:val="-1"/>
          <w:sz w:val="18"/>
          <w:vertAlign w:val="baseline"/>
        </w:rPr>
        <w:t> </w:t>
      </w:r>
      <w:r>
        <w:rPr>
          <w:sz w:val="18"/>
          <w:vertAlign w:val="baseline"/>
        </w:rPr>
        <w:t>Yunnan</w:t>
      </w:r>
      <w:r>
        <w:rPr>
          <w:spacing w:val="-1"/>
          <w:sz w:val="18"/>
          <w:vertAlign w:val="baseline"/>
        </w:rPr>
        <w:t> </w:t>
      </w:r>
      <w:r>
        <w:rPr>
          <w:sz w:val="18"/>
          <w:vertAlign w:val="baseline"/>
        </w:rPr>
        <w:t>Chen</w:t>
      </w:r>
      <w:r>
        <w:rPr>
          <w:spacing w:val="-1"/>
          <w:sz w:val="18"/>
          <w:vertAlign w:val="baseline"/>
        </w:rPr>
        <w:t> </w:t>
      </w:r>
      <w:r>
        <w:rPr>
          <w:sz w:val="18"/>
          <w:vertAlign w:val="baseline"/>
        </w:rPr>
        <w:t>of</w:t>
      </w:r>
      <w:r>
        <w:rPr>
          <w:spacing w:val="-1"/>
          <w:sz w:val="18"/>
          <w:vertAlign w:val="baseline"/>
        </w:rPr>
        <w:t> </w:t>
      </w:r>
      <w:r>
        <w:rPr>
          <w:sz w:val="18"/>
          <w:vertAlign w:val="baseline"/>
        </w:rPr>
        <w:t>the</w:t>
      </w:r>
      <w:r>
        <w:rPr>
          <w:spacing w:val="-1"/>
          <w:sz w:val="18"/>
          <w:vertAlign w:val="baseline"/>
        </w:rPr>
        <w:t> </w:t>
      </w:r>
      <w:r>
        <w:rPr>
          <w:sz w:val="18"/>
          <w:vertAlign w:val="baseline"/>
        </w:rPr>
        <w:t>Overseas</w:t>
      </w:r>
      <w:r>
        <w:rPr>
          <w:spacing w:val="-1"/>
          <w:sz w:val="18"/>
          <w:vertAlign w:val="baseline"/>
        </w:rPr>
        <w:t> </w:t>
      </w:r>
      <w:r>
        <w:rPr>
          <w:sz w:val="18"/>
          <w:vertAlign w:val="baseline"/>
        </w:rPr>
        <w:t>Development</w:t>
      </w:r>
      <w:r>
        <w:rPr>
          <w:spacing w:val="-1"/>
          <w:sz w:val="18"/>
          <w:vertAlign w:val="baseline"/>
        </w:rPr>
        <w:t> </w:t>
      </w:r>
      <w:r>
        <w:rPr>
          <w:sz w:val="18"/>
          <w:vertAlign w:val="baseline"/>
        </w:rPr>
        <w:t>Institute</w:t>
      </w:r>
      <w:r>
        <w:rPr>
          <w:spacing w:val="-1"/>
          <w:sz w:val="18"/>
          <w:vertAlign w:val="baseline"/>
        </w:rPr>
        <w:t> </w:t>
      </w:r>
      <w:r>
        <w:rPr>
          <w:sz w:val="18"/>
          <w:vertAlign w:val="baseline"/>
        </w:rPr>
        <w:t>(ODI)</w:t>
      </w:r>
      <w:r>
        <w:rPr>
          <w:spacing w:val="-1"/>
          <w:sz w:val="18"/>
          <w:vertAlign w:val="baseline"/>
        </w:rPr>
        <w:t> </w:t>
      </w:r>
      <w:r>
        <w:rPr>
          <w:sz w:val="18"/>
          <w:vertAlign w:val="baseline"/>
        </w:rPr>
        <w:t>told</w:t>
      </w:r>
      <w:r>
        <w:rPr>
          <w:spacing w:val="-1"/>
          <w:sz w:val="18"/>
          <w:vertAlign w:val="baseline"/>
        </w:rPr>
        <w:t> </w:t>
      </w:r>
      <w:r>
        <w:rPr>
          <w:i/>
          <w:sz w:val="18"/>
          <w:vertAlign w:val="baseline"/>
        </w:rPr>
        <w:t>Euromoney</w:t>
      </w:r>
      <w:r>
        <w:rPr>
          <w:i/>
          <w:spacing w:val="-1"/>
          <w:sz w:val="18"/>
          <w:vertAlign w:val="baseline"/>
        </w:rPr>
        <w:t> </w:t>
      </w:r>
      <w:r>
        <w:rPr>
          <w:sz w:val="18"/>
          <w:vertAlign w:val="baseline"/>
        </w:rPr>
        <w:t>magazine that “China seems to have a more speciﬁc and targeted approach. Its ﬁnancial institutions are learning, recognising</w:t>
      </w:r>
      <w:r>
        <w:rPr>
          <w:spacing w:val="-3"/>
          <w:sz w:val="18"/>
          <w:vertAlign w:val="baseline"/>
        </w:rPr>
        <w:t> </w:t>
      </w:r>
      <w:r>
        <w:rPr>
          <w:sz w:val="18"/>
          <w:vertAlign w:val="baseline"/>
        </w:rPr>
        <w:t>past</w:t>
      </w:r>
      <w:r>
        <w:rPr>
          <w:spacing w:val="-3"/>
          <w:sz w:val="18"/>
          <w:vertAlign w:val="baseline"/>
        </w:rPr>
        <w:t> </w:t>
      </w:r>
      <w:r>
        <w:rPr>
          <w:sz w:val="18"/>
          <w:vertAlign w:val="baseline"/>
        </w:rPr>
        <w:t>mistakes</w:t>
      </w:r>
      <w:r>
        <w:rPr>
          <w:spacing w:val="-3"/>
          <w:sz w:val="18"/>
          <w:vertAlign w:val="baseline"/>
        </w:rPr>
        <w:t> </w:t>
      </w:r>
      <w:r>
        <w:rPr>
          <w:sz w:val="18"/>
          <w:vertAlign w:val="baseline"/>
        </w:rPr>
        <w:t>and</w:t>
      </w:r>
      <w:r>
        <w:rPr>
          <w:spacing w:val="-3"/>
          <w:sz w:val="18"/>
          <w:vertAlign w:val="baseline"/>
        </w:rPr>
        <w:t> </w:t>
      </w:r>
      <w:r>
        <w:rPr>
          <w:sz w:val="18"/>
          <w:vertAlign w:val="baseline"/>
        </w:rPr>
        <w:t>errors,</w:t>
      </w:r>
      <w:r>
        <w:rPr>
          <w:spacing w:val="-3"/>
          <w:sz w:val="18"/>
          <w:vertAlign w:val="baseline"/>
        </w:rPr>
        <w:t> </w:t>
      </w:r>
      <w:r>
        <w:rPr>
          <w:sz w:val="18"/>
          <w:vertAlign w:val="baseline"/>
        </w:rPr>
        <w:t>and</w:t>
      </w:r>
      <w:r>
        <w:rPr>
          <w:spacing w:val="-3"/>
          <w:sz w:val="18"/>
          <w:vertAlign w:val="baseline"/>
        </w:rPr>
        <w:t> </w:t>
      </w:r>
      <w:r>
        <w:rPr>
          <w:sz w:val="18"/>
          <w:vertAlign w:val="baseline"/>
        </w:rPr>
        <w:t>taking</w:t>
      </w:r>
      <w:r>
        <w:rPr>
          <w:spacing w:val="-3"/>
          <w:sz w:val="18"/>
          <w:vertAlign w:val="baseline"/>
        </w:rPr>
        <w:t> </w:t>
      </w:r>
      <w:r>
        <w:rPr>
          <w:sz w:val="18"/>
          <w:vertAlign w:val="baseline"/>
        </w:rPr>
        <w:t>a</w:t>
      </w:r>
      <w:r>
        <w:rPr>
          <w:spacing w:val="-3"/>
          <w:sz w:val="18"/>
          <w:vertAlign w:val="baseline"/>
        </w:rPr>
        <w:t> </w:t>
      </w:r>
      <w:r>
        <w:rPr>
          <w:sz w:val="18"/>
          <w:vertAlign w:val="baseline"/>
        </w:rPr>
        <w:t>more</w:t>
      </w:r>
      <w:r>
        <w:rPr>
          <w:spacing w:val="-3"/>
          <w:sz w:val="18"/>
          <w:vertAlign w:val="baseline"/>
        </w:rPr>
        <w:t> </w:t>
      </w:r>
      <w:r>
        <w:rPr>
          <w:sz w:val="18"/>
          <w:vertAlign w:val="baseline"/>
        </w:rPr>
        <w:t>risk-averse</w:t>
      </w:r>
      <w:r>
        <w:rPr>
          <w:spacing w:val="-3"/>
          <w:sz w:val="18"/>
          <w:vertAlign w:val="baseline"/>
        </w:rPr>
        <w:t> </w:t>
      </w:r>
      <w:r>
        <w:rPr>
          <w:sz w:val="18"/>
          <w:vertAlign w:val="baseline"/>
        </w:rPr>
        <w:t>approach</w:t>
      </w:r>
      <w:r>
        <w:rPr>
          <w:spacing w:val="-3"/>
          <w:sz w:val="18"/>
          <w:vertAlign w:val="baseline"/>
        </w:rPr>
        <w:t> </w:t>
      </w:r>
      <w:r>
        <w:rPr>
          <w:sz w:val="18"/>
          <w:vertAlign w:val="baseline"/>
        </w:rPr>
        <w:t>to</w:t>
      </w:r>
      <w:r>
        <w:rPr>
          <w:spacing w:val="-3"/>
          <w:sz w:val="18"/>
          <w:vertAlign w:val="baseline"/>
        </w:rPr>
        <w:t> </w:t>
      </w:r>
      <w:r>
        <w:rPr>
          <w:sz w:val="18"/>
          <w:vertAlign w:val="baseline"/>
        </w:rPr>
        <w:t>what</w:t>
      </w:r>
      <w:r>
        <w:rPr>
          <w:spacing w:val="-3"/>
          <w:sz w:val="18"/>
          <w:vertAlign w:val="baseline"/>
        </w:rPr>
        <w:t> </w:t>
      </w:r>
      <w:r>
        <w:rPr>
          <w:sz w:val="18"/>
          <w:vertAlign w:val="baseline"/>
        </w:rPr>
        <w:t>projects</w:t>
      </w:r>
      <w:r>
        <w:rPr>
          <w:spacing w:val="-3"/>
          <w:sz w:val="18"/>
          <w:vertAlign w:val="baseline"/>
        </w:rPr>
        <w:t> </w:t>
      </w:r>
      <w:r>
        <w:rPr>
          <w:sz w:val="18"/>
          <w:vertAlign w:val="baseline"/>
        </w:rPr>
        <w:t>they</w:t>
      </w:r>
      <w:r>
        <w:rPr>
          <w:spacing w:val="-3"/>
          <w:sz w:val="18"/>
          <w:vertAlign w:val="baseline"/>
        </w:rPr>
        <w:t> </w:t>
      </w:r>
      <w:r>
        <w:rPr>
          <w:sz w:val="18"/>
          <w:vertAlign w:val="baseline"/>
        </w:rPr>
        <w:t>ﬁnance, and how they go about ﬁnancing and due diligence” (Wilson 2022).</w:t>
      </w:r>
    </w:p>
    <w:p>
      <w:pPr>
        <w:spacing w:after="0" w:line="249" w:lineRule="auto"/>
        <w:jc w:val="left"/>
        <w:rPr>
          <w:sz w:val="18"/>
        </w:rPr>
        <w:sectPr>
          <w:pgSz w:w="12240" w:h="15840"/>
          <w:pgMar w:header="0" w:footer="720" w:top="1400" w:bottom="920" w:left="1240" w:right="1260"/>
        </w:sectPr>
      </w:pPr>
    </w:p>
    <w:p>
      <w:pPr>
        <w:pStyle w:val="BodyText"/>
        <w:spacing w:line="333" w:lineRule="auto" w:before="67"/>
        <w:ind w:left="560" w:right="680"/>
      </w:pPr>
      <w:r>
        <w:rPr/>
        <w:t>infrastructure</w:t>
      </w:r>
      <w:r>
        <w:rPr>
          <w:spacing w:val="-8"/>
        </w:rPr>
        <w:t> </w:t>
      </w:r>
      <w:r>
        <w:rPr/>
        <w:t>projects</w:t>
      </w:r>
      <w:r>
        <w:rPr>
          <w:spacing w:val="-8"/>
        </w:rPr>
        <w:t> </w:t>
      </w:r>
      <w:r>
        <w:rPr/>
        <w:t>without</w:t>
      </w:r>
      <w:r>
        <w:rPr>
          <w:spacing w:val="-8"/>
        </w:rPr>
        <w:t> </w:t>
      </w:r>
      <w:r>
        <w:rPr/>
        <w:t>unreasonably</w:t>
      </w:r>
      <w:r>
        <w:rPr>
          <w:spacing w:val="-8"/>
        </w:rPr>
        <w:t> </w:t>
      </w:r>
      <w:r>
        <w:rPr/>
        <w:t>high</w:t>
      </w:r>
      <w:r>
        <w:rPr>
          <w:spacing w:val="-8"/>
        </w:rPr>
        <w:t> </w:t>
      </w:r>
      <w:r>
        <w:rPr/>
        <w:t>levels</w:t>
      </w:r>
      <w:r>
        <w:rPr>
          <w:spacing w:val="-8"/>
        </w:rPr>
        <w:t> </w:t>
      </w:r>
      <w:r>
        <w:rPr/>
        <w:t>of</w:t>
      </w:r>
      <w:r>
        <w:rPr>
          <w:spacing w:val="-8"/>
        </w:rPr>
        <w:t> </w:t>
      </w:r>
      <w:r>
        <w:rPr/>
        <w:t>ESG</w:t>
      </w:r>
      <w:r>
        <w:rPr>
          <w:spacing w:val="-8"/>
        </w:rPr>
        <w:t> </w:t>
      </w:r>
      <w:r>
        <w:rPr/>
        <w:t>risk.</w:t>
      </w:r>
      <w:r>
        <w:rPr>
          <w:vertAlign w:val="superscript"/>
        </w:rPr>
        <w:t>238</w:t>
      </w:r>
      <w:r>
        <w:rPr>
          <w:spacing w:val="-9"/>
          <w:vertAlign w:val="baseline"/>
        </w:rPr>
        <w:t> </w:t>
      </w:r>
      <w:r>
        <w:rPr>
          <w:vertAlign w:val="baseline"/>
        </w:rPr>
        <w:t>Beijing</w:t>
      </w:r>
      <w:r>
        <w:rPr>
          <w:spacing w:val="-8"/>
          <w:vertAlign w:val="baseline"/>
        </w:rPr>
        <w:t> </w:t>
      </w:r>
      <w:r>
        <w:rPr>
          <w:vertAlign w:val="baseline"/>
        </w:rPr>
        <w:t>is taking active measures to meet this challenge. Whether its competitors will do the same is an open question.</w:t>
      </w:r>
    </w:p>
    <w:p>
      <w:pPr>
        <w:pStyle w:val="BodyText"/>
        <w:spacing w:before="9"/>
        <w:rPr>
          <w:sz w:val="27"/>
        </w:rPr>
      </w:pPr>
    </w:p>
    <w:p>
      <w:pPr>
        <w:pStyle w:val="Heading3"/>
        <w:spacing w:line="312" w:lineRule="auto"/>
      </w:pPr>
      <w:r>
        <w:rPr/>
        <w:t>Section</w:t>
      </w:r>
      <w:r>
        <w:rPr>
          <w:spacing w:val="-11"/>
        </w:rPr>
        <w:t> </w:t>
      </w:r>
      <w:r>
        <w:rPr/>
        <w:t>2:</w:t>
      </w:r>
      <w:r>
        <w:rPr>
          <w:spacing w:val="-10"/>
        </w:rPr>
        <w:t> </w:t>
      </w:r>
      <w:r>
        <w:rPr/>
        <w:t>Measuring</w:t>
      </w:r>
      <w:r>
        <w:rPr>
          <w:spacing w:val="-11"/>
        </w:rPr>
        <w:t> </w:t>
      </w:r>
      <w:r>
        <w:rPr/>
        <w:t>the</w:t>
      </w:r>
      <w:r>
        <w:rPr>
          <w:spacing w:val="-11"/>
        </w:rPr>
        <w:t> </w:t>
      </w:r>
      <w:r>
        <w:rPr/>
        <w:t>scope</w:t>
      </w:r>
      <w:r>
        <w:rPr>
          <w:spacing w:val="-11"/>
        </w:rPr>
        <w:t> </w:t>
      </w:r>
      <w:r>
        <w:rPr/>
        <w:t>and</w:t>
      </w:r>
      <w:r>
        <w:rPr>
          <w:spacing w:val="-11"/>
        </w:rPr>
        <w:t> </w:t>
      </w:r>
      <w:r>
        <w:rPr/>
        <w:t>severity</w:t>
      </w:r>
      <w:r>
        <w:rPr>
          <w:spacing w:val="-10"/>
        </w:rPr>
        <w:t> </w:t>
      </w:r>
      <w:r>
        <w:rPr/>
        <w:t>of</w:t>
      </w:r>
      <w:r>
        <w:rPr>
          <w:spacing w:val="-10"/>
        </w:rPr>
        <w:t> </w:t>
      </w:r>
      <w:r>
        <w:rPr/>
        <w:t>ESG</w:t>
      </w:r>
      <w:r>
        <w:rPr>
          <w:spacing w:val="-11"/>
        </w:rPr>
        <w:t> </w:t>
      </w:r>
      <w:r>
        <w:rPr/>
        <w:t>risk exposure in China's infrastructure project portfolio</w:t>
      </w:r>
    </w:p>
    <w:p>
      <w:pPr>
        <w:pStyle w:val="BodyText"/>
        <w:spacing w:line="333" w:lineRule="auto" w:before="162"/>
        <w:ind w:left="560" w:right="589"/>
      </w:pPr>
      <w:r>
        <w:rPr/>
        <w:t>We begin by measuring the nature and extent of ESG risk exposure in China’s overseas infrastructure project portfolio—and how it has changed over time.</w:t>
      </w:r>
      <w:r>
        <w:rPr>
          <w:vertAlign w:val="superscript"/>
        </w:rPr>
        <w:t>239</w:t>
      </w:r>
      <w:r>
        <w:rPr>
          <w:vertAlign w:val="baseline"/>
        </w:rPr>
        <w:t> We do so in ﬁve ways. First, we identify whether China is locating large-scale infrastructure projects in environmentally sensitive areas. Second, we analyze whether</w:t>
      </w:r>
      <w:r>
        <w:rPr>
          <w:spacing w:val="-6"/>
          <w:vertAlign w:val="baseline"/>
        </w:rPr>
        <w:t> </w:t>
      </w:r>
      <w:r>
        <w:rPr>
          <w:vertAlign w:val="baseline"/>
        </w:rPr>
        <w:t>China</w:t>
      </w:r>
      <w:r>
        <w:rPr>
          <w:spacing w:val="-6"/>
          <w:vertAlign w:val="baseline"/>
        </w:rPr>
        <w:t> </w:t>
      </w:r>
      <w:r>
        <w:rPr>
          <w:vertAlign w:val="baseline"/>
        </w:rPr>
        <w:t>is</w:t>
      </w:r>
      <w:r>
        <w:rPr>
          <w:spacing w:val="-6"/>
          <w:vertAlign w:val="baseline"/>
        </w:rPr>
        <w:t> </w:t>
      </w:r>
      <w:r>
        <w:rPr>
          <w:vertAlign w:val="baseline"/>
        </w:rPr>
        <w:t>placing</w:t>
      </w:r>
      <w:r>
        <w:rPr>
          <w:spacing w:val="-6"/>
          <w:vertAlign w:val="baseline"/>
        </w:rPr>
        <w:t> </w:t>
      </w:r>
      <w:r>
        <w:rPr>
          <w:vertAlign w:val="baseline"/>
        </w:rPr>
        <w:t>such</w:t>
      </w:r>
      <w:r>
        <w:rPr>
          <w:spacing w:val="-6"/>
          <w:vertAlign w:val="baseline"/>
        </w:rPr>
        <w:t> </w:t>
      </w:r>
      <w:r>
        <w:rPr>
          <w:vertAlign w:val="baseline"/>
        </w:rPr>
        <w:t>projects</w:t>
      </w:r>
      <w:r>
        <w:rPr>
          <w:spacing w:val="-6"/>
          <w:vertAlign w:val="baseline"/>
        </w:rPr>
        <w:t> </w:t>
      </w:r>
      <w:r>
        <w:rPr>
          <w:vertAlign w:val="baseline"/>
        </w:rPr>
        <w:t>in</w:t>
      </w:r>
      <w:r>
        <w:rPr>
          <w:spacing w:val="-6"/>
          <w:vertAlign w:val="baseline"/>
        </w:rPr>
        <w:t> </w:t>
      </w:r>
      <w:r>
        <w:rPr>
          <w:vertAlign w:val="baseline"/>
        </w:rPr>
        <w:t>socially</w:t>
      </w:r>
      <w:r>
        <w:rPr>
          <w:spacing w:val="-6"/>
          <w:vertAlign w:val="baseline"/>
        </w:rPr>
        <w:t> </w:t>
      </w:r>
      <w:r>
        <w:rPr>
          <w:vertAlign w:val="baseline"/>
        </w:rPr>
        <w:t>sensitive</w:t>
      </w:r>
      <w:r>
        <w:rPr>
          <w:spacing w:val="-6"/>
          <w:vertAlign w:val="baseline"/>
        </w:rPr>
        <w:t> </w:t>
      </w:r>
      <w:r>
        <w:rPr>
          <w:vertAlign w:val="baseline"/>
        </w:rPr>
        <w:t>areas—speciﬁcally,</w:t>
      </w:r>
      <w:r>
        <w:rPr>
          <w:spacing w:val="-6"/>
          <w:vertAlign w:val="baseline"/>
        </w:rPr>
        <w:t> </w:t>
      </w:r>
      <w:r>
        <w:rPr>
          <w:vertAlign w:val="baseline"/>
        </w:rPr>
        <w:t>in areas where indigenous populations are often denied free, prior, and informed consent (FPIC). Third, we assess whether China is locating large-scale infrastructure projects in geographical areas that are vulnerable to political capture and manipulation by governing elites in host countries. Fourth, we evaluate the extent to which China is relying on contractors sanctioned for fraudulent and corrupt behavior for the implementation of its overseas infrastructure projects. Fifth, based upon narrative evidence from the 3.0 </w:t>
      </w:r>
      <w:r>
        <w:rPr>
          <w:vertAlign w:val="baseline"/>
        </w:rPr>
        <w:t>version of AidData’s GCDF dataset, we ﬂag all infrastructure projects for which it is known that a signiﬁcant environmental, social, or governance challenge arose before, during, or after implementation.</w:t>
      </w:r>
    </w:p>
    <w:p>
      <w:pPr>
        <w:pStyle w:val="BodyText"/>
        <w:spacing w:before="1"/>
        <w:rPr>
          <w:sz w:val="27"/>
        </w:rPr>
      </w:pPr>
    </w:p>
    <w:p>
      <w:pPr>
        <w:pStyle w:val="BodyText"/>
        <w:spacing w:line="333" w:lineRule="auto"/>
        <w:ind w:left="560" w:right="561"/>
      </w:pPr>
      <w:r>
        <w:rPr/>
        <w:pict>
          <v:shape style="position:absolute;margin-left:90pt;margin-top:174.182312pt;width:144pt;height:.1pt;mso-position-horizontal-relative:page;mso-position-vertical-relative:paragraph;z-index:-15724544;mso-wrap-distance-left:0;mso-wrap-distance-right:0" id="docshape9" coordorigin="1800,3484" coordsize="2880,0" path="m1800,3484l4680,3484e" filled="false" stroked="true" strokeweight=".75pt" strokecolor="#000000">
            <v:path arrowok="t"/>
            <v:stroke dashstyle="solid"/>
            <w10:wrap type="topAndBottom"/>
          </v:shape>
        </w:pict>
      </w:r>
      <w:r>
        <w:rPr/>
        <w:t>Figure A39 presents the cumulative number of Chinese grant- and loan-ﬁnanced infrastructure projects located in environmentally sensitive areas within LICs and MICs between 2000 and 2021. We determine if a given infrastructure project is located in one or more environmentally sensitive areas by ﬁrst merging precisely geocoded data on Chinese ODA- and OOF-ﬁnanced infrastructure project sites with two separate datasets: (1) the boundaries of designated terrestrial and marine protected areas from the World Database on Protected Areas (WDPA), which we convert into a 1 km x 1 km grid cell raster; and (2) the 1 km x 1 km </w:t>
      </w:r>
      <w:r>
        <w:rPr/>
        <w:t>grid cell raster of terrestrial and marine critical habitats (as deﬁned by the</w:t>
      </w:r>
    </w:p>
    <w:p>
      <w:pPr>
        <w:spacing w:line="249" w:lineRule="auto" w:before="110"/>
        <w:ind w:left="560" w:right="561" w:firstLine="0"/>
        <w:jc w:val="left"/>
        <w:rPr>
          <w:sz w:val="18"/>
        </w:rPr>
      </w:pPr>
      <w:r>
        <w:rPr>
          <w:sz w:val="18"/>
          <w:vertAlign w:val="superscript"/>
        </w:rPr>
        <w:t>238</w:t>
      </w:r>
      <w:r>
        <w:rPr>
          <w:spacing w:val="-2"/>
          <w:sz w:val="18"/>
          <w:vertAlign w:val="baseline"/>
        </w:rPr>
        <w:t> </w:t>
      </w:r>
      <w:r>
        <w:rPr>
          <w:sz w:val="18"/>
          <w:vertAlign w:val="baseline"/>
        </w:rPr>
        <w:t>On</w:t>
      </w:r>
      <w:r>
        <w:rPr>
          <w:spacing w:val="-1"/>
          <w:sz w:val="18"/>
          <w:vertAlign w:val="baseline"/>
        </w:rPr>
        <w:t> </w:t>
      </w:r>
      <w:r>
        <w:rPr>
          <w:sz w:val="18"/>
          <w:vertAlign w:val="baseline"/>
        </w:rPr>
        <w:t>this</w:t>
      </w:r>
      <w:r>
        <w:rPr>
          <w:spacing w:val="-1"/>
          <w:sz w:val="18"/>
          <w:vertAlign w:val="baseline"/>
        </w:rPr>
        <w:t> </w:t>
      </w:r>
      <w:r>
        <w:rPr>
          <w:sz w:val="18"/>
          <w:vertAlign w:val="baseline"/>
        </w:rPr>
        <w:t>point,</w:t>
      </w:r>
      <w:r>
        <w:rPr>
          <w:spacing w:val="-1"/>
          <w:sz w:val="18"/>
          <w:vertAlign w:val="baseline"/>
        </w:rPr>
        <w:t> </w:t>
      </w:r>
      <w:r>
        <w:rPr>
          <w:sz w:val="18"/>
          <w:vertAlign w:val="baseline"/>
        </w:rPr>
        <w:t>see</w:t>
      </w:r>
      <w:r>
        <w:rPr>
          <w:spacing w:val="-1"/>
          <w:sz w:val="18"/>
          <w:vertAlign w:val="baseline"/>
        </w:rPr>
        <w:t> </w:t>
      </w:r>
      <w:r>
        <w:rPr>
          <w:sz w:val="18"/>
          <w:vertAlign w:val="baseline"/>
        </w:rPr>
        <w:t>Humphrey</w:t>
      </w:r>
      <w:r>
        <w:rPr>
          <w:spacing w:val="-1"/>
          <w:sz w:val="18"/>
          <w:vertAlign w:val="baseline"/>
        </w:rPr>
        <w:t> </w:t>
      </w:r>
      <w:r>
        <w:rPr>
          <w:sz w:val="18"/>
          <w:vertAlign w:val="baseline"/>
        </w:rPr>
        <w:t>2015;</w:t>
      </w:r>
      <w:r>
        <w:rPr>
          <w:spacing w:val="-1"/>
          <w:sz w:val="18"/>
          <w:vertAlign w:val="baseline"/>
        </w:rPr>
        <w:t> </w:t>
      </w:r>
      <w:r>
        <w:rPr>
          <w:sz w:val="18"/>
          <w:vertAlign w:val="baseline"/>
        </w:rPr>
        <w:t>Dollar</w:t>
      </w:r>
      <w:r>
        <w:rPr>
          <w:spacing w:val="-1"/>
          <w:sz w:val="18"/>
          <w:vertAlign w:val="baseline"/>
        </w:rPr>
        <w:t> </w:t>
      </w:r>
      <w:r>
        <w:rPr>
          <w:sz w:val="18"/>
          <w:vertAlign w:val="baseline"/>
        </w:rPr>
        <w:t>2016;</w:t>
      </w:r>
      <w:r>
        <w:rPr>
          <w:spacing w:val="-1"/>
          <w:sz w:val="18"/>
          <w:vertAlign w:val="baseline"/>
        </w:rPr>
        <w:t> </w:t>
      </w:r>
      <w:r>
        <w:rPr>
          <w:sz w:val="18"/>
          <w:vertAlign w:val="baseline"/>
        </w:rPr>
        <w:t>Swedlund</w:t>
      </w:r>
      <w:r>
        <w:rPr>
          <w:spacing w:val="-1"/>
          <w:sz w:val="18"/>
          <w:vertAlign w:val="baseline"/>
        </w:rPr>
        <w:t> </w:t>
      </w:r>
      <w:r>
        <w:rPr>
          <w:sz w:val="18"/>
          <w:vertAlign w:val="baseline"/>
        </w:rPr>
        <w:t>2017;</w:t>
      </w:r>
      <w:r>
        <w:rPr>
          <w:spacing w:val="-1"/>
          <w:sz w:val="18"/>
          <w:vertAlign w:val="baseline"/>
        </w:rPr>
        <w:t> </w:t>
      </w:r>
      <w:r>
        <w:rPr>
          <w:sz w:val="18"/>
          <w:vertAlign w:val="baseline"/>
        </w:rPr>
        <w:t>Humphrey</w:t>
      </w:r>
      <w:r>
        <w:rPr>
          <w:spacing w:val="-1"/>
          <w:sz w:val="18"/>
          <w:vertAlign w:val="baseline"/>
        </w:rPr>
        <w:t> </w:t>
      </w:r>
      <w:r>
        <w:rPr>
          <w:sz w:val="18"/>
          <w:vertAlign w:val="baseline"/>
        </w:rPr>
        <w:t>and</w:t>
      </w:r>
      <w:r>
        <w:rPr>
          <w:spacing w:val="-1"/>
          <w:sz w:val="18"/>
          <w:vertAlign w:val="baseline"/>
        </w:rPr>
        <w:t> </w:t>
      </w:r>
      <w:r>
        <w:rPr>
          <w:sz w:val="18"/>
          <w:vertAlign w:val="baseline"/>
        </w:rPr>
        <w:t>Michaelowa</w:t>
      </w:r>
      <w:r>
        <w:rPr>
          <w:spacing w:val="-1"/>
          <w:sz w:val="18"/>
          <w:vertAlign w:val="baseline"/>
        </w:rPr>
        <w:t> </w:t>
      </w:r>
      <w:r>
        <w:rPr>
          <w:sz w:val="18"/>
          <w:vertAlign w:val="baseline"/>
        </w:rPr>
        <w:t>2019;</w:t>
      </w:r>
      <w:r>
        <w:rPr>
          <w:spacing w:val="-1"/>
          <w:sz w:val="18"/>
          <w:vertAlign w:val="baseline"/>
        </w:rPr>
        <w:t> </w:t>
      </w:r>
      <w:r>
        <w:rPr>
          <w:sz w:val="18"/>
          <w:vertAlign w:val="baseline"/>
        </w:rPr>
        <w:t>Zeitz 2021; Horigoshi et al. 2022; and Blair et al. 2022b.</w:t>
      </w:r>
    </w:p>
    <w:p>
      <w:pPr>
        <w:spacing w:line="249" w:lineRule="auto" w:before="1"/>
        <w:ind w:left="560" w:right="561" w:firstLine="0"/>
        <w:jc w:val="left"/>
        <w:rPr>
          <w:sz w:val="18"/>
        </w:rPr>
      </w:pPr>
      <w:r>
        <w:rPr>
          <w:sz w:val="18"/>
          <w:vertAlign w:val="superscript"/>
        </w:rPr>
        <w:t>239</w:t>
      </w:r>
      <w:r>
        <w:rPr>
          <w:sz w:val="18"/>
          <w:vertAlign w:val="baseline"/>
        </w:rPr>
        <w:t> Our analysis not only includes active and completed infrastructure projects, but also suspended and canceled</w:t>
      </w:r>
      <w:r>
        <w:rPr>
          <w:spacing w:val="-1"/>
          <w:sz w:val="18"/>
          <w:vertAlign w:val="baseline"/>
        </w:rPr>
        <w:t> </w:t>
      </w:r>
      <w:r>
        <w:rPr>
          <w:sz w:val="18"/>
          <w:vertAlign w:val="baseline"/>
        </w:rPr>
        <w:t>projects.</w:t>
      </w:r>
      <w:r>
        <w:rPr>
          <w:spacing w:val="-1"/>
          <w:sz w:val="18"/>
          <w:vertAlign w:val="baseline"/>
        </w:rPr>
        <w:t> </w:t>
      </w:r>
      <w:r>
        <w:rPr>
          <w:sz w:val="18"/>
          <w:vertAlign w:val="baseline"/>
        </w:rPr>
        <w:t>We</w:t>
      </w:r>
      <w:r>
        <w:rPr>
          <w:spacing w:val="-1"/>
          <w:sz w:val="18"/>
          <w:vertAlign w:val="baseline"/>
        </w:rPr>
        <w:t> </w:t>
      </w:r>
      <w:r>
        <w:rPr>
          <w:sz w:val="18"/>
          <w:vertAlign w:val="baseline"/>
        </w:rPr>
        <w:t>include</w:t>
      </w:r>
      <w:r>
        <w:rPr>
          <w:spacing w:val="-1"/>
          <w:sz w:val="18"/>
          <w:vertAlign w:val="baseline"/>
        </w:rPr>
        <w:t> </w:t>
      </w:r>
      <w:r>
        <w:rPr>
          <w:sz w:val="18"/>
          <w:vertAlign w:val="baseline"/>
        </w:rPr>
        <w:t>suspended</w:t>
      </w:r>
      <w:r>
        <w:rPr>
          <w:spacing w:val="-1"/>
          <w:sz w:val="18"/>
          <w:vertAlign w:val="baseline"/>
        </w:rPr>
        <w:t> </w:t>
      </w:r>
      <w:r>
        <w:rPr>
          <w:sz w:val="18"/>
          <w:vertAlign w:val="baseline"/>
        </w:rPr>
        <w:t>and</w:t>
      </w:r>
      <w:r>
        <w:rPr>
          <w:spacing w:val="-1"/>
          <w:sz w:val="18"/>
          <w:vertAlign w:val="baseline"/>
        </w:rPr>
        <w:t> </w:t>
      </w:r>
      <w:r>
        <w:rPr>
          <w:sz w:val="18"/>
          <w:vertAlign w:val="baseline"/>
        </w:rPr>
        <w:t>canceled</w:t>
      </w:r>
      <w:r>
        <w:rPr>
          <w:spacing w:val="-1"/>
          <w:sz w:val="18"/>
          <w:vertAlign w:val="baseline"/>
        </w:rPr>
        <w:t> </w:t>
      </w:r>
      <w:r>
        <w:rPr>
          <w:sz w:val="18"/>
          <w:vertAlign w:val="baseline"/>
        </w:rPr>
        <w:t>projects</w:t>
      </w:r>
      <w:r>
        <w:rPr>
          <w:spacing w:val="-1"/>
          <w:sz w:val="18"/>
          <w:vertAlign w:val="baseline"/>
        </w:rPr>
        <w:t> </w:t>
      </w:r>
      <w:r>
        <w:rPr>
          <w:sz w:val="18"/>
          <w:vertAlign w:val="baseline"/>
        </w:rPr>
        <w:t>to</w:t>
      </w:r>
      <w:r>
        <w:rPr>
          <w:spacing w:val="-1"/>
          <w:sz w:val="18"/>
          <w:vertAlign w:val="baseline"/>
        </w:rPr>
        <w:t> </w:t>
      </w:r>
      <w:r>
        <w:rPr>
          <w:sz w:val="18"/>
          <w:vertAlign w:val="baseline"/>
        </w:rPr>
        <w:t>avoid</w:t>
      </w:r>
      <w:r>
        <w:rPr>
          <w:spacing w:val="-1"/>
          <w:sz w:val="18"/>
          <w:vertAlign w:val="baseline"/>
        </w:rPr>
        <w:t> </w:t>
      </w:r>
      <w:r>
        <w:rPr>
          <w:sz w:val="18"/>
          <w:vertAlign w:val="baseline"/>
        </w:rPr>
        <w:t>sample</w:t>
      </w:r>
      <w:r>
        <w:rPr>
          <w:spacing w:val="-1"/>
          <w:sz w:val="18"/>
          <w:vertAlign w:val="baseline"/>
        </w:rPr>
        <w:t> </w:t>
      </w:r>
      <w:r>
        <w:rPr>
          <w:sz w:val="18"/>
          <w:vertAlign w:val="baseline"/>
        </w:rPr>
        <w:t>selection</w:t>
      </w:r>
      <w:r>
        <w:rPr>
          <w:spacing w:val="-1"/>
          <w:sz w:val="18"/>
          <w:vertAlign w:val="baseline"/>
        </w:rPr>
        <w:t> </w:t>
      </w:r>
      <w:r>
        <w:rPr>
          <w:sz w:val="18"/>
          <w:vertAlign w:val="baseline"/>
        </w:rPr>
        <w:t>bias,</w:t>
      </w:r>
      <w:r>
        <w:rPr>
          <w:spacing w:val="-1"/>
          <w:sz w:val="18"/>
          <w:vertAlign w:val="baseline"/>
        </w:rPr>
        <w:t> </w:t>
      </w:r>
      <w:r>
        <w:rPr>
          <w:sz w:val="18"/>
          <w:vertAlign w:val="baseline"/>
        </w:rPr>
        <w:t>since</w:t>
      </w:r>
      <w:r>
        <w:rPr>
          <w:spacing w:val="-1"/>
          <w:sz w:val="18"/>
          <w:vertAlign w:val="baseline"/>
        </w:rPr>
        <w:t> </w:t>
      </w:r>
      <w:r>
        <w:rPr>
          <w:sz w:val="18"/>
          <w:vertAlign w:val="baseline"/>
        </w:rPr>
        <w:t>such projects are more likely to present signiﬁcant ESG risks (Lu et al. 2023b).</w:t>
      </w:r>
    </w:p>
    <w:p>
      <w:pPr>
        <w:spacing w:after="0" w:line="249" w:lineRule="auto"/>
        <w:jc w:val="left"/>
        <w:rPr>
          <w:sz w:val="18"/>
        </w:rPr>
        <w:sectPr>
          <w:pgSz w:w="12240" w:h="15840"/>
          <w:pgMar w:header="0" w:footer="720" w:top="1360" w:bottom="920" w:left="1240" w:right="1260"/>
        </w:sectPr>
      </w:pPr>
    </w:p>
    <w:p>
      <w:pPr>
        <w:pStyle w:val="BodyText"/>
        <w:spacing w:line="333" w:lineRule="auto" w:before="67"/>
        <w:ind w:left="560" w:right="561"/>
      </w:pPr>
      <w:r>
        <w:rPr/>
        <w:t>International</w:t>
      </w:r>
      <w:r>
        <w:rPr>
          <w:spacing w:val="-7"/>
        </w:rPr>
        <w:t> </w:t>
      </w:r>
      <w:r>
        <w:rPr/>
        <w:t>Finance</w:t>
      </w:r>
      <w:r>
        <w:rPr>
          <w:spacing w:val="-7"/>
        </w:rPr>
        <w:t> </w:t>
      </w:r>
      <w:r>
        <w:rPr/>
        <w:t>Corporation’s</w:t>
      </w:r>
      <w:r>
        <w:rPr>
          <w:spacing w:val="-7"/>
        </w:rPr>
        <w:t> </w:t>
      </w:r>
      <w:r>
        <w:rPr/>
        <w:t>Performance</w:t>
      </w:r>
      <w:r>
        <w:rPr>
          <w:spacing w:val="-7"/>
        </w:rPr>
        <w:t> </w:t>
      </w:r>
      <w:r>
        <w:rPr/>
        <w:t>Standard</w:t>
      </w:r>
      <w:r>
        <w:rPr>
          <w:spacing w:val="-7"/>
        </w:rPr>
        <w:t> </w:t>
      </w:r>
      <w:r>
        <w:rPr/>
        <w:t>6).</w:t>
      </w:r>
      <w:r>
        <w:rPr>
          <w:vertAlign w:val="superscript"/>
        </w:rPr>
        <w:t>240</w:t>
      </w:r>
      <w:r>
        <w:rPr>
          <w:spacing w:val="-7"/>
          <w:vertAlign w:val="baseline"/>
        </w:rPr>
        <w:t> </w:t>
      </w:r>
      <w:r>
        <w:rPr>
          <w:vertAlign w:val="baseline"/>
        </w:rPr>
        <w:t>We</w:t>
      </w:r>
      <w:r>
        <w:rPr>
          <w:spacing w:val="-7"/>
          <w:vertAlign w:val="baseline"/>
        </w:rPr>
        <w:t> </w:t>
      </w:r>
      <w:r>
        <w:rPr>
          <w:vertAlign w:val="baseline"/>
        </w:rPr>
        <w:t>then</w:t>
      </w:r>
      <w:r>
        <w:rPr>
          <w:spacing w:val="-7"/>
          <w:vertAlign w:val="baseline"/>
        </w:rPr>
        <w:t> </w:t>
      </w:r>
      <w:r>
        <w:rPr>
          <w:vertAlign w:val="baseline"/>
        </w:rPr>
        <w:t>identify the subset of projects with one or more sites that overlap with a terrestrial protected area, a marine protected area, a terrestrial critical habitat, and/or a marine critical habitat.</w:t>
      </w:r>
      <w:r>
        <w:rPr>
          <w:vertAlign w:val="superscript"/>
        </w:rPr>
        <w:t>241</w:t>
      </w:r>
      <w:r>
        <w:rPr>
          <w:vertAlign w:val="baseline"/>
        </w:rPr>
        <w:t> In total, we ﬁnd 1,035 infrastructure projects in 108 countries supported by grants and loans from China worth $233 billion that are located in environmentally sensitive areas.</w:t>
      </w:r>
      <w:r>
        <w:rPr>
          <w:vertAlign w:val="superscript"/>
        </w:rPr>
        <w:t>242</w:t>
      </w:r>
    </w:p>
    <w:p>
      <w:pPr>
        <w:pStyle w:val="BodyText"/>
        <w:spacing w:before="6"/>
        <w:rPr>
          <w:sz w:val="27"/>
        </w:rPr>
      </w:pPr>
    </w:p>
    <w:p>
      <w:pPr>
        <w:pStyle w:val="BodyText"/>
        <w:spacing w:line="333" w:lineRule="auto"/>
        <w:ind w:left="560" w:right="621"/>
      </w:pPr>
      <w:r>
        <w:rPr/>
        <w:t>Figure A40 presents the cumulative number of Chinese grant- and </w:t>
      </w:r>
      <w:r>
        <w:rPr/>
        <w:t>loan-ﬁnanced infrastructure projects located in socially sensitive areas within LICs and MICs between 2000 and 2021. We determine if a given infrastructure project is</w:t>
      </w:r>
      <w:r>
        <w:rPr>
          <w:spacing w:val="80"/>
        </w:rPr>
        <w:t> </w:t>
      </w:r>
      <w:r>
        <w:rPr/>
        <w:t>located in one or more of these areas by ﬁrst merging precisely geocoded data on Chinese ODA- and OOF-ﬁnanced infrastructure project sites with a 1 km x 1 km grid cell raster of indigenous lands.</w:t>
      </w:r>
      <w:r>
        <w:rPr>
          <w:vertAlign w:val="superscript"/>
        </w:rPr>
        <w:t>243</w:t>
      </w:r>
      <w:r>
        <w:rPr>
          <w:vertAlign w:val="baseline"/>
        </w:rPr>
        <w:t> We then identify the subset of projects with one or more sites that overlap with indigenous lands, which is a useful measure of social risk because infrastructure projects can cause local harm by encroaching upon the traditional territories of indigenous communities without free, prior, and informed consent (FPIC).</w:t>
      </w:r>
      <w:r>
        <w:rPr>
          <w:vertAlign w:val="superscript"/>
        </w:rPr>
        <w:t>244</w:t>
      </w:r>
      <w:r>
        <w:rPr>
          <w:vertAlign w:val="baseline"/>
        </w:rPr>
        <w:t> In total, we ﬁnd 547 infrastructure projects in 53 countries supported by grants and loans from China worth $112 billion that are located in socially sensitive areas.</w:t>
      </w:r>
      <w:r>
        <w:rPr>
          <w:vertAlign w:val="superscript"/>
        </w:rPr>
        <w:t>245</w:t>
      </w:r>
    </w:p>
    <w:p>
      <w:pPr>
        <w:pStyle w:val="BodyText"/>
        <w:rPr>
          <w:sz w:val="12"/>
        </w:rPr>
      </w:pPr>
      <w:r>
        <w:rPr/>
        <w:pict>
          <v:shape style="position:absolute;margin-left:90pt;margin-top:8.110888pt;width:144pt;height:.1pt;mso-position-horizontal-relative:page;mso-position-vertical-relative:paragraph;z-index:-15724032;mso-wrap-distance-left:0;mso-wrap-distance-right:0" id="docshape10" coordorigin="1800,162" coordsize="2880,0" path="m1800,162l4680,162e" filled="false" stroked="true" strokeweight=".75pt" strokecolor="#000000">
            <v:path arrowok="t"/>
            <v:stroke dashstyle="solid"/>
            <w10:wrap type="topAndBottom"/>
          </v:shape>
        </w:pict>
      </w:r>
    </w:p>
    <w:p>
      <w:pPr>
        <w:spacing w:line="249" w:lineRule="auto" w:before="113"/>
        <w:ind w:left="560" w:right="561" w:firstLine="0"/>
        <w:jc w:val="left"/>
        <w:rPr>
          <w:sz w:val="18"/>
        </w:rPr>
      </w:pPr>
      <w:r>
        <w:rPr>
          <w:sz w:val="18"/>
          <w:vertAlign w:val="superscript"/>
        </w:rPr>
        <w:t>240</w:t>
      </w:r>
      <w:r>
        <w:rPr>
          <w:spacing w:val="-9"/>
          <w:sz w:val="18"/>
          <w:vertAlign w:val="baseline"/>
        </w:rPr>
        <w:t> </w:t>
      </w:r>
      <w:r>
        <w:rPr>
          <w:sz w:val="18"/>
          <w:vertAlign w:val="baseline"/>
        </w:rPr>
        <w:t>Martin</w:t>
      </w:r>
      <w:r>
        <w:rPr>
          <w:spacing w:val="-9"/>
          <w:sz w:val="18"/>
          <w:vertAlign w:val="baseline"/>
        </w:rPr>
        <w:t> </w:t>
      </w:r>
      <w:r>
        <w:rPr>
          <w:sz w:val="18"/>
          <w:vertAlign w:val="baseline"/>
        </w:rPr>
        <w:t>et</w:t>
      </w:r>
      <w:r>
        <w:rPr>
          <w:spacing w:val="-9"/>
          <w:sz w:val="18"/>
          <w:vertAlign w:val="baseline"/>
        </w:rPr>
        <w:t> </w:t>
      </w:r>
      <w:r>
        <w:rPr>
          <w:sz w:val="18"/>
          <w:vertAlign w:val="baseline"/>
        </w:rPr>
        <w:t>al.</w:t>
      </w:r>
      <w:r>
        <w:rPr>
          <w:spacing w:val="-9"/>
          <w:sz w:val="18"/>
          <w:vertAlign w:val="baseline"/>
        </w:rPr>
        <w:t> </w:t>
      </w:r>
      <w:r>
        <w:rPr>
          <w:sz w:val="18"/>
          <w:vertAlign w:val="baseline"/>
        </w:rPr>
        <w:t>(2015);</w:t>
      </w:r>
      <w:r>
        <w:rPr>
          <w:spacing w:val="-9"/>
          <w:sz w:val="18"/>
          <w:vertAlign w:val="baseline"/>
        </w:rPr>
        <w:t> </w:t>
      </w:r>
      <w:r>
        <w:rPr>
          <w:sz w:val="18"/>
          <w:vertAlign w:val="baseline"/>
        </w:rPr>
        <w:t>Brauneder</w:t>
      </w:r>
      <w:r>
        <w:rPr>
          <w:spacing w:val="-9"/>
          <w:sz w:val="18"/>
          <w:vertAlign w:val="baseline"/>
        </w:rPr>
        <w:t> </w:t>
      </w:r>
      <w:r>
        <w:rPr>
          <w:sz w:val="18"/>
          <w:vertAlign w:val="baseline"/>
        </w:rPr>
        <w:t>et</w:t>
      </w:r>
      <w:r>
        <w:rPr>
          <w:spacing w:val="-9"/>
          <w:sz w:val="18"/>
          <w:vertAlign w:val="baseline"/>
        </w:rPr>
        <w:t> </w:t>
      </w:r>
      <w:r>
        <w:rPr>
          <w:sz w:val="18"/>
          <w:vertAlign w:val="baseline"/>
        </w:rPr>
        <w:t>al.</w:t>
      </w:r>
      <w:r>
        <w:rPr>
          <w:spacing w:val="-9"/>
          <w:sz w:val="18"/>
          <w:vertAlign w:val="baseline"/>
        </w:rPr>
        <w:t> </w:t>
      </w:r>
      <w:r>
        <w:rPr>
          <w:sz w:val="18"/>
          <w:vertAlign w:val="baseline"/>
        </w:rPr>
        <w:t>(2018);</w:t>
      </w:r>
      <w:r>
        <w:rPr>
          <w:spacing w:val="-9"/>
          <w:sz w:val="18"/>
          <w:vertAlign w:val="baseline"/>
        </w:rPr>
        <w:t> </w:t>
      </w:r>
      <w:r>
        <w:rPr>
          <w:sz w:val="18"/>
          <w:vertAlign w:val="baseline"/>
        </w:rPr>
        <w:t>and</w:t>
      </w:r>
      <w:r>
        <w:rPr>
          <w:spacing w:val="-9"/>
          <w:sz w:val="18"/>
          <w:vertAlign w:val="baseline"/>
        </w:rPr>
        <w:t> </w:t>
      </w:r>
      <w:r>
        <w:rPr>
          <w:sz w:val="18"/>
          <w:vertAlign w:val="baseline"/>
        </w:rPr>
        <w:t>UNEP-WCMC</w:t>
      </w:r>
      <w:r>
        <w:rPr>
          <w:spacing w:val="-9"/>
          <w:sz w:val="18"/>
          <w:vertAlign w:val="baseline"/>
        </w:rPr>
        <w:t> </w:t>
      </w:r>
      <w:r>
        <w:rPr>
          <w:sz w:val="18"/>
          <w:vertAlign w:val="baseline"/>
        </w:rPr>
        <w:t>&amp;</w:t>
      </w:r>
      <w:r>
        <w:rPr>
          <w:spacing w:val="-9"/>
          <w:sz w:val="18"/>
          <w:vertAlign w:val="baseline"/>
        </w:rPr>
        <w:t> </w:t>
      </w:r>
      <w:r>
        <w:rPr>
          <w:sz w:val="18"/>
          <w:vertAlign w:val="baseline"/>
        </w:rPr>
        <w:t>IUCN</w:t>
      </w:r>
      <w:r>
        <w:rPr>
          <w:spacing w:val="-9"/>
          <w:sz w:val="18"/>
          <w:vertAlign w:val="baseline"/>
        </w:rPr>
        <w:t> </w:t>
      </w:r>
      <w:r>
        <w:rPr>
          <w:sz w:val="18"/>
          <w:vertAlign w:val="baseline"/>
        </w:rPr>
        <w:t>(2023).</w:t>
      </w:r>
      <w:r>
        <w:rPr>
          <w:spacing w:val="-9"/>
          <w:sz w:val="18"/>
          <w:vertAlign w:val="baseline"/>
        </w:rPr>
        <w:t> </w:t>
      </w:r>
      <w:r>
        <w:rPr>
          <w:sz w:val="18"/>
          <w:vertAlign w:val="baseline"/>
        </w:rPr>
        <w:t>The</w:t>
      </w:r>
      <w:r>
        <w:rPr>
          <w:spacing w:val="-9"/>
          <w:sz w:val="18"/>
          <w:vertAlign w:val="baseline"/>
        </w:rPr>
        <w:t> </w:t>
      </w:r>
      <w:r>
        <w:rPr>
          <w:sz w:val="18"/>
          <w:vertAlign w:val="baseline"/>
        </w:rPr>
        <w:t>International</w:t>
      </w:r>
      <w:r>
        <w:rPr>
          <w:spacing w:val="-9"/>
          <w:sz w:val="18"/>
          <w:vertAlign w:val="baseline"/>
        </w:rPr>
        <w:t> </w:t>
      </w:r>
      <w:r>
        <w:rPr>
          <w:sz w:val="18"/>
          <w:vertAlign w:val="baseline"/>
        </w:rPr>
        <w:t>Finance Corporation’s Performance Standard 6 (PS6) is widely used by international lenders and donors to identify </w:t>
      </w:r>
      <w:r>
        <w:rPr>
          <w:w w:val="105"/>
          <w:sz w:val="18"/>
          <w:vertAlign w:val="baseline"/>
        </w:rPr>
        <w:t>“critical</w:t>
      </w:r>
      <w:r>
        <w:rPr>
          <w:spacing w:val="-9"/>
          <w:w w:val="105"/>
          <w:sz w:val="18"/>
          <w:vertAlign w:val="baseline"/>
        </w:rPr>
        <w:t> </w:t>
      </w:r>
      <w:r>
        <w:rPr>
          <w:w w:val="105"/>
          <w:sz w:val="18"/>
          <w:vertAlign w:val="baseline"/>
        </w:rPr>
        <w:t>habitats,”</w:t>
      </w:r>
      <w:r>
        <w:rPr>
          <w:spacing w:val="-9"/>
          <w:w w:val="105"/>
          <w:sz w:val="18"/>
          <w:vertAlign w:val="baseline"/>
        </w:rPr>
        <w:t> </w:t>
      </w:r>
      <w:r>
        <w:rPr>
          <w:w w:val="105"/>
          <w:sz w:val="18"/>
          <w:vertAlign w:val="baseline"/>
        </w:rPr>
        <w:t>which</w:t>
      </w:r>
      <w:r>
        <w:rPr>
          <w:spacing w:val="-9"/>
          <w:w w:val="105"/>
          <w:sz w:val="18"/>
          <w:vertAlign w:val="baseline"/>
        </w:rPr>
        <w:t> </w:t>
      </w:r>
      <w:r>
        <w:rPr>
          <w:w w:val="105"/>
          <w:sz w:val="18"/>
          <w:vertAlign w:val="baseline"/>
        </w:rPr>
        <w:t>refer</w:t>
      </w:r>
      <w:r>
        <w:rPr>
          <w:spacing w:val="-9"/>
          <w:w w:val="105"/>
          <w:sz w:val="18"/>
          <w:vertAlign w:val="baseline"/>
        </w:rPr>
        <w:t> </w:t>
      </w:r>
      <w:r>
        <w:rPr>
          <w:w w:val="105"/>
          <w:sz w:val="18"/>
          <w:vertAlign w:val="baseline"/>
        </w:rPr>
        <w:t>to</w:t>
      </w:r>
      <w:r>
        <w:rPr>
          <w:spacing w:val="-9"/>
          <w:w w:val="105"/>
          <w:sz w:val="18"/>
          <w:vertAlign w:val="baseline"/>
        </w:rPr>
        <w:t> </w:t>
      </w:r>
      <w:r>
        <w:rPr>
          <w:w w:val="105"/>
          <w:sz w:val="18"/>
          <w:vertAlign w:val="baseline"/>
        </w:rPr>
        <w:t>areas</w:t>
      </w:r>
      <w:r>
        <w:rPr>
          <w:spacing w:val="-9"/>
          <w:w w:val="105"/>
          <w:sz w:val="18"/>
          <w:vertAlign w:val="baseline"/>
        </w:rPr>
        <w:t> </w:t>
      </w:r>
      <w:r>
        <w:rPr>
          <w:w w:val="105"/>
          <w:sz w:val="18"/>
          <w:vertAlign w:val="baseline"/>
        </w:rPr>
        <w:t>of</w:t>
      </w:r>
      <w:r>
        <w:rPr>
          <w:spacing w:val="-9"/>
          <w:w w:val="105"/>
          <w:sz w:val="18"/>
          <w:vertAlign w:val="baseline"/>
        </w:rPr>
        <w:t> </w:t>
      </w:r>
      <w:r>
        <w:rPr>
          <w:w w:val="105"/>
          <w:sz w:val="18"/>
          <w:vertAlign w:val="baseline"/>
        </w:rPr>
        <w:t>high</w:t>
      </w:r>
      <w:r>
        <w:rPr>
          <w:spacing w:val="-9"/>
          <w:w w:val="105"/>
          <w:sz w:val="18"/>
          <w:vertAlign w:val="baseline"/>
        </w:rPr>
        <w:t> </w:t>
      </w:r>
      <w:r>
        <w:rPr>
          <w:w w:val="105"/>
          <w:sz w:val="18"/>
          <w:vertAlign w:val="baseline"/>
        </w:rPr>
        <w:t>biodiversity</w:t>
      </w:r>
      <w:r>
        <w:rPr>
          <w:spacing w:val="-9"/>
          <w:w w:val="105"/>
          <w:sz w:val="18"/>
          <w:vertAlign w:val="baseline"/>
        </w:rPr>
        <w:t> </w:t>
      </w:r>
      <w:r>
        <w:rPr>
          <w:w w:val="105"/>
          <w:sz w:val="18"/>
          <w:vertAlign w:val="baseline"/>
        </w:rPr>
        <w:t>value</w:t>
      </w:r>
      <w:r>
        <w:rPr>
          <w:spacing w:val="-9"/>
          <w:w w:val="105"/>
          <w:sz w:val="18"/>
          <w:vertAlign w:val="baseline"/>
        </w:rPr>
        <w:t> </w:t>
      </w:r>
      <w:r>
        <w:rPr>
          <w:w w:val="105"/>
          <w:sz w:val="18"/>
          <w:vertAlign w:val="baseline"/>
        </w:rPr>
        <w:t>(Narain</w:t>
      </w:r>
      <w:r>
        <w:rPr>
          <w:spacing w:val="-9"/>
          <w:w w:val="105"/>
          <w:sz w:val="18"/>
          <w:vertAlign w:val="baseline"/>
        </w:rPr>
        <w:t> </w:t>
      </w:r>
      <w:r>
        <w:rPr>
          <w:w w:val="105"/>
          <w:sz w:val="18"/>
          <w:vertAlign w:val="baseline"/>
        </w:rPr>
        <w:t>et</w:t>
      </w:r>
      <w:r>
        <w:rPr>
          <w:spacing w:val="-9"/>
          <w:w w:val="105"/>
          <w:sz w:val="18"/>
          <w:vertAlign w:val="baseline"/>
        </w:rPr>
        <w:t> </w:t>
      </w:r>
      <w:r>
        <w:rPr>
          <w:w w:val="105"/>
          <w:sz w:val="18"/>
          <w:vertAlign w:val="baseline"/>
        </w:rPr>
        <w:t>al.</w:t>
      </w:r>
      <w:r>
        <w:rPr>
          <w:spacing w:val="-9"/>
          <w:w w:val="105"/>
          <w:sz w:val="18"/>
          <w:vertAlign w:val="baseline"/>
        </w:rPr>
        <w:t> </w:t>
      </w:r>
      <w:r>
        <w:rPr>
          <w:w w:val="105"/>
          <w:sz w:val="18"/>
          <w:vertAlign w:val="baseline"/>
        </w:rPr>
        <w:t>2020,</w:t>
      </w:r>
      <w:r>
        <w:rPr>
          <w:spacing w:val="-9"/>
          <w:w w:val="105"/>
          <w:sz w:val="18"/>
          <w:vertAlign w:val="baseline"/>
        </w:rPr>
        <w:t> </w:t>
      </w:r>
      <w:r>
        <w:rPr>
          <w:w w:val="105"/>
          <w:sz w:val="18"/>
          <w:vertAlign w:val="baseline"/>
        </w:rPr>
        <w:t>2022).</w:t>
      </w:r>
    </w:p>
    <w:p>
      <w:pPr>
        <w:spacing w:line="249" w:lineRule="auto" w:before="2"/>
        <w:ind w:left="560" w:right="615" w:firstLine="0"/>
        <w:jc w:val="left"/>
        <w:rPr>
          <w:sz w:val="18"/>
        </w:rPr>
      </w:pPr>
      <w:r>
        <w:rPr>
          <w:sz w:val="18"/>
          <w:vertAlign w:val="superscript"/>
        </w:rPr>
        <w:t>241</w:t>
      </w:r>
      <w:r>
        <w:rPr>
          <w:sz w:val="18"/>
          <w:vertAlign w:val="baseline"/>
        </w:rPr>
        <w:t> More speciﬁcally, we identify all Chinese grant- and loan-ﬁnanced infrastructure projects with locations that physically overlap with areas that were designated as terrestrial or marine protected areas or “likely” critical habitats (as deﬁned by PS6) at any point between 2000 and 2021. We exclude all projects without “precise”</w:t>
      </w:r>
      <w:r>
        <w:rPr>
          <w:spacing w:val="30"/>
          <w:sz w:val="18"/>
          <w:vertAlign w:val="baseline"/>
        </w:rPr>
        <w:t> </w:t>
      </w:r>
      <w:r>
        <w:rPr>
          <w:sz w:val="18"/>
          <w:vertAlign w:val="baseline"/>
        </w:rPr>
        <w:t>or</w:t>
      </w:r>
      <w:r>
        <w:rPr>
          <w:spacing w:val="30"/>
          <w:sz w:val="18"/>
          <w:vertAlign w:val="baseline"/>
        </w:rPr>
        <w:t> </w:t>
      </w:r>
      <w:r>
        <w:rPr>
          <w:sz w:val="18"/>
          <w:vertAlign w:val="baseline"/>
        </w:rPr>
        <w:t>“approximate”</w:t>
      </w:r>
      <w:r>
        <w:rPr>
          <w:spacing w:val="30"/>
          <w:sz w:val="18"/>
          <w:vertAlign w:val="baseline"/>
        </w:rPr>
        <w:t> </w:t>
      </w:r>
      <w:r>
        <w:rPr>
          <w:sz w:val="18"/>
          <w:vertAlign w:val="baseline"/>
        </w:rPr>
        <w:t>geocodes</w:t>
      </w:r>
      <w:r>
        <w:rPr>
          <w:spacing w:val="30"/>
          <w:sz w:val="18"/>
          <w:vertAlign w:val="baseline"/>
        </w:rPr>
        <w:t> </w:t>
      </w:r>
      <w:r>
        <w:rPr>
          <w:sz w:val="18"/>
          <w:vertAlign w:val="baseline"/>
        </w:rPr>
        <w:t>from</w:t>
      </w:r>
      <w:r>
        <w:rPr>
          <w:spacing w:val="30"/>
          <w:sz w:val="18"/>
          <w:vertAlign w:val="baseline"/>
        </w:rPr>
        <w:t> </w:t>
      </w:r>
      <w:r>
        <w:rPr>
          <w:sz w:val="18"/>
          <w:vertAlign w:val="baseline"/>
        </w:rPr>
        <w:t>the</w:t>
      </w:r>
      <w:r>
        <w:rPr>
          <w:spacing w:val="30"/>
          <w:sz w:val="18"/>
          <w:vertAlign w:val="baseline"/>
        </w:rPr>
        <w:t> </w:t>
      </w:r>
      <w:r>
        <w:rPr>
          <w:sz w:val="18"/>
          <w:vertAlign w:val="baseline"/>
        </w:rPr>
        <w:t>analysis.</w:t>
      </w:r>
      <w:r>
        <w:rPr>
          <w:spacing w:val="30"/>
          <w:sz w:val="18"/>
          <w:vertAlign w:val="baseline"/>
        </w:rPr>
        <w:t> </w:t>
      </w:r>
      <w:r>
        <w:rPr>
          <w:sz w:val="18"/>
          <w:vertAlign w:val="baseline"/>
        </w:rPr>
        <w:t>A</w:t>
      </w:r>
      <w:r>
        <w:rPr>
          <w:spacing w:val="30"/>
          <w:sz w:val="18"/>
          <w:vertAlign w:val="baseline"/>
        </w:rPr>
        <w:t> </w:t>
      </w:r>
      <w:r>
        <w:rPr>
          <w:sz w:val="18"/>
          <w:vertAlign w:val="baseline"/>
        </w:rPr>
        <w:t>project</w:t>
      </w:r>
      <w:r>
        <w:rPr>
          <w:spacing w:val="30"/>
          <w:sz w:val="18"/>
          <w:vertAlign w:val="baseline"/>
        </w:rPr>
        <w:t> </w:t>
      </w:r>
      <w:r>
        <w:rPr>
          <w:sz w:val="18"/>
          <w:vertAlign w:val="baseline"/>
        </w:rPr>
        <w:t>with</w:t>
      </w:r>
      <w:r>
        <w:rPr>
          <w:spacing w:val="30"/>
          <w:sz w:val="18"/>
          <w:vertAlign w:val="baseline"/>
        </w:rPr>
        <w:t> </w:t>
      </w:r>
      <w:r>
        <w:rPr>
          <w:sz w:val="18"/>
          <w:vertAlign w:val="baseline"/>
        </w:rPr>
        <w:t>“precise”</w:t>
      </w:r>
      <w:r>
        <w:rPr>
          <w:spacing w:val="30"/>
          <w:sz w:val="18"/>
          <w:vertAlign w:val="baseline"/>
        </w:rPr>
        <w:t> </w:t>
      </w:r>
      <w:r>
        <w:rPr>
          <w:sz w:val="18"/>
          <w:vertAlign w:val="baseline"/>
        </w:rPr>
        <w:t>geocodes</w:t>
      </w:r>
      <w:r>
        <w:rPr>
          <w:spacing w:val="30"/>
          <w:sz w:val="18"/>
          <w:vertAlign w:val="baseline"/>
        </w:rPr>
        <w:t> </w:t>
      </w:r>
      <w:r>
        <w:rPr>
          <w:sz w:val="18"/>
          <w:vertAlign w:val="baseline"/>
        </w:rPr>
        <w:t>is</w:t>
      </w:r>
      <w:r>
        <w:rPr>
          <w:spacing w:val="30"/>
          <w:sz w:val="18"/>
          <w:vertAlign w:val="baseline"/>
        </w:rPr>
        <w:t> </w:t>
      </w:r>
      <w:r>
        <w:rPr>
          <w:sz w:val="18"/>
          <w:vertAlign w:val="baseline"/>
        </w:rPr>
        <w:t>one</w:t>
      </w:r>
      <w:r>
        <w:rPr>
          <w:spacing w:val="30"/>
          <w:sz w:val="18"/>
          <w:vertAlign w:val="baseline"/>
        </w:rPr>
        <w:t> </w:t>
      </w:r>
      <w:r>
        <w:rPr>
          <w:sz w:val="18"/>
          <w:vertAlign w:val="baseline"/>
        </w:rPr>
        <w:t>for which have highly precise boundaries of the project’s geofeature(s). A project with “approximate” </w:t>
      </w:r>
      <w:r>
        <w:rPr>
          <w:sz w:val="18"/>
          <w:vertAlign w:val="baseline"/>
        </w:rPr>
        <w:t>geocode</w:t>
      </w:r>
      <w:r>
        <w:rPr>
          <w:spacing w:val="40"/>
          <w:sz w:val="18"/>
          <w:vertAlign w:val="baseline"/>
        </w:rPr>
        <w:t> </w:t>
      </w:r>
      <w:r>
        <w:rPr>
          <w:sz w:val="18"/>
          <w:vertAlign w:val="baseline"/>
        </w:rPr>
        <w:t>is one identiﬁed within a 5 km radius of the precise boundaries of the project’s geofeature(s). As such, all projects</w:t>
      </w:r>
      <w:r>
        <w:rPr>
          <w:spacing w:val="25"/>
          <w:sz w:val="18"/>
          <w:vertAlign w:val="baseline"/>
        </w:rPr>
        <w:t> </w:t>
      </w:r>
      <w:r>
        <w:rPr>
          <w:sz w:val="18"/>
          <w:vertAlign w:val="baseline"/>
        </w:rPr>
        <w:t>geocoded</w:t>
      </w:r>
      <w:r>
        <w:rPr>
          <w:spacing w:val="25"/>
          <w:sz w:val="18"/>
          <w:vertAlign w:val="baseline"/>
        </w:rPr>
        <w:t> </w:t>
      </w:r>
      <w:r>
        <w:rPr>
          <w:sz w:val="18"/>
          <w:vertAlign w:val="baseline"/>
        </w:rPr>
        <w:t>to</w:t>
      </w:r>
      <w:r>
        <w:rPr>
          <w:spacing w:val="25"/>
          <w:sz w:val="18"/>
          <w:vertAlign w:val="baseline"/>
        </w:rPr>
        <w:t> </w:t>
      </w:r>
      <w:r>
        <w:rPr>
          <w:sz w:val="18"/>
          <w:vertAlign w:val="baseline"/>
        </w:rPr>
        <w:t>the</w:t>
      </w:r>
      <w:r>
        <w:rPr>
          <w:spacing w:val="25"/>
          <w:sz w:val="18"/>
          <w:vertAlign w:val="baseline"/>
        </w:rPr>
        <w:t> </w:t>
      </w:r>
      <w:r>
        <w:rPr>
          <w:sz w:val="18"/>
          <w:vertAlign w:val="baseline"/>
        </w:rPr>
        <w:t>ADM8,</w:t>
      </w:r>
      <w:r>
        <w:rPr>
          <w:spacing w:val="25"/>
          <w:sz w:val="18"/>
          <w:vertAlign w:val="baseline"/>
        </w:rPr>
        <w:t> </w:t>
      </w:r>
      <w:r>
        <w:rPr>
          <w:sz w:val="18"/>
          <w:vertAlign w:val="baseline"/>
        </w:rPr>
        <w:t>ADM7,</w:t>
      </w:r>
      <w:r>
        <w:rPr>
          <w:spacing w:val="25"/>
          <w:sz w:val="18"/>
          <w:vertAlign w:val="baseline"/>
        </w:rPr>
        <w:t> </w:t>
      </w:r>
      <w:r>
        <w:rPr>
          <w:sz w:val="18"/>
          <w:vertAlign w:val="baseline"/>
        </w:rPr>
        <w:t>ADM6,</w:t>
      </w:r>
      <w:r>
        <w:rPr>
          <w:spacing w:val="25"/>
          <w:sz w:val="18"/>
          <w:vertAlign w:val="baseline"/>
        </w:rPr>
        <w:t> </w:t>
      </w:r>
      <w:r>
        <w:rPr>
          <w:sz w:val="18"/>
          <w:vertAlign w:val="baseline"/>
        </w:rPr>
        <w:t>ADM5,</w:t>
      </w:r>
      <w:r>
        <w:rPr>
          <w:spacing w:val="25"/>
          <w:sz w:val="18"/>
          <w:vertAlign w:val="baseline"/>
        </w:rPr>
        <w:t> </w:t>
      </w:r>
      <w:r>
        <w:rPr>
          <w:sz w:val="18"/>
          <w:vertAlign w:val="baseline"/>
        </w:rPr>
        <w:t>ADM4,</w:t>
      </w:r>
      <w:r>
        <w:rPr>
          <w:spacing w:val="25"/>
          <w:sz w:val="18"/>
          <w:vertAlign w:val="baseline"/>
        </w:rPr>
        <w:t> </w:t>
      </w:r>
      <w:r>
        <w:rPr>
          <w:sz w:val="18"/>
          <w:vertAlign w:val="baseline"/>
        </w:rPr>
        <w:t>ADM3,</w:t>
      </w:r>
      <w:r>
        <w:rPr>
          <w:spacing w:val="25"/>
          <w:sz w:val="18"/>
          <w:vertAlign w:val="baseline"/>
        </w:rPr>
        <w:t> </w:t>
      </w:r>
      <w:r>
        <w:rPr>
          <w:sz w:val="18"/>
          <w:vertAlign w:val="baseline"/>
        </w:rPr>
        <w:t>ADM2,</w:t>
      </w:r>
      <w:r>
        <w:rPr>
          <w:spacing w:val="25"/>
          <w:sz w:val="18"/>
          <w:vertAlign w:val="baseline"/>
        </w:rPr>
        <w:t> </w:t>
      </w:r>
      <w:r>
        <w:rPr>
          <w:sz w:val="18"/>
          <w:vertAlign w:val="baseline"/>
        </w:rPr>
        <w:t>ADM1,</w:t>
      </w:r>
      <w:r>
        <w:rPr>
          <w:spacing w:val="25"/>
          <w:sz w:val="18"/>
          <w:vertAlign w:val="baseline"/>
        </w:rPr>
        <w:t> </w:t>
      </w:r>
      <w:r>
        <w:rPr>
          <w:sz w:val="18"/>
          <w:vertAlign w:val="baseline"/>
        </w:rPr>
        <w:t>and</w:t>
      </w:r>
      <w:r>
        <w:rPr>
          <w:spacing w:val="25"/>
          <w:sz w:val="18"/>
          <w:vertAlign w:val="baseline"/>
        </w:rPr>
        <w:t> </w:t>
      </w:r>
      <w:r>
        <w:rPr>
          <w:sz w:val="18"/>
          <w:vertAlign w:val="baseline"/>
        </w:rPr>
        <w:t>ADM0</w:t>
      </w:r>
      <w:r>
        <w:rPr>
          <w:spacing w:val="25"/>
          <w:sz w:val="18"/>
          <w:vertAlign w:val="baseline"/>
        </w:rPr>
        <w:t> </w:t>
      </w:r>
      <w:r>
        <w:rPr>
          <w:sz w:val="18"/>
          <w:vertAlign w:val="baseline"/>
        </w:rPr>
        <w:t>levels are excluded.</w:t>
      </w:r>
    </w:p>
    <w:p>
      <w:pPr>
        <w:spacing w:line="249" w:lineRule="auto" w:before="6"/>
        <w:ind w:left="560" w:right="561" w:firstLine="0"/>
        <w:jc w:val="left"/>
        <w:rPr>
          <w:sz w:val="18"/>
        </w:rPr>
      </w:pPr>
      <w:r>
        <w:rPr>
          <w:sz w:val="18"/>
          <w:vertAlign w:val="superscript"/>
        </w:rPr>
        <w:t>242</w:t>
      </w:r>
      <w:r>
        <w:rPr>
          <w:sz w:val="18"/>
          <w:vertAlign w:val="baseline"/>
        </w:rPr>
        <w:t> Environmentalists have expressed particular concerns about the siting of Chinese government-ﬁnanced infrastructure projects in geographical areas that may facilitate legal and illegal logging, agricultural </w:t>
      </w:r>
      <w:r>
        <w:rPr>
          <w:sz w:val="18"/>
          <w:vertAlign w:val="baseline"/>
        </w:rPr>
        <w:t>frontier expansion, and human settlements in previously remote or pristine areas (Laurance et al. 2015; Yang et al. 2021; Baehr et al. 2022).</w:t>
      </w:r>
    </w:p>
    <w:p>
      <w:pPr>
        <w:spacing w:before="3"/>
        <w:ind w:left="560" w:right="0" w:firstLine="0"/>
        <w:jc w:val="left"/>
        <w:rPr>
          <w:sz w:val="18"/>
        </w:rPr>
      </w:pPr>
      <w:r>
        <w:rPr>
          <w:sz w:val="18"/>
          <w:vertAlign w:val="superscript"/>
        </w:rPr>
        <w:t>243</w:t>
      </w:r>
      <w:r>
        <w:rPr>
          <w:spacing w:val="1"/>
          <w:sz w:val="18"/>
          <w:vertAlign w:val="baseline"/>
        </w:rPr>
        <w:t> </w:t>
      </w:r>
      <w:r>
        <w:rPr>
          <w:sz w:val="18"/>
          <w:vertAlign w:val="baseline"/>
        </w:rPr>
        <w:t>Garnett</w:t>
      </w:r>
      <w:r>
        <w:rPr>
          <w:spacing w:val="2"/>
          <w:sz w:val="18"/>
          <w:vertAlign w:val="baseline"/>
        </w:rPr>
        <w:t> </w:t>
      </w:r>
      <w:r>
        <w:rPr>
          <w:sz w:val="18"/>
          <w:vertAlign w:val="baseline"/>
        </w:rPr>
        <w:t>et</w:t>
      </w:r>
      <w:r>
        <w:rPr>
          <w:spacing w:val="2"/>
          <w:sz w:val="18"/>
          <w:vertAlign w:val="baseline"/>
        </w:rPr>
        <w:t> </w:t>
      </w:r>
      <w:r>
        <w:rPr>
          <w:sz w:val="18"/>
          <w:vertAlign w:val="baseline"/>
        </w:rPr>
        <w:t>al.</w:t>
      </w:r>
      <w:r>
        <w:rPr>
          <w:spacing w:val="3"/>
          <w:sz w:val="18"/>
          <w:vertAlign w:val="baseline"/>
        </w:rPr>
        <w:t> </w:t>
      </w:r>
      <w:r>
        <w:rPr>
          <w:spacing w:val="-2"/>
          <w:sz w:val="18"/>
          <w:vertAlign w:val="baseline"/>
        </w:rPr>
        <w:t>2018.</w:t>
      </w:r>
    </w:p>
    <w:p>
      <w:pPr>
        <w:spacing w:line="249" w:lineRule="auto" w:before="9"/>
        <w:ind w:left="560" w:right="561" w:firstLine="0"/>
        <w:jc w:val="left"/>
        <w:rPr>
          <w:sz w:val="18"/>
        </w:rPr>
      </w:pPr>
      <w:r>
        <w:rPr>
          <w:sz w:val="18"/>
          <w:vertAlign w:val="superscript"/>
        </w:rPr>
        <w:t>244</w:t>
      </w:r>
      <w:r>
        <w:rPr>
          <w:sz w:val="18"/>
          <w:vertAlign w:val="baseline"/>
        </w:rPr>
        <w:t> Free, prior, and informed consent (FPIC) refers to the right of Indigenous Peoples to provide or </w:t>
      </w:r>
      <w:r>
        <w:rPr>
          <w:sz w:val="18"/>
          <w:vertAlign w:val="baseline"/>
        </w:rPr>
        <w:t>withhold consent, at any point, for development projects affecting their territories. It is a right granted to Indigenous Peoples in the UN Declaration on the Rights of Indigenous Peoples (UNDRIP) and it is based on the principle that “all peoples have the right to self-determination.” UNDRIP requires states to “consult and cooperate</w:t>
      </w:r>
      <w:r>
        <w:rPr>
          <w:spacing w:val="28"/>
          <w:sz w:val="18"/>
          <w:vertAlign w:val="baseline"/>
        </w:rPr>
        <w:t> </w:t>
      </w:r>
      <w:r>
        <w:rPr>
          <w:sz w:val="18"/>
          <w:vertAlign w:val="baseline"/>
        </w:rPr>
        <w:t>in</w:t>
      </w:r>
      <w:r>
        <w:rPr>
          <w:spacing w:val="28"/>
          <w:sz w:val="18"/>
          <w:vertAlign w:val="baseline"/>
        </w:rPr>
        <w:t> </w:t>
      </w:r>
      <w:r>
        <w:rPr>
          <w:sz w:val="18"/>
          <w:vertAlign w:val="baseline"/>
        </w:rPr>
        <w:t>good</w:t>
      </w:r>
      <w:r>
        <w:rPr>
          <w:spacing w:val="28"/>
          <w:sz w:val="18"/>
          <w:vertAlign w:val="baseline"/>
        </w:rPr>
        <w:t> </w:t>
      </w:r>
      <w:r>
        <w:rPr>
          <w:sz w:val="18"/>
          <w:vertAlign w:val="baseline"/>
        </w:rPr>
        <w:t>faith</w:t>
      </w:r>
      <w:r>
        <w:rPr>
          <w:spacing w:val="28"/>
          <w:sz w:val="18"/>
          <w:vertAlign w:val="baseline"/>
        </w:rPr>
        <w:t> </w:t>
      </w:r>
      <w:r>
        <w:rPr>
          <w:sz w:val="18"/>
          <w:vertAlign w:val="baseline"/>
        </w:rPr>
        <w:t>with</w:t>
      </w:r>
      <w:r>
        <w:rPr>
          <w:spacing w:val="28"/>
          <w:sz w:val="18"/>
          <w:vertAlign w:val="baseline"/>
        </w:rPr>
        <w:t> </w:t>
      </w:r>
      <w:r>
        <w:rPr>
          <w:sz w:val="18"/>
          <w:vertAlign w:val="baseline"/>
        </w:rPr>
        <w:t>the</w:t>
      </w:r>
      <w:r>
        <w:rPr>
          <w:spacing w:val="28"/>
          <w:sz w:val="18"/>
          <w:vertAlign w:val="baseline"/>
        </w:rPr>
        <w:t> </w:t>
      </w:r>
      <w:r>
        <w:rPr>
          <w:sz w:val="18"/>
          <w:vertAlign w:val="baseline"/>
        </w:rPr>
        <w:t>indigenous</w:t>
      </w:r>
      <w:r>
        <w:rPr>
          <w:spacing w:val="28"/>
          <w:sz w:val="18"/>
          <w:vertAlign w:val="baseline"/>
        </w:rPr>
        <w:t> </w:t>
      </w:r>
      <w:r>
        <w:rPr>
          <w:sz w:val="18"/>
          <w:vertAlign w:val="baseline"/>
        </w:rPr>
        <w:t>peoples</w:t>
      </w:r>
      <w:r>
        <w:rPr>
          <w:spacing w:val="28"/>
          <w:sz w:val="18"/>
          <w:vertAlign w:val="baseline"/>
        </w:rPr>
        <w:t> </w:t>
      </w:r>
      <w:r>
        <w:rPr>
          <w:sz w:val="18"/>
          <w:vertAlign w:val="baseline"/>
        </w:rPr>
        <w:t>concerned</w:t>
      </w:r>
      <w:r>
        <w:rPr>
          <w:spacing w:val="28"/>
          <w:sz w:val="18"/>
          <w:vertAlign w:val="baseline"/>
        </w:rPr>
        <w:t> </w:t>
      </w:r>
      <w:r>
        <w:rPr>
          <w:sz w:val="18"/>
          <w:vertAlign w:val="baseline"/>
        </w:rPr>
        <w:t>through</w:t>
      </w:r>
      <w:r>
        <w:rPr>
          <w:spacing w:val="28"/>
          <w:sz w:val="18"/>
          <w:vertAlign w:val="baseline"/>
        </w:rPr>
        <w:t> </w:t>
      </w:r>
      <w:r>
        <w:rPr>
          <w:sz w:val="18"/>
          <w:vertAlign w:val="baseline"/>
        </w:rPr>
        <w:t>their</w:t>
      </w:r>
      <w:r>
        <w:rPr>
          <w:spacing w:val="28"/>
          <w:sz w:val="18"/>
          <w:vertAlign w:val="baseline"/>
        </w:rPr>
        <w:t> </w:t>
      </w:r>
      <w:r>
        <w:rPr>
          <w:sz w:val="18"/>
          <w:vertAlign w:val="baseline"/>
        </w:rPr>
        <w:t>own</w:t>
      </w:r>
      <w:r>
        <w:rPr>
          <w:spacing w:val="28"/>
          <w:sz w:val="18"/>
          <w:vertAlign w:val="baseline"/>
        </w:rPr>
        <w:t> </w:t>
      </w:r>
      <w:r>
        <w:rPr>
          <w:sz w:val="18"/>
          <w:vertAlign w:val="baseline"/>
        </w:rPr>
        <w:t>representative institutions in order to obtain their free, prior and informed consent before adopting and implementing</w:t>
      </w:r>
      <w:r>
        <w:rPr>
          <w:spacing w:val="40"/>
          <w:sz w:val="18"/>
          <w:vertAlign w:val="baseline"/>
        </w:rPr>
        <w:t> </w:t>
      </w:r>
      <w:r>
        <w:rPr>
          <w:sz w:val="18"/>
          <w:vertAlign w:val="baseline"/>
        </w:rPr>
        <w:t>legislative or administrative measures that may affect them.”</w:t>
      </w:r>
    </w:p>
    <w:p>
      <w:pPr>
        <w:spacing w:line="249" w:lineRule="auto" w:before="5"/>
        <w:ind w:left="560" w:right="561" w:firstLine="0"/>
        <w:jc w:val="left"/>
        <w:rPr>
          <w:sz w:val="18"/>
        </w:rPr>
      </w:pPr>
      <w:r>
        <w:rPr>
          <w:sz w:val="18"/>
          <w:vertAlign w:val="superscript"/>
        </w:rPr>
        <w:t>245</w:t>
      </w:r>
      <w:r>
        <w:rPr>
          <w:sz w:val="18"/>
          <w:vertAlign w:val="baseline"/>
        </w:rPr>
        <w:t> The decision to locate an infrastructure project within or outside the traditional territories of </w:t>
      </w:r>
      <w:r>
        <w:rPr>
          <w:sz w:val="18"/>
          <w:vertAlign w:val="baseline"/>
        </w:rPr>
        <w:t>indigenous communities is only one way of understanding the social risk proﬁle of such a project. Consistent with the existing literature, we focus on this dimension of social risk because it can be consistently measured over geographic space and time for nearly all infrastructure projects (e.g., Yang et al. 2021).</w:t>
      </w:r>
    </w:p>
    <w:p>
      <w:pPr>
        <w:spacing w:after="0" w:line="249" w:lineRule="auto"/>
        <w:jc w:val="left"/>
        <w:rPr>
          <w:sz w:val="18"/>
        </w:rPr>
        <w:sectPr>
          <w:pgSz w:w="12240" w:h="15840"/>
          <w:pgMar w:header="0" w:footer="720" w:top="1360" w:bottom="920" w:left="1240" w:right="1260"/>
        </w:sectPr>
      </w:pPr>
    </w:p>
    <w:p>
      <w:pPr>
        <w:pStyle w:val="BodyText"/>
        <w:spacing w:line="333" w:lineRule="auto" w:before="27"/>
        <w:ind w:left="560" w:right="561"/>
      </w:pPr>
      <w:r>
        <w:rPr/>
        <w:t>Figure A41 presents the cumulative number of Chinese grant- and </w:t>
      </w:r>
      <w:r>
        <w:rPr/>
        <w:t>loan-ﬁnanced infrastructure projects located in geographical areas within LICs and MICs that are vulnerable to political capture and manipulation between 2000 and 2021.</w:t>
      </w:r>
    </w:p>
    <w:p>
      <w:pPr>
        <w:pStyle w:val="BodyText"/>
        <w:spacing w:line="333" w:lineRule="auto"/>
        <w:ind w:left="560" w:right="561"/>
      </w:pPr>
      <w:r>
        <w:rPr/>
        <w:t>We determine if a given infrastructure project is located in one or more of </w:t>
      </w:r>
      <w:r>
        <w:rPr/>
        <w:t>these areas by ﬁrst merging precisely geocoded data on Chinese ODA- and</w:t>
      </w:r>
    </w:p>
    <w:p>
      <w:pPr>
        <w:pStyle w:val="BodyText"/>
        <w:spacing w:line="333" w:lineRule="auto"/>
        <w:ind w:left="560" w:right="680"/>
      </w:pPr>
      <w:r>
        <w:rPr>
          <w:w w:val="105"/>
        </w:rPr>
        <w:t>OOF-ﬁnanced</w:t>
      </w:r>
      <w:r>
        <w:rPr>
          <w:spacing w:val="-18"/>
          <w:w w:val="105"/>
        </w:rPr>
        <w:t> </w:t>
      </w:r>
      <w:r>
        <w:rPr>
          <w:w w:val="105"/>
        </w:rPr>
        <w:t>infrastructure</w:t>
      </w:r>
      <w:r>
        <w:rPr>
          <w:spacing w:val="-17"/>
          <w:w w:val="105"/>
        </w:rPr>
        <w:t> </w:t>
      </w:r>
      <w:r>
        <w:rPr>
          <w:w w:val="105"/>
        </w:rPr>
        <w:t>project</w:t>
      </w:r>
      <w:r>
        <w:rPr>
          <w:spacing w:val="-18"/>
          <w:w w:val="105"/>
        </w:rPr>
        <w:t> </w:t>
      </w:r>
      <w:r>
        <w:rPr>
          <w:w w:val="105"/>
        </w:rPr>
        <w:t>sites</w:t>
      </w:r>
      <w:r>
        <w:rPr>
          <w:spacing w:val="-18"/>
          <w:w w:val="105"/>
        </w:rPr>
        <w:t> </w:t>
      </w:r>
      <w:r>
        <w:rPr>
          <w:w w:val="105"/>
        </w:rPr>
        <w:t>with</w:t>
      </w:r>
      <w:r>
        <w:rPr>
          <w:spacing w:val="-17"/>
          <w:w w:val="105"/>
        </w:rPr>
        <w:t> </w:t>
      </w:r>
      <w:r>
        <w:rPr>
          <w:w w:val="105"/>
        </w:rPr>
        <w:t>the</w:t>
      </w:r>
      <w:r>
        <w:rPr>
          <w:spacing w:val="-18"/>
          <w:w w:val="105"/>
        </w:rPr>
        <w:t> </w:t>
      </w:r>
      <w:r>
        <w:rPr>
          <w:w w:val="105"/>
        </w:rPr>
        <w:t>Political</w:t>
      </w:r>
      <w:r>
        <w:rPr>
          <w:spacing w:val="-17"/>
          <w:w w:val="105"/>
        </w:rPr>
        <w:t> </w:t>
      </w:r>
      <w:r>
        <w:rPr>
          <w:w w:val="105"/>
        </w:rPr>
        <w:t>Leaders’</w:t>
      </w:r>
      <w:r>
        <w:rPr>
          <w:spacing w:val="-18"/>
          <w:w w:val="105"/>
        </w:rPr>
        <w:t> </w:t>
      </w:r>
      <w:r>
        <w:rPr>
          <w:w w:val="105"/>
        </w:rPr>
        <w:t>Afﬁliation </w:t>
      </w:r>
      <w:r>
        <w:rPr/>
        <w:t>Database</w:t>
      </w:r>
      <w:r>
        <w:rPr>
          <w:spacing w:val="-3"/>
        </w:rPr>
        <w:t> </w:t>
      </w:r>
      <w:r>
        <w:rPr/>
        <w:t>(PLAD),</w:t>
      </w:r>
      <w:r>
        <w:rPr>
          <w:spacing w:val="-3"/>
        </w:rPr>
        <w:t> </w:t>
      </w:r>
      <w:r>
        <w:rPr/>
        <w:t>which</w:t>
      </w:r>
      <w:r>
        <w:rPr>
          <w:spacing w:val="-3"/>
        </w:rPr>
        <w:t> </w:t>
      </w:r>
      <w:r>
        <w:rPr/>
        <w:t>identiﬁes</w:t>
      </w:r>
      <w:r>
        <w:rPr>
          <w:spacing w:val="-3"/>
        </w:rPr>
        <w:t> </w:t>
      </w:r>
      <w:r>
        <w:rPr/>
        <w:t>the</w:t>
      </w:r>
      <w:r>
        <w:rPr>
          <w:spacing w:val="-3"/>
        </w:rPr>
        <w:t> </w:t>
      </w:r>
      <w:r>
        <w:rPr/>
        <w:t>home</w:t>
      </w:r>
      <w:r>
        <w:rPr>
          <w:spacing w:val="-3"/>
        </w:rPr>
        <w:t> </w:t>
      </w:r>
      <w:r>
        <w:rPr/>
        <w:t>(birth)</w:t>
      </w:r>
      <w:r>
        <w:rPr>
          <w:spacing w:val="-3"/>
        </w:rPr>
        <w:t> </w:t>
      </w:r>
      <w:r>
        <w:rPr/>
        <w:t>districts</w:t>
      </w:r>
      <w:r>
        <w:rPr>
          <w:spacing w:val="-3"/>
        </w:rPr>
        <w:t> </w:t>
      </w:r>
      <w:r>
        <w:rPr/>
        <w:t>(ADM2s)</w:t>
      </w:r>
      <w:r>
        <w:rPr>
          <w:spacing w:val="-3"/>
        </w:rPr>
        <w:t> </w:t>
      </w:r>
      <w:r>
        <w:rPr/>
        <w:t>of</w:t>
      </w:r>
      <w:r>
        <w:rPr>
          <w:spacing w:val="-3"/>
        </w:rPr>
        <w:t> </w:t>
      </w:r>
      <w:r>
        <w:rPr/>
        <w:t>political leaders</w:t>
      </w:r>
      <w:r>
        <w:rPr>
          <w:spacing w:val="-10"/>
        </w:rPr>
        <w:t> </w:t>
      </w:r>
      <w:r>
        <w:rPr/>
        <w:t>in</w:t>
      </w:r>
      <w:r>
        <w:rPr>
          <w:spacing w:val="-10"/>
        </w:rPr>
        <w:t> </w:t>
      </w:r>
      <w:r>
        <w:rPr/>
        <w:t>LICs</w:t>
      </w:r>
      <w:r>
        <w:rPr>
          <w:spacing w:val="-10"/>
        </w:rPr>
        <w:t> </w:t>
      </w:r>
      <w:r>
        <w:rPr/>
        <w:t>and</w:t>
      </w:r>
      <w:r>
        <w:rPr>
          <w:spacing w:val="-10"/>
        </w:rPr>
        <w:t> </w:t>
      </w:r>
      <w:r>
        <w:rPr/>
        <w:t>MICs.</w:t>
      </w:r>
      <w:r>
        <w:rPr>
          <w:vertAlign w:val="superscript"/>
        </w:rPr>
        <w:t>246</w:t>
      </w:r>
      <w:r>
        <w:rPr>
          <w:spacing w:val="-11"/>
          <w:vertAlign w:val="baseline"/>
        </w:rPr>
        <w:t> </w:t>
      </w:r>
      <w:r>
        <w:rPr>
          <w:vertAlign w:val="baseline"/>
        </w:rPr>
        <w:t>Previous</w:t>
      </w:r>
      <w:r>
        <w:rPr>
          <w:spacing w:val="-10"/>
          <w:vertAlign w:val="baseline"/>
        </w:rPr>
        <w:t> </w:t>
      </w:r>
      <w:r>
        <w:rPr>
          <w:vertAlign w:val="baseline"/>
        </w:rPr>
        <w:t>research</w:t>
      </w:r>
      <w:r>
        <w:rPr>
          <w:spacing w:val="-10"/>
          <w:vertAlign w:val="baseline"/>
        </w:rPr>
        <w:t> </w:t>
      </w:r>
      <w:r>
        <w:rPr>
          <w:vertAlign w:val="baseline"/>
        </w:rPr>
        <w:t>has</w:t>
      </w:r>
      <w:r>
        <w:rPr>
          <w:spacing w:val="-10"/>
          <w:vertAlign w:val="baseline"/>
        </w:rPr>
        <w:t> </w:t>
      </w:r>
      <w:r>
        <w:rPr>
          <w:vertAlign w:val="baseline"/>
        </w:rPr>
        <w:t>shown</w:t>
      </w:r>
      <w:r>
        <w:rPr>
          <w:spacing w:val="-10"/>
          <w:vertAlign w:val="baseline"/>
        </w:rPr>
        <w:t> </w:t>
      </w:r>
      <w:r>
        <w:rPr>
          <w:vertAlign w:val="baseline"/>
        </w:rPr>
        <w:t>that</w:t>
      </w:r>
      <w:r>
        <w:rPr>
          <w:spacing w:val="-10"/>
          <w:vertAlign w:val="baseline"/>
        </w:rPr>
        <w:t> </w:t>
      </w:r>
      <w:r>
        <w:rPr>
          <w:vertAlign w:val="baseline"/>
        </w:rPr>
        <w:t>Chinese</w:t>
      </w:r>
      <w:r>
        <w:rPr>
          <w:spacing w:val="-10"/>
          <w:vertAlign w:val="baseline"/>
        </w:rPr>
        <w:t> </w:t>
      </w:r>
      <w:r>
        <w:rPr>
          <w:vertAlign w:val="baseline"/>
        </w:rPr>
        <w:t>aid</w:t>
      </w:r>
      <w:r>
        <w:rPr>
          <w:spacing w:val="-10"/>
          <w:vertAlign w:val="baseline"/>
        </w:rPr>
        <w:t> </w:t>
      </w:r>
      <w:r>
        <w:rPr>
          <w:vertAlign w:val="baseline"/>
        </w:rPr>
        <w:t>and </w:t>
      </w:r>
      <w:r>
        <w:rPr>
          <w:w w:val="105"/>
          <w:vertAlign w:val="baseline"/>
        </w:rPr>
        <w:t>credit</w:t>
      </w:r>
      <w:r>
        <w:rPr>
          <w:spacing w:val="-7"/>
          <w:w w:val="105"/>
          <w:vertAlign w:val="baseline"/>
        </w:rPr>
        <w:t> </w:t>
      </w:r>
      <w:r>
        <w:rPr>
          <w:w w:val="105"/>
          <w:vertAlign w:val="baseline"/>
        </w:rPr>
        <w:t>is</w:t>
      </w:r>
      <w:r>
        <w:rPr>
          <w:spacing w:val="-7"/>
          <w:w w:val="105"/>
          <w:vertAlign w:val="baseline"/>
        </w:rPr>
        <w:t> </w:t>
      </w:r>
      <w:r>
        <w:rPr>
          <w:w w:val="105"/>
          <w:vertAlign w:val="baseline"/>
        </w:rPr>
        <w:t>disproportionately</w:t>
      </w:r>
      <w:r>
        <w:rPr>
          <w:spacing w:val="-7"/>
          <w:w w:val="105"/>
          <w:vertAlign w:val="baseline"/>
        </w:rPr>
        <w:t> </w:t>
      </w:r>
      <w:r>
        <w:rPr>
          <w:w w:val="105"/>
          <w:vertAlign w:val="baseline"/>
        </w:rPr>
        <w:t>allocated</w:t>
      </w:r>
      <w:r>
        <w:rPr>
          <w:spacing w:val="-7"/>
          <w:w w:val="105"/>
          <w:vertAlign w:val="baseline"/>
        </w:rPr>
        <w:t> </w:t>
      </w:r>
      <w:r>
        <w:rPr>
          <w:w w:val="105"/>
          <w:vertAlign w:val="baseline"/>
        </w:rPr>
        <w:t>to</w:t>
      </w:r>
      <w:r>
        <w:rPr>
          <w:spacing w:val="-7"/>
          <w:w w:val="105"/>
          <w:vertAlign w:val="baseline"/>
        </w:rPr>
        <w:t> </w:t>
      </w:r>
      <w:r>
        <w:rPr>
          <w:w w:val="105"/>
          <w:vertAlign w:val="baseline"/>
        </w:rPr>
        <w:t>the</w:t>
      </w:r>
      <w:r>
        <w:rPr>
          <w:spacing w:val="-7"/>
          <w:w w:val="105"/>
          <w:vertAlign w:val="baseline"/>
        </w:rPr>
        <w:t> </w:t>
      </w:r>
      <w:r>
        <w:rPr>
          <w:w w:val="105"/>
          <w:vertAlign w:val="baseline"/>
        </w:rPr>
        <w:t>home</w:t>
      </w:r>
      <w:r>
        <w:rPr>
          <w:spacing w:val="-7"/>
          <w:w w:val="105"/>
          <w:vertAlign w:val="baseline"/>
        </w:rPr>
        <w:t> </w:t>
      </w:r>
      <w:r>
        <w:rPr>
          <w:w w:val="105"/>
          <w:vertAlign w:val="baseline"/>
        </w:rPr>
        <w:t>provinces</w:t>
      </w:r>
      <w:r>
        <w:rPr>
          <w:spacing w:val="-7"/>
          <w:w w:val="105"/>
          <w:vertAlign w:val="baseline"/>
        </w:rPr>
        <w:t> </w:t>
      </w:r>
      <w:r>
        <w:rPr>
          <w:w w:val="105"/>
          <w:vertAlign w:val="baseline"/>
        </w:rPr>
        <w:t>and</w:t>
      </w:r>
      <w:r>
        <w:rPr>
          <w:spacing w:val="-7"/>
          <w:w w:val="105"/>
          <w:vertAlign w:val="baseline"/>
        </w:rPr>
        <w:t> </w:t>
      </w:r>
      <w:r>
        <w:rPr>
          <w:w w:val="105"/>
          <w:vertAlign w:val="baseline"/>
        </w:rPr>
        <w:t>districts</w:t>
      </w:r>
      <w:r>
        <w:rPr>
          <w:spacing w:val="-7"/>
          <w:w w:val="105"/>
          <w:vertAlign w:val="baseline"/>
        </w:rPr>
        <w:t> </w:t>
      </w:r>
      <w:r>
        <w:rPr>
          <w:w w:val="105"/>
          <w:vertAlign w:val="baseline"/>
        </w:rPr>
        <w:t>of political</w:t>
      </w:r>
      <w:r>
        <w:rPr>
          <w:spacing w:val="-18"/>
          <w:w w:val="105"/>
          <w:vertAlign w:val="baseline"/>
        </w:rPr>
        <w:t> </w:t>
      </w:r>
      <w:r>
        <w:rPr>
          <w:w w:val="105"/>
          <w:vertAlign w:val="baseline"/>
        </w:rPr>
        <w:t>leaders</w:t>
      </w:r>
      <w:r>
        <w:rPr>
          <w:spacing w:val="-17"/>
          <w:w w:val="105"/>
          <w:vertAlign w:val="baseline"/>
        </w:rPr>
        <w:t> </w:t>
      </w:r>
      <w:r>
        <w:rPr>
          <w:w w:val="105"/>
          <w:vertAlign w:val="baseline"/>
        </w:rPr>
        <w:t>in</w:t>
      </w:r>
      <w:r>
        <w:rPr>
          <w:spacing w:val="-18"/>
          <w:w w:val="105"/>
          <w:vertAlign w:val="baseline"/>
        </w:rPr>
        <w:t> </w:t>
      </w:r>
      <w:r>
        <w:rPr>
          <w:w w:val="105"/>
          <w:vertAlign w:val="baseline"/>
        </w:rPr>
        <w:t>host</w:t>
      </w:r>
      <w:r>
        <w:rPr>
          <w:spacing w:val="-17"/>
          <w:w w:val="105"/>
          <w:vertAlign w:val="baseline"/>
        </w:rPr>
        <w:t> </w:t>
      </w:r>
      <w:r>
        <w:rPr>
          <w:w w:val="105"/>
          <w:vertAlign w:val="baseline"/>
        </w:rPr>
        <w:t>countries</w:t>
      </w:r>
      <w:r>
        <w:rPr>
          <w:spacing w:val="-18"/>
          <w:w w:val="105"/>
          <w:vertAlign w:val="baseline"/>
        </w:rPr>
        <w:t> </w:t>
      </w:r>
      <w:r>
        <w:rPr>
          <w:w w:val="105"/>
          <w:vertAlign w:val="baseline"/>
        </w:rPr>
        <w:t>and</w:t>
      </w:r>
      <w:r>
        <w:rPr>
          <w:spacing w:val="-17"/>
          <w:w w:val="105"/>
          <w:vertAlign w:val="baseline"/>
        </w:rPr>
        <w:t> </w:t>
      </w:r>
      <w:r>
        <w:rPr>
          <w:w w:val="105"/>
          <w:vertAlign w:val="baseline"/>
        </w:rPr>
        <w:t>that</w:t>
      </w:r>
      <w:r>
        <w:rPr>
          <w:spacing w:val="-18"/>
          <w:w w:val="105"/>
          <w:vertAlign w:val="baseline"/>
        </w:rPr>
        <w:t> </w:t>
      </w:r>
      <w:r>
        <w:rPr>
          <w:w w:val="105"/>
          <w:vertAlign w:val="baseline"/>
        </w:rPr>
        <w:t>Chinese</w:t>
      </w:r>
      <w:r>
        <w:rPr>
          <w:spacing w:val="-17"/>
          <w:w w:val="105"/>
          <w:vertAlign w:val="baseline"/>
        </w:rPr>
        <w:t> </w:t>
      </w:r>
      <w:r>
        <w:rPr>
          <w:w w:val="105"/>
          <w:vertAlign w:val="baseline"/>
        </w:rPr>
        <w:t>lenders</w:t>
      </w:r>
      <w:r>
        <w:rPr>
          <w:spacing w:val="-18"/>
          <w:w w:val="105"/>
          <w:vertAlign w:val="baseline"/>
        </w:rPr>
        <w:t> </w:t>
      </w:r>
      <w:r>
        <w:rPr>
          <w:w w:val="105"/>
          <w:vertAlign w:val="baseline"/>
        </w:rPr>
        <w:t>and</w:t>
      </w:r>
      <w:r>
        <w:rPr>
          <w:spacing w:val="-17"/>
          <w:w w:val="105"/>
          <w:vertAlign w:val="baseline"/>
        </w:rPr>
        <w:t> </w:t>
      </w:r>
      <w:r>
        <w:rPr>
          <w:w w:val="105"/>
          <w:vertAlign w:val="baseline"/>
        </w:rPr>
        <w:t>donors</w:t>
      </w:r>
      <w:r>
        <w:rPr>
          <w:spacing w:val="-18"/>
          <w:w w:val="105"/>
          <w:vertAlign w:val="baseline"/>
        </w:rPr>
        <w:t> </w:t>
      </w:r>
      <w:r>
        <w:rPr>
          <w:w w:val="105"/>
          <w:vertAlign w:val="baseline"/>
        </w:rPr>
        <w:t>lack institutional</w:t>
      </w:r>
      <w:r>
        <w:rPr>
          <w:spacing w:val="-4"/>
          <w:w w:val="105"/>
          <w:vertAlign w:val="baseline"/>
        </w:rPr>
        <w:t> </w:t>
      </w:r>
      <w:r>
        <w:rPr>
          <w:w w:val="105"/>
          <w:vertAlign w:val="baseline"/>
        </w:rPr>
        <w:t>safeguards</w:t>
      </w:r>
      <w:r>
        <w:rPr>
          <w:spacing w:val="-4"/>
          <w:w w:val="105"/>
          <w:vertAlign w:val="baseline"/>
        </w:rPr>
        <w:t> </w:t>
      </w:r>
      <w:r>
        <w:rPr>
          <w:w w:val="105"/>
          <w:vertAlign w:val="baseline"/>
        </w:rPr>
        <w:t>to</w:t>
      </w:r>
      <w:r>
        <w:rPr>
          <w:spacing w:val="-4"/>
          <w:w w:val="105"/>
          <w:vertAlign w:val="baseline"/>
        </w:rPr>
        <w:t> </w:t>
      </w:r>
      <w:r>
        <w:rPr>
          <w:w w:val="105"/>
          <w:vertAlign w:val="baseline"/>
        </w:rPr>
        <w:t>reduce</w:t>
      </w:r>
      <w:r>
        <w:rPr>
          <w:spacing w:val="-4"/>
          <w:w w:val="105"/>
          <w:vertAlign w:val="baseline"/>
        </w:rPr>
        <w:t> </w:t>
      </w:r>
      <w:r>
        <w:rPr>
          <w:w w:val="105"/>
          <w:vertAlign w:val="baseline"/>
        </w:rPr>
        <w:t>the</w:t>
      </w:r>
      <w:r>
        <w:rPr>
          <w:spacing w:val="-4"/>
          <w:w w:val="105"/>
          <w:vertAlign w:val="baseline"/>
        </w:rPr>
        <w:t> </w:t>
      </w:r>
      <w:r>
        <w:rPr>
          <w:w w:val="105"/>
          <w:vertAlign w:val="baseline"/>
        </w:rPr>
        <w:t>likelihood</w:t>
      </w:r>
      <w:r>
        <w:rPr>
          <w:spacing w:val="-4"/>
          <w:w w:val="105"/>
          <w:vertAlign w:val="baseline"/>
        </w:rPr>
        <w:t> </w:t>
      </w:r>
      <w:r>
        <w:rPr>
          <w:w w:val="105"/>
          <w:vertAlign w:val="baseline"/>
        </w:rPr>
        <w:t>that</w:t>
      </w:r>
      <w:r>
        <w:rPr>
          <w:spacing w:val="-4"/>
          <w:w w:val="105"/>
          <w:vertAlign w:val="baseline"/>
        </w:rPr>
        <w:t> </w:t>
      </w:r>
      <w:r>
        <w:rPr>
          <w:w w:val="105"/>
          <w:vertAlign w:val="baseline"/>
        </w:rPr>
        <w:t>politically</w:t>
      </w:r>
      <w:r>
        <w:rPr>
          <w:spacing w:val="-4"/>
          <w:w w:val="105"/>
          <w:vertAlign w:val="baseline"/>
        </w:rPr>
        <w:t> </w:t>
      </w:r>
      <w:r>
        <w:rPr>
          <w:w w:val="105"/>
          <w:vertAlign w:val="baseline"/>
        </w:rPr>
        <w:t>motivated </w:t>
      </w:r>
      <w:r>
        <w:rPr>
          <w:vertAlign w:val="baseline"/>
        </w:rPr>
        <w:t>projects</w:t>
      </w:r>
      <w:r>
        <w:rPr>
          <w:spacing w:val="-1"/>
          <w:vertAlign w:val="baseline"/>
        </w:rPr>
        <w:t> </w:t>
      </w:r>
      <w:r>
        <w:rPr>
          <w:vertAlign w:val="baseline"/>
        </w:rPr>
        <w:t>will</w:t>
      </w:r>
      <w:r>
        <w:rPr>
          <w:spacing w:val="-1"/>
          <w:vertAlign w:val="baseline"/>
        </w:rPr>
        <w:t> </w:t>
      </w:r>
      <w:r>
        <w:rPr>
          <w:vertAlign w:val="baseline"/>
        </w:rPr>
        <w:t>be</w:t>
      </w:r>
      <w:r>
        <w:rPr>
          <w:spacing w:val="-1"/>
          <w:vertAlign w:val="baseline"/>
        </w:rPr>
        <w:t> </w:t>
      </w:r>
      <w:r>
        <w:rPr>
          <w:vertAlign w:val="baseline"/>
        </w:rPr>
        <w:t>approved</w:t>
      </w:r>
      <w:r>
        <w:rPr>
          <w:spacing w:val="-1"/>
          <w:vertAlign w:val="baseline"/>
        </w:rPr>
        <w:t> </w:t>
      </w:r>
      <w:r>
        <w:rPr>
          <w:vertAlign w:val="baseline"/>
        </w:rPr>
        <w:t>(Dreher</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2019,</w:t>
      </w:r>
      <w:r>
        <w:rPr>
          <w:spacing w:val="-1"/>
          <w:vertAlign w:val="baseline"/>
        </w:rPr>
        <w:t> </w:t>
      </w:r>
      <w:r>
        <w:rPr>
          <w:vertAlign w:val="baseline"/>
        </w:rPr>
        <w:t>2022;</w:t>
      </w:r>
      <w:r>
        <w:rPr>
          <w:spacing w:val="-1"/>
          <w:vertAlign w:val="baseline"/>
        </w:rPr>
        <w:t> </w:t>
      </w:r>
      <w:r>
        <w:rPr>
          <w:vertAlign w:val="baseline"/>
        </w:rPr>
        <w:t>Anaxagorou</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2020).</w:t>
      </w:r>
      <w:r>
        <w:rPr>
          <w:vertAlign w:val="superscript"/>
        </w:rPr>
        <w:t>247</w:t>
      </w:r>
      <w:r>
        <w:rPr>
          <w:vertAlign w:val="baseline"/>
        </w:rPr>
        <w:t> In total, we ﬁnd 216 infrastructure projects in 69 countries supported by grants </w:t>
      </w:r>
      <w:r>
        <w:rPr>
          <w:w w:val="105"/>
          <w:vertAlign w:val="baseline"/>
        </w:rPr>
        <w:t>and</w:t>
      </w:r>
      <w:r>
        <w:rPr>
          <w:spacing w:val="-15"/>
          <w:w w:val="105"/>
          <w:vertAlign w:val="baseline"/>
        </w:rPr>
        <w:t> </w:t>
      </w:r>
      <w:r>
        <w:rPr>
          <w:w w:val="105"/>
          <w:vertAlign w:val="baseline"/>
        </w:rPr>
        <w:t>loans</w:t>
      </w:r>
      <w:r>
        <w:rPr>
          <w:spacing w:val="-15"/>
          <w:w w:val="105"/>
          <w:vertAlign w:val="baseline"/>
        </w:rPr>
        <w:t> </w:t>
      </w:r>
      <w:r>
        <w:rPr>
          <w:w w:val="105"/>
          <w:vertAlign w:val="baseline"/>
        </w:rPr>
        <w:t>from</w:t>
      </w:r>
      <w:r>
        <w:rPr>
          <w:spacing w:val="-15"/>
          <w:w w:val="105"/>
          <w:vertAlign w:val="baseline"/>
        </w:rPr>
        <w:t> </w:t>
      </w:r>
      <w:r>
        <w:rPr>
          <w:w w:val="105"/>
          <w:vertAlign w:val="baseline"/>
        </w:rPr>
        <w:t>China</w:t>
      </w:r>
      <w:r>
        <w:rPr>
          <w:spacing w:val="-15"/>
          <w:w w:val="105"/>
          <w:vertAlign w:val="baseline"/>
        </w:rPr>
        <w:t> </w:t>
      </w:r>
      <w:r>
        <w:rPr>
          <w:w w:val="105"/>
          <w:vertAlign w:val="baseline"/>
        </w:rPr>
        <w:t>worth</w:t>
      </w:r>
      <w:r>
        <w:rPr>
          <w:spacing w:val="-15"/>
          <w:w w:val="105"/>
          <w:vertAlign w:val="baseline"/>
        </w:rPr>
        <w:t> </w:t>
      </w:r>
      <w:r>
        <w:rPr>
          <w:w w:val="105"/>
          <w:vertAlign w:val="baseline"/>
        </w:rPr>
        <w:t>$37</w:t>
      </w:r>
      <w:r>
        <w:rPr>
          <w:spacing w:val="-15"/>
          <w:w w:val="105"/>
          <w:vertAlign w:val="baseline"/>
        </w:rPr>
        <w:t> </w:t>
      </w:r>
      <w:r>
        <w:rPr>
          <w:w w:val="105"/>
          <w:vertAlign w:val="baseline"/>
        </w:rPr>
        <w:t>billion</w:t>
      </w:r>
      <w:r>
        <w:rPr>
          <w:spacing w:val="-15"/>
          <w:w w:val="105"/>
          <w:vertAlign w:val="baseline"/>
        </w:rPr>
        <w:t> </w:t>
      </w:r>
      <w:r>
        <w:rPr>
          <w:w w:val="105"/>
          <w:vertAlign w:val="baseline"/>
        </w:rPr>
        <w:t>that</w:t>
      </w:r>
      <w:r>
        <w:rPr>
          <w:spacing w:val="-15"/>
          <w:w w:val="105"/>
          <w:vertAlign w:val="baseline"/>
        </w:rPr>
        <w:t> </w:t>
      </w:r>
      <w:r>
        <w:rPr>
          <w:w w:val="105"/>
          <w:vertAlign w:val="baseline"/>
        </w:rPr>
        <w:t>are</w:t>
      </w:r>
      <w:r>
        <w:rPr>
          <w:spacing w:val="-15"/>
          <w:w w:val="105"/>
          <w:vertAlign w:val="baseline"/>
        </w:rPr>
        <w:t> </w:t>
      </w:r>
      <w:r>
        <w:rPr>
          <w:w w:val="105"/>
          <w:vertAlign w:val="baseline"/>
        </w:rPr>
        <w:t>located</w:t>
      </w:r>
      <w:r>
        <w:rPr>
          <w:spacing w:val="-15"/>
          <w:w w:val="105"/>
          <w:vertAlign w:val="baseline"/>
        </w:rPr>
        <w:t> </w:t>
      </w:r>
      <w:r>
        <w:rPr>
          <w:w w:val="105"/>
          <w:vertAlign w:val="baseline"/>
        </w:rPr>
        <w:t>in</w:t>
      </w:r>
      <w:r>
        <w:rPr>
          <w:spacing w:val="-15"/>
          <w:w w:val="105"/>
          <w:vertAlign w:val="baseline"/>
        </w:rPr>
        <w:t> </w:t>
      </w:r>
      <w:r>
        <w:rPr>
          <w:w w:val="105"/>
          <w:vertAlign w:val="baseline"/>
        </w:rPr>
        <w:t>geographical</w:t>
      </w:r>
      <w:r>
        <w:rPr>
          <w:spacing w:val="-15"/>
          <w:w w:val="105"/>
          <w:vertAlign w:val="baseline"/>
        </w:rPr>
        <w:t> </w:t>
      </w:r>
      <w:r>
        <w:rPr>
          <w:w w:val="105"/>
          <w:vertAlign w:val="baseline"/>
        </w:rPr>
        <w:t>areas that</w:t>
      </w:r>
      <w:r>
        <w:rPr>
          <w:spacing w:val="-8"/>
          <w:w w:val="105"/>
          <w:vertAlign w:val="baseline"/>
        </w:rPr>
        <w:t> </w:t>
      </w:r>
      <w:r>
        <w:rPr>
          <w:w w:val="105"/>
          <w:vertAlign w:val="baseline"/>
        </w:rPr>
        <w:t>are</w:t>
      </w:r>
      <w:r>
        <w:rPr>
          <w:spacing w:val="-8"/>
          <w:w w:val="105"/>
          <w:vertAlign w:val="baseline"/>
        </w:rPr>
        <w:t> </w:t>
      </w:r>
      <w:r>
        <w:rPr>
          <w:w w:val="105"/>
          <w:vertAlign w:val="baseline"/>
        </w:rPr>
        <w:t>vulnerable</w:t>
      </w:r>
      <w:r>
        <w:rPr>
          <w:spacing w:val="-8"/>
          <w:w w:val="105"/>
          <w:vertAlign w:val="baseline"/>
        </w:rPr>
        <w:t> </w:t>
      </w:r>
      <w:r>
        <w:rPr>
          <w:w w:val="105"/>
          <w:vertAlign w:val="baseline"/>
        </w:rPr>
        <w:t>to</w:t>
      </w:r>
      <w:r>
        <w:rPr>
          <w:spacing w:val="-8"/>
          <w:w w:val="105"/>
          <w:vertAlign w:val="baseline"/>
        </w:rPr>
        <w:t> </w:t>
      </w:r>
      <w:r>
        <w:rPr>
          <w:w w:val="105"/>
          <w:vertAlign w:val="baseline"/>
        </w:rPr>
        <w:t>political</w:t>
      </w:r>
      <w:r>
        <w:rPr>
          <w:spacing w:val="-8"/>
          <w:w w:val="105"/>
          <w:vertAlign w:val="baseline"/>
        </w:rPr>
        <w:t> </w:t>
      </w:r>
      <w:r>
        <w:rPr>
          <w:w w:val="105"/>
          <w:vertAlign w:val="baseline"/>
        </w:rPr>
        <w:t>capture</w:t>
      </w:r>
      <w:r>
        <w:rPr>
          <w:spacing w:val="-8"/>
          <w:w w:val="105"/>
          <w:vertAlign w:val="baseline"/>
        </w:rPr>
        <w:t> </w:t>
      </w:r>
      <w:r>
        <w:rPr>
          <w:w w:val="105"/>
          <w:vertAlign w:val="baseline"/>
        </w:rPr>
        <w:t>and</w:t>
      </w:r>
      <w:r>
        <w:rPr>
          <w:spacing w:val="-8"/>
          <w:w w:val="105"/>
          <w:vertAlign w:val="baseline"/>
        </w:rPr>
        <w:t> </w:t>
      </w:r>
      <w:r>
        <w:rPr>
          <w:w w:val="105"/>
          <w:vertAlign w:val="baseline"/>
        </w:rPr>
        <w:t>manipulation.</w:t>
      </w:r>
      <w:r>
        <w:rPr>
          <w:w w:val="105"/>
          <w:vertAlign w:val="superscript"/>
        </w:rPr>
        <w:t>248</w:t>
      </w:r>
    </w:p>
    <w:p>
      <w:pPr>
        <w:pStyle w:val="BodyText"/>
        <w:spacing w:before="1"/>
        <w:rPr>
          <w:sz w:val="27"/>
        </w:rPr>
      </w:pPr>
    </w:p>
    <w:p>
      <w:pPr>
        <w:pStyle w:val="BodyText"/>
        <w:spacing w:line="333" w:lineRule="auto"/>
        <w:ind w:left="560" w:right="680"/>
      </w:pPr>
      <w:r>
        <w:rPr/>
        <w:t>Figure A42 presents 2000-2021 data on the cumulative number of Chinese grant- and loan-ﬁnanced infrastructure projects that relied on contractors sanctioned by other international ﬁnanciers for fraudulent and corrupt </w:t>
      </w:r>
      <w:r>
        <w:rPr/>
        <w:t>behavior. We determine if a given infrastructure project relied on contractors sanctioned by other international ﬁnanciers for fraudulent and corrupt behavior with a</w:t>
      </w:r>
      <w:r>
        <w:rPr>
          <w:spacing w:val="80"/>
        </w:rPr>
        <w:t> </w:t>
      </w:r>
      <w:r>
        <w:rPr/>
        <w:t>three-step process. First, we compile a list of ﬁrms historically or currently debarred by the World Bank and ﬁve other multilateral development banks (MDBs)—the African Development Bank, the Asian Development Bank, the European Bank for Reconstruction and Development, the Inter-American</w:t>
      </w:r>
    </w:p>
    <w:p>
      <w:pPr>
        <w:pStyle w:val="BodyText"/>
        <w:spacing w:before="8"/>
        <w:rPr>
          <w:sz w:val="19"/>
        </w:rPr>
      </w:pPr>
      <w:r>
        <w:rPr/>
        <w:pict>
          <v:shape style="position:absolute;margin-left:90pt;margin-top:12.528662pt;width:144pt;height:.1pt;mso-position-horizontal-relative:page;mso-position-vertical-relative:paragraph;z-index:-15723520;mso-wrap-distance-left:0;mso-wrap-distance-right:0" id="docshape11" coordorigin="1800,251" coordsize="2880,0" path="m1800,251l4680,251e" filled="false" stroked="true" strokeweight=".75pt" strokecolor="#000000">
            <v:path arrowok="t"/>
            <v:stroke dashstyle="solid"/>
            <w10:wrap type="topAndBottom"/>
          </v:shape>
        </w:pict>
      </w:r>
    </w:p>
    <w:p>
      <w:pPr>
        <w:spacing w:line="249" w:lineRule="auto" w:before="104"/>
        <w:ind w:left="560" w:right="627" w:firstLine="0"/>
        <w:jc w:val="left"/>
        <w:rPr>
          <w:sz w:val="18"/>
        </w:rPr>
      </w:pPr>
      <w:r>
        <w:rPr>
          <w:w w:val="105"/>
          <w:sz w:val="18"/>
          <w:vertAlign w:val="superscript"/>
        </w:rPr>
        <w:t>246</w:t>
      </w:r>
      <w:r>
        <w:rPr>
          <w:spacing w:val="-12"/>
          <w:w w:val="105"/>
          <w:sz w:val="18"/>
          <w:vertAlign w:val="baseline"/>
        </w:rPr>
        <w:t> </w:t>
      </w:r>
      <w:r>
        <w:rPr>
          <w:w w:val="105"/>
          <w:sz w:val="18"/>
          <w:vertAlign w:val="baseline"/>
        </w:rPr>
        <w:t>PLAD</w:t>
      </w:r>
      <w:r>
        <w:rPr>
          <w:spacing w:val="-11"/>
          <w:w w:val="105"/>
          <w:sz w:val="18"/>
          <w:vertAlign w:val="baseline"/>
        </w:rPr>
        <w:t> </w:t>
      </w:r>
      <w:r>
        <w:rPr>
          <w:w w:val="105"/>
          <w:sz w:val="18"/>
          <w:vertAlign w:val="baseline"/>
        </w:rPr>
        <w:t>provides</w:t>
      </w:r>
      <w:r>
        <w:rPr>
          <w:spacing w:val="-11"/>
          <w:w w:val="105"/>
          <w:sz w:val="18"/>
          <w:vertAlign w:val="baseline"/>
        </w:rPr>
        <w:t> </w:t>
      </w:r>
      <w:r>
        <w:rPr>
          <w:w w:val="105"/>
          <w:sz w:val="18"/>
          <w:vertAlign w:val="baseline"/>
        </w:rPr>
        <w:t>information</w:t>
      </w:r>
      <w:r>
        <w:rPr>
          <w:spacing w:val="-11"/>
          <w:w w:val="105"/>
          <w:sz w:val="18"/>
          <w:vertAlign w:val="baseline"/>
        </w:rPr>
        <w:t> </w:t>
      </w:r>
      <w:r>
        <w:rPr>
          <w:w w:val="105"/>
          <w:sz w:val="18"/>
          <w:vertAlign w:val="baseline"/>
        </w:rPr>
        <w:t>on</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birthplaces</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1,109</w:t>
      </w:r>
      <w:r>
        <w:rPr>
          <w:spacing w:val="-11"/>
          <w:w w:val="105"/>
          <w:sz w:val="18"/>
          <w:vertAlign w:val="baseline"/>
        </w:rPr>
        <w:t> </w:t>
      </w:r>
      <w:r>
        <w:rPr>
          <w:w w:val="105"/>
          <w:sz w:val="18"/>
          <w:vertAlign w:val="baseline"/>
        </w:rPr>
        <w:t>effective</w:t>
      </w:r>
      <w:r>
        <w:rPr>
          <w:spacing w:val="-11"/>
          <w:w w:val="105"/>
          <w:sz w:val="18"/>
          <w:vertAlign w:val="baseline"/>
        </w:rPr>
        <w:t> </w:t>
      </w:r>
      <w:r>
        <w:rPr>
          <w:w w:val="105"/>
          <w:sz w:val="18"/>
          <w:vertAlign w:val="baseline"/>
        </w:rPr>
        <w:t>political</w:t>
      </w:r>
      <w:r>
        <w:rPr>
          <w:spacing w:val="-11"/>
          <w:w w:val="105"/>
          <w:sz w:val="18"/>
          <w:vertAlign w:val="baseline"/>
        </w:rPr>
        <w:t> </w:t>
      </w:r>
      <w:r>
        <w:rPr>
          <w:w w:val="105"/>
          <w:sz w:val="18"/>
          <w:vertAlign w:val="baseline"/>
        </w:rPr>
        <w:t>leaders</w:t>
      </w:r>
      <w:r>
        <w:rPr>
          <w:spacing w:val="-11"/>
          <w:w w:val="105"/>
          <w:sz w:val="18"/>
          <w:vertAlign w:val="baseline"/>
        </w:rPr>
        <w:t> </w:t>
      </w:r>
      <w:r>
        <w:rPr>
          <w:w w:val="105"/>
          <w:sz w:val="18"/>
          <w:vertAlign w:val="baseline"/>
        </w:rPr>
        <w:t>from</w:t>
      </w:r>
      <w:r>
        <w:rPr>
          <w:spacing w:val="-11"/>
          <w:w w:val="105"/>
          <w:sz w:val="18"/>
          <w:vertAlign w:val="baseline"/>
        </w:rPr>
        <w:t> </w:t>
      </w:r>
      <w:r>
        <w:rPr>
          <w:w w:val="105"/>
          <w:sz w:val="18"/>
          <w:vertAlign w:val="baseline"/>
        </w:rPr>
        <w:t>177</w:t>
      </w:r>
      <w:r>
        <w:rPr>
          <w:spacing w:val="-11"/>
          <w:w w:val="105"/>
          <w:sz w:val="18"/>
          <w:vertAlign w:val="baseline"/>
        </w:rPr>
        <w:t> </w:t>
      </w:r>
      <w:r>
        <w:rPr>
          <w:w w:val="105"/>
          <w:sz w:val="18"/>
          <w:vertAlign w:val="baseline"/>
        </w:rPr>
        <w:t>countries </w:t>
      </w:r>
      <w:r>
        <w:rPr>
          <w:sz w:val="18"/>
          <w:vertAlign w:val="baseline"/>
        </w:rPr>
        <w:t>between 1989 and 2021 (Bomprezzi et al. 2023). Birthplaces are geocoded to the ADM2 (district) level. In </w:t>
      </w:r>
      <w:r>
        <w:rPr>
          <w:w w:val="105"/>
          <w:sz w:val="18"/>
          <w:vertAlign w:val="baseline"/>
        </w:rPr>
        <w:t>order</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identify</w:t>
      </w:r>
      <w:r>
        <w:rPr>
          <w:spacing w:val="-13"/>
          <w:w w:val="105"/>
          <w:sz w:val="18"/>
          <w:vertAlign w:val="baseline"/>
        </w:rPr>
        <w:t> </w:t>
      </w:r>
      <w:r>
        <w:rPr>
          <w:w w:val="105"/>
          <w:sz w:val="18"/>
          <w:vertAlign w:val="baseline"/>
        </w:rPr>
        <w:t>projects</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are</w:t>
      </w:r>
      <w:r>
        <w:rPr>
          <w:spacing w:val="-13"/>
          <w:w w:val="105"/>
          <w:sz w:val="18"/>
          <w:vertAlign w:val="baseline"/>
        </w:rPr>
        <w:t> </w:t>
      </w:r>
      <w:r>
        <w:rPr>
          <w:w w:val="105"/>
          <w:sz w:val="18"/>
          <w:vertAlign w:val="baseline"/>
        </w:rPr>
        <w:t>vulnerable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political</w:t>
      </w:r>
      <w:r>
        <w:rPr>
          <w:spacing w:val="-13"/>
          <w:w w:val="105"/>
          <w:sz w:val="18"/>
          <w:vertAlign w:val="baseline"/>
        </w:rPr>
        <w:t> </w:t>
      </w:r>
      <w:r>
        <w:rPr>
          <w:w w:val="105"/>
          <w:sz w:val="18"/>
          <w:vertAlign w:val="baseline"/>
        </w:rPr>
        <w:t>capture</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manipulation,</w:t>
      </w:r>
      <w:r>
        <w:rPr>
          <w:spacing w:val="-13"/>
          <w:w w:val="105"/>
          <w:sz w:val="18"/>
          <w:vertAlign w:val="baseline"/>
        </w:rPr>
        <w:t> </w:t>
      </w:r>
      <w:r>
        <w:rPr>
          <w:w w:val="105"/>
          <w:sz w:val="18"/>
          <w:vertAlign w:val="baseline"/>
        </w:rPr>
        <w:t>we</w:t>
      </w:r>
      <w:r>
        <w:rPr>
          <w:spacing w:val="-13"/>
          <w:w w:val="105"/>
          <w:sz w:val="18"/>
          <w:vertAlign w:val="baseline"/>
        </w:rPr>
        <w:t> </w:t>
      </w:r>
      <w:r>
        <w:rPr>
          <w:w w:val="105"/>
          <w:sz w:val="18"/>
          <w:vertAlign w:val="baseline"/>
        </w:rPr>
        <w:t>identify</w:t>
      </w:r>
      <w:r>
        <w:rPr>
          <w:spacing w:val="-13"/>
          <w:w w:val="105"/>
          <w:sz w:val="18"/>
          <w:vertAlign w:val="baseline"/>
        </w:rPr>
        <w:t> </w:t>
      </w:r>
      <w:r>
        <w:rPr>
          <w:w w:val="105"/>
          <w:sz w:val="18"/>
          <w:vertAlign w:val="baseline"/>
        </w:rPr>
        <w:t>all</w:t>
      </w:r>
      <w:r>
        <w:rPr>
          <w:spacing w:val="-13"/>
          <w:w w:val="105"/>
          <w:sz w:val="18"/>
          <w:vertAlign w:val="baseline"/>
        </w:rPr>
        <w:t> </w:t>
      </w:r>
      <w:r>
        <w:rPr>
          <w:w w:val="105"/>
          <w:sz w:val="18"/>
          <w:vertAlign w:val="baseline"/>
        </w:rPr>
        <w:t>projects </w:t>
      </w:r>
      <w:r>
        <w:rPr>
          <w:sz w:val="18"/>
          <w:vertAlign w:val="baseline"/>
        </w:rPr>
        <w:t>with locations in the home (birth) districts (ADM2s) of effective political leaders that secured Chinese </w:t>
      </w:r>
      <w:r>
        <w:rPr>
          <w:sz w:val="18"/>
          <w:vertAlign w:val="baseline"/>
        </w:rPr>
        <w:t>grant </w:t>
      </w:r>
      <w:r>
        <w:rPr>
          <w:w w:val="105"/>
          <w:sz w:val="18"/>
          <w:vertAlign w:val="baseline"/>
        </w:rPr>
        <w:t>or</w:t>
      </w:r>
      <w:r>
        <w:rPr>
          <w:spacing w:val="-3"/>
          <w:w w:val="105"/>
          <w:sz w:val="18"/>
          <w:vertAlign w:val="baseline"/>
        </w:rPr>
        <w:t> </w:t>
      </w:r>
      <w:r>
        <w:rPr>
          <w:w w:val="105"/>
          <w:sz w:val="18"/>
          <w:vertAlign w:val="baseline"/>
        </w:rPr>
        <w:t>loan</w:t>
      </w:r>
      <w:r>
        <w:rPr>
          <w:spacing w:val="-3"/>
          <w:w w:val="105"/>
          <w:sz w:val="18"/>
          <w:vertAlign w:val="baseline"/>
        </w:rPr>
        <w:t> </w:t>
      </w:r>
      <w:r>
        <w:rPr>
          <w:w w:val="105"/>
          <w:sz w:val="18"/>
          <w:vertAlign w:val="baseline"/>
        </w:rPr>
        <w:t>commitments</w:t>
      </w:r>
      <w:r>
        <w:rPr>
          <w:spacing w:val="-3"/>
          <w:w w:val="105"/>
          <w:sz w:val="18"/>
          <w:vertAlign w:val="baseline"/>
        </w:rPr>
        <w:t> </w:t>
      </w:r>
      <w:r>
        <w:rPr>
          <w:w w:val="105"/>
          <w:sz w:val="18"/>
          <w:vertAlign w:val="baseline"/>
        </w:rPr>
        <w:t>during</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periods</w:t>
      </w:r>
      <w:r>
        <w:rPr>
          <w:spacing w:val="-3"/>
          <w:w w:val="105"/>
          <w:sz w:val="18"/>
          <w:vertAlign w:val="baseline"/>
        </w:rPr>
        <w:t> </w:t>
      </w:r>
      <w:r>
        <w:rPr>
          <w:w w:val="105"/>
          <w:sz w:val="18"/>
          <w:vertAlign w:val="baseline"/>
        </w:rPr>
        <w:t>of</w:t>
      </w:r>
      <w:r>
        <w:rPr>
          <w:spacing w:val="-3"/>
          <w:w w:val="105"/>
          <w:sz w:val="18"/>
          <w:vertAlign w:val="baseline"/>
        </w:rPr>
        <w:t> </w:t>
      </w:r>
      <w:r>
        <w:rPr>
          <w:w w:val="105"/>
          <w:sz w:val="18"/>
          <w:vertAlign w:val="baseline"/>
        </w:rPr>
        <w:t>time</w:t>
      </w:r>
      <w:r>
        <w:rPr>
          <w:spacing w:val="-3"/>
          <w:w w:val="105"/>
          <w:sz w:val="18"/>
          <w:vertAlign w:val="baseline"/>
        </w:rPr>
        <w:t> </w:t>
      </w:r>
      <w:r>
        <w:rPr>
          <w:w w:val="105"/>
          <w:sz w:val="18"/>
          <w:vertAlign w:val="baseline"/>
        </w:rPr>
        <w:t>when</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leaders</w:t>
      </w:r>
      <w:r>
        <w:rPr>
          <w:spacing w:val="-3"/>
          <w:w w:val="105"/>
          <w:sz w:val="18"/>
          <w:vertAlign w:val="baseline"/>
        </w:rPr>
        <w:t> </w:t>
      </w:r>
      <w:r>
        <w:rPr>
          <w:w w:val="105"/>
          <w:sz w:val="18"/>
          <w:vertAlign w:val="baseline"/>
        </w:rPr>
        <w:t>in</w:t>
      </w:r>
      <w:r>
        <w:rPr>
          <w:spacing w:val="-3"/>
          <w:w w:val="105"/>
          <w:sz w:val="18"/>
          <w:vertAlign w:val="baseline"/>
        </w:rPr>
        <w:t> </w:t>
      </w:r>
      <w:r>
        <w:rPr>
          <w:w w:val="105"/>
          <w:sz w:val="18"/>
          <w:vertAlign w:val="baseline"/>
        </w:rPr>
        <w:t>question</w:t>
      </w:r>
      <w:r>
        <w:rPr>
          <w:spacing w:val="-3"/>
          <w:w w:val="105"/>
          <w:sz w:val="18"/>
          <w:vertAlign w:val="baseline"/>
        </w:rPr>
        <w:t> </w:t>
      </w:r>
      <w:r>
        <w:rPr>
          <w:w w:val="105"/>
          <w:sz w:val="18"/>
          <w:vertAlign w:val="baseline"/>
        </w:rPr>
        <w:t>held</w:t>
      </w:r>
      <w:r>
        <w:rPr>
          <w:spacing w:val="-3"/>
          <w:w w:val="105"/>
          <w:sz w:val="18"/>
          <w:vertAlign w:val="baseline"/>
        </w:rPr>
        <w:t> </w:t>
      </w:r>
      <w:r>
        <w:rPr>
          <w:w w:val="105"/>
          <w:sz w:val="18"/>
          <w:vertAlign w:val="baseline"/>
        </w:rPr>
        <w:t>ofﬁce.</w:t>
      </w:r>
    </w:p>
    <w:p>
      <w:pPr>
        <w:spacing w:line="249" w:lineRule="auto" w:before="3"/>
        <w:ind w:left="560" w:right="561" w:firstLine="0"/>
        <w:jc w:val="left"/>
        <w:rPr>
          <w:sz w:val="18"/>
        </w:rPr>
      </w:pPr>
      <w:r>
        <w:rPr>
          <w:sz w:val="18"/>
          <w:vertAlign w:val="superscript"/>
        </w:rPr>
        <w:t>247</w:t>
      </w:r>
      <w:r>
        <w:rPr>
          <w:sz w:val="18"/>
          <w:vertAlign w:val="baseline"/>
        </w:rPr>
        <w:t> The World Bank uses ex ante, cost-beneﬁt analysis to screen candidate projects. It employs a simple </w:t>
      </w:r>
      <w:r>
        <w:rPr>
          <w:spacing w:val="-2"/>
          <w:w w:val="105"/>
          <w:sz w:val="18"/>
          <w:vertAlign w:val="baseline"/>
        </w:rPr>
        <w:t>project</w:t>
      </w:r>
      <w:r>
        <w:rPr>
          <w:spacing w:val="-5"/>
          <w:w w:val="105"/>
          <w:sz w:val="18"/>
          <w:vertAlign w:val="baseline"/>
        </w:rPr>
        <w:t> </w:t>
      </w:r>
      <w:r>
        <w:rPr>
          <w:spacing w:val="-2"/>
          <w:w w:val="105"/>
          <w:sz w:val="18"/>
          <w:vertAlign w:val="baseline"/>
        </w:rPr>
        <w:t>acceptability</w:t>
      </w:r>
      <w:r>
        <w:rPr>
          <w:spacing w:val="-5"/>
          <w:w w:val="105"/>
          <w:sz w:val="18"/>
          <w:vertAlign w:val="baseline"/>
        </w:rPr>
        <w:t> </w:t>
      </w:r>
      <w:r>
        <w:rPr>
          <w:spacing w:val="-2"/>
          <w:w w:val="105"/>
          <w:sz w:val="18"/>
          <w:vertAlign w:val="baseline"/>
        </w:rPr>
        <w:t>rule—“the</w:t>
      </w:r>
      <w:r>
        <w:rPr>
          <w:spacing w:val="-5"/>
          <w:w w:val="105"/>
          <w:sz w:val="18"/>
          <w:vertAlign w:val="baseline"/>
        </w:rPr>
        <w:t> </w:t>
      </w:r>
      <w:r>
        <w:rPr>
          <w:spacing w:val="-2"/>
          <w:w w:val="105"/>
          <w:sz w:val="18"/>
          <w:vertAlign w:val="baseline"/>
        </w:rPr>
        <w:t>expected</w:t>
      </w:r>
      <w:r>
        <w:rPr>
          <w:spacing w:val="-5"/>
          <w:w w:val="105"/>
          <w:sz w:val="18"/>
          <w:vertAlign w:val="baseline"/>
        </w:rPr>
        <w:t> </w:t>
      </w:r>
      <w:r>
        <w:rPr>
          <w:spacing w:val="-2"/>
          <w:w w:val="105"/>
          <w:sz w:val="18"/>
          <w:vertAlign w:val="baseline"/>
        </w:rPr>
        <w:t>present</w:t>
      </w:r>
      <w:r>
        <w:rPr>
          <w:spacing w:val="-5"/>
          <w:w w:val="105"/>
          <w:sz w:val="18"/>
          <w:vertAlign w:val="baseline"/>
        </w:rPr>
        <w:t> </w:t>
      </w:r>
      <w:r>
        <w:rPr>
          <w:spacing w:val="-2"/>
          <w:w w:val="105"/>
          <w:sz w:val="18"/>
          <w:vertAlign w:val="baseline"/>
        </w:rPr>
        <w:t>value</w:t>
      </w:r>
      <w:r>
        <w:rPr>
          <w:spacing w:val="-5"/>
          <w:w w:val="105"/>
          <w:sz w:val="18"/>
          <w:vertAlign w:val="baseline"/>
        </w:rPr>
        <w:t> </w:t>
      </w:r>
      <w:r>
        <w:rPr>
          <w:spacing w:val="-2"/>
          <w:w w:val="105"/>
          <w:sz w:val="18"/>
          <w:vertAlign w:val="baseline"/>
        </w:rPr>
        <w:t>of</w:t>
      </w:r>
      <w:r>
        <w:rPr>
          <w:spacing w:val="-5"/>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project's</w:t>
      </w:r>
      <w:r>
        <w:rPr>
          <w:spacing w:val="-5"/>
          <w:w w:val="105"/>
          <w:sz w:val="18"/>
          <w:vertAlign w:val="baseline"/>
        </w:rPr>
        <w:t> </w:t>
      </w:r>
      <w:r>
        <w:rPr>
          <w:spacing w:val="-2"/>
          <w:w w:val="105"/>
          <w:sz w:val="18"/>
          <w:vertAlign w:val="baseline"/>
        </w:rPr>
        <w:t>net</w:t>
      </w:r>
      <w:r>
        <w:rPr>
          <w:spacing w:val="-5"/>
          <w:w w:val="105"/>
          <w:sz w:val="18"/>
          <w:vertAlign w:val="baseline"/>
        </w:rPr>
        <w:t> </w:t>
      </w:r>
      <w:r>
        <w:rPr>
          <w:spacing w:val="-2"/>
          <w:w w:val="105"/>
          <w:sz w:val="18"/>
          <w:vertAlign w:val="baseline"/>
        </w:rPr>
        <w:t>beneﬁts</w:t>
      </w:r>
      <w:r>
        <w:rPr>
          <w:spacing w:val="-5"/>
          <w:w w:val="105"/>
          <w:sz w:val="18"/>
          <w:vertAlign w:val="baseline"/>
        </w:rPr>
        <w:t> </w:t>
      </w:r>
      <w:r>
        <w:rPr>
          <w:spacing w:val="-2"/>
          <w:w w:val="105"/>
          <w:sz w:val="18"/>
          <w:vertAlign w:val="baseline"/>
        </w:rPr>
        <w:t>must</w:t>
      </w:r>
      <w:r>
        <w:rPr>
          <w:spacing w:val="-5"/>
          <w:w w:val="105"/>
          <w:sz w:val="18"/>
          <w:vertAlign w:val="baseline"/>
        </w:rPr>
        <w:t> </w:t>
      </w:r>
      <w:r>
        <w:rPr>
          <w:spacing w:val="-2"/>
          <w:w w:val="105"/>
          <w:sz w:val="18"/>
          <w:vertAlign w:val="baseline"/>
        </w:rPr>
        <w:t>be</w:t>
      </w:r>
      <w:r>
        <w:rPr>
          <w:spacing w:val="-5"/>
          <w:w w:val="105"/>
          <w:sz w:val="18"/>
          <w:vertAlign w:val="baseline"/>
        </w:rPr>
        <w:t> </w:t>
      </w:r>
      <w:r>
        <w:rPr>
          <w:spacing w:val="-2"/>
          <w:w w:val="105"/>
          <w:sz w:val="18"/>
          <w:vertAlign w:val="baseline"/>
        </w:rPr>
        <w:t>higher</w:t>
      </w:r>
      <w:r>
        <w:rPr>
          <w:spacing w:val="-5"/>
          <w:w w:val="105"/>
          <w:sz w:val="18"/>
          <w:vertAlign w:val="baseline"/>
        </w:rPr>
        <w:t> </w:t>
      </w:r>
      <w:r>
        <w:rPr>
          <w:spacing w:val="-2"/>
          <w:w w:val="105"/>
          <w:sz w:val="18"/>
          <w:vertAlign w:val="baseline"/>
        </w:rPr>
        <w:t>than</w:t>
      </w:r>
      <w:r>
        <w:rPr>
          <w:spacing w:val="-5"/>
          <w:w w:val="105"/>
          <w:sz w:val="18"/>
          <w:vertAlign w:val="baseline"/>
        </w:rPr>
        <w:t> </w:t>
      </w:r>
      <w:r>
        <w:rPr>
          <w:spacing w:val="-2"/>
          <w:w w:val="105"/>
          <w:sz w:val="18"/>
          <w:vertAlign w:val="baseline"/>
        </w:rPr>
        <w:t>or </w:t>
      </w:r>
      <w:r>
        <w:rPr>
          <w:w w:val="105"/>
          <w:sz w:val="18"/>
          <w:vertAlign w:val="baseline"/>
        </w:rPr>
        <w:t>equal</w:t>
      </w:r>
      <w:r>
        <w:rPr>
          <w:spacing w:val="-10"/>
          <w:w w:val="105"/>
          <w:sz w:val="18"/>
          <w:vertAlign w:val="baseline"/>
        </w:rPr>
        <w:t> </w:t>
      </w:r>
      <w:r>
        <w:rPr>
          <w:w w:val="105"/>
          <w:sz w:val="18"/>
          <w:vertAlign w:val="baseline"/>
        </w:rPr>
        <w:t>to</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expected</w:t>
      </w:r>
      <w:r>
        <w:rPr>
          <w:spacing w:val="-10"/>
          <w:w w:val="105"/>
          <w:sz w:val="18"/>
          <w:vertAlign w:val="baseline"/>
        </w:rPr>
        <w:t> </w:t>
      </w:r>
      <w:r>
        <w:rPr>
          <w:w w:val="105"/>
          <w:sz w:val="18"/>
          <w:vertAlign w:val="baseline"/>
        </w:rPr>
        <w:t>net</w:t>
      </w:r>
      <w:r>
        <w:rPr>
          <w:spacing w:val="-10"/>
          <w:w w:val="105"/>
          <w:sz w:val="18"/>
          <w:vertAlign w:val="baseline"/>
        </w:rPr>
        <w:t> </w:t>
      </w:r>
      <w:r>
        <w:rPr>
          <w:w w:val="105"/>
          <w:sz w:val="18"/>
          <w:vertAlign w:val="baseline"/>
        </w:rPr>
        <w:t>present</w:t>
      </w:r>
      <w:r>
        <w:rPr>
          <w:spacing w:val="-10"/>
          <w:w w:val="105"/>
          <w:sz w:val="18"/>
          <w:vertAlign w:val="baseline"/>
        </w:rPr>
        <w:t> </w:t>
      </w:r>
      <w:r>
        <w:rPr>
          <w:w w:val="105"/>
          <w:sz w:val="18"/>
          <w:vertAlign w:val="baseline"/>
        </w:rPr>
        <w:t>value</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mutually</w:t>
      </w:r>
      <w:r>
        <w:rPr>
          <w:spacing w:val="-10"/>
          <w:w w:val="105"/>
          <w:sz w:val="18"/>
          <w:vertAlign w:val="baseline"/>
        </w:rPr>
        <w:t> </w:t>
      </w:r>
      <w:r>
        <w:rPr>
          <w:w w:val="105"/>
          <w:sz w:val="18"/>
          <w:vertAlign w:val="baseline"/>
        </w:rPr>
        <w:t>exclusive</w:t>
      </w:r>
      <w:r>
        <w:rPr>
          <w:spacing w:val="-10"/>
          <w:w w:val="105"/>
          <w:sz w:val="18"/>
          <w:vertAlign w:val="baseline"/>
        </w:rPr>
        <w:t> </w:t>
      </w:r>
      <w:r>
        <w:rPr>
          <w:w w:val="105"/>
          <w:sz w:val="18"/>
          <w:vertAlign w:val="baseline"/>
        </w:rPr>
        <w:t>project</w:t>
      </w:r>
      <w:r>
        <w:rPr>
          <w:spacing w:val="-10"/>
          <w:w w:val="105"/>
          <w:sz w:val="18"/>
          <w:vertAlign w:val="baseline"/>
        </w:rPr>
        <w:t> </w:t>
      </w:r>
      <w:r>
        <w:rPr>
          <w:w w:val="105"/>
          <w:sz w:val="18"/>
          <w:vertAlign w:val="baseline"/>
        </w:rPr>
        <w:t>alternatives”—as</w:t>
      </w:r>
      <w:r>
        <w:rPr>
          <w:spacing w:val="-10"/>
          <w:w w:val="105"/>
          <w:sz w:val="18"/>
          <w:vertAlign w:val="baseline"/>
        </w:rPr>
        <w:t> </w:t>
      </w:r>
      <w:r>
        <w:rPr>
          <w:w w:val="105"/>
          <w:sz w:val="18"/>
          <w:vertAlign w:val="baseline"/>
        </w:rPr>
        <w:t>“a</w:t>
      </w:r>
      <w:r>
        <w:rPr>
          <w:spacing w:val="-10"/>
          <w:w w:val="105"/>
          <w:sz w:val="18"/>
          <w:vertAlign w:val="baseline"/>
        </w:rPr>
        <w:t> </w:t>
      </w:r>
      <w:r>
        <w:rPr>
          <w:w w:val="105"/>
          <w:sz w:val="18"/>
          <w:vertAlign w:val="baseline"/>
        </w:rPr>
        <w:t>safeguard against</w:t>
      </w:r>
      <w:r>
        <w:rPr>
          <w:spacing w:val="-13"/>
          <w:w w:val="105"/>
          <w:sz w:val="18"/>
          <w:vertAlign w:val="baseline"/>
        </w:rPr>
        <w:t> </w:t>
      </w:r>
      <w:r>
        <w:rPr>
          <w:w w:val="105"/>
          <w:sz w:val="18"/>
          <w:vertAlign w:val="baseline"/>
        </w:rPr>
        <w:t>project</w:t>
      </w:r>
      <w:r>
        <w:rPr>
          <w:spacing w:val="-13"/>
          <w:w w:val="105"/>
          <w:sz w:val="18"/>
          <w:vertAlign w:val="baseline"/>
        </w:rPr>
        <w:t> </w:t>
      </w:r>
      <w:r>
        <w:rPr>
          <w:w w:val="105"/>
          <w:sz w:val="18"/>
          <w:vertAlign w:val="baseline"/>
        </w:rPr>
        <w:t>choices</w:t>
      </w:r>
      <w:r>
        <w:rPr>
          <w:spacing w:val="-13"/>
          <w:w w:val="105"/>
          <w:sz w:val="18"/>
          <w:vertAlign w:val="baseline"/>
        </w:rPr>
        <w:t> </w:t>
      </w:r>
      <w:r>
        <w:rPr>
          <w:w w:val="105"/>
          <w:sz w:val="18"/>
          <w:vertAlign w:val="baseline"/>
        </w:rPr>
        <w:t>being</w:t>
      </w:r>
      <w:r>
        <w:rPr>
          <w:spacing w:val="-13"/>
          <w:w w:val="105"/>
          <w:sz w:val="18"/>
          <w:vertAlign w:val="baseline"/>
        </w:rPr>
        <w:t> </w:t>
      </w:r>
      <w:r>
        <w:rPr>
          <w:w w:val="105"/>
          <w:sz w:val="18"/>
          <w:vertAlign w:val="baseline"/>
        </w:rPr>
        <w:t>captured</w:t>
      </w:r>
      <w:r>
        <w:rPr>
          <w:spacing w:val="-13"/>
          <w:w w:val="105"/>
          <w:sz w:val="18"/>
          <w:vertAlign w:val="baseline"/>
        </w:rPr>
        <w:t> </w:t>
      </w:r>
      <w:r>
        <w:rPr>
          <w:w w:val="105"/>
          <w:sz w:val="18"/>
          <w:vertAlign w:val="baseline"/>
        </w:rPr>
        <w:t>by</w:t>
      </w:r>
      <w:r>
        <w:rPr>
          <w:spacing w:val="-13"/>
          <w:w w:val="105"/>
          <w:sz w:val="18"/>
          <w:vertAlign w:val="baseline"/>
        </w:rPr>
        <w:t> </w:t>
      </w:r>
      <w:r>
        <w:rPr>
          <w:w w:val="105"/>
          <w:sz w:val="18"/>
          <w:vertAlign w:val="baseline"/>
        </w:rPr>
        <w:t>narrow</w:t>
      </w:r>
      <w:r>
        <w:rPr>
          <w:spacing w:val="-13"/>
          <w:w w:val="105"/>
          <w:sz w:val="18"/>
          <w:vertAlign w:val="baseline"/>
        </w:rPr>
        <w:t> </w:t>
      </w:r>
      <w:r>
        <w:rPr>
          <w:w w:val="105"/>
          <w:sz w:val="18"/>
          <w:vertAlign w:val="baseline"/>
        </w:rPr>
        <w:t>political</w:t>
      </w:r>
      <w:r>
        <w:rPr>
          <w:spacing w:val="-13"/>
          <w:w w:val="105"/>
          <w:sz w:val="18"/>
          <w:vertAlign w:val="baseline"/>
        </w:rPr>
        <w:t> </w:t>
      </w:r>
      <w:r>
        <w:rPr>
          <w:w w:val="105"/>
          <w:sz w:val="18"/>
          <w:vertAlign w:val="baseline"/>
        </w:rPr>
        <w:t>or</w:t>
      </w:r>
      <w:r>
        <w:rPr>
          <w:spacing w:val="-13"/>
          <w:w w:val="105"/>
          <w:sz w:val="18"/>
          <w:vertAlign w:val="baseline"/>
        </w:rPr>
        <w:t> </w:t>
      </w:r>
      <w:r>
        <w:rPr>
          <w:w w:val="105"/>
          <w:sz w:val="18"/>
          <w:vertAlign w:val="baseline"/>
        </w:rPr>
        <w:t>sectional</w:t>
      </w:r>
      <w:r>
        <w:rPr>
          <w:spacing w:val="-13"/>
          <w:w w:val="105"/>
          <w:sz w:val="18"/>
          <w:vertAlign w:val="baseline"/>
        </w:rPr>
        <w:t> </w:t>
      </w:r>
      <w:r>
        <w:rPr>
          <w:w w:val="105"/>
          <w:sz w:val="18"/>
          <w:vertAlign w:val="baseline"/>
        </w:rPr>
        <w:t>interests”</w:t>
      </w:r>
      <w:r>
        <w:rPr>
          <w:spacing w:val="-13"/>
          <w:w w:val="105"/>
          <w:sz w:val="18"/>
          <w:vertAlign w:val="baseline"/>
        </w:rPr>
        <w:t> </w:t>
      </w:r>
      <w:r>
        <w:rPr>
          <w:w w:val="105"/>
          <w:sz w:val="18"/>
          <w:vertAlign w:val="baseline"/>
        </w:rPr>
        <w:t>(Warner</w:t>
      </w:r>
      <w:r>
        <w:rPr>
          <w:spacing w:val="-13"/>
          <w:w w:val="105"/>
          <w:sz w:val="18"/>
          <w:vertAlign w:val="baseline"/>
        </w:rPr>
        <w:t> </w:t>
      </w:r>
      <w:r>
        <w:rPr>
          <w:w w:val="105"/>
          <w:sz w:val="18"/>
          <w:vertAlign w:val="baseline"/>
        </w:rPr>
        <w:t>2010:</w:t>
      </w:r>
      <w:r>
        <w:rPr>
          <w:spacing w:val="-13"/>
          <w:w w:val="105"/>
          <w:sz w:val="18"/>
          <w:vertAlign w:val="baseline"/>
        </w:rPr>
        <w:t> </w:t>
      </w:r>
      <w:r>
        <w:rPr>
          <w:w w:val="105"/>
          <w:sz w:val="18"/>
          <w:vertAlign w:val="baseline"/>
        </w:rPr>
        <w:t>2).</w:t>
      </w:r>
      <w:r>
        <w:rPr>
          <w:spacing w:val="-13"/>
          <w:w w:val="105"/>
          <w:sz w:val="18"/>
          <w:vertAlign w:val="baseline"/>
        </w:rPr>
        <w:t> </w:t>
      </w:r>
      <w:r>
        <w:rPr>
          <w:w w:val="105"/>
          <w:sz w:val="18"/>
          <w:vertAlign w:val="baseline"/>
        </w:rPr>
        <w:t>By </w:t>
      </w:r>
      <w:r>
        <w:rPr>
          <w:spacing w:val="-2"/>
          <w:w w:val="105"/>
          <w:sz w:val="18"/>
          <w:vertAlign w:val="baseline"/>
        </w:rPr>
        <w:t>contrast, the Chinese grant-giving and lending institutions do not have analogous institutional safeguards </w:t>
      </w:r>
      <w:r>
        <w:rPr>
          <w:w w:val="105"/>
          <w:sz w:val="18"/>
          <w:vertAlign w:val="baseline"/>
        </w:rPr>
        <w:t>in place (Dreher et al. 2019, 2022).</w:t>
      </w:r>
    </w:p>
    <w:p>
      <w:pPr>
        <w:spacing w:line="249" w:lineRule="auto" w:before="5"/>
        <w:ind w:left="560" w:right="685" w:firstLine="0"/>
        <w:jc w:val="left"/>
        <w:rPr>
          <w:sz w:val="18"/>
        </w:rPr>
      </w:pPr>
      <w:r>
        <w:rPr>
          <w:sz w:val="18"/>
          <w:vertAlign w:val="superscript"/>
        </w:rPr>
        <w:t>248</w:t>
      </w:r>
      <w:r>
        <w:rPr>
          <w:sz w:val="18"/>
          <w:vertAlign w:val="baseline"/>
        </w:rPr>
        <w:t> An important caveat is that we only identify projects as being located within geographical areas that </w:t>
      </w:r>
      <w:r>
        <w:rPr>
          <w:sz w:val="18"/>
          <w:vertAlign w:val="baseline"/>
        </w:rPr>
        <w:t>are vulnerable to political capture and manipulation if they fall within home districts (ADM2s) of political</w:t>
      </w:r>
      <w:r>
        <w:rPr>
          <w:spacing w:val="80"/>
          <w:sz w:val="18"/>
          <w:vertAlign w:val="baseline"/>
        </w:rPr>
        <w:t> </w:t>
      </w:r>
      <w:r>
        <w:rPr>
          <w:sz w:val="18"/>
          <w:vertAlign w:val="baseline"/>
        </w:rPr>
        <w:t>leaders. Therefore, projects that fall within the home regions (ADM1s), but not the home districts (ADM2s) of political leaders, are excluded. Nor do we consider the presence of non-infrastructure projects in the home districts (ADM2s) of political leaders.</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55"/>
      </w:pPr>
      <w:r>
        <w:rPr/>
        <w:t>Development</w:t>
      </w:r>
      <w:r>
        <w:rPr>
          <w:spacing w:val="-8"/>
        </w:rPr>
        <w:t> </w:t>
      </w:r>
      <w:r>
        <w:rPr/>
        <w:t>Bank,</w:t>
      </w:r>
      <w:r>
        <w:rPr>
          <w:spacing w:val="-8"/>
        </w:rPr>
        <w:t> </w:t>
      </w:r>
      <w:r>
        <w:rPr/>
        <w:t>and</w:t>
      </w:r>
      <w:r>
        <w:rPr>
          <w:spacing w:val="-8"/>
        </w:rPr>
        <w:t> </w:t>
      </w:r>
      <w:r>
        <w:rPr/>
        <w:t>the</w:t>
      </w:r>
      <w:r>
        <w:rPr>
          <w:spacing w:val="-8"/>
        </w:rPr>
        <w:t> </w:t>
      </w:r>
      <w:r>
        <w:rPr/>
        <w:t>Asian</w:t>
      </w:r>
      <w:r>
        <w:rPr>
          <w:spacing w:val="-8"/>
        </w:rPr>
        <w:t> </w:t>
      </w:r>
      <w:r>
        <w:rPr/>
        <w:t>Infrastructure</w:t>
      </w:r>
      <w:r>
        <w:rPr>
          <w:spacing w:val="-8"/>
        </w:rPr>
        <w:t> </w:t>
      </w:r>
      <w:r>
        <w:rPr/>
        <w:t>Investment</w:t>
      </w:r>
      <w:r>
        <w:rPr>
          <w:spacing w:val="-8"/>
        </w:rPr>
        <w:t> </w:t>
      </w:r>
      <w:r>
        <w:rPr/>
        <w:t>Bank—as</w:t>
      </w:r>
      <w:r>
        <w:rPr>
          <w:spacing w:val="-8"/>
        </w:rPr>
        <w:t> </w:t>
      </w:r>
      <w:r>
        <w:rPr/>
        <w:t>well</w:t>
      </w:r>
      <w:r>
        <w:rPr>
          <w:spacing w:val="-8"/>
        </w:rPr>
        <w:t> </w:t>
      </w:r>
      <w:r>
        <w:rPr/>
        <w:t>as</w:t>
      </w:r>
      <w:r>
        <w:rPr>
          <w:spacing w:val="-8"/>
        </w:rPr>
        <w:t> </w:t>
      </w:r>
      <w:r>
        <w:rPr/>
        <w:t>the </w:t>
      </w:r>
      <w:r>
        <w:rPr>
          <w:w w:val="105"/>
        </w:rPr>
        <w:t>dates</w:t>
      </w:r>
      <w:r>
        <w:rPr>
          <w:spacing w:val="-11"/>
          <w:w w:val="105"/>
        </w:rPr>
        <w:t> </w:t>
      </w:r>
      <w:r>
        <w:rPr>
          <w:w w:val="105"/>
        </w:rPr>
        <w:t>of</w:t>
      </w:r>
      <w:r>
        <w:rPr>
          <w:spacing w:val="-11"/>
          <w:w w:val="105"/>
        </w:rPr>
        <w:t> </w:t>
      </w:r>
      <w:r>
        <w:rPr>
          <w:w w:val="105"/>
        </w:rPr>
        <w:t>each</w:t>
      </w:r>
      <w:r>
        <w:rPr>
          <w:spacing w:val="-11"/>
          <w:w w:val="105"/>
        </w:rPr>
        <w:t> </w:t>
      </w:r>
      <w:r>
        <w:rPr>
          <w:w w:val="105"/>
        </w:rPr>
        <w:t>ﬁrm’s</w:t>
      </w:r>
      <w:r>
        <w:rPr>
          <w:spacing w:val="-11"/>
          <w:w w:val="105"/>
        </w:rPr>
        <w:t> </w:t>
      </w:r>
      <w:r>
        <w:rPr>
          <w:w w:val="105"/>
        </w:rPr>
        <w:t>formal</w:t>
      </w:r>
      <w:r>
        <w:rPr>
          <w:spacing w:val="-11"/>
          <w:w w:val="105"/>
        </w:rPr>
        <w:t> </w:t>
      </w:r>
      <w:r>
        <w:rPr>
          <w:w w:val="105"/>
        </w:rPr>
        <w:t>debarment</w:t>
      </w:r>
      <w:r>
        <w:rPr>
          <w:spacing w:val="-11"/>
          <w:w w:val="105"/>
        </w:rPr>
        <w:t> </w:t>
      </w:r>
      <w:r>
        <w:rPr>
          <w:w w:val="105"/>
        </w:rPr>
        <w:t>period.</w:t>
      </w:r>
      <w:r>
        <w:rPr>
          <w:spacing w:val="-11"/>
          <w:w w:val="105"/>
        </w:rPr>
        <w:t> </w:t>
      </w:r>
      <w:r>
        <w:rPr>
          <w:w w:val="105"/>
        </w:rPr>
        <w:t>Then,</w:t>
      </w:r>
      <w:r>
        <w:rPr>
          <w:spacing w:val="-11"/>
          <w:w w:val="105"/>
        </w:rPr>
        <w:t> </w:t>
      </w:r>
      <w:r>
        <w:rPr>
          <w:w w:val="105"/>
        </w:rPr>
        <w:t>we</w:t>
      </w:r>
      <w:r>
        <w:rPr>
          <w:spacing w:val="-11"/>
          <w:w w:val="105"/>
        </w:rPr>
        <w:t> </w:t>
      </w:r>
      <w:r>
        <w:rPr>
          <w:w w:val="105"/>
        </w:rPr>
        <w:t>compare</w:t>
      </w:r>
      <w:r>
        <w:rPr>
          <w:spacing w:val="-11"/>
          <w:w w:val="105"/>
        </w:rPr>
        <w:t> </w:t>
      </w:r>
      <w:r>
        <w:rPr>
          <w:w w:val="105"/>
        </w:rPr>
        <w:t>the</w:t>
      </w:r>
      <w:r>
        <w:rPr>
          <w:spacing w:val="-11"/>
          <w:w w:val="105"/>
        </w:rPr>
        <w:t> </w:t>
      </w:r>
      <w:r>
        <w:rPr>
          <w:w w:val="105"/>
        </w:rPr>
        <w:t>list</w:t>
      </w:r>
      <w:r>
        <w:rPr>
          <w:spacing w:val="-11"/>
          <w:w w:val="105"/>
        </w:rPr>
        <w:t> </w:t>
      </w:r>
      <w:r>
        <w:rPr>
          <w:w w:val="105"/>
        </w:rPr>
        <w:t>of debarred</w:t>
      </w:r>
      <w:r>
        <w:rPr>
          <w:spacing w:val="-10"/>
          <w:w w:val="105"/>
        </w:rPr>
        <w:t> </w:t>
      </w:r>
      <w:r>
        <w:rPr>
          <w:w w:val="105"/>
        </w:rPr>
        <w:t>ﬁrm</w:t>
      </w:r>
      <w:r>
        <w:rPr>
          <w:spacing w:val="-10"/>
          <w:w w:val="105"/>
        </w:rPr>
        <w:t> </w:t>
      </w:r>
      <w:r>
        <w:rPr>
          <w:w w:val="105"/>
        </w:rPr>
        <w:t>names</w:t>
      </w:r>
      <w:r>
        <w:rPr>
          <w:spacing w:val="-10"/>
          <w:w w:val="105"/>
        </w:rPr>
        <w:t> </w:t>
      </w:r>
      <w:r>
        <w:rPr>
          <w:w w:val="105"/>
        </w:rPr>
        <w:t>to</w:t>
      </w:r>
      <w:r>
        <w:rPr>
          <w:spacing w:val="-10"/>
          <w:w w:val="105"/>
        </w:rPr>
        <w:t> </w:t>
      </w:r>
      <w:r>
        <w:rPr>
          <w:w w:val="105"/>
        </w:rPr>
        <w:t>the</w:t>
      </w:r>
      <w:r>
        <w:rPr>
          <w:spacing w:val="-10"/>
          <w:w w:val="105"/>
        </w:rPr>
        <w:t> </w:t>
      </w:r>
      <w:r>
        <w:rPr>
          <w:w w:val="105"/>
        </w:rPr>
        <w:t>ﬁrm</w:t>
      </w:r>
      <w:r>
        <w:rPr>
          <w:spacing w:val="-10"/>
          <w:w w:val="105"/>
        </w:rPr>
        <w:t> </w:t>
      </w:r>
      <w:r>
        <w:rPr>
          <w:w w:val="105"/>
        </w:rPr>
        <w:t>names</w:t>
      </w:r>
      <w:r>
        <w:rPr>
          <w:spacing w:val="-10"/>
          <w:w w:val="105"/>
        </w:rPr>
        <w:t> </w:t>
      </w:r>
      <w:r>
        <w:rPr>
          <w:w w:val="105"/>
        </w:rPr>
        <w:t>of</w:t>
      </w:r>
      <w:r>
        <w:rPr>
          <w:spacing w:val="-10"/>
          <w:w w:val="105"/>
        </w:rPr>
        <w:t> </w:t>
      </w:r>
      <w:r>
        <w:rPr>
          <w:w w:val="105"/>
        </w:rPr>
        <w:t>implementing</w:t>
      </w:r>
      <w:r>
        <w:rPr>
          <w:spacing w:val="-10"/>
          <w:w w:val="105"/>
        </w:rPr>
        <w:t> </w:t>
      </w:r>
      <w:r>
        <w:rPr>
          <w:w w:val="105"/>
        </w:rPr>
        <w:t>agencies</w:t>
      </w:r>
      <w:r>
        <w:rPr>
          <w:spacing w:val="-10"/>
          <w:w w:val="105"/>
        </w:rPr>
        <w:t> </w:t>
      </w:r>
      <w:r>
        <w:rPr>
          <w:w w:val="105"/>
        </w:rPr>
        <w:t>and </w:t>
      </w:r>
      <w:r>
        <w:rPr>
          <w:spacing w:val="-2"/>
          <w:w w:val="105"/>
        </w:rPr>
        <w:t>contractors</w:t>
      </w:r>
      <w:r>
        <w:rPr>
          <w:spacing w:val="-6"/>
          <w:w w:val="105"/>
        </w:rPr>
        <w:t> </w:t>
      </w:r>
      <w:r>
        <w:rPr>
          <w:spacing w:val="-2"/>
          <w:w w:val="105"/>
        </w:rPr>
        <w:t>involved</w:t>
      </w:r>
      <w:r>
        <w:rPr>
          <w:spacing w:val="-6"/>
          <w:w w:val="105"/>
        </w:rPr>
        <w:t> </w:t>
      </w:r>
      <w:r>
        <w:rPr>
          <w:spacing w:val="-2"/>
          <w:w w:val="105"/>
        </w:rPr>
        <w:t>in</w:t>
      </w:r>
      <w:r>
        <w:rPr>
          <w:spacing w:val="-6"/>
          <w:w w:val="105"/>
        </w:rPr>
        <w:t> </w:t>
      </w:r>
      <w:r>
        <w:rPr>
          <w:spacing w:val="-2"/>
          <w:w w:val="105"/>
        </w:rPr>
        <w:t>the</w:t>
      </w:r>
      <w:r>
        <w:rPr>
          <w:spacing w:val="-6"/>
          <w:w w:val="105"/>
        </w:rPr>
        <w:t> </w:t>
      </w:r>
      <w:r>
        <w:rPr>
          <w:spacing w:val="-2"/>
          <w:w w:val="105"/>
        </w:rPr>
        <w:t>Chinese</w:t>
      </w:r>
      <w:r>
        <w:rPr>
          <w:spacing w:val="-6"/>
          <w:w w:val="105"/>
        </w:rPr>
        <w:t> </w:t>
      </w:r>
      <w:r>
        <w:rPr>
          <w:spacing w:val="-2"/>
          <w:w w:val="105"/>
        </w:rPr>
        <w:t>grant-</w:t>
      </w:r>
      <w:r>
        <w:rPr>
          <w:spacing w:val="-6"/>
          <w:w w:val="105"/>
        </w:rPr>
        <w:t> </w:t>
      </w:r>
      <w:r>
        <w:rPr>
          <w:spacing w:val="-2"/>
          <w:w w:val="105"/>
        </w:rPr>
        <w:t>and</w:t>
      </w:r>
      <w:r>
        <w:rPr>
          <w:spacing w:val="-6"/>
          <w:w w:val="105"/>
        </w:rPr>
        <w:t> </w:t>
      </w:r>
      <w:r>
        <w:rPr>
          <w:spacing w:val="-2"/>
          <w:w w:val="105"/>
        </w:rPr>
        <w:t>loan-ﬁnanced</w:t>
      </w:r>
      <w:r>
        <w:rPr>
          <w:spacing w:val="-6"/>
          <w:w w:val="105"/>
        </w:rPr>
        <w:t> </w:t>
      </w:r>
      <w:r>
        <w:rPr>
          <w:spacing w:val="-2"/>
          <w:w w:val="105"/>
        </w:rPr>
        <w:t>infrastructure </w:t>
      </w:r>
      <w:r>
        <w:rPr>
          <w:w w:val="105"/>
        </w:rPr>
        <w:t>projects.</w:t>
      </w:r>
      <w:r>
        <w:rPr>
          <w:spacing w:val="-10"/>
          <w:w w:val="105"/>
        </w:rPr>
        <w:t> </w:t>
      </w:r>
      <w:r>
        <w:rPr>
          <w:w w:val="105"/>
        </w:rPr>
        <w:t>Finally,</w:t>
      </w:r>
      <w:r>
        <w:rPr>
          <w:spacing w:val="-10"/>
          <w:w w:val="105"/>
        </w:rPr>
        <w:t> </w:t>
      </w:r>
      <w:r>
        <w:rPr>
          <w:w w:val="105"/>
        </w:rPr>
        <w:t>we</w:t>
      </w:r>
      <w:r>
        <w:rPr>
          <w:spacing w:val="-10"/>
          <w:w w:val="105"/>
        </w:rPr>
        <w:t> </w:t>
      </w:r>
      <w:r>
        <w:rPr>
          <w:w w:val="105"/>
        </w:rPr>
        <w:t>identify</w:t>
      </w:r>
      <w:r>
        <w:rPr>
          <w:spacing w:val="-10"/>
          <w:w w:val="105"/>
        </w:rPr>
        <w:t> </w:t>
      </w:r>
      <w:r>
        <w:rPr>
          <w:w w:val="105"/>
        </w:rPr>
        <w:t>the</w:t>
      </w:r>
      <w:r>
        <w:rPr>
          <w:spacing w:val="-10"/>
          <w:w w:val="105"/>
        </w:rPr>
        <w:t> </w:t>
      </w:r>
      <w:r>
        <w:rPr>
          <w:w w:val="105"/>
        </w:rPr>
        <w:t>subset</w:t>
      </w:r>
      <w:r>
        <w:rPr>
          <w:spacing w:val="-10"/>
          <w:w w:val="105"/>
        </w:rPr>
        <w:t> </w:t>
      </w:r>
      <w:r>
        <w:rPr>
          <w:w w:val="105"/>
        </w:rPr>
        <w:t>of</w:t>
      </w:r>
      <w:r>
        <w:rPr>
          <w:spacing w:val="-10"/>
          <w:w w:val="105"/>
        </w:rPr>
        <w:t> </w:t>
      </w:r>
      <w:r>
        <w:rPr>
          <w:w w:val="105"/>
        </w:rPr>
        <w:t>projects</w:t>
      </w:r>
      <w:r>
        <w:rPr>
          <w:spacing w:val="-10"/>
          <w:w w:val="105"/>
        </w:rPr>
        <w:t> </w:t>
      </w:r>
      <w:r>
        <w:rPr>
          <w:w w:val="105"/>
        </w:rPr>
        <w:t>that</w:t>
      </w:r>
      <w:r>
        <w:rPr>
          <w:spacing w:val="-10"/>
          <w:w w:val="105"/>
        </w:rPr>
        <w:t> </w:t>
      </w:r>
      <w:r>
        <w:rPr>
          <w:w w:val="105"/>
        </w:rPr>
        <w:t>relied</w:t>
      </w:r>
      <w:r>
        <w:rPr>
          <w:spacing w:val="-10"/>
          <w:w w:val="105"/>
        </w:rPr>
        <w:t> </w:t>
      </w:r>
      <w:r>
        <w:rPr>
          <w:w w:val="105"/>
        </w:rPr>
        <w:t>upon</w:t>
      </w:r>
      <w:r>
        <w:rPr>
          <w:spacing w:val="-10"/>
          <w:w w:val="105"/>
        </w:rPr>
        <w:t> </w:t>
      </w:r>
      <w:r>
        <w:rPr>
          <w:w w:val="105"/>
        </w:rPr>
        <w:t>debarred ﬁrms</w:t>
      </w:r>
      <w:r>
        <w:rPr>
          <w:spacing w:val="-18"/>
          <w:w w:val="105"/>
        </w:rPr>
        <w:t> </w:t>
      </w:r>
      <w:r>
        <w:rPr>
          <w:w w:val="105"/>
        </w:rPr>
        <w:t>while</w:t>
      </w:r>
      <w:r>
        <w:rPr>
          <w:spacing w:val="-17"/>
          <w:w w:val="105"/>
        </w:rPr>
        <w:t> </w:t>
      </w:r>
      <w:r>
        <w:rPr>
          <w:w w:val="105"/>
        </w:rPr>
        <w:t>they</w:t>
      </w:r>
      <w:r>
        <w:rPr>
          <w:spacing w:val="-18"/>
          <w:w w:val="105"/>
        </w:rPr>
        <w:t> </w:t>
      </w:r>
      <w:r>
        <w:rPr>
          <w:w w:val="105"/>
        </w:rPr>
        <w:t>were</w:t>
      </w:r>
      <w:r>
        <w:rPr>
          <w:spacing w:val="-18"/>
          <w:w w:val="105"/>
        </w:rPr>
        <w:t> </w:t>
      </w:r>
      <w:r>
        <w:rPr>
          <w:w w:val="105"/>
        </w:rPr>
        <w:t>still</w:t>
      </w:r>
      <w:r>
        <w:rPr>
          <w:spacing w:val="-17"/>
          <w:w w:val="105"/>
        </w:rPr>
        <w:t> </w:t>
      </w:r>
      <w:r>
        <w:rPr>
          <w:w w:val="105"/>
        </w:rPr>
        <w:t>within</w:t>
      </w:r>
      <w:r>
        <w:rPr>
          <w:spacing w:val="-18"/>
          <w:w w:val="105"/>
        </w:rPr>
        <w:t> </w:t>
      </w:r>
      <w:r>
        <w:rPr>
          <w:w w:val="105"/>
        </w:rPr>
        <w:t>their</w:t>
      </w:r>
      <w:r>
        <w:rPr>
          <w:spacing w:val="-17"/>
          <w:w w:val="105"/>
        </w:rPr>
        <w:t> </w:t>
      </w:r>
      <w:r>
        <w:rPr>
          <w:w w:val="105"/>
        </w:rPr>
        <w:t>debarment</w:t>
      </w:r>
      <w:r>
        <w:rPr>
          <w:spacing w:val="-18"/>
          <w:w w:val="105"/>
        </w:rPr>
        <w:t> </w:t>
      </w:r>
      <w:r>
        <w:rPr>
          <w:w w:val="105"/>
        </w:rPr>
        <w:t>periods</w:t>
      </w:r>
      <w:r>
        <w:rPr>
          <w:spacing w:val="-17"/>
          <w:w w:val="105"/>
        </w:rPr>
        <w:t> </w:t>
      </w:r>
      <w:r>
        <w:rPr>
          <w:w w:val="105"/>
        </w:rPr>
        <w:t>by</w:t>
      </w:r>
      <w:r>
        <w:rPr>
          <w:spacing w:val="-18"/>
          <w:w w:val="105"/>
        </w:rPr>
        <w:t> </w:t>
      </w:r>
      <w:r>
        <w:rPr>
          <w:w w:val="105"/>
        </w:rPr>
        <w:t>identifying</w:t>
      </w:r>
      <w:r>
        <w:rPr>
          <w:spacing w:val="-17"/>
          <w:w w:val="105"/>
        </w:rPr>
        <w:t> </w:t>
      </w:r>
      <w:r>
        <w:rPr>
          <w:w w:val="105"/>
        </w:rPr>
        <w:t>all</w:t>
      </w:r>
      <w:r>
        <w:rPr>
          <w:spacing w:val="-18"/>
          <w:w w:val="105"/>
        </w:rPr>
        <w:t> </w:t>
      </w:r>
      <w:r>
        <w:rPr>
          <w:w w:val="105"/>
        </w:rPr>
        <w:t>cases in</w:t>
      </w:r>
      <w:r>
        <w:rPr>
          <w:spacing w:val="-15"/>
          <w:w w:val="105"/>
        </w:rPr>
        <w:t> </w:t>
      </w:r>
      <w:r>
        <w:rPr>
          <w:w w:val="105"/>
        </w:rPr>
        <w:t>which</w:t>
      </w:r>
      <w:r>
        <w:rPr>
          <w:spacing w:val="-15"/>
          <w:w w:val="105"/>
        </w:rPr>
        <w:t> </w:t>
      </w:r>
      <w:r>
        <w:rPr>
          <w:w w:val="105"/>
        </w:rPr>
        <w:t>there</w:t>
      </w:r>
      <w:r>
        <w:rPr>
          <w:spacing w:val="-15"/>
          <w:w w:val="105"/>
        </w:rPr>
        <w:t> </w:t>
      </w:r>
      <w:r>
        <w:rPr>
          <w:w w:val="105"/>
        </w:rPr>
        <w:t>was</w:t>
      </w:r>
      <w:r>
        <w:rPr>
          <w:spacing w:val="-15"/>
          <w:w w:val="105"/>
        </w:rPr>
        <w:t> </w:t>
      </w:r>
      <w:r>
        <w:rPr>
          <w:w w:val="105"/>
        </w:rPr>
        <w:t>calendar</w:t>
      </w:r>
      <w:r>
        <w:rPr>
          <w:spacing w:val="-15"/>
          <w:w w:val="105"/>
        </w:rPr>
        <w:t> </w:t>
      </w:r>
      <w:r>
        <w:rPr>
          <w:w w:val="105"/>
        </w:rPr>
        <w:t>day</w:t>
      </w:r>
      <w:r>
        <w:rPr>
          <w:spacing w:val="-15"/>
          <w:w w:val="105"/>
        </w:rPr>
        <w:t> </w:t>
      </w:r>
      <w:r>
        <w:rPr>
          <w:w w:val="105"/>
        </w:rPr>
        <w:t>overlap</w:t>
      </w:r>
      <w:r>
        <w:rPr>
          <w:spacing w:val="-15"/>
          <w:w w:val="105"/>
        </w:rPr>
        <w:t> </w:t>
      </w:r>
      <w:r>
        <w:rPr>
          <w:w w:val="105"/>
        </w:rPr>
        <w:t>between</w:t>
      </w:r>
      <w:r>
        <w:rPr>
          <w:spacing w:val="-15"/>
          <w:w w:val="105"/>
        </w:rPr>
        <w:t> </w:t>
      </w:r>
      <w:r>
        <w:rPr>
          <w:w w:val="105"/>
        </w:rPr>
        <w:t>the</w:t>
      </w:r>
      <w:r>
        <w:rPr>
          <w:spacing w:val="-15"/>
          <w:w w:val="105"/>
        </w:rPr>
        <w:t> </w:t>
      </w:r>
      <w:r>
        <w:rPr>
          <w:w w:val="105"/>
        </w:rPr>
        <w:t>start</w:t>
      </w:r>
      <w:r>
        <w:rPr>
          <w:spacing w:val="-15"/>
          <w:w w:val="105"/>
        </w:rPr>
        <w:t> </w:t>
      </w:r>
      <w:r>
        <w:rPr>
          <w:w w:val="105"/>
        </w:rPr>
        <w:t>and</w:t>
      </w:r>
      <w:r>
        <w:rPr>
          <w:spacing w:val="-15"/>
          <w:w w:val="105"/>
        </w:rPr>
        <w:t> </w:t>
      </w:r>
      <w:r>
        <w:rPr>
          <w:w w:val="105"/>
        </w:rPr>
        <w:t>end</w:t>
      </w:r>
      <w:r>
        <w:rPr>
          <w:spacing w:val="-15"/>
          <w:w w:val="105"/>
        </w:rPr>
        <w:t> </w:t>
      </w:r>
      <w:r>
        <w:rPr>
          <w:w w:val="105"/>
        </w:rPr>
        <w:t>dates</w:t>
      </w:r>
      <w:r>
        <w:rPr>
          <w:spacing w:val="-15"/>
          <w:w w:val="105"/>
        </w:rPr>
        <w:t> </w:t>
      </w:r>
      <w:r>
        <w:rPr>
          <w:w w:val="105"/>
        </w:rPr>
        <w:t>of</w:t>
      </w:r>
      <w:r>
        <w:rPr>
          <w:spacing w:val="-15"/>
          <w:w w:val="105"/>
        </w:rPr>
        <w:t> </w:t>
      </w:r>
      <w:r>
        <w:rPr>
          <w:w w:val="105"/>
        </w:rPr>
        <w:t>an organization’s</w:t>
      </w:r>
      <w:r>
        <w:rPr>
          <w:spacing w:val="-6"/>
          <w:w w:val="105"/>
        </w:rPr>
        <w:t> </w:t>
      </w:r>
      <w:r>
        <w:rPr>
          <w:w w:val="105"/>
        </w:rPr>
        <w:t>debarment</w:t>
      </w:r>
      <w:r>
        <w:rPr>
          <w:spacing w:val="-6"/>
          <w:w w:val="105"/>
        </w:rPr>
        <w:t> </w:t>
      </w:r>
      <w:r>
        <w:rPr>
          <w:w w:val="105"/>
        </w:rPr>
        <w:t>period</w:t>
      </w:r>
      <w:r>
        <w:rPr>
          <w:spacing w:val="-6"/>
          <w:w w:val="105"/>
        </w:rPr>
        <w:t> </w:t>
      </w:r>
      <w:r>
        <w:rPr>
          <w:w w:val="105"/>
        </w:rPr>
        <w:t>and</w:t>
      </w:r>
      <w:r>
        <w:rPr>
          <w:spacing w:val="-6"/>
          <w:w w:val="105"/>
        </w:rPr>
        <w:t> </w:t>
      </w:r>
      <w:r>
        <w:rPr>
          <w:w w:val="105"/>
        </w:rPr>
        <w:t>the</w:t>
      </w:r>
      <w:r>
        <w:rPr>
          <w:spacing w:val="-6"/>
          <w:w w:val="105"/>
        </w:rPr>
        <w:t> </w:t>
      </w:r>
      <w:r>
        <w:rPr>
          <w:w w:val="105"/>
        </w:rPr>
        <w:t>commitment,</w:t>
      </w:r>
      <w:r>
        <w:rPr>
          <w:spacing w:val="-6"/>
          <w:w w:val="105"/>
        </w:rPr>
        <w:t> </w:t>
      </w:r>
      <w:r>
        <w:rPr>
          <w:w w:val="105"/>
        </w:rPr>
        <w:t>implementation,</w:t>
      </w:r>
      <w:r>
        <w:rPr>
          <w:spacing w:val="-6"/>
          <w:w w:val="105"/>
        </w:rPr>
        <w:t> </w:t>
      </w:r>
      <w:r>
        <w:rPr>
          <w:w w:val="105"/>
        </w:rPr>
        <w:t>or completion</w:t>
      </w:r>
      <w:r>
        <w:rPr>
          <w:spacing w:val="-9"/>
          <w:w w:val="105"/>
        </w:rPr>
        <w:t> </w:t>
      </w:r>
      <w:r>
        <w:rPr>
          <w:w w:val="105"/>
        </w:rPr>
        <w:t>dates</w:t>
      </w:r>
      <w:r>
        <w:rPr>
          <w:spacing w:val="-9"/>
          <w:w w:val="105"/>
        </w:rPr>
        <w:t> </w:t>
      </w:r>
      <w:r>
        <w:rPr>
          <w:w w:val="105"/>
        </w:rPr>
        <w:t>of</w:t>
      </w:r>
      <w:r>
        <w:rPr>
          <w:spacing w:val="-9"/>
          <w:w w:val="105"/>
        </w:rPr>
        <w:t> </w:t>
      </w:r>
      <w:r>
        <w:rPr>
          <w:w w:val="105"/>
        </w:rPr>
        <w:t>the</w:t>
      </w:r>
      <w:r>
        <w:rPr>
          <w:spacing w:val="-9"/>
          <w:w w:val="105"/>
        </w:rPr>
        <w:t> </w:t>
      </w:r>
      <w:r>
        <w:rPr>
          <w:w w:val="105"/>
        </w:rPr>
        <w:t>project(s)</w:t>
      </w:r>
      <w:r>
        <w:rPr>
          <w:spacing w:val="-9"/>
          <w:w w:val="105"/>
        </w:rPr>
        <w:t> </w:t>
      </w:r>
      <w:r>
        <w:rPr>
          <w:w w:val="105"/>
        </w:rPr>
        <w:t>it</w:t>
      </w:r>
      <w:r>
        <w:rPr>
          <w:spacing w:val="-9"/>
          <w:w w:val="105"/>
        </w:rPr>
        <w:t> </w:t>
      </w:r>
      <w:r>
        <w:rPr>
          <w:w w:val="105"/>
        </w:rPr>
        <w:t>supported.</w:t>
      </w:r>
      <w:r>
        <w:rPr>
          <w:spacing w:val="-9"/>
          <w:w w:val="105"/>
        </w:rPr>
        <w:t> </w:t>
      </w:r>
      <w:r>
        <w:rPr>
          <w:w w:val="105"/>
        </w:rPr>
        <w:t>Projects</w:t>
      </w:r>
      <w:r>
        <w:rPr>
          <w:spacing w:val="-9"/>
          <w:w w:val="105"/>
        </w:rPr>
        <w:t> </w:t>
      </w:r>
      <w:r>
        <w:rPr>
          <w:w w:val="105"/>
        </w:rPr>
        <w:t>that</w:t>
      </w:r>
      <w:r>
        <w:rPr>
          <w:spacing w:val="-9"/>
          <w:w w:val="105"/>
        </w:rPr>
        <w:t> </w:t>
      </w:r>
      <w:r>
        <w:rPr>
          <w:w w:val="105"/>
        </w:rPr>
        <w:t>relied</w:t>
      </w:r>
      <w:r>
        <w:rPr>
          <w:spacing w:val="-9"/>
          <w:w w:val="105"/>
        </w:rPr>
        <w:t> </w:t>
      </w:r>
      <w:r>
        <w:rPr>
          <w:w w:val="105"/>
        </w:rPr>
        <w:t>upon</w:t>
      </w:r>
      <w:r>
        <w:rPr>
          <w:spacing w:val="-9"/>
          <w:w w:val="105"/>
        </w:rPr>
        <w:t> </w:t>
      </w:r>
      <w:r>
        <w:rPr>
          <w:w w:val="105"/>
        </w:rPr>
        <w:t>a </w:t>
      </w:r>
      <w:r>
        <w:rPr/>
        <w:t>debarred ﬁrm are identiﬁed as posing a signiﬁcant governance risk (see Section A-6 in the Appendix for more details). In total, we ﬁnd 296 infrastructure projects </w:t>
      </w:r>
      <w:r>
        <w:rPr>
          <w:w w:val="105"/>
        </w:rPr>
        <w:t>in</w:t>
      </w:r>
      <w:r>
        <w:rPr>
          <w:spacing w:val="-11"/>
          <w:w w:val="105"/>
        </w:rPr>
        <w:t> </w:t>
      </w:r>
      <w:r>
        <w:rPr>
          <w:w w:val="105"/>
        </w:rPr>
        <w:t>81</w:t>
      </w:r>
      <w:r>
        <w:rPr>
          <w:spacing w:val="-11"/>
          <w:w w:val="105"/>
        </w:rPr>
        <w:t> </w:t>
      </w:r>
      <w:r>
        <w:rPr>
          <w:w w:val="105"/>
        </w:rPr>
        <w:t>countries</w:t>
      </w:r>
      <w:r>
        <w:rPr>
          <w:spacing w:val="-11"/>
          <w:w w:val="105"/>
        </w:rPr>
        <w:t> </w:t>
      </w:r>
      <w:r>
        <w:rPr>
          <w:w w:val="105"/>
        </w:rPr>
        <w:t>supported</w:t>
      </w:r>
      <w:r>
        <w:rPr>
          <w:spacing w:val="-11"/>
          <w:w w:val="105"/>
        </w:rPr>
        <w:t> </w:t>
      </w:r>
      <w:r>
        <w:rPr>
          <w:w w:val="105"/>
        </w:rPr>
        <w:t>by</w:t>
      </w:r>
      <w:r>
        <w:rPr>
          <w:spacing w:val="-11"/>
          <w:w w:val="105"/>
        </w:rPr>
        <w:t> </w:t>
      </w:r>
      <w:r>
        <w:rPr>
          <w:w w:val="105"/>
        </w:rPr>
        <w:t>grants</w:t>
      </w:r>
      <w:r>
        <w:rPr>
          <w:spacing w:val="-11"/>
          <w:w w:val="105"/>
        </w:rPr>
        <w:t> </w:t>
      </w:r>
      <w:r>
        <w:rPr>
          <w:w w:val="105"/>
        </w:rPr>
        <w:t>and</w:t>
      </w:r>
      <w:r>
        <w:rPr>
          <w:spacing w:val="-11"/>
          <w:w w:val="105"/>
        </w:rPr>
        <w:t> </w:t>
      </w:r>
      <w:r>
        <w:rPr>
          <w:w w:val="105"/>
        </w:rPr>
        <w:t>loans</w:t>
      </w:r>
      <w:r>
        <w:rPr>
          <w:spacing w:val="-11"/>
          <w:w w:val="105"/>
        </w:rPr>
        <w:t> </w:t>
      </w:r>
      <w:r>
        <w:rPr>
          <w:w w:val="105"/>
        </w:rPr>
        <w:t>from</w:t>
      </w:r>
      <w:r>
        <w:rPr>
          <w:spacing w:val="-11"/>
          <w:w w:val="105"/>
        </w:rPr>
        <w:t> </w:t>
      </w:r>
      <w:r>
        <w:rPr>
          <w:w w:val="105"/>
        </w:rPr>
        <w:t>China</w:t>
      </w:r>
      <w:r>
        <w:rPr>
          <w:spacing w:val="-11"/>
          <w:w w:val="105"/>
        </w:rPr>
        <w:t> </w:t>
      </w:r>
      <w:r>
        <w:rPr>
          <w:w w:val="105"/>
        </w:rPr>
        <w:t>worth</w:t>
      </w:r>
      <w:r>
        <w:rPr>
          <w:spacing w:val="-11"/>
          <w:w w:val="105"/>
        </w:rPr>
        <w:t> </w:t>
      </w:r>
      <w:r>
        <w:rPr>
          <w:w w:val="105"/>
        </w:rPr>
        <w:t>$88.8</w:t>
      </w:r>
      <w:r>
        <w:rPr>
          <w:spacing w:val="-11"/>
          <w:w w:val="105"/>
        </w:rPr>
        <w:t> </w:t>
      </w:r>
      <w:r>
        <w:rPr>
          <w:w w:val="105"/>
        </w:rPr>
        <w:t>billion that rely on such ﬁrms.</w:t>
      </w:r>
    </w:p>
    <w:p>
      <w:pPr>
        <w:pStyle w:val="BodyText"/>
        <w:spacing w:before="2"/>
        <w:rPr>
          <w:sz w:val="27"/>
        </w:rPr>
      </w:pPr>
    </w:p>
    <w:p>
      <w:pPr>
        <w:pStyle w:val="BodyText"/>
        <w:spacing w:line="333" w:lineRule="auto"/>
        <w:ind w:left="560" w:right="569"/>
      </w:pPr>
      <w:r>
        <w:rPr/>
        <w:t>Figure A43 presents the cumulative number of Chinese grant- and loan-ﬁnanced infrastructure projects for which there is evidence that a signiﬁcant environmental, social, or governance challenge arose before, during, or after implementation. A key feature of AidData’s 3.0 dataset—that sets it apart from other publicly available Chinese development ﬁnance datasets—is the inclusion of “cradle to grave” narratives that provide detailed information about how</w:t>
      </w:r>
      <w:r>
        <w:rPr>
          <w:spacing w:val="80"/>
        </w:rPr>
        <w:t> </w:t>
      </w:r>
      <w:r>
        <w:rPr/>
        <w:t>projects were designed and implemented in practice and why they failed, faltered, or succeeded. These narratives consist of 3.48 million words (roughly the same number of words one would ﬁnd in 34 full-length books) across 20,985 project records. They capture, among other details, project design and implementation challenges related to land acquisition; preservation of cultural heritage and archaeological sites; resettlement and compensation of indigenous communities; pollution of air, water, and soil; and adherence to anti-corruption standards. To make use of this vast trove of qualitative information, we apply a set</w:t>
      </w:r>
      <w:r>
        <w:rPr>
          <w:spacing w:val="-5"/>
        </w:rPr>
        <w:t> </w:t>
      </w:r>
      <w:r>
        <w:rPr/>
        <w:t>of</w:t>
      </w:r>
      <w:r>
        <w:rPr>
          <w:spacing w:val="-5"/>
        </w:rPr>
        <w:t> </w:t>
      </w:r>
      <w:r>
        <w:rPr/>
        <w:t>systematic</w:t>
      </w:r>
      <w:r>
        <w:rPr>
          <w:spacing w:val="-5"/>
        </w:rPr>
        <w:t> </w:t>
      </w:r>
      <w:r>
        <w:rPr/>
        <w:t>search</w:t>
      </w:r>
      <w:r>
        <w:rPr>
          <w:spacing w:val="-5"/>
        </w:rPr>
        <w:t> </w:t>
      </w:r>
      <w:r>
        <w:rPr/>
        <w:t>and</w:t>
      </w:r>
      <w:r>
        <w:rPr>
          <w:spacing w:val="-5"/>
        </w:rPr>
        <w:t> </w:t>
      </w:r>
      <w:r>
        <w:rPr/>
        <w:t>categorization</w:t>
      </w:r>
      <w:r>
        <w:rPr>
          <w:spacing w:val="-5"/>
        </w:rPr>
        <w:t> </w:t>
      </w:r>
      <w:r>
        <w:rPr/>
        <w:t>procedures</w:t>
      </w:r>
      <w:r>
        <w:rPr>
          <w:spacing w:val="-5"/>
        </w:rPr>
        <w:t> </w:t>
      </w:r>
      <w:r>
        <w:rPr/>
        <w:t>(described</w:t>
      </w:r>
      <w:r>
        <w:rPr>
          <w:spacing w:val="-5"/>
        </w:rPr>
        <w:t> </w:t>
      </w:r>
      <w:r>
        <w:rPr/>
        <w:t>in</w:t>
      </w:r>
      <w:r>
        <w:rPr>
          <w:spacing w:val="-5"/>
        </w:rPr>
        <w:t> </w:t>
      </w:r>
      <w:r>
        <w:rPr/>
        <w:t>Section</w:t>
      </w:r>
      <w:r>
        <w:rPr>
          <w:spacing w:val="-5"/>
        </w:rPr>
        <w:t> </w:t>
      </w:r>
      <w:r>
        <w:rPr/>
        <w:t>A-7 in</w:t>
      </w:r>
      <w:r>
        <w:rPr>
          <w:spacing w:val="24"/>
        </w:rPr>
        <w:t> </w:t>
      </w:r>
      <w:r>
        <w:rPr/>
        <w:t>the</w:t>
      </w:r>
      <w:r>
        <w:rPr>
          <w:spacing w:val="24"/>
        </w:rPr>
        <w:t> </w:t>
      </w:r>
      <w:r>
        <w:rPr/>
        <w:t>Appendix)</w:t>
      </w:r>
      <w:r>
        <w:rPr>
          <w:spacing w:val="24"/>
        </w:rPr>
        <w:t> </w:t>
      </w:r>
      <w:r>
        <w:rPr/>
        <w:t>to</w:t>
      </w:r>
      <w:r>
        <w:rPr>
          <w:spacing w:val="24"/>
        </w:rPr>
        <w:t> </w:t>
      </w:r>
      <w:r>
        <w:rPr/>
        <w:t>identify</w:t>
      </w:r>
      <w:r>
        <w:rPr>
          <w:spacing w:val="24"/>
        </w:rPr>
        <w:t> </w:t>
      </w:r>
      <w:r>
        <w:rPr/>
        <w:t>the</w:t>
      </w:r>
      <w:r>
        <w:rPr>
          <w:spacing w:val="24"/>
        </w:rPr>
        <w:t> </w:t>
      </w:r>
      <w:r>
        <w:rPr/>
        <w:t>subset</w:t>
      </w:r>
      <w:r>
        <w:rPr>
          <w:spacing w:val="24"/>
        </w:rPr>
        <w:t> </w:t>
      </w:r>
      <w:r>
        <w:rPr/>
        <w:t>of</w:t>
      </w:r>
      <w:r>
        <w:rPr>
          <w:spacing w:val="24"/>
        </w:rPr>
        <w:t> </w:t>
      </w:r>
      <w:r>
        <w:rPr/>
        <w:t>infrastructure</w:t>
      </w:r>
      <w:r>
        <w:rPr>
          <w:spacing w:val="24"/>
        </w:rPr>
        <w:t> </w:t>
      </w:r>
      <w:r>
        <w:rPr/>
        <w:t>projects</w:t>
      </w:r>
      <w:r>
        <w:rPr>
          <w:spacing w:val="24"/>
        </w:rPr>
        <w:t> </w:t>
      </w:r>
      <w:r>
        <w:rPr/>
        <w:t>for</w:t>
      </w:r>
      <w:r>
        <w:rPr>
          <w:spacing w:val="24"/>
        </w:rPr>
        <w:t> </w:t>
      </w:r>
      <w:r>
        <w:rPr/>
        <w:t>which</w:t>
      </w:r>
      <w:r>
        <w:rPr>
          <w:spacing w:val="24"/>
        </w:rPr>
        <w:t> </w:t>
      </w:r>
      <w:r>
        <w:rPr/>
        <w:t>there is evidence that a signiﬁcant environmental, social, or governance challenge arose before, during, or after implementation. In total, we ﬁnd that at least 356 infrastructure projects in 131 countries supported by grants and loans from</w:t>
      </w:r>
    </w:p>
    <w:p>
      <w:pPr>
        <w:spacing w:after="0" w:line="333" w:lineRule="auto"/>
        <w:sectPr>
          <w:pgSz w:w="12240" w:h="15840"/>
          <w:pgMar w:header="0" w:footer="720" w:top="1400" w:bottom="920" w:left="1240" w:right="1260"/>
        </w:sectPr>
      </w:pPr>
    </w:p>
    <w:p>
      <w:pPr>
        <w:pStyle w:val="BodyText"/>
        <w:spacing w:line="333" w:lineRule="auto" w:before="27"/>
        <w:ind w:left="560"/>
      </w:pPr>
      <w:r>
        <w:rPr/>
        <w:t>China worth $250 billion encountered a signiﬁcant environmental, social, </w:t>
      </w:r>
      <w:r>
        <w:rPr/>
        <w:t>or governance challenge before, during, or after implementation.</w:t>
      </w:r>
      <w:r>
        <w:rPr>
          <w:vertAlign w:val="superscript"/>
        </w:rPr>
        <w:t>249</w:t>
      </w:r>
    </w:p>
    <w:p>
      <w:pPr>
        <w:pStyle w:val="BodyText"/>
        <w:spacing w:before="8"/>
        <w:rPr>
          <w:sz w:val="27"/>
        </w:rPr>
      </w:pPr>
    </w:p>
    <w:p>
      <w:pPr>
        <w:pStyle w:val="BodyText"/>
        <w:spacing w:line="333" w:lineRule="auto" w:before="1"/>
        <w:ind w:left="560"/>
      </w:pPr>
      <w:r>
        <w:rPr/>
        <w:t>Finally,</w:t>
      </w:r>
      <w:r>
        <w:rPr>
          <w:spacing w:val="-5"/>
        </w:rPr>
        <w:t> </w:t>
      </w:r>
      <w:r>
        <w:rPr/>
        <w:t>to</w:t>
      </w:r>
      <w:r>
        <w:rPr>
          <w:spacing w:val="-5"/>
        </w:rPr>
        <w:t> </w:t>
      </w:r>
      <w:r>
        <w:rPr/>
        <w:t>gain</w:t>
      </w:r>
      <w:r>
        <w:rPr>
          <w:spacing w:val="-5"/>
        </w:rPr>
        <w:t> </w:t>
      </w:r>
      <w:r>
        <w:rPr/>
        <w:t>a</w:t>
      </w:r>
      <w:r>
        <w:rPr>
          <w:spacing w:val="-5"/>
        </w:rPr>
        <w:t> </w:t>
      </w:r>
      <w:r>
        <w:rPr/>
        <w:t>bird’s</w:t>
      </w:r>
      <w:r>
        <w:rPr>
          <w:spacing w:val="-5"/>
        </w:rPr>
        <w:t> </w:t>
      </w:r>
      <w:r>
        <w:rPr/>
        <w:t>eye</w:t>
      </w:r>
      <w:r>
        <w:rPr>
          <w:spacing w:val="-5"/>
        </w:rPr>
        <w:t> </w:t>
      </w:r>
      <w:r>
        <w:rPr/>
        <w:t>view</w:t>
      </w:r>
      <w:r>
        <w:rPr>
          <w:spacing w:val="-5"/>
        </w:rPr>
        <w:t> </w:t>
      </w:r>
      <w:r>
        <w:rPr/>
        <w:t>of</w:t>
      </w:r>
      <w:r>
        <w:rPr>
          <w:spacing w:val="-5"/>
        </w:rPr>
        <w:t> </w:t>
      </w:r>
      <w:r>
        <w:rPr/>
        <w:t>the</w:t>
      </w:r>
      <w:r>
        <w:rPr>
          <w:spacing w:val="-5"/>
        </w:rPr>
        <w:t> </w:t>
      </w:r>
      <w:r>
        <w:rPr/>
        <w:t>scope</w:t>
      </w:r>
      <w:r>
        <w:rPr>
          <w:spacing w:val="-5"/>
        </w:rPr>
        <w:t> </w:t>
      </w:r>
      <w:r>
        <w:rPr/>
        <w:t>and</w:t>
      </w:r>
      <w:r>
        <w:rPr>
          <w:spacing w:val="-5"/>
        </w:rPr>
        <w:t> </w:t>
      </w:r>
      <w:r>
        <w:rPr/>
        <w:t>severity</w:t>
      </w:r>
      <w:r>
        <w:rPr>
          <w:spacing w:val="-5"/>
        </w:rPr>
        <w:t> </w:t>
      </w:r>
      <w:r>
        <w:rPr/>
        <w:t>of</w:t>
      </w:r>
      <w:r>
        <w:rPr>
          <w:spacing w:val="-5"/>
        </w:rPr>
        <w:t> </w:t>
      </w:r>
      <w:r>
        <w:rPr/>
        <w:t>ESG</w:t>
      </w:r>
      <w:r>
        <w:rPr>
          <w:spacing w:val="-5"/>
        </w:rPr>
        <w:t> </w:t>
      </w:r>
      <w:r>
        <w:rPr/>
        <w:t>risk</w:t>
      </w:r>
      <w:r>
        <w:rPr>
          <w:spacing w:val="-5"/>
        </w:rPr>
        <w:t> </w:t>
      </w:r>
      <w:r>
        <w:rPr/>
        <w:t>in</w:t>
      </w:r>
      <w:r>
        <w:rPr>
          <w:spacing w:val="-5"/>
        </w:rPr>
        <w:t> </w:t>
      </w:r>
      <w:r>
        <w:rPr/>
        <w:t>China's infrastructure project portfolio in the developing world, we use all ﬁve of these measures in combination. To determine if any given Chinese grant- or</w:t>
      </w:r>
    </w:p>
    <w:p>
      <w:pPr>
        <w:pStyle w:val="BodyText"/>
        <w:spacing w:line="333" w:lineRule="auto"/>
        <w:ind w:left="560" w:right="561"/>
      </w:pPr>
      <w:r>
        <w:rPr/>
        <w:t>loan-ﬁnanced infrastructure project presented a signiﬁcant environmental, </w:t>
      </w:r>
      <w:r>
        <w:rPr/>
        <w:t>social, or governance risk between 2000 and 2021, we identify if it was located in an area that is environmentally sensitive, socially sensitive, or vulnerable to political capture</w:t>
      </w:r>
      <w:r>
        <w:rPr>
          <w:spacing w:val="34"/>
        </w:rPr>
        <w:t> </w:t>
      </w:r>
      <w:r>
        <w:rPr/>
        <w:t>and</w:t>
      </w:r>
      <w:r>
        <w:rPr>
          <w:spacing w:val="34"/>
        </w:rPr>
        <w:t> </w:t>
      </w:r>
      <w:r>
        <w:rPr/>
        <w:t>manipulation;</w:t>
      </w:r>
      <w:r>
        <w:rPr>
          <w:spacing w:val="34"/>
        </w:rPr>
        <w:t> </w:t>
      </w:r>
      <w:r>
        <w:rPr/>
        <w:t>relied</w:t>
      </w:r>
      <w:r>
        <w:rPr>
          <w:spacing w:val="34"/>
        </w:rPr>
        <w:t> </w:t>
      </w:r>
      <w:r>
        <w:rPr/>
        <w:t>on</w:t>
      </w:r>
      <w:r>
        <w:rPr>
          <w:spacing w:val="34"/>
        </w:rPr>
        <w:t> </w:t>
      </w:r>
      <w:r>
        <w:rPr/>
        <w:t>contractors</w:t>
      </w:r>
      <w:r>
        <w:rPr>
          <w:spacing w:val="34"/>
        </w:rPr>
        <w:t> </w:t>
      </w:r>
      <w:r>
        <w:rPr/>
        <w:t>sanctioned</w:t>
      </w:r>
      <w:r>
        <w:rPr>
          <w:spacing w:val="34"/>
        </w:rPr>
        <w:t> </w:t>
      </w:r>
      <w:r>
        <w:rPr/>
        <w:t>by</w:t>
      </w:r>
      <w:r>
        <w:rPr>
          <w:spacing w:val="34"/>
        </w:rPr>
        <w:t> </w:t>
      </w:r>
      <w:r>
        <w:rPr/>
        <w:t>other international</w:t>
      </w:r>
      <w:r>
        <w:rPr>
          <w:spacing w:val="26"/>
        </w:rPr>
        <w:t> </w:t>
      </w:r>
      <w:r>
        <w:rPr/>
        <w:t>ﬁnanciers</w:t>
      </w:r>
      <w:r>
        <w:rPr>
          <w:spacing w:val="26"/>
        </w:rPr>
        <w:t> </w:t>
      </w:r>
      <w:r>
        <w:rPr/>
        <w:t>for</w:t>
      </w:r>
      <w:r>
        <w:rPr>
          <w:spacing w:val="26"/>
        </w:rPr>
        <w:t> </w:t>
      </w:r>
      <w:r>
        <w:rPr/>
        <w:t>fraudulent</w:t>
      </w:r>
      <w:r>
        <w:rPr>
          <w:spacing w:val="26"/>
        </w:rPr>
        <w:t> </w:t>
      </w:r>
      <w:r>
        <w:rPr/>
        <w:t>and</w:t>
      </w:r>
      <w:r>
        <w:rPr>
          <w:spacing w:val="26"/>
        </w:rPr>
        <w:t> </w:t>
      </w:r>
      <w:r>
        <w:rPr/>
        <w:t>corrupt</w:t>
      </w:r>
      <w:r>
        <w:rPr>
          <w:spacing w:val="26"/>
        </w:rPr>
        <w:t> </w:t>
      </w:r>
      <w:r>
        <w:rPr/>
        <w:t>behavior;</w:t>
      </w:r>
      <w:r>
        <w:rPr>
          <w:spacing w:val="26"/>
        </w:rPr>
        <w:t> </w:t>
      </w:r>
      <w:r>
        <w:rPr/>
        <w:t>and/or</w:t>
      </w:r>
      <w:r>
        <w:rPr>
          <w:spacing w:val="26"/>
        </w:rPr>
        <w:t> </w:t>
      </w:r>
      <w:r>
        <w:rPr/>
        <w:t>encountered a signiﬁcant environmental, social, or governance challenge before, during, or after implementation.</w:t>
      </w:r>
      <w:r>
        <w:rPr>
          <w:vertAlign w:val="superscript"/>
        </w:rPr>
        <w:t>250</w:t>
      </w:r>
      <w:r>
        <w:rPr>
          <w:vertAlign w:val="baseline"/>
        </w:rPr>
        <w:t> Across 125 LICs and MICs between 2000 and 2021, we ﬁnd that 1,693 infrastructure projects supported by grants and loans from China worth $470 billion had signiﬁcant environmental, social, or governance risk exposure (see Figure 1.13). Over the same 22-year time period, we ﬁnd that</w:t>
      </w:r>
    </w:p>
    <w:p>
      <w:pPr>
        <w:pStyle w:val="BodyText"/>
        <w:spacing w:line="333" w:lineRule="auto"/>
        <w:ind w:left="560" w:right="680"/>
      </w:pPr>
      <w:r>
        <w:rPr/>
        <w:t>$265 billion in Chinese grant and loan commitments for 1,101 </w:t>
      </w:r>
      <w:r>
        <w:rPr/>
        <w:t>infrastructure projects had signiﬁcant environmental risk exposure, while $192 billion in Chinese grant and loan commitments for 701 infrastructure projects had signiﬁcant social risk exposure and $211 billion in Chinese grant and loan commitments for 405 infrastructure projects had signiﬁcant governance risk exposure (see Figure 3.1).</w:t>
      </w:r>
      <w:r>
        <w:rPr>
          <w:vertAlign w:val="superscript"/>
        </w:rPr>
        <w:t>251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r>
        <w:rPr/>
        <w:pict>
          <v:shape style="position:absolute;margin-left:90pt;margin-top:13.680517pt;width:144pt;height:.1pt;mso-position-horizontal-relative:page;mso-position-vertical-relative:paragraph;z-index:-15723008;mso-wrap-distance-left:0;mso-wrap-distance-right:0" id="docshape12" coordorigin="1800,274" coordsize="2880,0" path="m1800,274l4680,274e" filled="false" stroked="true" strokeweight=".75pt" strokecolor="#000000">
            <v:path arrowok="t"/>
            <v:stroke dashstyle="solid"/>
            <w10:wrap type="topAndBottom"/>
          </v:shape>
        </w:pict>
      </w:r>
    </w:p>
    <w:p>
      <w:pPr>
        <w:spacing w:line="249" w:lineRule="auto" w:before="102"/>
        <w:ind w:left="560" w:right="589" w:firstLine="0"/>
        <w:jc w:val="left"/>
        <w:rPr>
          <w:sz w:val="18"/>
        </w:rPr>
      </w:pPr>
      <w:r>
        <w:rPr>
          <w:sz w:val="18"/>
          <w:vertAlign w:val="superscript"/>
        </w:rPr>
        <w:t>249</w:t>
      </w:r>
      <w:r>
        <w:rPr>
          <w:sz w:val="18"/>
          <w:vertAlign w:val="baseline"/>
        </w:rPr>
        <w:t> The “at least” qualiﬁer is important because of our inability to address “false negatives” that may </w:t>
      </w:r>
      <w:r>
        <w:rPr>
          <w:sz w:val="18"/>
          <w:vertAlign w:val="baseline"/>
        </w:rPr>
        <w:t>affect our keyword-search based measures (see Section A-7 in the Appendix).</w:t>
      </w:r>
    </w:p>
    <w:p>
      <w:pPr>
        <w:spacing w:before="1"/>
        <w:ind w:left="560" w:right="0" w:firstLine="0"/>
        <w:jc w:val="left"/>
        <w:rPr>
          <w:sz w:val="18"/>
        </w:rPr>
      </w:pPr>
      <w:r>
        <w:rPr>
          <w:sz w:val="18"/>
          <w:vertAlign w:val="superscript"/>
        </w:rPr>
        <w:t>250</w:t>
      </w:r>
      <w:r>
        <w:rPr>
          <w:sz w:val="18"/>
          <w:vertAlign w:val="baseline"/>
        </w:rPr>
        <w:t> We</w:t>
      </w:r>
      <w:r>
        <w:rPr>
          <w:spacing w:val="2"/>
          <w:sz w:val="18"/>
          <w:vertAlign w:val="baseline"/>
        </w:rPr>
        <w:t> </w:t>
      </w:r>
      <w:r>
        <w:rPr>
          <w:sz w:val="18"/>
          <w:vertAlign w:val="baseline"/>
        </w:rPr>
        <w:t>restricted</w:t>
      </w:r>
      <w:r>
        <w:rPr>
          <w:spacing w:val="2"/>
          <w:sz w:val="18"/>
          <w:vertAlign w:val="baseline"/>
        </w:rPr>
        <w:t> </w:t>
      </w:r>
      <w:r>
        <w:rPr>
          <w:sz w:val="18"/>
          <w:vertAlign w:val="baseline"/>
        </w:rPr>
        <w:t>our</w:t>
      </w:r>
      <w:r>
        <w:rPr>
          <w:spacing w:val="2"/>
          <w:sz w:val="18"/>
          <w:vertAlign w:val="baseline"/>
        </w:rPr>
        <w:t> </w:t>
      </w:r>
      <w:r>
        <w:rPr>
          <w:sz w:val="18"/>
          <w:vertAlign w:val="baseline"/>
        </w:rPr>
        <w:t>searches</w:t>
      </w:r>
      <w:r>
        <w:rPr>
          <w:spacing w:val="2"/>
          <w:sz w:val="18"/>
          <w:vertAlign w:val="baseline"/>
        </w:rPr>
        <w:t> </w:t>
      </w:r>
      <w:r>
        <w:rPr>
          <w:sz w:val="18"/>
          <w:vertAlign w:val="baseline"/>
        </w:rPr>
        <w:t>to</w:t>
      </w:r>
      <w:r>
        <w:rPr>
          <w:spacing w:val="2"/>
          <w:sz w:val="18"/>
          <w:vertAlign w:val="baseline"/>
        </w:rPr>
        <w:t> </w:t>
      </w:r>
      <w:r>
        <w:rPr>
          <w:sz w:val="18"/>
          <w:vertAlign w:val="baseline"/>
        </w:rPr>
        <w:t>infrastructure</w:t>
      </w:r>
      <w:r>
        <w:rPr>
          <w:spacing w:val="2"/>
          <w:sz w:val="18"/>
          <w:vertAlign w:val="baseline"/>
        </w:rPr>
        <w:t> </w:t>
      </w:r>
      <w:r>
        <w:rPr>
          <w:sz w:val="18"/>
          <w:vertAlign w:val="baseline"/>
        </w:rPr>
        <w:t>projects</w:t>
      </w:r>
      <w:r>
        <w:rPr>
          <w:spacing w:val="2"/>
          <w:sz w:val="18"/>
          <w:vertAlign w:val="baseline"/>
        </w:rPr>
        <w:t> </w:t>
      </w:r>
      <w:r>
        <w:rPr>
          <w:sz w:val="18"/>
          <w:vertAlign w:val="baseline"/>
        </w:rPr>
        <w:t>supported</w:t>
      </w:r>
      <w:r>
        <w:rPr>
          <w:spacing w:val="2"/>
          <w:sz w:val="18"/>
          <w:vertAlign w:val="baseline"/>
        </w:rPr>
        <w:t> </w:t>
      </w:r>
      <w:r>
        <w:rPr>
          <w:sz w:val="18"/>
          <w:vertAlign w:val="baseline"/>
        </w:rPr>
        <w:t>by</w:t>
      </w:r>
      <w:r>
        <w:rPr>
          <w:spacing w:val="2"/>
          <w:sz w:val="18"/>
          <w:vertAlign w:val="baseline"/>
        </w:rPr>
        <w:t> </w:t>
      </w:r>
      <w:r>
        <w:rPr>
          <w:sz w:val="18"/>
          <w:vertAlign w:val="baseline"/>
        </w:rPr>
        <w:t>grant</w:t>
      </w:r>
      <w:r>
        <w:rPr>
          <w:spacing w:val="2"/>
          <w:sz w:val="18"/>
          <w:vertAlign w:val="baseline"/>
        </w:rPr>
        <w:t> </w:t>
      </w:r>
      <w:r>
        <w:rPr>
          <w:sz w:val="18"/>
          <w:vertAlign w:val="baseline"/>
        </w:rPr>
        <w:t>and</w:t>
      </w:r>
      <w:r>
        <w:rPr>
          <w:spacing w:val="2"/>
          <w:sz w:val="18"/>
          <w:vertAlign w:val="baseline"/>
        </w:rPr>
        <w:t> </w:t>
      </w:r>
      <w:r>
        <w:rPr>
          <w:sz w:val="18"/>
          <w:vertAlign w:val="baseline"/>
        </w:rPr>
        <w:t>loan</w:t>
      </w:r>
      <w:r>
        <w:rPr>
          <w:spacing w:val="2"/>
          <w:sz w:val="18"/>
          <w:vertAlign w:val="baseline"/>
        </w:rPr>
        <w:t> </w:t>
      </w:r>
      <w:r>
        <w:rPr>
          <w:sz w:val="18"/>
          <w:vertAlign w:val="baseline"/>
        </w:rPr>
        <w:t>commitments</w:t>
      </w:r>
      <w:r>
        <w:rPr>
          <w:spacing w:val="1"/>
          <w:sz w:val="18"/>
          <w:vertAlign w:val="baseline"/>
        </w:rPr>
        <w:t> </w:t>
      </w:r>
      <w:r>
        <w:rPr>
          <w:spacing w:val="-2"/>
          <w:sz w:val="18"/>
          <w:vertAlign w:val="baseline"/>
        </w:rPr>
        <w:t>worth</w:t>
      </w:r>
    </w:p>
    <w:p>
      <w:pPr>
        <w:spacing w:line="249" w:lineRule="auto" w:before="9"/>
        <w:ind w:left="560" w:right="561" w:firstLine="0"/>
        <w:jc w:val="left"/>
        <w:rPr>
          <w:sz w:val="18"/>
        </w:rPr>
      </w:pPr>
      <w:r>
        <w:rPr>
          <w:sz w:val="18"/>
        </w:rPr>
        <w:t>$20 million (in constant 2021 USD) or more. Projects supported by larger ﬁnancial commitments generally have more detailed project descriptions, which provide a stronger basis for the identiﬁcation of environmental, social, and governance risks. They also present a lower risk of generating “false negatives.” </w:t>
      </w:r>
      <w:r>
        <w:rPr>
          <w:sz w:val="18"/>
          <w:vertAlign w:val="superscript"/>
        </w:rPr>
        <w:t>251</w:t>
      </w:r>
      <w:r>
        <w:rPr>
          <w:sz w:val="18"/>
          <w:vertAlign w:val="baseline"/>
        </w:rPr>
        <w:t> Chinese grant- and loan-ﬁnanced infrastructure projects can—and often do—face more than one type </w:t>
      </w:r>
      <w:r>
        <w:rPr>
          <w:sz w:val="18"/>
          <w:vertAlign w:val="baseline"/>
        </w:rPr>
        <w:t>of ESG risk.</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1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3.1</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13">
            <wp:simplePos x="0" y="0"/>
            <wp:positionH relativeFrom="page">
              <wp:posOffset>1250453</wp:posOffset>
            </wp:positionH>
            <wp:positionV relativeFrom="paragraph">
              <wp:posOffset>116568</wp:posOffset>
            </wp:positionV>
            <wp:extent cx="5088540" cy="318439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088540" cy="3184398"/>
                    </a:xfrm>
                    <a:prstGeom prst="rect">
                      <a:avLst/>
                    </a:prstGeom>
                  </pic:spPr>
                </pic:pic>
              </a:graphicData>
            </a:graphic>
          </wp:anchor>
        </w:drawing>
      </w:r>
    </w:p>
    <w:p>
      <w:pPr>
        <w:pStyle w:val="BodyText"/>
        <w:rPr>
          <w:sz w:val="20"/>
        </w:rPr>
      </w:pPr>
    </w:p>
    <w:p>
      <w:pPr>
        <w:pStyle w:val="BodyText"/>
        <w:spacing w:before="9"/>
        <w:rPr>
          <w:sz w:val="21"/>
        </w:rPr>
      </w:pPr>
    </w:p>
    <w:p>
      <w:pPr>
        <w:spacing w:line="333" w:lineRule="auto" w:before="0"/>
        <w:ind w:left="560" w:right="592" w:firstLine="0"/>
        <w:jc w:val="left"/>
        <w:rPr>
          <w:i/>
          <w:sz w:val="18"/>
        </w:rPr>
      </w:pPr>
      <w:r>
        <w:rPr>
          <w:i/>
          <w:sz w:val="18"/>
        </w:rPr>
        <w:t>Notes:</w:t>
      </w:r>
      <w:r>
        <w:rPr>
          <w:i/>
          <w:spacing w:val="-7"/>
          <w:sz w:val="18"/>
        </w:rPr>
        <w:t> </w:t>
      </w:r>
      <w:r>
        <w:rPr>
          <w:i/>
          <w:sz w:val="18"/>
        </w:rPr>
        <w:t>The</w:t>
      </w:r>
      <w:r>
        <w:rPr>
          <w:i/>
          <w:spacing w:val="-7"/>
          <w:sz w:val="18"/>
        </w:rPr>
        <w:t> </w:t>
      </w:r>
      <w:r>
        <w:rPr>
          <w:i/>
          <w:sz w:val="18"/>
        </w:rPr>
        <w:t>presence</w:t>
      </w:r>
      <w:r>
        <w:rPr>
          <w:i/>
          <w:spacing w:val="-7"/>
          <w:sz w:val="18"/>
        </w:rPr>
        <w:t> </w:t>
      </w:r>
      <w:r>
        <w:rPr>
          <w:i/>
          <w:sz w:val="18"/>
        </w:rPr>
        <w:t>of</w:t>
      </w:r>
      <w:r>
        <w:rPr>
          <w:i/>
          <w:spacing w:val="-7"/>
          <w:sz w:val="18"/>
        </w:rPr>
        <w:t> </w:t>
      </w:r>
      <w:r>
        <w:rPr>
          <w:i/>
          <w:sz w:val="18"/>
        </w:rPr>
        <w:t>signiﬁcant</w:t>
      </w:r>
      <w:r>
        <w:rPr>
          <w:i/>
          <w:spacing w:val="-7"/>
          <w:sz w:val="18"/>
        </w:rPr>
        <w:t> </w:t>
      </w:r>
      <w:r>
        <w:rPr>
          <w:i/>
          <w:sz w:val="18"/>
        </w:rPr>
        <w:t>environmental,</w:t>
      </w:r>
      <w:r>
        <w:rPr>
          <w:i/>
          <w:spacing w:val="-7"/>
          <w:sz w:val="18"/>
        </w:rPr>
        <w:t> </w:t>
      </w:r>
      <w:r>
        <w:rPr>
          <w:i/>
          <w:sz w:val="18"/>
        </w:rPr>
        <w:t>social,</w:t>
      </w:r>
      <w:r>
        <w:rPr>
          <w:i/>
          <w:spacing w:val="-7"/>
          <w:sz w:val="18"/>
        </w:rPr>
        <w:t> </w:t>
      </w:r>
      <w:r>
        <w:rPr>
          <w:i/>
          <w:sz w:val="18"/>
        </w:rPr>
        <w:t>and</w:t>
      </w:r>
      <w:r>
        <w:rPr>
          <w:i/>
          <w:spacing w:val="-7"/>
          <w:sz w:val="18"/>
        </w:rPr>
        <w:t> </w:t>
      </w:r>
      <w:r>
        <w:rPr>
          <w:i/>
          <w:sz w:val="18"/>
        </w:rPr>
        <w:t>governance</w:t>
      </w:r>
      <w:r>
        <w:rPr>
          <w:i/>
          <w:spacing w:val="-7"/>
          <w:sz w:val="18"/>
        </w:rPr>
        <w:t> </w:t>
      </w:r>
      <w:r>
        <w:rPr>
          <w:i/>
          <w:sz w:val="18"/>
        </w:rPr>
        <w:t>risk</w:t>
      </w:r>
      <w:r>
        <w:rPr>
          <w:i/>
          <w:spacing w:val="-7"/>
          <w:sz w:val="18"/>
        </w:rPr>
        <w:t> </w:t>
      </w:r>
      <w:r>
        <w:rPr>
          <w:i/>
          <w:sz w:val="18"/>
        </w:rPr>
        <w:t>(ESG)</w:t>
      </w:r>
      <w:r>
        <w:rPr>
          <w:i/>
          <w:spacing w:val="-7"/>
          <w:sz w:val="18"/>
        </w:rPr>
        <w:t> </w:t>
      </w:r>
      <w:r>
        <w:rPr>
          <w:i/>
          <w:sz w:val="18"/>
        </w:rPr>
        <w:t>exposure</w:t>
      </w:r>
      <w:r>
        <w:rPr>
          <w:i/>
          <w:spacing w:val="-7"/>
          <w:sz w:val="18"/>
        </w:rPr>
        <w:t> </w:t>
      </w:r>
      <w:r>
        <w:rPr>
          <w:i/>
          <w:sz w:val="18"/>
        </w:rPr>
        <w:t>is</w:t>
      </w:r>
      <w:r>
        <w:rPr>
          <w:i/>
          <w:spacing w:val="-7"/>
          <w:sz w:val="18"/>
        </w:rPr>
        <w:t> </w:t>
      </w:r>
      <w:r>
        <w:rPr>
          <w:i/>
          <w:sz w:val="18"/>
        </w:rPr>
        <w:t>based</w:t>
      </w:r>
      <w:r>
        <w:rPr>
          <w:i/>
          <w:spacing w:val="-7"/>
          <w:sz w:val="18"/>
        </w:rPr>
        <w:t> </w:t>
      </w:r>
      <w:r>
        <w:rPr>
          <w:i/>
          <w:sz w:val="18"/>
        </w:rPr>
        <w:t>on</w:t>
      </w:r>
      <w:r>
        <w:rPr>
          <w:i/>
          <w:spacing w:val="-7"/>
          <w:sz w:val="18"/>
        </w:rPr>
        <w:t> </w:t>
      </w:r>
      <w:r>
        <w:rPr>
          <w:i/>
          <w:sz w:val="18"/>
        </w:rPr>
        <w:t>a</w:t>
      </w:r>
      <w:r>
        <w:rPr>
          <w:i/>
          <w:sz w:val="18"/>
        </w:rPr>
        <w:t> project-level composite measure that is described in Section 2 of Chapter 3.</w:t>
      </w:r>
    </w:p>
    <w:p>
      <w:pPr>
        <w:pStyle w:val="BodyText"/>
        <w:rPr>
          <w:i/>
          <w:sz w:val="18"/>
        </w:rPr>
      </w:pPr>
    </w:p>
    <w:p>
      <w:pPr>
        <w:pStyle w:val="BodyText"/>
        <w:spacing w:line="333" w:lineRule="auto" w:before="113"/>
        <w:ind w:left="560" w:right="620"/>
      </w:pPr>
      <w:r>
        <w:rPr/>
        <w:t>The ESG risk prevalence rate—deﬁned as the annual percentage of China’s grant- and loan-ﬁnanced infrastructure project portfolio (measured in constant 2021</w:t>
      </w:r>
      <w:r>
        <w:rPr>
          <w:spacing w:val="-2"/>
        </w:rPr>
        <w:t> </w:t>
      </w:r>
      <w:r>
        <w:rPr/>
        <w:t>USD)</w:t>
      </w:r>
      <w:r>
        <w:rPr>
          <w:spacing w:val="-2"/>
        </w:rPr>
        <w:t> </w:t>
      </w:r>
      <w:r>
        <w:rPr/>
        <w:t>with</w:t>
      </w:r>
      <w:r>
        <w:rPr>
          <w:spacing w:val="-2"/>
        </w:rPr>
        <w:t> </w:t>
      </w:r>
      <w:r>
        <w:rPr/>
        <w:t>signiﬁcant</w:t>
      </w:r>
      <w:r>
        <w:rPr>
          <w:spacing w:val="-2"/>
        </w:rPr>
        <w:t> </w:t>
      </w:r>
      <w:r>
        <w:rPr/>
        <w:t>environmental,</w:t>
      </w:r>
      <w:r>
        <w:rPr>
          <w:spacing w:val="-2"/>
        </w:rPr>
        <w:t> </w:t>
      </w:r>
      <w:r>
        <w:rPr/>
        <w:t>social,</w:t>
      </w:r>
      <w:r>
        <w:rPr>
          <w:spacing w:val="-2"/>
        </w:rPr>
        <w:t> </w:t>
      </w:r>
      <w:r>
        <w:rPr/>
        <w:t>or</w:t>
      </w:r>
      <w:r>
        <w:rPr>
          <w:spacing w:val="-2"/>
        </w:rPr>
        <w:t> </w:t>
      </w:r>
      <w:r>
        <w:rPr/>
        <w:t>governance</w:t>
      </w:r>
      <w:r>
        <w:rPr>
          <w:spacing w:val="-2"/>
        </w:rPr>
        <w:t> </w:t>
      </w:r>
      <w:r>
        <w:rPr/>
        <w:t>risk</w:t>
      </w:r>
      <w:r>
        <w:rPr>
          <w:spacing w:val="-5"/>
        </w:rPr>
        <w:t> </w:t>
      </w:r>
      <w:r>
        <w:rPr/>
        <w:t>exposure—has</w:t>
      </w:r>
      <w:r>
        <w:rPr>
          <w:spacing w:val="-2"/>
        </w:rPr>
        <w:t> </w:t>
      </w:r>
      <w:r>
        <w:rPr/>
        <w:t>ﬂuctuated</w:t>
      </w:r>
      <w:r>
        <w:rPr>
          <w:spacing w:val="-2"/>
        </w:rPr>
        <w:t> </w:t>
      </w:r>
      <w:r>
        <w:rPr/>
        <w:t>over</w:t>
      </w:r>
      <w:r>
        <w:rPr>
          <w:spacing w:val="-2"/>
        </w:rPr>
        <w:t> </w:t>
      </w:r>
      <w:r>
        <w:rPr/>
        <w:t>time</w:t>
      </w:r>
      <w:r>
        <w:rPr>
          <w:spacing w:val="-2"/>
        </w:rPr>
        <w:t> </w:t>
      </w:r>
      <w:r>
        <w:rPr/>
        <w:t>(see</w:t>
      </w:r>
      <w:r>
        <w:rPr>
          <w:spacing w:val="-2"/>
        </w:rPr>
        <w:t> </w:t>
      </w:r>
      <w:r>
        <w:rPr/>
        <w:t>Figure</w:t>
      </w:r>
      <w:r>
        <w:rPr>
          <w:spacing w:val="-2"/>
        </w:rPr>
        <w:t> </w:t>
      </w:r>
      <w:r>
        <w:rPr/>
        <w:t>3.2).</w:t>
      </w:r>
      <w:r>
        <w:rPr>
          <w:vertAlign w:val="superscript"/>
        </w:rPr>
        <w:t>252</w:t>
      </w:r>
      <w:r>
        <w:rPr>
          <w:spacing w:val="-3"/>
          <w:vertAlign w:val="baseline"/>
        </w:rPr>
        <w:t> </w:t>
      </w:r>
      <w:r>
        <w:rPr>
          <w:vertAlign w:val="baseline"/>
        </w:rPr>
        <w:t>During</w:t>
      </w:r>
      <w:r>
        <w:rPr>
          <w:spacing w:val="-2"/>
          <w:vertAlign w:val="baseline"/>
        </w:rPr>
        <w:t> </w:t>
      </w:r>
      <w:r>
        <w:rPr>
          <w:vertAlign w:val="baseline"/>
        </w:rPr>
        <w:t>the</w:t>
      </w:r>
      <w:r>
        <w:rPr>
          <w:spacing w:val="-2"/>
          <w:vertAlign w:val="baseline"/>
        </w:rPr>
        <w:t> </w:t>
      </w:r>
      <w:r>
        <w:rPr>
          <w:vertAlign w:val="baseline"/>
        </w:rPr>
        <w:t>pre-BRI</w:t>
      </w:r>
      <w:r>
        <w:rPr>
          <w:spacing w:val="-5"/>
          <w:vertAlign w:val="baseline"/>
        </w:rPr>
        <w:t> </w:t>
      </w:r>
      <w:r>
        <w:rPr>
          <w:vertAlign w:val="baseline"/>
        </w:rPr>
        <w:t>period,</w:t>
      </w:r>
      <w:r>
        <w:rPr>
          <w:spacing w:val="-2"/>
          <w:vertAlign w:val="baseline"/>
        </w:rPr>
        <w:t> </w:t>
      </w:r>
      <w:r>
        <w:rPr>
          <w:vertAlign w:val="baseline"/>
        </w:rPr>
        <w:t>it</w:t>
      </w:r>
      <w:r>
        <w:rPr>
          <w:spacing w:val="-2"/>
          <w:vertAlign w:val="baseline"/>
        </w:rPr>
        <w:t> </w:t>
      </w:r>
      <w:r>
        <w:rPr>
          <w:vertAlign w:val="baseline"/>
        </w:rPr>
        <w:t>sharply increased from 12% in 2000 to 65% in 2013. It then fell to </w:t>
      </w:r>
      <w:r>
        <w:rPr>
          <w:vertAlign w:val="baseline"/>
        </w:rPr>
        <w:t>54% (on average) during the early BRI period and 47% (on average) during the late BRI period.</w:t>
      </w:r>
      <w:r>
        <w:rPr>
          <w:vertAlign w:val="superscript"/>
        </w:rPr>
        <w:t>253</w:t>
      </w:r>
      <w:r>
        <w:rPr>
          <w:vertAlign w:val="baseline"/>
        </w:rPr>
        <w:t> By 2021, it fell to 33%.</w:t>
      </w:r>
    </w:p>
    <w:p>
      <w:pPr>
        <w:pStyle w:val="BodyText"/>
        <w:rPr>
          <w:sz w:val="20"/>
        </w:rPr>
      </w:pPr>
    </w:p>
    <w:p>
      <w:pPr>
        <w:pStyle w:val="BodyText"/>
        <w:rPr>
          <w:sz w:val="20"/>
        </w:rPr>
      </w:pPr>
    </w:p>
    <w:p>
      <w:pPr>
        <w:pStyle w:val="BodyText"/>
        <w:rPr>
          <w:sz w:val="20"/>
        </w:rPr>
      </w:pPr>
    </w:p>
    <w:p>
      <w:pPr>
        <w:pStyle w:val="BodyText"/>
        <w:spacing w:before="11"/>
        <w:rPr>
          <w:sz w:val="14"/>
        </w:rPr>
      </w:pPr>
      <w:r>
        <w:rPr/>
        <w:pict>
          <v:shape style="position:absolute;margin-left:90pt;margin-top:9.800903pt;width:144pt;height:.1pt;mso-position-horizontal-relative:page;mso-position-vertical-relative:paragraph;z-index:-15721472;mso-wrap-distance-left:0;mso-wrap-distance-right:0" id="docshape14" coordorigin="1800,196" coordsize="2880,0" path="m1800,196l4680,196e" filled="false" stroked="true" strokeweight=".75pt" strokecolor="#000000">
            <v:path arrowok="t"/>
            <v:stroke dashstyle="solid"/>
            <w10:wrap type="topAndBottom"/>
          </v:shape>
        </w:pict>
      </w:r>
    </w:p>
    <w:p>
      <w:pPr>
        <w:spacing w:line="249" w:lineRule="auto" w:before="109"/>
        <w:ind w:left="560" w:right="579" w:firstLine="0"/>
        <w:jc w:val="left"/>
        <w:rPr>
          <w:sz w:val="18"/>
        </w:rPr>
      </w:pPr>
      <w:r>
        <w:rPr>
          <w:sz w:val="18"/>
          <w:vertAlign w:val="superscript"/>
        </w:rPr>
        <w:t>252</w:t>
      </w:r>
      <w:r>
        <w:rPr>
          <w:sz w:val="18"/>
          <w:vertAlign w:val="baseline"/>
        </w:rPr>
        <w:t> A similar pattern is observable when one tracks the sheer number of Chinese grant- and loan-ﬁnanced infrastructure projects facing such risks. There is an apparent reduction in the number of infrastructure projects affected by ESG risk in 2020 and 2021 (see Figure A44), but given that the probability of ESG risks materializing and being detected increases as a project progresses from the ﬁnancial commitment phase </w:t>
      </w:r>
      <w:r>
        <w:rPr>
          <w:sz w:val="18"/>
          <w:vertAlign w:val="baseline"/>
        </w:rPr>
        <w:t>to the implementation phase and the completion phase, we think the apparent reduction in 2020 and 2021 should be interpreted with caution.</w:t>
      </w:r>
    </w:p>
    <w:p>
      <w:pPr>
        <w:spacing w:line="249" w:lineRule="auto" w:before="5"/>
        <w:ind w:left="560" w:right="611" w:firstLine="0"/>
        <w:jc w:val="left"/>
        <w:rPr>
          <w:sz w:val="18"/>
        </w:rPr>
      </w:pPr>
      <w:r>
        <w:rPr>
          <w:sz w:val="18"/>
          <w:vertAlign w:val="superscript"/>
        </w:rPr>
        <w:t>253</w:t>
      </w:r>
      <w:r>
        <w:rPr>
          <w:spacing w:val="-6"/>
          <w:sz w:val="18"/>
          <w:vertAlign w:val="baseline"/>
        </w:rPr>
        <w:t> </w:t>
      </w:r>
      <w:r>
        <w:rPr>
          <w:sz w:val="18"/>
          <w:vertAlign w:val="baseline"/>
        </w:rPr>
        <w:t>If</w:t>
      </w:r>
      <w:r>
        <w:rPr>
          <w:spacing w:val="-5"/>
          <w:sz w:val="18"/>
          <w:vertAlign w:val="baseline"/>
        </w:rPr>
        <w:t> </w:t>
      </w:r>
      <w:r>
        <w:rPr>
          <w:sz w:val="18"/>
          <w:vertAlign w:val="baseline"/>
        </w:rPr>
        <w:t>the</w:t>
      </w:r>
      <w:r>
        <w:rPr>
          <w:spacing w:val="-5"/>
          <w:sz w:val="18"/>
          <w:vertAlign w:val="baseline"/>
        </w:rPr>
        <w:t> </w:t>
      </w:r>
      <w:r>
        <w:rPr>
          <w:sz w:val="18"/>
          <w:vertAlign w:val="baseline"/>
        </w:rPr>
        <w:t>ESG</w:t>
      </w:r>
      <w:r>
        <w:rPr>
          <w:spacing w:val="-5"/>
          <w:sz w:val="18"/>
          <w:vertAlign w:val="baseline"/>
        </w:rPr>
        <w:t> </w:t>
      </w:r>
      <w:r>
        <w:rPr>
          <w:sz w:val="18"/>
          <w:vertAlign w:val="baseline"/>
        </w:rPr>
        <w:t>risk</w:t>
      </w:r>
      <w:r>
        <w:rPr>
          <w:spacing w:val="-5"/>
          <w:sz w:val="18"/>
          <w:vertAlign w:val="baseline"/>
        </w:rPr>
        <w:t> </w:t>
      </w:r>
      <w:r>
        <w:rPr>
          <w:sz w:val="18"/>
          <w:vertAlign w:val="baseline"/>
        </w:rPr>
        <w:t>prevalence</w:t>
      </w:r>
      <w:r>
        <w:rPr>
          <w:spacing w:val="-5"/>
          <w:sz w:val="18"/>
          <w:vertAlign w:val="baseline"/>
        </w:rPr>
        <w:t> </w:t>
      </w:r>
      <w:r>
        <w:rPr>
          <w:sz w:val="18"/>
          <w:vertAlign w:val="baseline"/>
        </w:rPr>
        <w:t>rate</w:t>
      </w:r>
      <w:r>
        <w:rPr>
          <w:spacing w:val="-5"/>
          <w:sz w:val="18"/>
          <w:vertAlign w:val="baseline"/>
        </w:rPr>
        <w:t> </w:t>
      </w:r>
      <w:r>
        <w:rPr>
          <w:sz w:val="18"/>
          <w:vertAlign w:val="baseline"/>
        </w:rPr>
        <w:t>is</w:t>
      </w:r>
      <w:r>
        <w:rPr>
          <w:spacing w:val="-5"/>
          <w:sz w:val="18"/>
          <w:vertAlign w:val="baseline"/>
        </w:rPr>
        <w:t> </w:t>
      </w:r>
      <w:r>
        <w:rPr>
          <w:sz w:val="18"/>
          <w:vertAlign w:val="baseline"/>
        </w:rPr>
        <w:t>redeﬁned</w:t>
      </w:r>
      <w:r>
        <w:rPr>
          <w:spacing w:val="-5"/>
          <w:sz w:val="18"/>
          <w:vertAlign w:val="baseline"/>
        </w:rPr>
        <w:t> </w:t>
      </w:r>
      <w:r>
        <w:rPr>
          <w:sz w:val="18"/>
          <w:vertAlign w:val="baseline"/>
        </w:rPr>
        <w:t>as</w:t>
      </w:r>
      <w:r>
        <w:rPr>
          <w:spacing w:val="-5"/>
          <w:sz w:val="18"/>
          <w:vertAlign w:val="baseline"/>
        </w:rPr>
        <w:t> </w:t>
      </w:r>
      <w:r>
        <w:rPr>
          <w:sz w:val="18"/>
          <w:vertAlign w:val="baseline"/>
        </w:rPr>
        <w:t>the</w:t>
      </w:r>
      <w:r>
        <w:rPr>
          <w:spacing w:val="-5"/>
          <w:sz w:val="18"/>
          <w:vertAlign w:val="baseline"/>
        </w:rPr>
        <w:t> </w:t>
      </w:r>
      <w:r>
        <w:rPr>
          <w:sz w:val="18"/>
          <w:vertAlign w:val="baseline"/>
        </w:rPr>
        <w:t>annual</w:t>
      </w:r>
      <w:r>
        <w:rPr>
          <w:spacing w:val="-5"/>
          <w:sz w:val="18"/>
          <w:vertAlign w:val="baseline"/>
        </w:rPr>
        <w:t> </w:t>
      </w:r>
      <w:r>
        <w:rPr>
          <w:sz w:val="18"/>
          <w:vertAlign w:val="baseline"/>
        </w:rPr>
        <w:t>percentage</w:t>
      </w:r>
      <w:r>
        <w:rPr>
          <w:spacing w:val="-5"/>
          <w:sz w:val="18"/>
          <w:vertAlign w:val="baseline"/>
        </w:rPr>
        <w:t> </w:t>
      </w:r>
      <w:r>
        <w:rPr>
          <w:sz w:val="18"/>
          <w:vertAlign w:val="baseline"/>
        </w:rPr>
        <w:t>of</w:t>
      </w:r>
      <w:r>
        <w:rPr>
          <w:spacing w:val="-5"/>
          <w:sz w:val="18"/>
          <w:vertAlign w:val="baseline"/>
        </w:rPr>
        <w:t> </w:t>
      </w:r>
      <w:r>
        <w:rPr>
          <w:sz w:val="18"/>
          <w:vertAlign w:val="baseline"/>
        </w:rPr>
        <w:t>China’s</w:t>
      </w:r>
      <w:r>
        <w:rPr>
          <w:spacing w:val="-5"/>
          <w:sz w:val="18"/>
          <w:vertAlign w:val="baseline"/>
        </w:rPr>
        <w:t> </w:t>
      </w:r>
      <w:r>
        <w:rPr>
          <w:sz w:val="18"/>
          <w:vertAlign w:val="baseline"/>
        </w:rPr>
        <w:t>grant-</w:t>
      </w:r>
      <w:r>
        <w:rPr>
          <w:spacing w:val="-6"/>
          <w:sz w:val="18"/>
          <w:vertAlign w:val="baseline"/>
        </w:rPr>
        <w:t> </w:t>
      </w:r>
      <w:r>
        <w:rPr>
          <w:sz w:val="18"/>
          <w:vertAlign w:val="baseline"/>
        </w:rPr>
        <w:t>and</w:t>
      </w:r>
      <w:r>
        <w:rPr>
          <w:spacing w:val="-5"/>
          <w:sz w:val="18"/>
          <w:vertAlign w:val="baseline"/>
        </w:rPr>
        <w:t> </w:t>
      </w:r>
      <w:r>
        <w:rPr>
          <w:sz w:val="18"/>
          <w:vertAlign w:val="baseline"/>
        </w:rPr>
        <w:t>loan-ﬁnanced infrastructure </w:t>
      </w:r>
      <w:r>
        <w:rPr>
          <w:i/>
          <w:sz w:val="18"/>
          <w:vertAlign w:val="baseline"/>
        </w:rPr>
        <w:t>projects </w:t>
      </w:r>
      <w:r>
        <w:rPr>
          <w:sz w:val="18"/>
          <w:vertAlign w:val="baseline"/>
        </w:rPr>
        <w:t>facing a signiﬁcant environmental, social, or governance risk, it rose from 25% in 2000 to 40% in 2013. It then fell to 36% (on average) during the early BRI period and 31% (on average) during the late BRI period (see Figure A44).</w:t>
      </w:r>
    </w:p>
    <w:p>
      <w:pPr>
        <w:spacing w:after="0" w:line="249" w:lineRule="auto"/>
        <w:jc w:val="left"/>
        <w:rPr>
          <w:sz w:val="18"/>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1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3.2</w:t>
                  </w:r>
                </w:p>
              </w:txbxContent>
            </v:textbox>
            <v:fill type="solid"/>
          </v:shape>
        </w:pict>
      </w:r>
      <w:r>
        <w:rPr>
          <w:sz w:val="20"/>
        </w:rPr>
      </w:r>
    </w:p>
    <w:p>
      <w:pPr>
        <w:pStyle w:val="BodyText"/>
        <w:spacing w:before="6"/>
        <w:rPr>
          <w:sz w:val="22"/>
        </w:rPr>
      </w:pPr>
      <w:r>
        <w:rPr/>
        <w:drawing>
          <wp:anchor distT="0" distB="0" distL="0" distR="0" allowOverlap="1" layoutInCell="1" locked="0" behindDoc="0" simplePos="0" relativeHeight="16">
            <wp:simplePos x="0" y="0"/>
            <wp:positionH relativeFrom="page">
              <wp:posOffset>1331213</wp:posOffset>
            </wp:positionH>
            <wp:positionV relativeFrom="paragraph">
              <wp:posOffset>180317</wp:posOffset>
            </wp:positionV>
            <wp:extent cx="5154959" cy="306781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154959" cy="3067812"/>
                    </a:xfrm>
                    <a:prstGeom prst="rect">
                      <a:avLst/>
                    </a:prstGeom>
                  </pic:spPr>
                </pic:pic>
              </a:graphicData>
            </a:graphic>
          </wp:anchor>
        </w:drawing>
      </w:r>
    </w:p>
    <w:p>
      <w:pPr>
        <w:pStyle w:val="BodyText"/>
        <w:spacing w:before="3"/>
        <w:rPr>
          <w:sz w:val="27"/>
        </w:rPr>
      </w:pPr>
    </w:p>
    <w:p>
      <w:pPr>
        <w:spacing w:line="333" w:lineRule="auto" w:before="72"/>
        <w:ind w:left="560" w:right="680" w:firstLine="0"/>
        <w:jc w:val="left"/>
        <w:rPr>
          <w:i/>
          <w:sz w:val="18"/>
        </w:rPr>
      </w:pPr>
      <w:r>
        <w:rPr>
          <w:i/>
          <w:sz w:val="18"/>
        </w:rPr>
        <w:t>Notes: Projects are recorded in the years when they secured ﬁnancial commitments from China, although</w:t>
      </w:r>
      <w:r>
        <w:rPr>
          <w:i/>
          <w:sz w:val="18"/>
        </w:rPr>
        <w:t> the ESG risks that they encountered may have materialized after the ﬁnancial commitment year. The presence</w:t>
      </w:r>
      <w:r>
        <w:rPr>
          <w:i/>
          <w:spacing w:val="-1"/>
          <w:sz w:val="18"/>
        </w:rPr>
        <w:t> </w:t>
      </w:r>
      <w:r>
        <w:rPr>
          <w:i/>
          <w:sz w:val="18"/>
        </w:rPr>
        <w:t>of</w:t>
      </w:r>
      <w:r>
        <w:rPr>
          <w:i/>
          <w:spacing w:val="-1"/>
          <w:sz w:val="18"/>
        </w:rPr>
        <w:t> </w:t>
      </w:r>
      <w:r>
        <w:rPr>
          <w:i/>
          <w:sz w:val="18"/>
        </w:rPr>
        <w:t>signiﬁcant</w:t>
      </w:r>
      <w:r>
        <w:rPr>
          <w:i/>
          <w:spacing w:val="-1"/>
          <w:sz w:val="18"/>
        </w:rPr>
        <w:t> </w:t>
      </w:r>
      <w:r>
        <w:rPr>
          <w:i/>
          <w:sz w:val="18"/>
        </w:rPr>
        <w:t>ESG</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w:t>
      </w:r>
      <w:r>
        <w:rPr>
          <w:i/>
          <w:spacing w:val="-1"/>
          <w:sz w:val="18"/>
        </w:rPr>
        <w:t> </w:t>
      </w:r>
      <w:r>
        <w:rPr>
          <w:i/>
          <w:sz w:val="18"/>
        </w:rPr>
        <w:t>described in</w:t>
      </w:r>
      <w:r>
        <w:rPr>
          <w:i/>
          <w:spacing w:val="-5"/>
          <w:sz w:val="18"/>
        </w:rPr>
        <w:t> </w:t>
      </w:r>
      <w:r>
        <w:rPr>
          <w:i/>
          <w:sz w:val="18"/>
        </w:rPr>
        <w:t>Section</w:t>
      </w:r>
      <w:r>
        <w:rPr>
          <w:i/>
          <w:spacing w:val="-5"/>
          <w:sz w:val="18"/>
        </w:rPr>
        <w:t> </w:t>
      </w:r>
      <w:r>
        <w:rPr>
          <w:i/>
          <w:sz w:val="18"/>
        </w:rPr>
        <w:t>2</w:t>
      </w:r>
      <w:r>
        <w:rPr>
          <w:i/>
          <w:spacing w:val="-5"/>
          <w:sz w:val="18"/>
        </w:rPr>
        <w:t> </w:t>
      </w:r>
      <w:r>
        <w:rPr>
          <w:i/>
          <w:sz w:val="18"/>
        </w:rPr>
        <w:t>of</w:t>
      </w:r>
      <w:r>
        <w:rPr>
          <w:i/>
          <w:spacing w:val="-5"/>
          <w:sz w:val="18"/>
        </w:rPr>
        <w:t> </w:t>
      </w:r>
      <w:r>
        <w:rPr>
          <w:i/>
          <w:sz w:val="18"/>
        </w:rPr>
        <w:t>Chapter</w:t>
      </w:r>
      <w:r>
        <w:rPr>
          <w:i/>
          <w:spacing w:val="-5"/>
          <w:sz w:val="18"/>
        </w:rPr>
        <w:t> </w:t>
      </w:r>
      <w:r>
        <w:rPr>
          <w:i/>
          <w:sz w:val="18"/>
        </w:rPr>
        <w:t>3.</w:t>
      </w:r>
      <w:r>
        <w:rPr>
          <w:i/>
          <w:spacing w:val="-5"/>
          <w:sz w:val="18"/>
        </w:rPr>
        <w:t> </w:t>
      </w:r>
      <w:r>
        <w:rPr>
          <w:i/>
          <w:sz w:val="18"/>
        </w:rPr>
        <w:t>Likewise,</w:t>
      </w:r>
      <w:r>
        <w:rPr>
          <w:i/>
          <w:spacing w:val="-5"/>
          <w:sz w:val="18"/>
        </w:rPr>
        <w:t> </w:t>
      </w:r>
      <w:r>
        <w:rPr>
          <w:i/>
          <w:sz w:val="18"/>
        </w:rPr>
        <w:t>environmental</w:t>
      </w:r>
      <w:r>
        <w:rPr>
          <w:i/>
          <w:spacing w:val="-5"/>
          <w:sz w:val="18"/>
        </w:rPr>
        <w:t> </w:t>
      </w:r>
      <w:r>
        <w:rPr>
          <w:i/>
          <w:sz w:val="18"/>
        </w:rPr>
        <w:t>risk</w:t>
      </w:r>
      <w:r>
        <w:rPr>
          <w:i/>
          <w:spacing w:val="-5"/>
          <w:sz w:val="18"/>
        </w:rPr>
        <w:t> </w:t>
      </w:r>
      <w:r>
        <w:rPr>
          <w:i/>
          <w:sz w:val="18"/>
        </w:rPr>
        <w:t>exposure,</w:t>
      </w:r>
      <w:r>
        <w:rPr>
          <w:i/>
          <w:spacing w:val="-5"/>
          <w:sz w:val="18"/>
        </w:rPr>
        <w:t> </w:t>
      </w:r>
      <w:r>
        <w:rPr>
          <w:i/>
          <w:sz w:val="18"/>
        </w:rPr>
        <w:t>social</w:t>
      </w:r>
      <w:r>
        <w:rPr>
          <w:i/>
          <w:spacing w:val="-5"/>
          <w:sz w:val="18"/>
        </w:rPr>
        <w:t> </w:t>
      </w:r>
      <w:r>
        <w:rPr>
          <w:i/>
          <w:sz w:val="18"/>
        </w:rPr>
        <w:t>risk</w:t>
      </w:r>
      <w:r>
        <w:rPr>
          <w:i/>
          <w:spacing w:val="-5"/>
          <w:sz w:val="18"/>
        </w:rPr>
        <w:t> </w:t>
      </w:r>
      <w:r>
        <w:rPr>
          <w:i/>
          <w:sz w:val="18"/>
        </w:rPr>
        <w:t>exposure,</w:t>
      </w:r>
      <w:r>
        <w:rPr>
          <w:i/>
          <w:spacing w:val="-5"/>
          <w:sz w:val="18"/>
        </w:rPr>
        <w:t> </w:t>
      </w:r>
      <w:r>
        <w:rPr>
          <w:i/>
          <w:sz w:val="18"/>
        </w:rPr>
        <w:t>and</w:t>
      </w:r>
      <w:r>
        <w:rPr>
          <w:i/>
          <w:spacing w:val="-5"/>
          <w:sz w:val="18"/>
        </w:rPr>
        <w:t> </w:t>
      </w:r>
      <w:r>
        <w:rPr>
          <w:i/>
          <w:sz w:val="18"/>
        </w:rPr>
        <w:t>governance</w:t>
      </w:r>
      <w:r>
        <w:rPr>
          <w:i/>
          <w:spacing w:val="-5"/>
          <w:sz w:val="18"/>
        </w:rPr>
        <w:t> </w:t>
      </w:r>
      <w:r>
        <w:rPr>
          <w:i/>
          <w:sz w:val="18"/>
        </w:rPr>
        <w:t>risk exposure are based on the project-level composite measures</w:t>
      </w:r>
      <w:r>
        <w:rPr>
          <w:i/>
          <w:spacing w:val="1"/>
          <w:sz w:val="18"/>
        </w:rPr>
        <w:t> </w:t>
      </w:r>
      <w:r>
        <w:rPr>
          <w:i/>
          <w:sz w:val="18"/>
        </w:rPr>
        <w:t>that are described in Section 2 of</w:t>
      </w:r>
      <w:r>
        <w:rPr>
          <w:i/>
          <w:spacing w:val="1"/>
          <w:sz w:val="18"/>
        </w:rPr>
        <w:t> </w:t>
      </w:r>
      <w:r>
        <w:rPr>
          <w:i/>
          <w:sz w:val="18"/>
        </w:rPr>
        <w:t>Chapter </w:t>
      </w:r>
      <w:r>
        <w:rPr>
          <w:i/>
          <w:spacing w:val="-5"/>
          <w:sz w:val="18"/>
        </w:rPr>
        <w:t>3.</w:t>
      </w:r>
    </w:p>
    <w:p>
      <w:pPr>
        <w:pStyle w:val="BodyText"/>
        <w:rPr>
          <w:i/>
          <w:sz w:val="18"/>
        </w:rPr>
      </w:pPr>
    </w:p>
    <w:p>
      <w:pPr>
        <w:pStyle w:val="BodyText"/>
        <w:spacing w:line="333" w:lineRule="auto" w:before="111"/>
        <w:ind w:left="560" w:right="864"/>
      </w:pPr>
      <w:r>
        <w:rPr/>
        <w:t>In Figures 3.3, 3.4, and 3.5, we separately track the environmental risk prevalence rate, the social risk prevalence rate, and the governance risk prevalence rate.</w:t>
      </w:r>
      <w:r>
        <w:rPr>
          <w:vertAlign w:val="superscript"/>
        </w:rPr>
        <w:t>254</w:t>
      </w:r>
      <w:r>
        <w:rPr>
          <w:vertAlign w:val="baseline"/>
        </w:rPr>
        <w:t> On average, over the entire 22-year period of analysis (2000-2021),</w:t>
      </w:r>
      <w:r>
        <w:rPr>
          <w:spacing w:val="-11"/>
          <w:vertAlign w:val="baseline"/>
        </w:rPr>
        <w:t> </w:t>
      </w:r>
      <w:r>
        <w:rPr>
          <w:vertAlign w:val="baseline"/>
        </w:rPr>
        <w:t>the</w:t>
      </w:r>
      <w:r>
        <w:rPr>
          <w:spacing w:val="-11"/>
          <w:vertAlign w:val="baseline"/>
        </w:rPr>
        <w:t> </w:t>
      </w:r>
      <w:r>
        <w:rPr>
          <w:vertAlign w:val="baseline"/>
        </w:rPr>
        <w:t>environmental</w:t>
      </w:r>
      <w:r>
        <w:rPr>
          <w:spacing w:val="-11"/>
          <w:vertAlign w:val="baseline"/>
        </w:rPr>
        <w:t> </w:t>
      </w:r>
      <w:r>
        <w:rPr>
          <w:vertAlign w:val="baseline"/>
        </w:rPr>
        <w:t>risk</w:t>
      </w:r>
      <w:r>
        <w:rPr>
          <w:spacing w:val="-11"/>
          <w:vertAlign w:val="baseline"/>
        </w:rPr>
        <w:t> </w:t>
      </w:r>
      <w:r>
        <w:rPr>
          <w:vertAlign w:val="baseline"/>
        </w:rPr>
        <w:t>prevalence</w:t>
      </w:r>
      <w:r>
        <w:rPr>
          <w:spacing w:val="-11"/>
          <w:vertAlign w:val="baseline"/>
        </w:rPr>
        <w:t> </w:t>
      </w:r>
      <w:r>
        <w:rPr>
          <w:vertAlign w:val="baseline"/>
        </w:rPr>
        <w:t>rate</w:t>
      </w:r>
      <w:r>
        <w:rPr>
          <w:spacing w:val="-11"/>
          <w:vertAlign w:val="baseline"/>
        </w:rPr>
        <w:t> </w:t>
      </w:r>
      <w:r>
        <w:rPr>
          <w:vertAlign w:val="baseline"/>
        </w:rPr>
        <w:t>was</w:t>
      </w:r>
      <w:r>
        <w:rPr>
          <w:spacing w:val="-11"/>
          <w:vertAlign w:val="baseline"/>
        </w:rPr>
        <w:t> </w:t>
      </w:r>
      <w:r>
        <w:rPr>
          <w:vertAlign w:val="baseline"/>
        </w:rPr>
        <w:t>higher</w:t>
      </w:r>
      <w:r>
        <w:rPr>
          <w:spacing w:val="-11"/>
          <w:vertAlign w:val="baseline"/>
        </w:rPr>
        <w:t> </w:t>
      </w:r>
      <w:r>
        <w:rPr>
          <w:vertAlign w:val="baseline"/>
        </w:rPr>
        <w:t>(27%)</w:t>
      </w:r>
      <w:r>
        <w:rPr>
          <w:spacing w:val="-11"/>
          <w:vertAlign w:val="baseline"/>
        </w:rPr>
        <w:t> </w:t>
      </w:r>
      <w:r>
        <w:rPr>
          <w:vertAlign w:val="baseline"/>
        </w:rPr>
        <w:t>than</w:t>
      </w:r>
      <w:r>
        <w:rPr>
          <w:spacing w:val="-11"/>
          <w:vertAlign w:val="baseline"/>
        </w:rPr>
        <w:t> </w:t>
      </w:r>
      <w:r>
        <w:rPr>
          <w:vertAlign w:val="baseline"/>
        </w:rPr>
        <w:t>the</w:t>
      </w:r>
    </w:p>
    <w:p>
      <w:pPr>
        <w:pStyle w:val="BodyText"/>
        <w:spacing w:line="333" w:lineRule="auto"/>
        <w:ind w:left="560" w:right="561"/>
      </w:pPr>
      <w:r>
        <w:rPr/>
        <w:t>social</w:t>
      </w:r>
      <w:r>
        <w:rPr>
          <w:spacing w:val="-17"/>
        </w:rPr>
        <w:t> </w:t>
      </w:r>
      <w:r>
        <w:rPr/>
        <w:t>risk</w:t>
      </w:r>
      <w:r>
        <w:rPr>
          <w:spacing w:val="-17"/>
        </w:rPr>
        <w:t> </w:t>
      </w:r>
      <w:r>
        <w:rPr/>
        <w:t>prevalence</w:t>
      </w:r>
      <w:r>
        <w:rPr>
          <w:spacing w:val="-16"/>
        </w:rPr>
        <w:t> </w:t>
      </w:r>
      <w:r>
        <w:rPr/>
        <w:t>rate</w:t>
      </w:r>
      <w:r>
        <w:rPr>
          <w:spacing w:val="-17"/>
        </w:rPr>
        <w:t> </w:t>
      </w:r>
      <w:r>
        <w:rPr/>
        <w:t>(20%)</w:t>
      </w:r>
      <w:r>
        <w:rPr>
          <w:spacing w:val="-17"/>
        </w:rPr>
        <w:t> </w:t>
      </w:r>
      <w:r>
        <w:rPr/>
        <w:t>or</w:t>
      </w:r>
      <w:r>
        <w:rPr>
          <w:spacing w:val="-16"/>
        </w:rPr>
        <w:t> </w:t>
      </w:r>
      <w:r>
        <w:rPr/>
        <w:t>the</w:t>
      </w:r>
      <w:r>
        <w:rPr>
          <w:spacing w:val="-17"/>
        </w:rPr>
        <w:t> </w:t>
      </w:r>
      <w:r>
        <w:rPr/>
        <w:t>governance</w:t>
      </w:r>
      <w:r>
        <w:rPr>
          <w:spacing w:val="-17"/>
        </w:rPr>
        <w:t> </w:t>
      </w:r>
      <w:r>
        <w:rPr/>
        <w:t>risk</w:t>
      </w:r>
      <w:r>
        <w:rPr>
          <w:spacing w:val="-16"/>
        </w:rPr>
        <w:t> </w:t>
      </w:r>
      <w:r>
        <w:rPr/>
        <w:t>prevalence</w:t>
      </w:r>
      <w:r>
        <w:rPr>
          <w:spacing w:val="-17"/>
        </w:rPr>
        <w:t> </w:t>
      </w:r>
      <w:r>
        <w:rPr/>
        <w:t>rate</w:t>
      </w:r>
      <w:r>
        <w:rPr>
          <w:spacing w:val="-17"/>
        </w:rPr>
        <w:t> </w:t>
      </w:r>
      <w:r>
        <w:rPr/>
        <w:t>(18%).</w:t>
      </w:r>
      <w:r>
        <w:rPr>
          <w:vertAlign w:val="superscript"/>
        </w:rPr>
        <w:t>255</w:t>
      </w:r>
      <w:r>
        <w:rPr>
          <w:vertAlign w:val="baseline"/>
        </w:rPr>
        <w:t> Across these three measures, one can see a generally consistent pattern over time: risk prevalence rates mostly increased during the pre-BRI period</w:t>
      </w:r>
    </w:p>
    <w:p>
      <w:pPr>
        <w:pStyle w:val="BodyText"/>
        <w:spacing w:line="274" w:lineRule="exact"/>
        <w:ind w:left="560"/>
      </w:pPr>
      <w:r>
        <w:rPr/>
        <w:t>(2000-2013)</w:t>
      </w:r>
      <w:r>
        <w:rPr>
          <w:spacing w:val="-10"/>
        </w:rPr>
        <w:t> </w:t>
      </w:r>
      <w:r>
        <w:rPr/>
        <w:t>and</w:t>
      </w:r>
      <w:r>
        <w:rPr>
          <w:spacing w:val="-10"/>
        </w:rPr>
        <w:t> </w:t>
      </w:r>
      <w:r>
        <w:rPr/>
        <w:t>mostly</w:t>
      </w:r>
      <w:r>
        <w:rPr>
          <w:spacing w:val="-9"/>
        </w:rPr>
        <w:t> </w:t>
      </w:r>
      <w:r>
        <w:rPr/>
        <w:t>decreased</w:t>
      </w:r>
      <w:r>
        <w:rPr>
          <w:spacing w:val="-10"/>
        </w:rPr>
        <w:t> </w:t>
      </w:r>
      <w:r>
        <w:rPr/>
        <w:t>during</w:t>
      </w:r>
      <w:r>
        <w:rPr>
          <w:spacing w:val="-9"/>
        </w:rPr>
        <w:t> </w:t>
      </w:r>
      <w:r>
        <w:rPr/>
        <w:t>the</w:t>
      </w:r>
      <w:r>
        <w:rPr>
          <w:spacing w:val="-10"/>
        </w:rPr>
        <w:t> </w:t>
      </w:r>
      <w:r>
        <w:rPr/>
        <w:t>BRI</w:t>
      </w:r>
      <w:r>
        <w:rPr>
          <w:spacing w:val="-9"/>
        </w:rPr>
        <w:t> </w:t>
      </w:r>
      <w:r>
        <w:rPr/>
        <w:t>period</w:t>
      </w:r>
      <w:r>
        <w:rPr>
          <w:spacing w:val="-10"/>
        </w:rPr>
        <w:t> </w:t>
      </w:r>
      <w:r>
        <w:rPr/>
        <w:t>(2014-2021).</w:t>
      </w:r>
      <w:r>
        <w:rPr>
          <w:spacing w:val="-9"/>
        </w:rPr>
        <w:t> </w:t>
      </w:r>
      <w:r>
        <w:rPr/>
        <w:t>Some</w:t>
      </w:r>
      <w:r>
        <w:rPr>
          <w:spacing w:val="-10"/>
        </w:rPr>
        <w:t> </w:t>
      </w:r>
      <w:r>
        <w:rPr>
          <w:spacing w:val="-5"/>
        </w:rPr>
        <w:t>of</w:t>
      </w:r>
    </w:p>
    <w:p>
      <w:pPr>
        <w:pStyle w:val="BodyText"/>
        <w:spacing w:before="9"/>
        <w:rPr>
          <w:sz w:val="27"/>
        </w:rPr>
      </w:pPr>
      <w:r>
        <w:rPr/>
        <w:pict>
          <v:shape style="position:absolute;margin-left:90pt;margin-top:17.185234pt;width:144pt;height:.1pt;mso-position-horizontal-relative:page;mso-position-vertical-relative:paragraph;z-index:-15719936;mso-wrap-distance-left:0;mso-wrap-distance-right:0" id="docshape16" coordorigin="1800,344" coordsize="2880,0" path="m1800,344l4680,344e" filled="false" stroked="true" strokeweight=".75pt" strokecolor="#000000">
            <v:path arrowok="t"/>
            <v:stroke dashstyle="solid"/>
            <w10:wrap type="topAndBottom"/>
          </v:shape>
        </w:pict>
      </w:r>
    </w:p>
    <w:p>
      <w:pPr>
        <w:spacing w:line="249" w:lineRule="auto" w:before="105"/>
        <w:ind w:left="560" w:right="568" w:firstLine="0"/>
        <w:jc w:val="left"/>
        <w:rPr>
          <w:sz w:val="18"/>
        </w:rPr>
      </w:pPr>
      <w:r>
        <w:rPr>
          <w:sz w:val="18"/>
          <w:vertAlign w:val="superscript"/>
        </w:rPr>
        <w:t>254</w:t>
      </w:r>
      <w:r>
        <w:rPr>
          <w:spacing w:val="-5"/>
          <w:sz w:val="18"/>
          <w:vertAlign w:val="baseline"/>
        </w:rPr>
        <w:t> </w:t>
      </w:r>
      <w:r>
        <w:rPr>
          <w:sz w:val="18"/>
          <w:vertAlign w:val="baseline"/>
        </w:rPr>
        <w:t>In</w:t>
      </w:r>
      <w:r>
        <w:rPr>
          <w:spacing w:val="-4"/>
          <w:sz w:val="18"/>
          <w:vertAlign w:val="baseline"/>
        </w:rPr>
        <w:t> </w:t>
      </w:r>
      <w:r>
        <w:rPr>
          <w:sz w:val="18"/>
          <w:vertAlign w:val="baseline"/>
        </w:rPr>
        <w:t>Figures</w:t>
      </w:r>
      <w:r>
        <w:rPr>
          <w:spacing w:val="-4"/>
          <w:sz w:val="18"/>
          <w:vertAlign w:val="baseline"/>
        </w:rPr>
        <w:t> </w:t>
      </w:r>
      <w:r>
        <w:rPr>
          <w:sz w:val="18"/>
          <w:vertAlign w:val="baseline"/>
        </w:rPr>
        <w:t>3.3,</w:t>
      </w:r>
      <w:r>
        <w:rPr>
          <w:spacing w:val="-4"/>
          <w:sz w:val="18"/>
          <w:vertAlign w:val="baseline"/>
        </w:rPr>
        <w:t> </w:t>
      </w:r>
      <w:r>
        <w:rPr>
          <w:sz w:val="18"/>
          <w:vertAlign w:val="baseline"/>
        </w:rPr>
        <w:t>3.4,</w:t>
      </w:r>
      <w:r>
        <w:rPr>
          <w:spacing w:val="-4"/>
          <w:sz w:val="18"/>
          <w:vertAlign w:val="baseline"/>
        </w:rPr>
        <w:t> </w:t>
      </w:r>
      <w:r>
        <w:rPr>
          <w:sz w:val="18"/>
          <w:vertAlign w:val="baseline"/>
        </w:rPr>
        <w:t>and</w:t>
      </w:r>
      <w:r>
        <w:rPr>
          <w:spacing w:val="-4"/>
          <w:sz w:val="18"/>
          <w:vertAlign w:val="baseline"/>
        </w:rPr>
        <w:t> </w:t>
      </w:r>
      <w:r>
        <w:rPr>
          <w:sz w:val="18"/>
          <w:vertAlign w:val="baseline"/>
        </w:rPr>
        <w:t>3.5,</w:t>
      </w:r>
      <w:r>
        <w:rPr>
          <w:spacing w:val="-4"/>
          <w:sz w:val="18"/>
          <w:vertAlign w:val="baseline"/>
        </w:rPr>
        <w:t> </w:t>
      </w:r>
      <w:r>
        <w:rPr>
          <w:sz w:val="18"/>
          <w:vertAlign w:val="baseline"/>
        </w:rPr>
        <w:t>we</w:t>
      </w:r>
      <w:r>
        <w:rPr>
          <w:spacing w:val="-4"/>
          <w:sz w:val="18"/>
          <w:vertAlign w:val="baseline"/>
        </w:rPr>
        <w:t> </w:t>
      </w:r>
      <w:r>
        <w:rPr>
          <w:sz w:val="18"/>
          <w:vertAlign w:val="baseline"/>
        </w:rPr>
        <w:t>deﬁne</w:t>
      </w:r>
      <w:r>
        <w:rPr>
          <w:spacing w:val="-4"/>
          <w:sz w:val="18"/>
          <w:vertAlign w:val="baseline"/>
        </w:rPr>
        <w:t> </w:t>
      </w:r>
      <w:r>
        <w:rPr>
          <w:sz w:val="18"/>
          <w:vertAlign w:val="baseline"/>
        </w:rPr>
        <w:t>the</w:t>
      </w:r>
      <w:r>
        <w:rPr>
          <w:spacing w:val="-4"/>
          <w:sz w:val="18"/>
          <w:vertAlign w:val="baseline"/>
        </w:rPr>
        <w:t> </w:t>
      </w:r>
      <w:r>
        <w:rPr>
          <w:sz w:val="18"/>
          <w:vertAlign w:val="baseline"/>
        </w:rPr>
        <w:t>risk</w:t>
      </w:r>
      <w:r>
        <w:rPr>
          <w:spacing w:val="-4"/>
          <w:sz w:val="18"/>
          <w:vertAlign w:val="baseline"/>
        </w:rPr>
        <w:t> </w:t>
      </w:r>
      <w:r>
        <w:rPr>
          <w:sz w:val="18"/>
          <w:vertAlign w:val="baseline"/>
        </w:rPr>
        <w:t>prevalence</w:t>
      </w:r>
      <w:r>
        <w:rPr>
          <w:spacing w:val="-4"/>
          <w:sz w:val="18"/>
          <w:vertAlign w:val="baseline"/>
        </w:rPr>
        <w:t> </w:t>
      </w:r>
      <w:r>
        <w:rPr>
          <w:sz w:val="18"/>
          <w:vertAlign w:val="baseline"/>
        </w:rPr>
        <w:t>rate</w:t>
      </w:r>
      <w:r>
        <w:rPr>
          <w:spacing w:val="-4"/>
          <w:sz w:val="18"/>
          <w:vertAlign w:val="baseline"/>
        </w:rPr>
        <w:t> </w:t>
      </w:r>
      <w:r>
        <w:rPr>
          <w:sz w:val="18"/>
          <w:vertAlign w:val="baseline"/>
        </w:rPr>
        <w:t>as</w:t>
      </w:r>
      <w:r>
        <w:rPr>
          <w:spacing w:val="-4"/>
          <w:sz w:val="18"/>
          <w:vertAlign w:val="baseline"/>
        </w:rPr>
        <w:t> </w:t>
      </w:r>
      <w:r>
        <w:rPr>
          <w:sz w:val="18"/>
          <w:vertAlign w:val="baseline"/>
        </w:rPr>
        <w:t>the</w:t>
      </w:r>
      <w:r>
        <w:rPr>
          <w:spacing w:val="-4"/>
          <w:sz w:val="18"/>
          <w:vertAlign w:val="baseline"/>
        </w:rPr>
        <w:t> </w:t>
      </w:r>
      <w:r>
        <w:rPr>
          <w:sz w:val="18"/>
          <w:vertAlign w:val="baseline"/>
        </w:rPr>
        <w:t>annual</w:t>
      </w:r>
      <w:r>
        <w:rPr>
          <w:spacing w:val="-4"/>
          <w:sz w:val="18"/>
          <w:vertAlign w:val="baseline"/>
        </w:rPr>
        <w:t> </w:t>
      </w:r>
      <w:r>
        <w:rPr>
          <w:sz w:val="18"/>
          <w:vertAlign w:val="baseline"/>
        </w:rPr>
        <w:t>percentage</w:t>
      </w:r>
      <w:r>
        <w:rPr>
          <w:spacing w:val="-4"/>
          <w:sz w:val="18"/>
          <w:vertAlign w:val="baseline"/>
        </w:rPr>
        <w:t> </w:t>
      </w:r>
      <w:r>
        <w:rPr>
          <w:sz w:val="18"/>
          <w:vertAlign w:val="baseline"/>
        </w:rPr>
        <w:t>of</w:t>
      </w:r>
      <w:r>
        <w:rPr>
          <w:spacing w:val="-4"/>
          <w:sz w:val="18"/>
          <w:vertAlign w:val="baseline"/>
        </w:rPr>
        <w:t> </w:t>
      </w:r>
      <w:r>
        <w:rPr>
          <w:sz w:val="18"/>
          <w:vertAlign w:val="baseline"/>
        </w:rPr>
        <w:t>China’s</w:t>
      </w:r>
      <w:r>
        <w:rPr>
          <w:spacing w:val="-4"/>
          <w:sz w:val="18"/>
          <w:vertAlign w:val="baseline"/>
        </w:rPr>
        <w:t> </w:t>
      </w:r>
      <w:r>
        <w:rPr>
          <w:sz w:val="18"/>
          <w:vertAlign w:val="baseline"/>
        </w:rPr>
        <w:t>grant- and loan-ﬁnanced infrastructure project portfolio (measured in constant 2021 USD) facing a given type of risk.</w:t>
      </w:r>
      <w:r>
        <w:rPr>
          <w:spacing w:val="-3"/>
          <w:sz w:val="18"/>
          <w:vertAlign w:val="baseline"/>
        </w:rPr>
        <w:t> </w:t>
      </w:r>
      <w:r>
        <w:rPr>
          <w:sz w:val="18"/>
          <w:vertAlign w:val="baseline"/>
        </w:rPr>
        <w:t>In</w:t>
      </w:r>
      <w:r>
        <w:rPr>
          <w:spacing w:val="-3"/>
          <w:sz w:val="18"/>
          <w:vertAlign w:val="baseline"/>
        </w:rPr>
        <w:t> </w:t>
      </w:r>
      <w:r>
        <w:rPr>
          <w:sz w:val="18"/>
          <w:vertAlign w:val="baseline"/>
        </w:rPr>
        <w:t>Figures</w:t>
      </w:r>
      <w:r>
        <w:rPr>
          <w:spacing w:val="-3"/>
          <w:sz w:val="18"/>
          <w:vertAlign w:val="baseline"/>
        </w:rPr>
        <w:t> </w:t>
      </w:r>
      <w:r>
        <w:rPr>
          <w:sz w:val="18"/>
          <w:vertAlign w:val="baseline"/>
        </w:rPr>
        <w:t>A45,</w:t>
      </w:r>
      <w:r>
        <w:rPr>
          <w:spacing w:val="-3"/>
          <w:sz w:val="18"/>
          <w:vertAlign w:val="baseline"/>
        </w:rPr>
        <w:t> </w:t>
      </w:r>
      <w:r>
        <w:rPr>
          <w:sz w:val="18"/>
          <w:vertAlign w:val="baseline"/>
        </w:rPr>
        <w:t>A46,</w:t>
      </w:r>
      <w:r>
        <w:rPr>
          <w:spacing w:val="-3"/>
          <w:sz w:val="18"/>
          <w:vertAlign w:val="baseline"/>
        </w:rPr>
        <w:t> </w:t>
      </w:r>
      <w:r>
        <w:rPr>
          <w:sz w:val="18"/>
          <w:vertAlign w:val="baseline"/>
        </w:rPr>
        <w:t>and</w:t>
      </w:r>
      <w:r>
        <w:rPr>
          <w:spacing w:val="-3"/>
          <w:sz w:val="18"/>
          <w:vertAlign w:val="baseline"/>
        </w:rPr>
        <w:t> </w:t>
      </w:r>
      <w:r>
        <w:rPr>
          <w:sz w:val="18"/>
          <w:vertAlign w:val="baseline"/>
        </w:rPr>
        <w:t>A47,</w:t>
      </w:r>
      <w:r>
        <w:rPr>
          <w:spacing w:val="-3"/>
          <w:sz w:val="18"/>
          <w:vertAlign w:val="baseline"/>
        </w:rPr>
        <w:t> </w:t>
      </w:r>
      <w:r>
        <w:rPr>
          <w:sz w:val="18"/>
          <w:vertAlign w:val="baseline"/>
        </w:rPr>
        <w:t>we</w:t>
      </w:r>
      <w:r>
        <w:rPr>
          <w:spacing w:val="-3"/>
          <w:sz w:val="18"/>
          <w:vertAlign w:val="baseline"/>
        </w:rPr>
        <w:t> </w:t>
      </w:r>
      <w:r>
        <w:rPr>
          <w:sz w:val="18"/>
          <w:vertAlign w:val="baseline"/>
        </w:rPr>
        <w:t>redeﬁne</w:t>
      </w:r>
      <w:r>
        <w:rPr>
          <w:spacing w:val="-3"/>
          <w:sz w:val="18"/>
          <w:vertAlign w:val="baseline"/>
        </w:rPr>
        <w:t> </w:t>
      </w:r>
      <w:r>
        <w:rPr>
          <w:sz w:val="18"/>
          <w:vertAlign w:val="baseline"/>
        </w:rPr>
        <w:t>the</w:t>
      </w:r>
      <w:r>
        <w:rPr>
          <w:spacing w:val="-3"/>
          <w:sz w:val="18"/>
          <w:vertAlign w:val="baseline"/>
        </w:rPr>
        <w:t> </w:t>
      </w:r>
      <w:r>
        <w:rPr>
          <w:sz w:val="18"/>
          <w:vertAlign w:val="baseline"/>
        </w:rPr>
        <w:t>risk</w:t>
      </w:r>
      <w:r>
        <w:rPr>
          <w:spacing w:val="-3"/>
          <w:sz w:val="18"/>
          <w:vertAlign w:val="baseline"/>
        </w:rPr>
        <w:t> </w:t>
      </w:r>
      <w:r>
        <w:rPr>
          <w:sz w:val="18"/>
          <w:vertAlign w:val="baseline"/>
        </w:rPr>
        <w:t>prevalence</w:t>
      </w:r>
      <w:r>
        <w:rPr>
          <w:spacing w:val="-3"/>
          <w:sz w:val="18"/>
          <w:vertAlign w:val="baseline"/>
        </w:rPr>
        <w:t> </w:t>
      </w:r>
      <w:r>
        <w:rPr>
          <w:sz w:val="18"/>
          <w:vertAlign w:val="baseline"/>
        </w:rPr>
        <w:t>rate</w:t>
      </w:r>
      <w:r>
        <w:rPr>
          <w:spacing w:val="-3"/>
          <w:sz w:val="18"/>
          <w:vertAlign w:val="baseline"/>
        </w:rPr>
        <w:t> </w:t>
      </w:r>
      <w:r>
        <w:rPr>
          <w:sz w:val="18"/>
          <w:vertAlign w:val="baseline"/>
        </w:rPr>
        <w:t>as</w:t>
      </w:r>
      <w:r>
        <w:rPr>
          <w:spacing w:val="-3"/>
          <w:sz w:val="18"/>
          <w:vertAlign w:val="baseline"/>
        </w:rPr>
        <w:t> </w:t>
      </w:r>
      <w:r>
        <w:rPr>
          <w:sz w:val="18"/>
          <w:vertAlign w:val="baseline"/>
        </w:rPr>
        <w:t>the</w:t>
      </w:r>
      <w:r>
        <w:rPr>
          <w:spacing w:val="-3"/>
          <w:sz w:val="18"/>
          <w:vertAlign w:val="baseline"/>
        </w:rPr>
        <w:t> </w:t>
      </w:r>
      <w:r>
        <w:rPr>
          <w:sz w:val="18"/>
          <w:vertAlign w:val="baseline"/>
        </w:rPr>
        <w:t>annual</w:t>
      </w:r>
      <w:r>
        <w:rPr>
          <w:spacing w:val="-3"/>
          <w:sz w:val="18"/>
          <w:vertAlign w:val="baseline"/>
        </w:rPr>
        <w:t> </w:t>
      </w:r>
      <w:r>
        <w:rPr>
          <w:sz w:val="18"/>
          <w:vertAlign w:val="baseline"/>
        </w:rPr>
        <w:t>percentage</w:t>
      </w:r>
      <w:r>
        <w:rPr>
          <w:spacing w:val="-3"/>
          <w:sz w:val="18"/>
          <w:vertAlign w:val="baseline"/>
        </w:rPr>
        <w:t> </w:t>
      </w:r>
      <w:r>
        <w:rPr>
          <w:sz w:val="18"/>
          <w:vertAlign w:val="baseline"/>
        </w:rPr>
        <w:t>of</w:t>
      </w:r>
      <w:r>
        <w:rPr>
          <w:spacing w:val="-3"/>
          <w:sz w:val="18"/>
          <w:vertAlign w:val="baseline"/>
        </w:rPr>
        <w:t> </w:t>
      </w:r>
      <w:r>
        <w:rPr>
          <w:sz w:val="18"/>
          <w:vertAlign w:val="baseline"/>
        </w:rPr>
        <w:t>China’s grant- and loan-ﬁnanced infrastructure </w:t>
      </w:r>
      <w:r>
        <w:rPr>
          <w:i/>
          <w:sz w:val="18"/>
          <w:vertAlign w:val="baseline"/>
        </w:rPr>
        <w:t>projects </w:t>
      </w:r>
      <w:r>
        <w:rPr>
          <w:sz w:val="18"/>
          <w:vertAlign w:val="baseline"/>
        </w:rPr>
        <w:t>facing a given type of risk.</w:t>
      </w:r>
    </w:p>
    <w:p>
      <w:pPr>
        <w:spacing w:line="249" w:lineRule="auto" w:before="4"/>
        <w:ind w:left="560" w:right="561" w:firstLine="0"/>
        <w:jc w:val="left"/>
        <w:rPr>
          <w:sz w:val="18"/>
        </w:rPr>
      </w:pPr>
      <w:r>
        <w:rPr>
          <w:sz w:val="18"/>
          <w:vertAlign w:val="superscript"/>
        </w:rPr>
        <w:t>255</w:t>
      </w:r>
      <w:r>
        <w:rPr>
          <w:spacing w:val="-6"/>
          <w:sz w:val="18"/>
          <w:vertAlign w:val="baseline"/>
        </w:rPr>
        <w:t> </w:t>
      </w:r>
      <w:r>
        <w:rPr>
          <w:sz w:val="18"/>
          <w:vertAlign w:val="baseline"/>
        </w:rPr>
        <w:t>If</w:t>
      </w:r>
      <w:r>
        <w:rPr>
          <w:spacing w:val="-5"/>
          <w:sz w:val="18"/>
          <w:vertAlign w:val="baseline"/>
        </w:rPr>
        <w:t> </w:t>
      </w:r>
      <w:r>
        <w:rPr>
          <w:sz w:val="18"/>
          <w:vertAlign w:val="baseline"/>
        </w:rPr>
        <w:t>the</w:t>
      </w:r>
      <w:r>
        <w:rPr>
          <w:spacing w:val="-5"/>
          <w:sz w:val="18"/>
          <w:vertAlign w:val="baseline"/>
        </w:rPr>
        <w:t> </w:t>
      </w:r>
      <w:r>
        <w:rPr>
          <w:sz w:val="18"/>
          <w:vertAlign w:val="baseline"/>
        </w:rPr>
        <w:t>ESG</w:t>
      </w:r>
      <w:r>
        <w:rPr>
          <w:spacing w:val="-5"/>
          <w:sz w:val="18"/>
          <w:vertAlign w:val="baseline"/>
        </w:rPr>
        <w:t> </w:t>
      </w:r>
      <w:r>
        <w:rPr>
          <w:sz w:val="18"/>
          <w:vertAlign w:val="baseline"/>
        </w:rPr>
        <w:t>risk</w:t>
      </w:r>
      <w:r>
        <w:rPr>
          <w:spacing w:val="-5"/>
          <w:sz w:val="18"/>
          <w:vertAlign w:val="baseline"/>
        </w:rPr>
        <w:t> </w:t>
      </w:r>
      <w:r>
        <w:rPr>
          <w:sz w:val="18"/>
          <w:vertAlign w:val="baseline"/>
        </w:rPr>
        <w:t>prevalence</w:t>
      </w:r>
      <w:r>
        <w:rPr>
          <w:spacing w:val="-5"/>
          <w:sz w:val="18"/>
          <w:vertAlign w:val="baseline"/>
        </w:rPr>
        <w:t> </w:t>
      </w:r>
      <w:r>
        <w:rPr>
          <w:sz w:val="18"/>
          <w:vertAlign w:val="baseline"/>
        </w:rPr>
        <w:t>rate</w:t>
      </w:r>
      <w:r>
        <w:rPr>
          <w:spacing w:val="-5"/>
          <w:sz w:val="18"/>
          <w:vertAlign w:val="baseline"/>
        </w:rPr>
        <w:t> </w:t>
      </w:r>
      <w:r>
        <w:rPr>
          <w:sz w:val="18"/>
          <w:vertAlign w:val="baseline"/>
        </w:rPr>
        <w:t>is</w:t>
      </w:r>
      <w:r>
        <w:rPr>
          <w:spacing w:val="-5"/>
          <w:sz w:val="18"/>
          <w:vertAlign w:val="baseline"/>
        </w:rPr>
        <w:t> </w:t>
      </w:r>
      <w:r>
        <w:rPr>
          <w:sz w:val="18"/>
          <w:vertAlign w:val="baseline"/>
        </w:rPr>
        <w:t>redeﬁned</w:t>
      </w:r>
      <w:r>
        <w:rPr>
          <w:spacing w:val="-5"/>
          <w:sz w:val="18"/>
          <w:vertAlign w:val="baseline"/>
        </w:rPr>
        <w:t> </w:t>
      </w:r>
      <w:r>
        <w:rPr>
          <w:sz w:val="18"/>
          <w:vertAlign w:val="baseline"/>
        </w:rPr>
        <w:t>as</w:t>
      </w:r>
      <w:r>
        <w:rPr>
          <w:spacing w:val="-5"/>
          <w:sz w:val="18"/>
          <w:vertAlign w:val="baseline"/>
        </w:rPr>
        <w:t> </w:t>
      </w:r>
      <w:r>
        <w:rPr>
          <w:sz w:val="18"/>
          <w:vertAlign w:val="baseline"/>
        </w:rPr>
        <w:t>the</w:t>
      </w:r>
      <w:r>
        <w:rPr>
          <w:spacing w:val="-5"/>
          <w:sz w:val="18"/>
          <w:vertAlign w:val="baseline"/>
        </w:rPr>
        <w:t> </w:t>
      </w:r>
      <w:r>
        <w:rPr>
          <w:sz w:val="18"/>
          <w:vertAlign w:val="baseline"/>
        </w:rPr>
        <w:t>annual</w:t>
      </w:r>
      <w:r>
        <w:rPr>
          <w:spacing w:val="-5"/>
          <w:sz w:val="18"/>
          <w:vertAlign w:val="baseline"/>
        </w:rPr>
        <w:t> </w:t>
      </w:r>
      <w:r>
        <w:rPr>
          <w:sz w:val="18"/>
          <w:vertAlign w:val="baseline"/>
        </w:rPr>
        <w:t>percentage</w:t>
      </w:r>
      <w:r>
        <w:rPr>
          <w:spacing w:val="-5"/>
          <w:sz w:val="18"/>
          <w:vertAlign w:val="baseline"/>
        </w:rPr>
        <w:t> </w:t>
      </w:r>
      <w:r>
        <w:rPr>
          <w:sz w:val="18"/>
          <w:vertAlign w:val="baseline"/>
        </w:rPr>
        <w:t>of</w:t>
      </w:r>
      <w:r>
        <w:rPr>
          <w:spacing w:val="-5"/>
          <w:sz w:val="18"/>
          <w:vertAlign w:val="baseline"/>
        </w:rPr>
        <w:t> </w:t>
      </w:r>
      <w:r>
        <w:rPr>
          <w:sz w:val="18"/>
          <w:vertAlign w:val="baseline"/>
        </w:rPr>
        <w:t>China’s</w:t>
      </w:r>
      <w:r>
        <w:rPr>
          <w:spacing w:val="-5"/>
          <w:sz w:val="18"/>
          <w:vertAlign w:val="baseline"/>
        </w:rPr>
        <w:t> </w:t>
      </w:r>
      <w:r>
        <w:rPr>
          <w:sz w:val="18"/>
          <w:vertAlign w:val="baseline"/>
        </w:rPr>
        <w:t>grant-</w:t>
      </w:r>
      <w:r>
        <w:rPr>
          <w:spacing w:val="-6"/>
          <w:sz w:val="18"/>
          <w:vertAlign w:val="baseline"/>
        </w:rPr>
        <w:t> </w:t>
      </w:r>
      <w:r>
        <w:rPr>
          <w:sz w:val="18"/>
          <w:vertAlign w:val="baseline"/>
        </w:rPr>
        <w:t>and</w:t>
      </w:r>
      <w:r>
        <w:rPr>
          <w:spacing w:val="-5"/>
          <w:sz w:val="18"/>
          <w:vertAlign w:val="baseline"/>
        </w:rPr>
        <w:t> </w:t>
      </w:r>
      <w:r>
        <w:rPr>
          <w:sz w:val="18"/>
          <w:vertAlign w:val="baseline"/>
        </w:rPr>
        <w:t>loan-ﬁnanced infrastructure </w:t>
      </w:r>
      <w:r>
        <w:rPr>
          <w:i/>
          <w:sz w:val="18"/>
          <w:vertAlign w:val="baseline"/>
        </w:rPr>
        <w:t>projects </w:t>
      </w:r>
      <w:r>
        <w:rPr>
          <w:sz w:val="18"/>
          <w:vertAlign w:val="baseline"/>
        </w:rPr>
        <w:t>with signiﬁcant environmental, social, or governance risk exposure, the same pattern holds: the environmental risk prevalence rate is substantially higher (22%) than the social risk prevalence rate (14%) or the governance risk prevalence rate (7%).</w:t>
      </w:r>
    </w:p>
    <w:p>
      <w:pPr>
        <w:spacing w:after="0" w:line="249" w:lineRule="auto"/>
        <w:jc w:val="left"/>
        <w:rPr>
          <w:sz w:val="18"/>
        </w:rPr>
        <w:sectPr>
          <w:pgSz w:w="12240" w:h="15840"/>
          <w:pgMar w:header="0" w:footer="720" w:top="1580" w:bottom="920" w:left="1240" w:right="1260"/>
        </w:sectPr>
      </w:pPr>
    </w:p>
    <w:p>
      <w:pPr>
        <w:pStyle w:val="BodyText"/>
        <w:spacing w:line="333" w:lineRule="auto" w:before="67"/>
        <w:ind w:left="560" w:right="625"/>
      </w:pPr>
      <w:r>
        <w:rPr/>
        <w:t>the largest declines are observable during the late BRI period (2018-2021).</w:t>
      </w:r>
      <w:r>
        <w:rPr>
          <w:vertAlign w:val="superscript"/>
        </w:rPr>
        <w:t>256</w:t>
      </w:r>
      <w:r>
        <w:rPr>
          <w:vertAlign w:val="baseline"/>
        </w:rPr>
        <w:t> However, these declines should be interpreted with caution, as they could be</w:t>
      </w:r>
      <w:r>
        <w:rPr>
          <w:spacing w:val="80"/>
          <w:vertAlign w:val="baseline"/>
        </w:rPr>
        <w:t> </w:t>
      </w:r>
      <w:r>
        <w:rPr>
          <w:vertAlign w:val="baseline"/>
        </w:rPr>
        <w:t>the result of (a) newly approved projects not having progressed to phases of </w:t>
      </w:r>
      <w:r>
        <w:rPr>
          <w:vertAlign w:val="baseline"/>
        </w:rPr>
        <w:t>the project</w:t>
      </w:r>
      <w:r>
        <w:rPr>
          <w:spacing w:val="-1"/>
          <w:vertAlign w:val="baseline"/>
        </w:rPr>
        <w:t> </w:t>
      </w:r>
      <w:r>
        <w:rPr>
          <w:vertAlign w:val="baseline"/>
        </w:rPr>
        <w:t>lifecycle</w:t>
      </w:r>
      <w:r>
        <w:rPr>
          <w:spacing w:val="-1"/>
          <w:vertAlign w:val="baseline"/>
        </w:rPr>
        <w:t> </w:t>
      </w:r>
      <w:r>
        <w:rPr>
          <w:vertAlign w:val="baseline"/>
        </w:rPr>
        <w:t>when</w:t>
      </w:r>
      <w:r>
        <w:rPr>
          <w:spacing w:val="-1"/>
          <w:vertAlign w:val="baseline"/>
        </w:rPr>
        <w:t> </w:t>
      </w:r>
      <w:r>
        <w:rPr>
          <w:vertAlign w:val="baseline"/>
        </w:rPr>
        <w:t>ESG</w:t>
      </w:r>
      <w:r>
        <w:rPr>
          <w:spacing w:val="-1"/>
          <w:vertAlign w:val="baseline"/>
        </w:rPr>
        <w:t> </w:t>
      </w:r>
      <w:r>
        <w:rPr>
          <w:vertAlign w:val="baseline"/>
        </w:rPr>
        <w:t>risks</w:t>
      </w:r>
      <w:r>
        <w:rPr>
          <w:spacing w:val="-1"/>
          <w:vertAlign w:val="baseline"/>
        </w:rPr>
        <w:t> </w:t>
      </w:r>
      <w:r>
        <w:rPr>
          <w:vertAlign w:val="baseline"/>
        </w:rPr>
        <w:t>typically</w:t>
      </w:r>
      <w:r>
        <w:rPr>
          <w:spacing w:val="-1"/>
          <w:vertAlign w:val="baseline"/>
        </w:rPr>
        <w:t> </w:t>
      </w:r>
      <w:r>
        <w:rPr>
          <w:vertAlign w:val="baseline"/>
        </w:rPr>
        <w:t>materialize,</w:t>
      </w:r>
      <w:r>
        <w:rPr>
          <w:spacing w:val="-1"/>
          <w:vertAlign w:val="baseline"/>
        </w:rPr>
        <w:t> </w:t>
      </w:r>
      <w:r>
        <w:rPr>
          <w:vertAlign w:val="baseline"/>
        </w:rPr>
        <w:t>(b)</w:t>
      </w:r>
      <w:r>
        <w:rPr>
          <w:spacing w:val="-1"/>
          <w:vertAlign w:val="baseline"/>
        </w:rPr>
        <w:t> </w:t>
      </w:r>
      <w:r>
        <w:rPr>
          <w:vertAlign w:val="baseline"/>
        </w:rPr>
        <w:t>actual</w:t>
      </w:r>
      <w:r>
        <w:rPr>
          <w:spacing w:val="-1"/>
          <w:vertAlign w:val="baseline"/>
        </w:rPr>
        <w:t> </w:t>
      </w:r>
      <w:r>
        <w:rPr>
          <w:vertAlign w:val="baseline"/>
        </w:rPr>
        <w:t>improvements</w:t>
      </w:r>
      <w:r>
        <w:rPr>
          <w:spacing w:val="-1"/>
          <w:vertAlign w:val="baseline"/>
        </w:rPr>
        <w:t> </w:t>
      </w:r>
      <w:r>
        <w:rPr>
          <w:vertAlign w:val="baseline"/>
        </w:rPr>
        <w:t>in the ESG risk proﬁle of China’s overseas infrastructure project portfolio, or (c) some combination of these factors.</w:t>
      </w:r>
      <w:r>
        <w:rPr>
          <w:vertAlign w:val="superscript"/>
        </w:rPr>
        <w:t>257</w:t>
      </w:r>
    </w:p>
    <w:p>
      <w:pPr>
        <w:pStyle w:val="BodyText"/>
        <w:rPr>
          <w:sz w:val="20"/>
        </w:rPr>
      </w:pPr>
    </w:p>
    <w:p>
      <w:pPr>
        <w:pStyle w:val="BodyText"/>
        <w:spacing w:before="10"/>
        <w:rPr>
          <w:sz w:val="18"/>
        </w:rPr>
      </w:pPr>
      <w:r>
        <w:rPr/>
        <w:pict>
          <v:shape style="position:absolute;margin-left:84pt;margin-top:12.070332pt;width:444pt;height:38pt;mso-position-horizontal-relative:page;mso-position-vertical-relative:paragraph;z-index:-15719424;mso-wrap-distance-left:0;mso-wrap-distance-right:0" type="#_x0000_t202" id="docshape17"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3.3</w:t>
                  </w:r>
                </w:p>
              </w:txbxContent>
            </v:textbox>
            <v:fill type="solid"/>
            <w10:wrap type="topAndBottom"/>
          </v:shape>
        </w:pict>
      </w:r>
      <w:r>
        <w:rPr/>
        <w:drawing>
          <wp:anchor distT="0" distB="0" distL="0" distR="0" allowOverlap="1" layoutInCell="1" locked="0" behindDoc="0" simplePos="0" relativeHeight="19">
            <wp:simplePos x="0" y="0"/>
            <wp:positionH relativeFrom="page">
              <wp:posOffset>1331213</wp:posOffset>
            </wp:positionH>
            <wp:positionV relativeFrom="paragraph">
              <wp:posOffset>827793</wp:posOffset>
            </wp:positionV>
            <wp:extent cx="5145811" cy="306781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145811" cy="3067812"/>
                    </a:xfrm>
                    <a:prstGeom prst="rect">
                      <a:avLst/>
                    </a:prstGeom>
                  </pic:spPr>
                </pic:pic>
              </a:graphicData>
            </a:graphic>
          </wp:anchor>
        </w:drawing>
      </w:r>
    </w:p>
    <w:p>
      <w:pPr>
        <w:pStyle w:val="BodyText"/>
        <w:spacing w:before="2"/>
      </w:pPr>
    </w:p>
    <w:p>
      <w:pPr>
        <w:pStyle w:val="BodyText"/>
        <w:spacing w:before="3"/>
        <w:rPr>
          <w:sz w:val="27"/>
        </w:rPr>
      </w:pPr>
    </w:p>
    <w:p>
      <w:pPr>
        <w:spacing w:line="333" w:lineRule="auto" w:before="72"/>
        <w:ind w:left="560" w:right="680" w:firstLine="0"/>
        <w:jc w:val="left"/>
        <w:rPr>
          <w:i/>
          <w:sz w:val="18"/>
        </w:rPr>
      </w:pPr>
      <w:r>
        <w:rPr>
          <w:i/>
          <w:sz w:val="18"/>
        </w:rPr>
        <w:t>Notes:</w:t>
      </w:r>
      <w:r>
        <w:rPr>
          <w:i/>
          <w:spacing w:val="-1"/>
          <w:sz w:val="18"/>
        </w:rPr>
        <w:t> </w:t>
      </w:r>
      <w:r>
        <w:rPr>
          <w:i/>
          <w:sz w:val="18"/>
        </w:rPr>
        <w:t>Projects</w:t>
      </w:r>
      <w:r>
        <w:rPr>
          <w:i/>
          <w:spacing w:val="-1"/>
          <w:sz w:val="18"/>
        </w:rPr>
        <w:t> </w:t>
      </w:r>
      <w:r>
        <w:rPr>
          <w:i/>
          <w:sz w:val="18"/>
        </w:rPr>
        <w:t>are</w:t>
      </w:r>
      <w:r>
        <w:rPr>
          <w:i/>
          <w:spacing w:val="-1"/>
          <w:sz w:val="18"/>
        </w:rPr>
        <w:t> </w:t>
      </w:r>
      <w:r>
        <w:rPr>
          <w:i/>
          <w:sz w:val="18"/>
        </w:rPr>
        <w:t>recorded</w:t>
      </w:r>
      <w:r>
        <w:rPr>
          <w:i/>
          <w:spacing w:val="-1"/>
          <w:sz w:val="18"/>
        </w:rPr>
        <w:t> </w:t>
      </w:r>
      <w:r>
        <w:rPr>
          <w:i/>
          <w:sz w:val="18"/>
        </w:rPr>
        <w:t>in</w:t>
      </w:r>
      <w:r>
        <w:rPr>
          <w:i/>
          <w:spacing w:val="-1"/>
          <w:sz w:val="18"/>
        </w:rPr>
        <w:t> </w:t>
      </w:r>
      <w:r>
        <w:rPr>
          <w:i/>
          <w:sz w:val="18"/>
        </w:rPr>
        <w:t>the</w:t>
      </w:r>
      <w:r>
        <w:rPr>
          <w:i/>
          <w:spacing w:val="-1"/>
          <w:sz w:val="18"/>
        </w:rPr>
        <w:t> </w:t>
      </w:r>
      <w:r>
        <w:rPr>
          <w:i/>
          <w:sz w:val="18"/>
        </w:rPr>
        <w:t>years</w:t>
      </w:r>
      <w:r>
        <w:rPr>
          <w:i/>
          <w:spacing w:val="-1"/>
          <w:sz w:val="18"/>
        </w:rPr>
        <w:t> </w:t>
      </w:r>
      <w:r>
        <w:rPr>
          <w:i/>
          <w:sz w:val="18"/>
        </w:rPr>
        <w:t>when</w:t>
      </w:r>
      <w:r>
        <w:rPr>
          <w:i/>
          <w:spacing w:val="-1"/>
          <w:sz w:val="18"/>
        </w:rPr>
        <w:t> </w:t>
      </w:r>
      <w:r>
        <w:rPr>
          <w:i/>
          <w:sz w:val="18"/>
        </w:rPr>
        <w:t>they</w:t>
      </w:r>
      <w:r>
        <w:rPr>
          <w:i/>
          <w:spacing w:val="-1"/>
          <w:sz w:val="18"/>
        </w:rPr>
        <w:t> </w:t>
      </w:r>
      <w:r>
        <w:rPr>
          <w:i/>
          <w:sz w:val="18"/>
        </w:rPr>
        <w:t>secured</w:t>
      </w:r>
      <w:r>
        <w:rPr>
          <w:i/>
          <w:spacing w:val="-1"/>
          <w:sz w:val="18"/>
        </w:rPr>
        <w:t> </w:t>
      </w:r>
      <w:r>
        <w:rPr>
          <w:i/>
          <w:sz w:val="18"/>
        </w:rPr>
        <w:t>ﬁnancial</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although</w:t>
      </w:r>
      <w:r>
        <w:rPr>
          <w:i/>
          <w:sz w:val="18"/>
        </w:rPr>
        <w:t> the ESG risks that they encountered may have materialized after the ﬁnancial commitment year. The presence</w:t>
      </w:r>
      <w:r>
        <w:rPr>
          <w:i/>
          <w:spacing w:val="-1"/>
          <w:sz w:val="18"/>
        </w:rPr>
        <w:t> </w:t>
      </w:r>
      <w:r>
        <w:rPr>
          <w:i/>
          <w:sz w:val="18"/>
        </w:rPr>
        <w:t>of</w:t>
      </w:r>
      <w:r>
        <w:rPr>
          <w:i/>
          <w:spacing w:val="-1"/>
          <w:sz w:val="18"/>
        </w:rPr>
        <w:t> </w:t>
      </w:r>
      <w:r>
        <w:rPr>
          <w:i/>
          <w:sz w:val="18"/>
        </w:rPr>
        <w:t>signiﬁcant</w:t>
      </w:r>
      <w:r>
        <w:rPr>
          <w:i/>
          <w:spacing w:val="-1"/>
          <w:sz w:val="18"/>
        </w:rPr>
        <w:t> </w:t>
      </w:r>
      <w:r>
        <w:rPr>
          <w:i/>
          <w:sz w:val="18"/>
        </w:rPr>
        <w:t>environmental</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 described in Section 2 of Chapter 3.</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8"/>
        </w:rPr>
      </w:pPr>
      <w:r>
        <w:rPr/>
        <w:pict>
          <v:shape style="position:absolute;margin-left:90pt;margin-top:17.549515pt;width:144pt;height:.1pt;mso-position-horizontal-relative:page;mso-position-vertical-relative:paragraph;z-index:-15718400;mso-wrap-distance-left:0;mso-wrap-distance-right:0" id="docshape18" coordorigin="1800,351" coordsize="2880,0" path="m1800,351l4680,351e" filled="false" stroked="true" strokeweight=".75pt" strokecolor="#000000">
            <v:path arrowok="t"/>
            <v:stroke dashstyle="solid"/>
            <w10:wrap type="topAndBottom"/>
          </v:shape>
        </w:pict>
      </w:r>
    </w:p>
    <w:p>
      <w:pPr>
        <w:spacing w:line="249" w:lineRule="auto" w:before="113"/>
        <w:ind w:left="560" w:right="561" w:firstLine="0"/>
        <w:jc w:val="left"/>
        <w:rPr>
          <w:sz w:val="18"/>
        </w:rPr>
      </w:pPr>
      <w:r>
        <w:rPr>
          <w:sz w:val="18"/>
          <w:vertAlign w:val="superscript"/>
        </w:rPr>
        <w:t>256</w:t>
      </w:r>
      <w:r>
        <w:rPr>
          <w:sz w:val="18"/>
          <w:vertAlign w:val="baseline"/>
        </w:rPr>
        <w:t> During the late BRI period, the total number of Chinese grant- and loan-ﬁnanced infrastructure </w:t>
      </w:r>
      <w:r>
        <w:rPr>
          <w:sz w:val="18"/>
          <w:vertAlign w:val="baseline"/>
        </w:rPr>
        <w:t>projects with signiﬁcant environmental risk exposure, social risk exposure, and governance risk exposure also apparently declined (see Figures 3.3, 3.4, and 3.5).</w:t>
      </w:r>
    </w:p>
    <w:p>
      <w:pPr>
        <w:spacing w:line="249" w:lineRule="auto" w:before="2"/>
        <w:ind w:left="560" w:right="550" w:firstLine="0"/>
        <w:jc w:val="left"/>
        <w:rPr>
          <w:sz w:val="18"/>
        </w:rPr>
      </w:pPr>
      <w:r>
        <w:rPr>
          <w:sz w:val="18"/>
          <w:vertAlign w:val="superscript"/>
        </w:rPr>
        <w:t>257</w:t>
      </w:r>
      <w:r>
        <w:rPr>
          <w:spacing w:val="-4"/>
          <w:sz w:val="18"/>
          <w:vertAlign w:val="baseline"/>
        </w:rPr>
        <w:t> </w:t>
      </w:r>
      <w:r>
        <w:rPr>
          <w:sz w:val="18"/>
          <w:vertAlign w:val="baseline"/>
        </w:rPr>
        <w:t>Given</w:t>
      </w:r>
      <w:r>
        <w:rPr>
          <w:spacing w:val="-3"/>
          <w:sz w:val="18"/>
          <w:vertAlign w:val="baseline"/>
        </w:rPr>
        <w:t> </w:t>
      </w:r>
      <w:r>
        <w:rPr>
          <w:sz w:val="18"/>
          <w:vertAlign w:val="baseline"/>
        </w:rPr>
        <w:t>that</w:t>
      </w:r>
      <w:r>
        <w:rPr>
          <w:spacing w:val="-3"/>
          <w:sz w:val="18"/>
          <w:vertAlign w:val="baseline"/>
        </w:rPr>
        <w:t> </w:t>
      </w:r>
      <w:r>
        <w:rPr>
          <w:sz w:val="18"/>
          <w:vertAlign w:val="baseline"/>
        </w:rPr>
        <w:t>the</w:t>
      </w:r>
      <w:r>
        <w:rPr>
          <w:spacing w:val="-3"/>
          <w:sz w:val="18"/>
          <w:vertAlign w:val="baseline"/>
        </w:rPr>
        <w:t> </w:t>
      </w:r>
      <w:r>
        <w:rPr>
          <w:sz w:val="18"/>
          <w:vertAlign w:val="baseline"/>
        </w:rPr>
        <w:t>probability</w:t>
      </w:r>
      <w:r>
        <w:rPr>
          <w:spacing w:val="-3"/>
          <w:sz w:val="18"/>
          <w:vertAlign w:val="baseline"/>
        </w:rPr>
        <w:t> </w:t>
      </w:r>
      <w:r>
        <w:rPr>
          <w:sz w:val="18"/>
          <w:vertAlign w:val="baseline"/>
        </w:rPr>
        <w:t>of</w:t>
      </w:r>
      <w:r>
        <w:rPr>
          <w:spacing w:val="-3"/>
          <w:sz w:val="18"/>
          <w:vertAlign w:val="baseline"/>
        </w:rPr>
        <w:t> </w:t>
      </w:r>
      <w:r>
        <w:rPr>
          <w:sz w:val="18"/>
          <w:vertAlign w:val="baseline"/>
        </w:rPr>
        <w:t>ESG</w:t>
      </w:r>
      <w:r>
        <w:rPr>
          <w:spacing w:val="-3"/>
          <w:sz w:val="18"/>
          <w:vertAlign w:val="baseline"/>
        </w:rPr>
        <w:t> </w:t>
      </w:r>
      <w:r>
        <w:rPr>
          <w:sz w:val="18"/>
          <w:vertAlign w:val="baseline"/>
        </w:rPr>
        <w:t>risk</w:t>
      </w:r>
      <w:r>
        <w:rPr>
          <w:spacing w:val="-3"/>
          <w:sz w:val="18"/>
          <w:vertAlign w:val="baseline"/>
        </w:rPr>
        <w:t> </w:t>
      </w:r>
      <w:r>
        <w:rPr>
          <w:sz w:val="18"/>
          <w:vertAlign w:val="baseline"/>
        </w:rPr>
        <w:t>detection</w:t>
      </w:r>
      <w:r>
        <w:rPr>
          <w:spacing w:val="-3"/>
          <w:sz w:val="18"/>
          <w:vertAlign w:val="baseline"/>
        </w:rPr>
        <w:t> </w:t>
      </w:r>
      <w:r>
        <w:rPr>
          <w:sz w:val="18"/>
          <w:vertAlign w:val="baseline"/>
        </w:rPr>
        <w:t>increases</w:t>
      </w:r>
      <w:r>
        <w:rPr>
          <w:spacing w:val="-3"/>
          <w:sz w:val="18"/>
          <w:vertAlign w:val="baseline"/>
        </w:rPr>
        <w:t> </w:t>
      </w:r>
      <w:r>
        <w:rPr>
          <w:sz w:val="18"/>
          <w:vertAlign w:val="baseline"/>
        </w:rPr>
        <w:t>as</w:t>
      </w:r>
      <w:r>
        <w:rPr>
          <w:spacing w:val="-3"/>
          <w:sz w:val="18"/>
          <w:vertAlign w:val="baseline"/>
        </w:rPr>
        <w:t> </w:t>
      </w:r>
      <w:r>
        <w:rPr>
          <w:sz w:val="18"/>
          <w:vertAlign w:val="baseline"/>
        </w:rPr>
        <w:t>an</w:t>
      </w:r>
      <w:r>
        <w:rPr>
          <w:spacing w:val="-3"/>
          <w:sz w:val="18"/>
          <w:vertAlign w:val="baseline"/>
        </w:rPr>
        <w:t> </w:t>
      </w:r>
      <w:r>
        <w:rPr>
          <w:sz w:val="18"/>
          <w:vertAlign w:val="baseline"/>
        </w:rPr>
        <w:t>infrastructure</w:t>
      </w:r>
      <w:r>
        <w:rPr>
          <w:spacing w:val="-3"/>
          <w:sz w:val="18"/>
          <w:vertAlign w:val="baseline"/>
        </w:rPr>
        <w:t> </w:t>
      </w:r>
      <w:r>
        <w:rPr>
          <w:sz w:val="18"/>
          <w:vertAlign w:val="baseline"/>
        </w:rPr>
        <w:t>project</w:t>
      </w:r>
      <w:r>
        <w:rPr>
          <w:spacing w:val="-3"/>
          <w:sz w:val="18"/>
          <w:vertAlign w:val="baseline"/>
        </w:rPr>
        <w:t> </w:t>
      </w:r>
      <w:r>
        <w:rPr>
          <w:sz w:val="18"/>
          <w:vertAlign w:val="baseline"/>
        </w:rPr>
        <w:t>progresses</w:t>
      </w:r>
      <w:r>
        <w:rPr>
          <w:spacing w:val="-3"/>
          <w:sz w:val="18"/>
          <w:vertAlign w:val="baseline"/>
        </w:rPr>
        <w:t> </w:t>
      </w:r>
      <w:r>
        <w:rPr>
          <w:sz w:val="18"/>
          <w:vertAlign w:val="baseline"/>
        </w:rPr>
        <w:t>from</w:t>
      </w:r>
      <w:r>
        <w:rPr>
          <w:spacing w:val="-3"/>
          <w:sz w:val="18"/>
          <w:vertAlign w:val="baseline"/>
        </w:rPr>
        <w:t> </w:t>
      </w:r>
      <w:r>
        <w:rPr>
          <w:sz w:val="18"/>
          <w:vertAlign w:val="baseline"/>
        </w:rPr>
        <w:t>the ﬁnancial</w:t>
      </w:r>
      <w:r>
        <w:rPr>
          <w:spacing w:val="25"/>
          <w:sz w:val="18"/>
          <w:vertAlign w:val="baseline"/>
        </w:rPr>
        <w:t> </w:t>
      </w:r>
      <w:r>
        <w:rPr>
          <w:sz w:val="18"/>
          <w:vertAlign w:val="baseline"/>
        </w:rPr>
        <w:t>commitment</w:t>
      </w:r>
      <w:r>
        <w:rPr>
          <w:spacing w:val="25"/>
          <w:sz w:val="18"/>
          <w:vertAlign w:val="baseline"/>
        </w:rPr>
        <w:t> </w:t>
      </w:r>
      <w:r>
        <w:rPr>
          <w:sz w:val="18"/>
          <w:vertAlign w:val="baseline"/>
        </w:rPr>
        <w:t>phase</w:t>
      </w:r>
      <w:r>
        <w:rPr>
          <w:spacing w:val="25"/>
          <w:sz w:val="18"/>
          <w:vertAlign w:val="baseline"/>
        </w:rPr>
        <w:t> </w:t>
      </w:r>
      <w:r>
        <w:rPr>
          <w:sz w:val="18"/>
          <w:vertAlign w:val="baseline"/>
        </w:rPr>
        <w:t>to</w:t>
      </w:r>
      <w:r>
        <w:rPr>
          <w:spacing w:val="25"/>
          <w:sz w:val="18"/>
          <w:vertAlign w:val="baseline"/>
        </w:rPr>
        <w:t> </w:t>
      </w:r>
      <w:r>
        <w:rPr>
          <w:sz w:val="18"/>
          <w:vertAlign w:val="baseline"/>
        </w:rPr>
        <w:t>the</w:t>
      </w:r>
      <w:r>
        <w:rPr>
          <w:spacing w:val="25"/>
          <w:sz w:val="18"/>
          <w:vertAlign w:val="baseline"/>
        </w:rPr>
        <w:t> </w:t>
      </w:r>
      <w:r>
        <w:rPr>
          <w:sz w:val="18"/>
          <w:vertAlign w:val="baseline"/>
        </w:rPr>
        <w:t>implementation</w:t>
      </w:r>
      <w:r>
        <w:rPr>
          <w:spacing w:val="25"/>
          <w:sz w:val="18"/>
          <w:vertAlign w:val="baseline"/>
        </w:rPr>
        <w:t> </w:t>
      </w:r>
      <w:r>
        <w:rPr>
          <w:sz w:val="18"/>
          <w:vertAlign w:val="baseline"/>
        </w:rPr>
        <w:t>phase</w:t>
      </w:r>
      <w:r>
        <w:rPr>
          <w:spacing w:val="25"/>
          <w:sz w:val="18"/>
          <w:vertAlign w:val="baseline"/>
        </w:rPr>
        <w:t> </w:t>
      </w:r>
      <w:r>
        <w:rPr>
          <w:sz w:val="18"/>
          <w:vertAlign w:val="baseline"/>
        </w:rPr>
        <w:t>and</w:t>
      </w:r>
      <w:r>
        <w:rPr>
          <w:spacing w:val="25"/>
          <w:sz w:val="18"/>
          <w:vertAlign w:val="baseline"/>
        </w:rPr>
        <w:t> </w:t>
      </w:r>
      <w:r>
        <w:rPr>
          <w:sz w:val="18"/>
          <w:vertAlign w:val="baseline"/>
        </w:rPr>
        <w:t>the</w:t>
      </w:r>
      <w:r>
        <w:rPr>
          <w:spacing w:val="25"/>
          <w:sz w:val="18"/>
          <w:vertAlign w:val="baseline"/>
        </w:rPr>
        <w:t> </w:t>
      </w:r>
      <w:r>
        <w:rPr>
          <w:sz w:val="18"/>
          <w:vertAlign w:val="baseline"/>
        </w:rPr>
        <w:t>completion</w:t>
      </w:r>
      <w:r>
        <w:rPr>
          <w:spacing w:val="25"/>
          <w:sz w:val="18"/>
          <w:vertAlign w:val="baseline"/>
        </w:rPr>
        <w:t> </w:t>
      </w:r>
      <w:r>
        <w:rPr>
          <w:sz w:val="18"/>
          <w:vertAlign w:val="baseline"/>
        </w:rPr>
        <w:t>phase,</w:t>
      </w:r>
      <w:r>
        <w:rPr>
          <w:spacing w:val="25"/>
          <w:sz w:val="18"/>
          <w:vertAlign w:val="baseline"/>
        </w:rPr>
        <w:t> </w:t>
      </w:r>
      <w:r>
        <w:rPr>
          <w:sz w:val="18"/>
          <w:vertAlign w:val="baseline"/>
        </w:rPr>
        <w:t>still</w:t>
      </w:r>
      <w:r>
        <w:rPr>
          <w:spacing w:val="25"/>
          <w:sz w:val="18"/>
          <w:vertAlign w:val="baseline"/>
        </w:rPr>
        <w:t> </w:t>
      </w:r>
      <w:r>
        <w:rPr>
          <w:sz w:val="18"/>
          <w:vertAlign w:val="baseline"/>
        </w:rPr>
        <w:t>another possibility is that the apparent declines in ESG risk prevalence during the late BRI period reﬂect measurement imprecision.</w:t>
      </w:r>
    </w:p>
    <w:p>
      <w:pPr>
        <w:spacing w:after="0" w:line="249" w:lineRule="auto"/>
        <w:jc w:val="left"/>
        <w:rPr>
          <w:sz w:val="18"/>
        </w:rPr>
        <w:sectPr>
          <w:pgSz w:w="12240" w:h="15840"/>
          <w:pgMar w:header="0" w:footer="720" w:top="1360" w:bottom="920" w:left="1240" w:right="1260"/>
        </w:sectPr>
      </w:pPr>
    </w:p>
    <w:p>
      <w:pPr>
        <w:pStyle w:val="BodyText"/>
        <w:ind w:left="440"/>
        <w:rPr>
          <w:sz w:val="20"/>
        </w:rPr>
      </w:pPr>
      <w:r>
        <w:rPr>
          <w:sz w:val="20"/>
        </w:rPr>
        <w:pict>
          <v:shape style="width:444pt;height:38pt;mso-position-horizontal-relative:char;mso-position-vertical-relative:line" type="#_x0000_t202" id="docshape19"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3.4</w:t>
                  </w:r>
                </w:p>
              </w:txbxContent>
            </v:textbox>
            <v:fill type="solid"/>
          </v:shape>
        </w:pict>
      </w:r>
      <w:r>
        <w:rPr>
          <w:sz w:val="20"/>
        </w:rPr>
      </w:r>
    </w:p>
    <w:p>
      <w:pPr>
        <w:pStyle w:val="BodyText"/>
        <w:spacing w:before="11"/>
        <w:rPr>
          <w:sz w:val="26"/>
        </w:rPr>
      </w:pPr>
      <w:r>
        <w:rPr/>
        <w:drawing>
          <wp:anchor distT="0" distB="0" distL="0" distR="0" allowOverlap="1" layoutInCell="1" locked="0" behindDoc="0" simplePos="0" relativeHeight="22">
            <wp:simplePos x="0" y="0"/>
            <wp:positionH relativeFrom="page">
              <wp:posOffset>1331213</wp:posOffset>
            </wp:positionH>
            <wp:positionV relativeFrom="paragraph">
              <wp:posOffset>212307</wp:posOffset>
            </wp:positionV>
            <wp:extent cx="5145811" cy="3040379"/>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145811" cy="3040379"/>
                    </a:xfrm>
                    <a:prstGeom prst="rect">
                      <a:avLst/>
                    </a:prstGeom>
                  </pic:spPr>
                </pic:pic>
              </a:graphicData>
            </a:graphic>
          </wp:anchor>
        </w:drawing>
      </w:r>
    </w:p>
    <w:p>
      <w:pPr>
        <w:pStyle w:val="BodyText"/>
        <w:spacing w:before="7"/>
        <w:rPr>
          <w:sz w:val="26"/>
        </w:rPr>
      </w:pPr>
    </w:p>
    <w:p>
      <w:pPr>
        <w:spacing w:line="333" w:lineRule="auto" w:before="72"/>
        <w:ind w:left="560" w:right="589" w:firstLine="0"/>
        <w:jc w:val="left"/>
        <w:rPr>
          <w:i/>
          <w:sz w:val="18"/>
        </w:rPr>
      </w:pPr>
      <w:r>
        <w:rPr>
          <w:i/>
          <w:sz w:val="18"/>
        </w:rPr>
        <w:t>Notes: Projects are recorded in the years when they secured ﬁnancial commitments from China, although</w:t>
      </w:r>
      <w:r>
        <w:rPr>
          <w:i/>
          <w:sz w:val="18"/>
        </w:rPr>
        <w:t> the ESG risks that they encountered may have materialized after the ﬁnancial commitment year. The presence</w:t>
      </w:r>
      <w:r>
        <w:rPr>
          <w:i/>
          <w:spacing w:val="-2"/>
          <w:sz w:val="18"/>
        </w:rPr>
        <w:t> </w:t>
      </w:r>
      <w:r>
        <w:rPr>
          <w:i/>
          <w:sz w:val="18"/>
        </w:rPr>
        <w:t>of</w:t>
      </w:r>
      <w:r>
        <w:rPr>
          <w:i/>
          <w:spacing w:val="-2"/>
          <w:sz w:val="18"/>
        </w:rPr>
        <w:t> </w:t>
      </w:r>
      <w:r>
        <w:rPr>
          <w:i/>
          <w:sz w:val="18"/>
        </w:rPr>
        <w:t>signiﬁcant</w:t>
      </w:r>
      <w:r>
        <w:rPr>
          <w:i/>
          <w:spacing w:val="-2"/>
          <w:sz w:val="18"/>
        </w:rPr>
        <w:t> </w:t>
      </w:r>
      <w:r>
        <w:rPr>
          <w:i/>
          <w:sz w:val="18"/>
        </w:rPr>
        <w:t>social</w:t>
      </w:r>
      <w:r>
        <w:rPr>
          <w:i/>
          <w:spacing w:val="-2"/>
          <w:sz w:val="18"/>
        </w:rPr>
        <w:t> </w:t>
      </w:r>
      <w:r>
        <w:rPr>
          <w:i/>
          <w:sz w:val="18"/>
        </w:rPr>
        <w:t>risk</w:t>
      </w:r>
      <w:r>
        <w:rPr>
          <w:i/>
          <w:spacing w:val="-2"/>
          <w:sz w:val="18"/>
        </w:rPr>
        <w:t> </w:t>
      </w:r>
      <w:r>
        <w:rPr>
          <w:i/>
          <w:sz w:val="18"/>
        </w:rPr>
        <w:t>exposure</w:t>
      </w:r>
      <w:r>
        <w:rPr>
          <w:i/>
          <w:spacing w:val="-2"/>
          <w:sz w:val="18"/>
        </w:rPr>
        <w:t> </w:t>
      </w:r>
      <w:r>
        <w:rPr>
          <w:i/>
          <w:sz w:val="18"/>
        </w:rPr>
        <w:t>is</w:t>
      </w:r>
      <w:r>
        <w:rPr>
          <w:i/>
          <w:spacing w:val="-2"/>
          <w:sz w:val="18"/>
        </w:rPr>
        <w:t> </w:t>
      </w:r>
      <w:r>
        <w:rPr>
          <w:i/>
          <w:sz w:val="18"/>
        </w:rPr>
        <w:t>based</w:t>
      </w:r>
      <w:r>
        <w:rPr>
          <w:i/>
          <w:spacing w:val="-2"/>
          <w:sz w:val="18"/>
        </w:rPr>
        <w:t> </w:t>
      </w:r>
      <w:r>
        <w:rPr>
          <w:i/>
          <w:sz w:val="18"/>
        </w:rPr>
        <w:t>on</w:t>
      </w:r>
      <w:r>
        <w:rPr>
          <w:i/>
          <w:spacing w:val="-2"/>
          <w:sz w:val="18"/>
        </w:rPr>
        <w:t> </w:t>
      </w:r>
      <w:r>
        <w:rPr>
          <w:i/>
          <w:sz w:val="18"/>
        </w:rPr>
        <w:t>a</w:t>
      </w:r>
      <w:r>
        <w:rPr>
          <w:i/>
          <w:spacing w:val="-2"/>
          <w:sz w:val="18"/>
        </w:rPr>
        <w:t> </w:t>
      </w:r>
      <w:r>
        <w:rPr>
          <w:i/>
          <w:sz w:val="18"/>
        </w:rPr>
        <w:t>project-level</w:t>
      </w:r>
      <w:r>
        <w:rPr>
          <w:i/>
          <w:spacing w:val="-2"/>
          <w:sz w:val="18"/>
        </w:rPr>
        <w:t> </w:t>
      </w:r>
      <w:r>
        <w:rPr>
          <w:i/>
          <w:sz w:val="18"/>
        </w:rPr>
        <w:t>composite</w:t>
      </w:r>
      <w:r>
        <w:rPr>
          <w:i/>
          <w:spacing w:val="-2"/>
          <w:sz w:val="18"/>
        </w:rPr>
        <w:t> </w:t>
      </w:r>
      <w:r>
        <w:rPr>
          <w:i/>
          <w:sz w:val="18"/>
        </w:rPr>
        <w:t>measure</w:t>
      </w:r>
      <w:r>
        <w:rPr>
          <w:i/>
          <w:spacing w:val="-2"/>
          <w:sz w:val="18"/>
        </w:rPr>
        <w:t> </w:t>
      </w:r>
      <w:r>
        <w:rPr>
          <w:i/>
          <w:sz w:val="18"/>
        </w:rPr>
        <w:t>that</w:t>
      </w:r>
      <w:r>
        <w:rPr>
          <w:i/>
          <w:spacing w:val="-2"/>
          <w:sz w:val="18"/>
        </w:rPr>
        <w:t> </w:t>
      </w:r>
      <w:r>
        <w:rPr>
          <w:i/>
          <w:sz w:val="18"/>
        </w:rPr>
        <w:t>is</w:t>
      </w:r>
      <w:r>
        <w:rPr>
          <w:i/>
          <w:spacing w:val="-2"/>
          <w:sz w:val="18"/>
        </w:rPr>
        <w:t> </w:t>
      </w:r>
      <w:r>
        <w:rPr>
          <w:i/>
          <w:sz w:val="18"/>
        </w:rPr>
        <w:t>described in Section 2 of Chapter 3.</w:t>
      </w:r>
    </w:p>
    <w:p>
      <w:pPr>
        <w:spacing w:after="0" w:line="333" w:lineRule="auto"/>
        <w:jc w:val="left"/>
        <w:rPr>
          <w:sz w:val="18"/>
        </w:rPr>
        <w:sectPr>
          <w:pgSz w:w="12240" w:h="15840"/>
          <w:pgMar w:header="0" w:footer="720" w:top="1580" w:bottom="920" w:left="1240" w:right="1260"/>
        </w:sectPr>
      </w:pPr>
    </w:p>
    <w:p>
      <w:pPr>
        <w:pStyle w:val="BodyText"/>
        <w:ind w:left="440"/>
        <w:rPr>
          <w:sz w:val="20"/>
        </w:rPr>
      </w:pPr>
      <w:r>
        <w:rPr>
          <w:sz w:val="20"/>
        </w:rPr>
        <w:pict>
          <v:shape style="width:444pt;height:38pt;mso-position-horizontal-relative:char;mso-position-vertical-relative:line" type="#_x0000_t202" id="docshape2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3.5</w:t>
                  </w:r>
                </w:p>
              </w:txbxContent>
            </v:textbox>
            <v:fill type="solid"/>
          </v:shape>
        </w:pict>
      </w:r>
      <w:r>
        <w:rPr>
          <w:sz w:val="20"/>
        </w:rPr>
      </w:r>
    </w:p>
    <w:p>
      <w:pPr>
        <w:pStyle w:val="BodyText"/>
        <w:spacing w:before="11"/>
        <w:rPr>
          <w:i/>
          <w:sz w:val="26"/>
        </w:rPr>
      </w:pPr>
      <w:r>
        <w:rPr/>
        <w:drawing>
          <wp:anchor distT="0" distB="0" distL="0" distR="0" allowOverlap="1" layoutInCell="1" locked="0" behindDoc="0" simplePos="0" relativeHeight="24">
            <wp:simplePos x="0" y="0"/>
            <wp:positionH relativeFrom="page">
              <wp:posOffset>1331213</wp:posOffset>
            </wp:positionH>
            <wp:positionV relativeFrom="paragraph">
              <wp:posOffset>212307</wp:posOffset>
            </wp:positionV>
            <wp:extent cx="5145811" cy="304037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145811" cy="3040379"/>
                    </a:xfrm>
                    <a:prstGeom prst="rect">
                      <a:avLst/>
                    </a:prstGeom>
                  </pic:spPr>
                </pic:pic>
              </a:graphicData>
            </a:graphic>
          </wp:anchor>
        </w:drawing>
      </w:r>
    </w:p>
    <w:p>
      <w:pPr>
        <w:pStyle w:val="BodyText"/>
        <w:spacing w:before="7"/>
        <w:rPr>
          <w:i/>
          <w:sz w:val="26"/>
        </w:rPr>
      </w:pPr>
    </w:p>
    <w:p>
      <w:pPr>
        <w:spacing w:line="333" w:lineRule="auto" w:before="72"/>
        <w:ind w:left="560" w:right="680" w:firstLine="0"/>
        <w:jc w:val="left"/>
        <w:rPr>
          <w:i/>
          <w:sz w:val="18"/>
        </w:rPr>
      </w:pPr>
      <w:r>
        <w:rPr>
          <w:i/>
          <w:sz w:val="18"/>
        </w:rPr>
        <w:t>Notes:</w:t>
      </w:r>
      <w:r>
        <w:rPr>
          <w:i/>
          <w:spacing w:val="-1"/>
          <w:sz w:val="18"/>
        </w:rPr>
        <w:t> </w:t>
      </w:r>
      <w:r>
        <w:rPr>
          <w:i/>
          <w:sz w:val="18"/>
        </w:rPr>
        <w:t>Projects</w:t>
      </w:r>
      <w:r>
        <w:rPr>
          <w:i/>
          <w:spacing w:val="-1"/>
          <w:sz w:val="18"/>
        </w:rPr>
        <w:t> </w:t>
      </w:r>
      <w:r>
        <w:rPr>
          <w:i/>
          <w:sz w:val="18"/>
        </w:rPr>
        <w:t>are</w:t>
      </w:r>
      <w:r>
        <w:rPr>
          <w:i/>
          <w:spacing w:val="-1"/>
          <w:sz w:val="18"/>
        </w:rPr>
        <w:t> </w:t>
      </w:r>
      <w:r>
        <w:rPr>
          <w:i/>
          <w:sz w:val="18"/>
        </w:rPr>
        <w:t>recorded</w:t>
      </w:r>
      <w:r>
        <w:rPr>
          <w:i/>
          <w:spacing w:val="-1"/>
          <w:sz w:val="18"/>
        </w:rPr>
        <w:t> </w:t>
      </w:r>
      <w:r>
        <w:rPr>
          <w:i/>
          <w:sz w:val="18"/>
        </w:rPr>
        <w:t>in</w:t>
      </w:r>
      <w:r>
        <w:rPr>
          <w:i/>
          <w:spacing w:val="-1"/>
          <w:sz w:val="18"/>
        </w:rPr>
        <w:t> </w:t>
      </w:r>
      <w:r>
        <w:rPr>
          <w:i/>
          <w:sz w:val="18"/>
        </w:rPr>
        <w:t>the</w:t>
      </w:r>
      <w:r>
        <w:rPr>
          <w:i/>
          <w:spacing w:val="-1"/>
          <w:sz w:val="18"/>
        </w:rPr>
        <w:t> </w:t>
      </w:r>
      <w:r>
        <w:rPr>
          <w:i/>
          <w:sz w:val="18"/>
        </w:rPr>
        <w:t>years</w:t>
      </w:r>
      <w:r>
        <w:rPr>
          <w:i/>
          <w:spacing w:val="-1"/>
          <w:sz w:val="18"/>
        </w:rPr>
        <w:t> </w:t>
      </w:r>
      <w:r>
        <w:rPr>
          <w:i/>
          <w:sz w:val="18"/>
        </w:rPr>
        <w:t>when</w:t>
      </w:r>
      <w:r>
        <w:rPr>
          <w:i/>
          <w:spacing w:val="-1"/>
          <w:sz w:val="18"/>
        </w:rPr>
        <w:t> </w:t>
      </w:r>
      <w:r>
        <w:rPr>
          <w:i/>
          <w:sz w:val="18"/>
        </w:rPr>
        <w:t>they</w:t>
      </w:r>
      <w:r>
        <w:rPr>
          <w:i/>
          <w:spacing w:val="-1"/>
          <w:sz w:val="18"/>
        </w:rPr>
        <w:t> </w:t>
      </w:r>
      <w:r>
        <w:rPr>
          <w:i/>
          <w:sz w:val="18"/>
        </w:rPr>
        <w:t>secured</w:t>
      </w:r>
      <w:r>
        <w:rPr>
          <w:i/>
          <w:spacing w:val="-1"/>
          <w:sz w:val="18"/>
        </w:rPr>
        <w:t> </w:t>
      </w:r>
      <w:r>
        <w:rPr>
          <w:i/>
          <w:sz w:val="18"/>
        </w:rPr>
        <w:t>ﬁnancial</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although</w:t>
      </w:r>
      <w:r>
        <w:rPr>
          <w:i/>
          <w:sz w:val="18"/>
        </w:rPr>
        <w:t> the ESG risks that they encountered may have materialized after the ﬁnancial commitment year. The presence of signiﬁcant governance risk exposure is based on a project-level composite measure that is described in Section 2 of Chapter 3.</w:t>
      </w:r>
    </w:p>
    <w:p>
      <w:pPr>
        <w:pStyle w:val="BodyText"/>
        <w:rPr>
          <w:i/>
          <w:sz w:val="18"/>
        </w:rPr>
      </w:pPr>
    </w:p>
    <w:p>
      <w:pPr>
        <w:pStyle w:val="BodyText"/>
        <w:spacing w:line="333" w:lineRule="auto" w:before="112"/>
        <w:ind w:left="560" w:right="550"/>
      </w:pPr>
      <w:r>
        <w:rPr>
          <w:spacing w:val="-2"/>
          <w:w w:val="105"/>
        </w:rPr>
        <w:t>Table</w:t>
      </w:r>
      <w:r>
        <w:rPr>
          <w:spacing w:val="-11"/>
          <w:w w:val="105"/>
        </w:rPr>
        <w:t> </w:t>
      </w:r>
      <w:r>
        <w:rPr>
          <w:spacing w:val="-2"/>
          <w:w w:val="105"/>
        </w:rPr>
        <w:t>A12</w:t>
      </w:r>
      <w:r>
        <w:rPr>
          <w:spacing w:val="-11"/>
          <w:w w:val="105"/>
        </w:rPr>
        <w:t> </w:t>
      </w:r>
      <w:r>
        <w:rPr>
          <w:spacing w:val="-2"/>
          <w:w w:val="105"/>
        </w:rPr>
        <w:t>provides</w:t>
      </w:r>
      <w:r>
        <w:rPr>
          <w:spacing w:val="-11"/>
          <w:w w:val="105"/>
        </w:rPr>
        <w:t> </w:t>
      </w:r>
      <w:r>
        <w:rPr>
          <w:spacing w:val="-2"/>
          <w:w w:val="105"/>
        </w:rPr>
        <w:t>country-level</w:t>
      </w:r>
      <w:r>
        <w:rPr>
          <w:spacing w:val="-11"/>
          <w:w w:val="105"/>
        </w:rPr>
        <w:t> </w:t>
      </w:r>
      <w:r>
        <w:rPr>
          <w:spacing w:val="-2"/>
          <w:w w:val="105"/>
        </w:rPr>
        <w:t>summary</w:t>
      </w:r>
      <w:r>
        <w:rPr>
          <w:spacing w:val="-11"/>
          <w:w w:val="105"/>
        </w:rPr>
        <w:t> </w:t>
      </w:r>
      <w:r>
        <w:rPr>
          <w:spacing w:val="-2"/>
          <w:w w:val="105"/>
        </w:rPr>
        <w:t>statistics</w:t>
      </w:r>
      <w:r>
        <w:rPr>
          <w:spacing w:val="-11"/>
          <w:w w:val="105"/>
        </w:rPr>
        <w:t> </w:t>
      </w:r>
      <w:r>
        <w:rPr>
          <w:spacing w:val="-2"/>
          <w:w w:val="105"/>
        </w:rPr>
        <w:t>on</w:t>
      </w:r>
      <w:r>
        <w:rPr>
          <w:spacing w:val="-11"/>
          <w:w w:val="105"/>
        </w:rPr>
        <w:t> </w:t>
      </w:r>
      <w:r>
        <w:rPr>
          <w:spacing w:val="-2"/>
          <w:w w:val="105"/>
        </w:rPr>
        <w:t>the</w:t>
      </w:r>
      <w:r>
        <w:rPr>
          <w:spacing w:val="-11"/>
          <w:w w:val="105"/>
        </w:rPr>
        <w:t> </w:t>
      </w:r>
      <w:r>
        <w:rPr>
          <w:spacing w:val="-2"/>
          <w:w w:val="105"/>
        </w:rPr>
        <w:t>number</w:t>
      </w:r>
      <w:r>
        <w:rPr>
          <w:spacing w:val="-11"/>
          <w:w w:val="105"/>
        </w:rPr>
        <w:t> </w:t>
      </w:r>
      <w:r>
        <w:rPr>
          <w:spacing w:val="-2"/>
          <w:w w:val="105"/>
        </w:rPr>
        <w:t>and </w:t>
      </w:r>
      <w:r>
        <w:rPr/>
        <w:t>monetary value of Chinese grant- and loan-ﬁnanced infrastructure projects between 2000 and 2021 with signiﬁcant environmental, social, and governance </w:t>
      </w:r>
      <w:r>
        <w:rPr>
          <w:w w:val="105"/>
        </w:rPr>
        <w:t>risk</w:t>
      </w:r>
      <w:r>
        <w:rPr>
          <w:spacing w:val="-18"/>
          <w:w w:val="105"/>
        </w:rPr>
        <w:t> </w:t>
      </w:r>
      <w:r>
        <w:rPr>
          <w:w w:val="105"/>
        </w:rPr>
        <w:t>exposure.</w:t>
      </w:r>
      <w:r>
        <w:rPr>
          <w:spacing w:val="-17"/>
          <w:w w:val="105"/>
        </w:rPr>
        <w:t> </w:t>
      </w:r>
      <w:r>
        <w:rPr>
          <w:w w:val="105"/>
        </w:rPr>
        <w:t>It</w:t>
      </w:r>
      <w:r>
        <w:rPr>
          <w:spacing w:val="-18"/>
          <w:w w:val="105"/>
        </w:rPr>
        <w:t> </w:t>
      </w:r>
      <w:r>
        <w:rPr>
          <w:w w:val="105"/>
        </w:rPr>
        <w:t>also</w:t>
      </w:r>
      <w:r>
        <w:rPr>
          <w:spacing w:val="-18"/>
          <w:w w:val="105"/>
        </w:rPr>
        <w:t> </w:t>
      </w:r>
      <w:r>
        <w:rPr>
          <w:w w:val="105"/>
        </w:rPr>
        <w:t>provides</w:t>
      </w:r>
      <w:r>
        <w:rPr>
          <w:spacing w:val="-17"/>
          <w:w w:val="105"/>
        </w:rPr>
        <w:t> </w:t>
      </w:r>
      <w:r>
        <w:rPr>
          <w:w w:val="105"/>
        </w:rPr>
        <w:t>a</w:t>
      </w:r>
      <w:r>
        <w:rPr>
          <w:spacing w:val="-18"/>
          <w:w w:val="105"/>
        </w:rPr>
        <w:t> </w:t>
      </w:r>
      <w:r>
        <w:rPr>
          <w:w w:val="105"/>
        </w:rPr>
        <w:t>country-by-country</w:t>
      </w:r>
      <w:r>
        <w:rPr>
          <w:spacing w:val="-17"/>
          <w:w w:val="105"/>
        </w:rPr>
        <w:t> </w:t>
      </w:r>
      <w:r>
        <w:rPr>
          <w:w w:val="105"/>
        </w:rPr>
        <w:t>breakdown</w:t>
      </w:r>
      <w:r>
        <w:rPr>
          <w:spacing w:val="-18"/>
          <w:w w:val="105"/>
        </w:rPr>
        <w:t> </w:t>
      </w:r>
      <w:r>
        <w:rPr>
          <w:w w:val="105"/>
        </w:rPr>
        <w:t>of</w:t>
      </w:r>
      <w:r>
        <w:rPr>
          <w:spacing w:val="-17"/>
          <w:w w:val="105"/>
        </w:rPr>
        <w:t> </w:t>
      </w:r>
      <w:r>
        <w:rPr>
          <w:w w:val="105"/>
        </w:rPr>
        <w:t>the</w:t>
      </w:r>
      <w:r>
        <w:rPr>
          <w:spacing w:val="-18"/>
          <w:w w:val="105"/>
        </w:rPr>
        <w:t> </w:t>
      </w:r>
      <w:r>
        <w:rPr>
          <w:w w:val="105"/>
        </w:rPr>
        <w:t>overall </w:t>
      </w:r>
      <w:r>
        <w:rPr/>
        <w:t>ESG</w:t>
      </w:r>
      <w:r>
        <w:rPr>
          <w:spacing w:val="-4"/>
        </w:rPr>
        <w:t> </w:t>
      </w:r>
      <w:r>
        <w:rPr/>
        <w:t>risk</w:t>
      </w:r>
      <w:r>
        <w:rPr>
          <w:spacing w:val="-4"/>
        </w:rPr>
        <w:t> </w:t>
      </w:r>
      <w:r>
        <w:rPr/>
        <w:t>prevalence</w:t>
      </w:r>
      <w:r>
        <w:rPr>
          <w:spacing w:val="-4"/>
        </w:rPr>
        <w:t> </w:t>
      </w:r>
      <w:r>
        <w:rPr/>
        <w:t>rate</w:t>
      </w:r>
      <w:r>
        <w:rPr>
          <w:spacing w:val="-4"/>
        </w:rPr>
        <w:t> </w:t>
      </w:r>
      <w:r>
        <w:rPr/>
        <w:t>over</w:t>
      </w:r>
      <w:r>
        <w:rPr>
          <w:spacing w:val="-4"/>
        </w:rPr>
        <w:t> </w:t>
      </w:r>
      <w:r>
        <w:rPr/>
        <w:t>the</w:t>
      </w:r>
      <w:r>
        <w:rPr>
          <w:spacing w:val="-4"/>
        </w:rPr>
        <w:t> </w:t>
      </w:r>
      <w:r>
        <w:rPr/>
        <w:t>same</w:t>
      </w:r>
      <w:r>
        <w:rPr>
          <w:spacing w:val="-4"/>
        </w:rPr>
        <w:t> </w:t>
      </w:r>
      <w:r>
        <w:rPr/>
        <w:t>time</w:t>
      </w:r>
      <w:r>
        <w:rPr>
          <w:spacing w:val="-4"/>
        </w:rPr>
        <w:t> </w:t>
      </w:r>
      <w:r>
        <w:rPr/>
        <w:t>period.</w:t>
      </w:r>
      <w:r>
        <w:rPr>
          <w:spacing w:val="-4"/>
        </w:rPr>
        <w:t> </w:t>
      </w:r>
      <w:r>
        <w:rPr/>
        <w:t>Analysis</w:t>
      </w:r>
      <w:r>
        <w:rPr>
          <w:spacing w:val="-4"/>
        </w:rPr>
        <w:t> </w:t>
      </w:r>
      <w:r>
        <w:rPr/>
        <w:t>of</w:t>
      </w:r>
      <w:r>
        <w:rPr>
          <w:spacing w:val="-4"/>
        </w:rPr>
        <w:t> </w:t>
      </w:r>
      <w:r>
        <w:rPr/>
        <w:t>the</w:t>
      </w:r>
      <w:r>
        <w:rPr>
          <w:spacing w:val="-4"/>
        </w:rPr>
        <w:t> </w:t>
      </w:r>
      <w:r>
        <w:rPr/>
        <w:t>country-level data from Table A12 demonstrates that the ESG risk in China’s overseas </w:t>
      </w:r>
      <w:r>
        <w:rPr>
          <w:w w:val="105"/>
        </w:rPr>
        <w:t>infrastructure</w:t>
      </w:r>
      <w:r>
        <w:rPr>
          <w:spacing w:val="-7"/>
          <w:w w:val="105"/>
        </w:rPr>
        <w:t> </w:t>
      </w:r>
      <w:r>
        <w:rPr>
          <w:w w:val="105"/>
        </w:rPr>
        <w:t>project</w:t>
      </w:r>
      <w:r>
        <w:rPr>
          <w:spacing w:val="-7"/>
          <w:w w:val="105"/>
        </w:rPr>
        <w:t> </w:t>
      </w:r>
      <w:r>
        <w:rPr>
          <w:w w:val="105"/>
        </w:rPr>
        <w:t>portfolio</w:t>
      </w:r>
      <w:r>
        <w:rPr>
          <w:spacing w:val="-7"/>
          <w:w w:val="105"/>
        </w:rPr>
        <w:t> </w:t>
      </w:r>
      <w:r>
        <w:rPr>
          <w:w w:val="105"/>
        </w:rPr>
        <w:t>is</w:t>
      </w:r>
      <w:r>
        <w:rPr>
          <w:spacing w:val="-7"/>
          <w:w w:val="105"/>
        </w:rPr>
        <w:t> </w:t>
      </w:r>
      <w:r>
        <w:rPr>
          <w:w w:val="105"/>
        </w:rPr>
        <w:t>disproportionately</w:t>
      </w:r>
      <w:r>
        <w:rPr>
          <w:spacing w:val="-7"/>
          <w:w w:val="105"/>
        </w:rPr>
        <w:t> </w:t>
      </w:r>
      <w:r>
        <w:rPr>
          <w:w w:val="105"/>
        </w:rPr>
        <w:t>concentrated</w:t>
      </w:r>
      <w:r>
        <w:rPr>
          <w:spacing w:val="-7"/>
          <w:w w:val="105"/>
        </w:rPr>
        <w:t> </w:t>
      </w:r>
      <w:r>
        <w:rPr>
          <w:w w:val="105"/>
        </w:rPr>
        <w:t>in</w:t>
      </w:r>
      <w:r>
        <w:rPr>
          <w:spacing w:val="-7"/>
          <w:w w:val="105"/>
        </w:rPr>
        <w:t> </w:t>
      </w:r>
      <w:r>
        <w:rPr>
          <w:w w:val="105"/>
        </w:rPr>
        <w:t>certain </w:t>
      </w:r>
      <w:r>
        <w:rPr/>
        <w:t>regions (see Table A10). For example, only 16.9% of China’s grant- and</w:t>
      </w:r>
    </w:p>
    <w:p>
      <w:pPr>
        <w:pStyle w:val="BodyText"/>
        <w:spacing w:line="333" w:lineRule="auto"/>
        <w:ind w:left="560" w:right="680"/>
      </w:pPr>
      <w:r>
        <w:rPr/>
        <w:t>loan-ﬁnanced infrastructure project portfolio (measured in constant 2021 USD) was located in South and Central America between 2000 and 2021, but 38% </w:t>
      </w:r>
      <w:r>
        <w:rPr/>
        <w:t>of its portfolio with signiﬁcant governance risk exposure was concentrated in the</w:t>
      </w:r>
    </w:p>
    <w:p>
      <w:pPr>
        <w:spacing w:after="0" w:line="333" w:lineRule="auto"/>
        <w:sectPr>
          <w:pgSz w:w="12240" w:h="15840"/>
          <w:pgMar w:header="0" w:footer="720" w:top="1580" w:bottom="920" w:left="1240" w:right="1260"/>
        </w:sectPr>
      </w:pPr>
    </w:p>
    <w:p>
      <w:pPr>
        <w:pStyle w:val="BodyText"/>
        <w:spacing w:line="333" w:lineRule="auto" w:before="67"/>
        <w:ind w:left="560" w:right="561"/>
      </w:pPr>
      <w:r>
        <w:rPr/>
        <w:t>same region during the same time period.</w:t>
      </w:r>
      <w:r>
        <w:rPr>
          <w:vertAlign w:val="superscript"/>
        </w:rPr>
        <w:t>258</w:t>
      </w:r>
      <w:r>
        <w:rPr>
          <w:vertAlign w:val="baseline"/>
        </w:rPr>
        <w:t> ESG risk in Beijing’s overseas infrastructure project portfolio is also unevenly distributed across countries with different per capita income levels (see Table A11). Governance risk is again a </w:t>
      </w:r>
      <w:r>
        <w:rPr>
          <w:spacing w:val="-2"/>
          <w:w w:val="105"/>
          <w:vertAlign w:val="baseline"/>
        </w:rPr>
        <w:t>case</w:t>
      </w:r>
      <w:r>
        <w:rPr>
          <w:spacing w:val="-9"/>
          <w:w w:val="105"/>
          <w:vertAlign w:val="baseline"/>
        </w:rPr>
        <w:t> </w:t>
      </w:r>
      <w:r>
        <w:rPr>
          <w:spacing w:val="-2"/>
          <w:w w:val="105"/>
          <w:vertAlign w:val="baseline"/>
        </w:rPr>
        <w:t>in</w:t>
      </w:r>
      <w:r>
        <w:rPr>
          <w:spacing w:val="-9"/>
          <w:w w:val="105"/>
          <w:vertAlign w:val="baseline"/>
        </w:rPr>
        <w:t> </w:t>
      </w:r>
      <w:r>
        <w:rPr>
          <w:spacing w:val="-2"/>
          <w:w w:val="105"/>
          <w:vertAlign w:val="baseline"/>
        </w:rPr>
        <w:t>point.</w:t>
      </w:r>
      <w:r>
        <w:rPr>
          <w:spacing w:val="-9"/>
          <w:w w:val="105"/>
          <w:vertAlign w:val="baseline"/>
        </w:rPr>
        <w:t> </w:t>
      </w:r>
      <w:r>
        <w:rPr>
          <w:spacing w:val="-2"/>
          <w:w w:val="105"/>
          <w:vertAlign w:val="baseline"/>
        </w:rPr>
        <w:t>37.1%</w:t>
      </w:r>
      <w:r>
        <w:rPr>
          <w:spacing w:val="-9"/>
          <w:w w:val="105"/>
          <w:vertAlign w:val="baseline"/>
        </w:rPr>
        <w:t> </w:t>
      </w:r>
      <w:r>
        <w:rPr>
          <w:spacing w:val="-2"/>
          <w:w w:val="105"/>
          <w:vertAlign w:val="baseline"/>
        </w:rPr>
        <w:t>of</w:t>
      </w:r>
      <w:r>
        <w:rPr>
          <w:spacing w:val="-9"/>
          <w:w w:val="105"/>
          <w:vertAlign w:val="baseline"/>
        </w:rPr>
        <w:t> </w:t>
      </w:r>
      <w:r>
        <w:rPr>
          <w:spacing w:val="-2"/>
          <w:w w:val="105"/>
          <w:vertAlign w:val="baseline"/>
        </w:rPr>
        <w:t>China’s</w:t>
      </w:r>
      <w:r>
        <w:rPr>
          <w:spacing w:val="-9"/>
          <w:w w:val="105"/>
          <w:vertAlign w:val="baseline"/>
        </w:rPr>
        <w:t> </w:t>
      </w:r>
      <w:r>
        <w:rPr>
          <w:spacing w:val="-2"/>
          <w:w w:val="105"/>
          <w:vertAlign w:val="baseline"/>
        </w:rPr>
        <w:t>grant-</w:t>
      </w:r>
      <w:r>
        <w:rPr>
          <w:spacing w:val="-10"/>
          <w:w w:val="105"/>
          <w:vertAlign w:val="baseline"/>
        </w:rPr>
        <w:t> </w:t>
      </w:r>
      <w:r>
        <w:rPr>
          <w:spacing w:val="-2"/>
          <w:w w:val="105"/>
          <w:vertAlign w:val="baseline"/>
        </w:rPr>
        <w:t>and</w:t>
      </w:r>
      <w:r>
        <w:rPr>
          <w:spacing w:val="-9"/>
          <w:w w:val="105"/>
          <w:vertAlign w:val="baseline"/>
        </w:rPr>
        <w:t> </w:t>
      </w:r>
      <w:r>
        <w:rPr>
          <w:spacing w:val="-2"/>
          <w:w w:val="105"/>
          <w:vertAlign w:val="baseline"/>
        </w:rPr>
        <w:t>loan-ﬁnanced</w:t>
      </w:r>
      <w:r>
        <w:rPr>
          <w:spacing w:val="-9"/>
          <w:w w:val="105"/>
          <w:vertAlign w:val="baseline"/>
        </w:rPr>
        <w:t> </w:t>
      </w:r>
      <w:r>
        <w:rPr>
          <w:spacing w:val="-2"/>
          <w:w w:val="105"/>
          <w:vertAlign w:val="baseline"/>
        </w:rPr>
        <w:t>infrastructure</w:t>
      </w:r>
      <w:r>
        <w:rPr>
          <w:spacing w:val="-9"/>
          <w:w w:val="105"/>
          <w:vertAlign w:val="baseline"/>
        </w:rPr>
        <w:t> </w:t>
      </w:r>
      <w:r>
        <w:rPr>
          <w:spacing w:val="-2"/>
          <w:w w:val="105"/>
          <w:vertAlign w:val="baseline"/>
        </w:rPr>
        <w:t>project </w:t>
      </w:r>
      <w:r>
        <w:rPr>
          <w:vertAlign w:val="baseline"/>
        </w:rPr>
        <w:t>portfolio (measured in constant 2021 USD) was located in upper-middle income countries (UMICs) between 2000 and 2021.</w:t>
      </w:r>
      <w:r>
        <w:rPr>
          <w:vertAlign w:val="superscript"/>
        </w:rPr>
        <w:t>259</w:t>
      </w:r>
      <w:r>
        <w:rPr>
          <w:vertAlign w:val="baseline"/>
        </w:rPr>
        <w:t> Yet a staggering 52.5% of its </w:t>
      </w:r>
      <w:r>
        <w:rPr>
          <w:w w:val="105"/>
          <w:vertAlign w:val="baseline"/>
        </w:rPr>
        <w:t>portfolio</w:t>
      </w:r>
      <w:r>
        <w:rPr>
          <w:spacing w:val="-18"/>
          <w:w w:val="105"/>
          <w:vertAlign w:val="baseline"/>
        </w:rPr>
        <w:t> </w:t>
      </w:r>
      <w:r>
        <w:rPr>
          <w:w w:val="105"/>
          <w:vertAlign w:val="baseline"/>
        </w:rPr>
        <w:t>with</w:t>
      </w:r>
      <w:r>
        <w:rPr>
          <w:spacing w:val="-17"/>
          <w:w w:val="105"/>
          <w:vertAlign w:val="baseline"/>
        </w:rPr>
        <w:t> </w:t>
      </w:r>
      <w:r>
        <w:rPr>
          <w:w w:val="105"/>
          <w:vertAlign w:val="baseline"/>
        </w:rPr>
        <w:t>signiﬁcant</w:t>
      </w:r>
      <w:r>
        <w:rPr>
          <w:spacing w:val="-18"/>
          <w:w w:val="105"/>
          <w:vertAlign w:val="baseline"/>
        </w:rPr>
        <w:t> </w:t>
      </w:r>
      <w:r>
        <w:rPr>
          <w:w w:val="105"/>
          <w:vertAlign w:val="baseline"/>
        </w:rPr>
        <w:t>governance</w:t>
      </w:r>
      <w:r>
        <w:rPr>
          <w:spacing w:val="-18"/>
          <w:w w:val="105"/>
          <w:vertAlign w:val="baseline"/>
        </w:rPr>
        <w:t> </w:t>
      </w:r>
      <w:r>
        <w:rPr>
          <w:w w:val="105"/>
          <w:vertAlign w:val="baseline"/>
        </w:rPr>
        <w:t>risk</w:t>
      </w:r>
      <w:r>
        <w:rPr>
          <w:spacing w:val="-17"/>
          <w:w w:val="105"/>
          <w:vertAlign w:val="baseline"/>
        </w:rPr>
        <w:t> </w:t>
      </w:r>
      <w:r>
        <w:rPr>
          <w:w w:val="105"/>
          <w:vertAlign w:val="baseline"/>
        </w:rPr>
        <w:t>exposure</w:t>
      </w:r>
      <w:r>
        <w:rPr>
          <w:spacing w:val="-18"/>
          <w:w w:val="105"/>
          <w:vertAlign w:val="baseline"/>
        </w:rPr>
        <w:t> </w:t>
      </w:r>
      <w:r>
        <w:rPr>
          <w:w w:val="105"/>
          <w:vertAlign w:val="baseline"/>
        </w:rPr>
        <w:t>was</w:t>
      </w:r>
      <w:r>
        <w:rPr>
          <w:spacing w:val="-17"/>
          <w:w w:val="105"/>
          <w:vertAlign w:val="baseline"/>
        </w:rPr>
        <w:t> </w:t>
      </w:r>
      <w:r>
        <w:rPr>
          <w:w w:val="105"/>
          <w:vertAlign w:val="baseline"/>
        </w:rPr>
        <w:t>concentrated</w:t>
      </w:r>
      <w:r>
        <w:rPr>
          <w:spacing w:val="-18"/>
          <w:w w:val="105"/>
          <w:vertAlign w:val="baseline"/>
        </w:rPr>
        <w:t> </w:t>
      </w:r>
      <w:r>
        <w:rPr>
          <w:w w:val="105"/>
          <w:vertAlign w:val="baseline"/>
        </w:rPr>
        <w:t>in</w:t>
      </w:r>
      <w:r>
        <w:rPr>
          <w:spacing w:val="-17"/>
          <w:w w:val="105"/>
          <w:vertAlign w:val="baseline"/>
        </w:rPr>
        <w:t> </w:t>
      </w:r>
      <w:r>
        <w:rPr>
          <w:w w:val="105"/>
          <w:vertAlign w:val="baseline"/>
        </w:rPr>
        <w:t>such </w:t>
      </w:r>
      <w:r>
        <w:rPr>
          <w:spacing w:val="-2"/>
          <w:w w:val="105"/>
          <w:vertAlign w:val="baseline"/>
        </w:rPr>
        <w:t>countries.</w:t>
      </w:r>
      <w:r>
        <w:rPr>
          <w:spacing w:val="-2"/>
          <w:w w:val="105"/>
          <w:vertAlign w:val="superscript"/>
        </w:rPr>
        <w:t>260</w:t>
      </w:r>
      <w:r>
        <w:rPr>
          <w:spacing w:val="-12"/>
          <w:w w:val="105"/>
          <w:vertAlign w:val="baseline"/>
        </w:rPr>
        <w:t> </w:t>
      </w:r>
      <w:r>
        <w:rPr>
          <w:spacing w:val="-2"/>
          <w:w w:val="105"/>
          <w:vertAlign w:val="baseline"/>
        </w:rPr>
        <w:t>Table</w:t>
      </w:r>
      <w:r>
        <w:rPr>
          <w:spacing w:val="-11"/>
          <w:w w:val="105"/>
          <w:vertAlign w:val="baseline"/>
        </w:rPr>
        <w:t> </w:t>
      </w:r>
      <w:r>
        <w:rPr>
          <w:spacing w:val="-2"/>
          <w:w w:val="105"/>
          <w:vertAlign w:val="baseline"/>
        </w:rPr>
        <w:t>A12</w:t>
      </w:r>
      <w:r>
        <w:rPr>
          <w:spacing w:val="-11"/>
          <w:w w:val="105"/>
          <w:vertAlign w:val="baseline"/>
        </w:rPr>
        <w:t> </w:t>
      </w:r>
      <w:r>
        <w:rPr>
          <w:spacing w:val="-2"/>
          <w:w w:val="105"/>
          <w:vertAlign w:val="baseline"/>
        </w:rPr>
        <w:t>provides</w:t>
      </w:r>
      <w:r>
        <w:rPr>
          <w:spacing w:val="-11"/>
          <w:w w:val="105"/>
          <w:vertAlign w:val="baseline"/>
        </w:rPr>
        <w:t> </w:t>
      </w:r>
      <w:r>
        <w:rPr>
          <w:spacing w:val="-2"/>
          <w:w w:val="105"/>
          <w:vertAlign w:val="baseline"/>
        </w:rPr>
        <w:t>evidence</w:t>
      </w:r>
      <w:r>
        <w:rPr>
          <w:spacing w:val="-11"/>
          <w:w w:val="105"/>
          <w:vertAlign w:val="baseline"/>
        </w:rPr>
        <w:t> </w:t>
      </w:r>
      <w:r>
        <w:rPr>
          <w:spacing w:val="-2"/>
          <w:w w:val="105"/>
          <w:vertAlign w:val="baseline"/>
        </w:rPr>
        <w:t>that</w:t>
      </w:r>
      <w:r>
        <w:rPr>
          <w:spacing w:val="-11"/>
          <w:w w:val="105"/>
          <w:vertAlign w:val="baseline"/>
        </w:rPr>
        <w:t> </w:t>
      </w:r>
      <w:r>
        <w:rPr>
          <w:spacing w:val="-2"/>
          <w:w w:val="105"/>
          <w:vertAlign w:val="baseline"/>
        </w:rPr>
        <w:t>a</w:t>
      </w:r>
      <w:r>
        <w:rPr>
          <w:spacing w:val="-11"/>
          <w:w w:val="105"/>
          <w:vertAlign w:val="baseline"/>
        </w:rPr>
        <w:t> </w:t>
      </w:r>
      <w:r>
        <w:rPr>
          <w:spacing w:val="-2"/>
          <w:w w:val="105"/>
          <w:vertAlign w:val="baseline"/>
        </w:rPr>
        <w:t>small</w:t>
      </w:r>
      <w:r>
        <w:rPr>
          <w:spacing w:val="-11"/>
          <w:w w:val="105"/>
          <w:vertAlign w:val="baseline"/>
        </w:rPr>
        <w:t> </w:t>
      </w:r>
      <w:r>
        <w:rPr>
          <w:spacing w:val="-2"/>
          <w:w w:val="105"/>
          <w:vertAlign w:val="baseline"/>
        </w:rPr>
        <w:t>subset</w:t>
      </w:r>
      <w:r>
        <w:rPr>
          <w:spacing w:val="-11"/>
          <w:w w:val="105"/>
          <w:vertAlign w:val="baseline"/>
        </w:rPr>
        <w:t> </w:t>
      </w:r>
      <w:r>
        <w:rPr>
          <w:spacing w:val="-2"/>
          <w:w w:val="105"/>
          <w:vertAlign w:val="baseline"/>
        </w:rPr>
        <w:t>of</w:t>
      </w:r>
      <w:r>
        <w:rPr>
          <w:spacing w:val="-11"/>
          <w:w w:val="105"/>
          <w:vertAlign w:val="baseline"/>
        </w:rPr>
        <w:t> </w:t>
      </w:r>
      <w:r>
        <w:rPr>
          <w:spacing w:val="-2"/>
          <w:w w:val="105"/>
          <w:vertAlign w:val="baseline"/>
        </w:rPr>
        <w:t>large</w:t>
      </w:r>
      <w:r>
        <w:rPr>
          <w:spacing w:val="-11"/>
          <w:w w:val="105"/>
          <w:vertAlign w:val="baseline"/>
        </w:rPr>
        <w:t> </w:t>
      </w:r>
      <w:r>
        <w:rPr>
          <w:spacing w:val="-2"/>
          <w:w w:val="105"/>
          <w:vertAlign w:val="baseline"/>
        </w:rPr>
        <w:t>aid</w:t>
      </w:r>
      <w:r>
        <w:rPr>
          <w:spacing w:val="-11"/>
          <w:w w:val="105"/>
          <w:vertAlign w:val="baseline"/>
        </w:rPr>
        <w:t> </w:t>
      </w:r>
      <w:r>
        <w:rPr>
          <w:spacing w:val="-2"/>
          <w:w w:val="105"/>
          <w:vertAlign w:val="baseline"/>
        </w:rPr>
        <w:t>and </w:t>
      </w:r>
      <w:r>
        <w:rPr>
          <w:vertAlign w:val="baseline"/>
        </w:rPr>
        <w:t>credit recipients—including Venezuela, Malaysia, and Argentina—contributed </w:t>
      </w:r>
      <w:r>
        <w:rPr>
          <w:vertAlign w:val="baseline"/>
        </w:rPr>
        <w:t>to </w:t>
      </w:r>
      <w:r>
        <w:rPr>
          <w:w w:val="105"/>
          <w:vertAlign w:val="baseline"/>
        </w:rPr>
        <w:t>the</w:t>
      </w:r>
      <w:r>
        <w:rPr>
          <w:spacing w:val="-18"/>
          <w:w w:val="105"/>
          <w:vertAlign w:val="baseline"/>
        </w:rPr>
        <w:t> </w:t>
      </w:r>
      <w:r>
        <w:rPr>
          <w:w w:val="105"/>
          <w:vertAlign w:val="baseline"/>
        </w:rPr>
        <w:t>disproportionate</w:t>
      </w:r>
      <w:r>
        <w:rPr>
          <w:spacing w:val="-17"/>
          <w:w w:val="105"/>
          <w:vertAlign w:val="baseline"/>
        </w:rPr>
        <w:t> </w:t>
      </w:r>
      <w:r>
        <w:rPr>
          <w:w w:val="105"/>
          <w:vertAlign w:val="baseline"/>
        </w:rPr>
        <w:t>concentration</w:t>
      </w:r>
      <w:r>
        <w:rPr>
          <w:spacing w:val="-18"/>
          <w:w w:val="105"/>
          <w:vertAlign w:val="baseline"/>
        </w:rPr>
        <w:t> </w:t>
      </w:r>
      <w:r>
        <w:rPr>
          <w:w w:val="105"/>
          <w:vertAlign w:val="baseline"/>
        </w:rPr>
        <w:t>of</w:t>
      </w:r>
      <w:r>
        <w:rPr>
          <w:spacing w:val="-17"/>
          <w:w w:val="105"/>
          <w:vertAlign w:val="baseline"/>
        </w:rPr>
        <w:t> </w:t>
      </w:r>
      <w:r>
        <w:rPr>
          <w:w w:val="105"/>
          <w:vertAlign w:val="baseline"/>
        </w:rPr>
        <w:t>governance</w:t>
      </w:r>
      <w:r>
        <w:rPr>
          <w:spacing w:val="-18"/>
          <w:w w:val="105"/>
          <w:vertAlign w:val="baseline"/>
        </w:rPr>
        <w:t> </w:t>
      </w:r>
      <w:r>
        <w:rPr>
          <w:w w:val="105"/>
          <w:vertAlign w:val="baseline"/>
        </w:rPr>
        <w:t>risk</w:t>
      </w:r>
      <w:r>
        <w:rPr>
          <w:spacing w:val="-17"/>
          <w:w w:val="105"/>
          <w:vertAlign w:val="baseline"/>
        </w:rPr>
        <w:t> </w:t>
      </w:r>
      <w:r>
        <w:rPr>
          <w:w w:val="105"/>
          <w:vertAlign w:val="baseline"/>
        </w:rPr>
        <w:t>exposure</w:t>
      </w:r>
      <w:r>
        <w:rPr>
          <w:spacing w:val="-18"/>
          <w:w w:val="105"/>
          <w:vertAlign w:val="baseline"/>
        </w:rPr>
        <w:t> </w:t>
      </w:r>
      <w:r>
        <w:rPr>
          <w:w w:val="105"/>
          <w:vertAlign w:val="baseline"/>
        </w:rPr>
        <w:t>in</w:t>
      </w:r>
      <w:r>
        <w:rPr>
          <w:spacing w:val="-17"/>
          <w:w w:val="105"/>
          <w:vertAlign w:val="baseline"/>
        </w:rPr>
        <w:t> </w:t>
      </w:r>
      <w:r>
        <w:rPr>
          <w:w w:val="105"/>
          <w:vertAlign w:val="baseline"/>
        </w:rPr>
        <w:t>UMICs.</w:t>
      </w:r>
    </w:p>
    <w:p>
      <w:pPr>
        <w:pStyle w:val="BodyText"/>
        <w:spacing w:before="4"/>
        <w:rPr>
          <w:sz w:val="27"/>
        </w:rPr>
      </w:pPr>
    </w:p>
    <w:p>
      <w:pPr>
        <w:pStyle w:val="BodyText"/>
        <w:spacing w:line="333" w:lineRule="auto"/>
        <w:ind w:left="560" w:right="561"/>
      </w:pPr>
      <w:r>
        <w:rPr/>
        <w:t>In Figure 3.6, we identify global hotspots by fusing data on the environmental, social, and governance risk exposure of Chinese grant- and loan-ﬁnanced infrastructure projects with point, polygon, and line vector data (described in Chapter</w:t>
      </w:r>
      <w:r>
        <w:rPr>
          <w:spacing w:val="23"/>
        </w:rPr>
        <w:t> </w:t>
      </w:r>
      <w:r>
        <w:rPr/>
        <w:t>1)</w:t>
      </w:r>
      <w:r>
        <w:rPr>
          <w:spacing w:val="23"/>
        </w:rPr>
        <w:t> </w:t>
      </w:r>
      <w:r>
        <w:rPr/>
        <w:t>that</w:t>
      </w:r>
      <w:r>
        <w:rPr>
          <w:spacing w:val="23"/>
        </w:rPr>
        <w:t> </w:t>
      </w:r>
      <w:r>
        <w:rPr/>
        <w:t>capture</w:t>
      </w:r>
      <w:r>
        <w:rPr>
          <w:spacing w:val="23"/>
        </w:rPr>
        <w:t> </w:t>
      </w:r>
      <w:r>
        <w:rPr/>
        <w:t>the</w:t>
      </w:r>
      <w:r>
        <w:rPr>
          <w:spacing w:val="23"/>
        </w:rPr>
        <w:t> </w:t>
      </w:r>
      <w:r>
        <w:rPr/>
        <w:t>geographic</w:t>
      </w:r>
      <w:r>
        <w:rPr>
          <w:spacing w:val="23"/>
        </w:rPr>
        <w:t> </w:t>
      </w:r>
      <w:r>
        <w:rPr/>
        <w:t>footprints</w:t>
      </w:r>
      <w:r>
        <w:rPr>
          <w:spacing w:val="23"/>
        </w:rPr>
        <w:t> </w:t>
      </w:r>
      <w:r>
        <w:rPr/>
        <w:t>of</w:t>
      </w:r>
      <w:r>
        <w:rPr>
          <w:spacing w:val="23"/>
        </w:rPr>
        <w:t> </w:t>
      </w:r>
      <w:r>
        <w:rPr/>
        <w:t>these</w:t>
      </w:r>
      <w:r>
        <w:rPr>
          <w:spacing w:val="23"/>
        </w:rPr>
        <w:t> </w:t>
      </w:r>
      <w:r>
        <w:rPr/>
        <w:t>projects.</w:t>
      </w:r>
      <w:r>
        <w:rPr>
          <w:spacing w:val="23"/>
        </w:rPr>
        <w:t> </w:t>
      </w:r>
      <w:r>
        <w:rPr/>
        <w:t>To</w:t>
      </w:r>
      <w:r>
        <w:rPr>
          <w:spacing w:val="23"/>
        </w:rPr>
        <w:t> </w:t>
      </w:r>
      <w:r>
        <w:rPr/>
        <w:t>do</w:t>
      </w:r>
      <w:r>
        <w:rPr>
          <w:spacing w:val="23"/>
        </w:rPr>
        <w:t> </w:t>
      </w:r>
      <w:r>
        <w:rPr/>
        <w:t>so, we ﬁrst create a 200 km x 200 km grid covering every LIC and MIC in the 3.0 version of AidData’s GCDF dataset. We then use the point, polygon, and line vector data to assign every geocoded infrastructure project to one of more of these grid cells.</w:t>
      </w:r>
      <w:r>
        <w:rPr>
          <w:vertAlign w:val="superscript"/>
        </w:rPr>
        <w:t>261</w:t>
      </w:r>
      <w:r>
        <w:rPr>
          <w:vertAlign w:val="baseline"/>
        </w:rPr>
        <w:t> We subsequently assign each grid cell a gradation of color—along a “heat” spectrum—based on the cumulative monetary value of Chinese grant- and loan-ﬁnanced infrastructure projects with environmental, social, or governance risk exposure in that geographical area between 2000 </w:t>
      </w:r>
      <w:r>
        <w:rPr>
          <w:vertAlign w:val="baseline"/>
        </w:rPr>
        <w:t>and</w:t>
      </w:r>
    </w:p>
    <w:p>
      <w:pPr>
        <w:pStyle w:val="BodyText"/>
        <w:rPr>
          <w:sz w:val="20"/>
        </w:rPr>
      </w:pPr>
    </w:p>
    <w:p>
      <w:pPr>
        <w:pStyle w:val="BodyText"/>
        <w:spacing w:before="9"/>
        <w:rPr>
          <w:sz w:val="23"/>
        </w:rPr>
      </w:pPr>
      <w:r>
        <w:rPr/>
        <w:pict>
          <v:shape style="position:absolute;margin-left:90pt;margin-top:14.920752pt;width:144pt;height:.1pt;mso-position-horizontal-relative:page;mso-position-vertical-relative:paragraph;z-index:-15715840;mso-wrap-distance-left:0;mso-wrap-distance-right:0" id="docshape21" coordorigin="1800,298" coordsize="2880,0" path="m1800,298l4680,298e" filled="false" stroked="true" strokeweight=".75pt" strokecolor="#000000">
            <v:path arrowok="t"/>
            <v:stroke dashstyle="solid"/>
            <w10:wrap type="topAndBottom"/>
          </v:shape>
        </w:pict>
      </w:r>
    </w:p>
    <w:p>
      <w:pPr>
        <w:spacing w:line="249" w:lineRule="auto" w:before="110"/>
        <w:ind w:left="560" w:right="627" w:firstLine="0"/>
        <w:jc w:val="left"/>
        <w:rPr>
          <w:sz w:val="18"/>
        </w:rPr>
      </w:pPr>
      <w:r>
        <w:rPr>
          <w:spacing w:val="-2"/>
          <w:w w:val="105"/>
          <w:sz w:val="18"/>
          <w:vertAlign w:val="superscript"/>
        </w:rPr>
        <w:t>258</w:t>
      </w:r>
      <w:r>
        <w:rPr>
          <w:spacing w:val="-3"/>
          <w:w w:val="105"/>
          <w:sz w:val="18"/>
          <w:vertAlign w:val="baseline"/>
        </w:rPr>
        <w:t> </w:t>
      </w:r>
      <w:r>
        <w:rPr>
          <w:spacing w:val="-2"/>
          <w:w w:val="105"/>
          <w:sz w:val="18"/>
          <w:vertAlign w:val="baseline"/>
        </w:rPr>
        <w:t>Table A10 demonstrates that environmental risk exposure was disproportionately concentrated in </w:t>
      </w:r>
      <w:r>
        <w:rPr>
          <w:sz w:val="18"/>
          <w:vertAlign w:val="baseline"/>
        </w:rPr>
        <w:t>Central and Eastern Europe: whereas 13% of China’s grant- and loan-ﬁnanced infrastructure project portfolio (measured in constant 2021 USD) was located in the region between 2000 and 2021, 20.5% of </w:t>
      </w:r>
      <w:r>
        <w:rPr>
          <w:sz w:val="18"/>
          <w:vertAlign w:val="baseline"/>
        </w:rPr>
        <w:t>its </w:t>
      </w:r>
      <w:r>
        <w:rPr>
          <w:spacing w:val="-2"/>
          <w:w w:val="105"/>
          <w:sz w:val="18"/>
          <w:vertAlign w:val="baseline"/>
        </w:rPr>
        <w:t>portfolio with signiﬁcant environmental risk exposure was concentrated in Central and Eastern Europe </w:t>
      </w:r>
      <w:r>
        <w:rPr>
          <w:sz w:val="18"/>
          <w:vertAlign w:val="baseline"/>
        </w:rPr>
        <w:t>during the same 22-year period. By contrast, social risk exposure was disproportionately concentrated in Asia: whereas 36.4% of China’s grant- and loan-ﬁnanced infrastructure project portfolio (measured in </w:t>
      </w:r>
      <w:r>
        <w:rPr>
          <w:w w:val="105"/>
          <w:sz w:val="18"/>
          <w:vertAlign w:val="baseline"/>
        </w:rPr>
        <w:t>constant</w:t>
      </w:r>
      <w:r>
        <w:rPr>
          <w:spacing w:val="-10"/>
          <w:w w:val="105"/>
          <w:sz w:val="18"/>
          <w:vertAlign w:val="baseline"/>
        </w:rPr>
        <w:t> </w:t>
      </w:r>
      <w:r>
        <w:rPr>
          <w:w w:val="105"/>
          <w:sz w:val="18"/>
          <w:vertAlign w:val="baseline"/>
        </w:rPr>
        <w:t>2021</w:t>
      </w:r>
      <w:r>
        <w:rPr>
          <w:spacing w:val="-10"/>
          <w:w w:val="105"/>
          <w:sz w:val="18"/>
          <w:vertAlign w:val="baseline"/>
        </w:rPr>
        <w:t> </w:t>
      </w:r>
      <w:r>
        <w:rPr>
          <w:w w:val="105"/>
          <w:sz w:val="18"/>
          <w:vertAlign w:val="baseline"/>
        </w:rPr>
        <w:t>USD)</w:t>
      </w:r>
      <w:r>
        <w:rPr>
          <w:spacing w:val="-10"/>
          <w:w w:val="105"/>
          <w:sz w:val="18"/>
          <w:vertAlign w:val="baseline"/>
        </w:rPr>
        <w:t> </w:t>
      </w:r>
      <w:r>
        <w:rPr>
          <w:w w:val="105"/>
          <w:sz w:val="18"/>
          <w:vertAlign w:val="baseline"/>
        </w:rPr>
        <w:t>was</w:t>
      </w:r>
      <w:r>
        <w:rPr>
          <w:spacing w:val="-10"/>
          <w:w w:val="105"/>
          <w:sz w:val="18"/>
          <w:vertAlign w:val="baseline"/>
        </w:rPr>
        <w:t> </w:t>
      </w:r>
      <w:r>
        <w:rPr>
          <w:w w:val="105"/>
          <w:sz w:val="18"/>
          <w:vertAlign w:val="baseline"/>
        </w:rPr>
        <w:t>located</w:t>
      </w:r>
      <w:r>
        <w:rPr>
          <w:spacing w:val="-10"/>
          <w:w w:val="105"/>
          <w:sz w:val="18"/>
          <w:vertAlign w:val="baseline"/>
        </w:rPr>
        <w:t> </w:t>
      </w:r>
      <w:r>
        <w:rPr>
          <w:w w:val="105"/>
          <w:sz w:val="18"/>
          <w:vertAlign w:val="baseline"/>
        </w:rPr>
        <w:t>in</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region</w:t>
      </w:r>
      <w:r>
        <w:rPr>
          <w:spacing w:val="-10"/>
          <w:w w:val="105"/>
          <w:sz w:val="18"/>
          <w:vertAlign w:val="baseline"/>
        </w:rPr>
        <w:t> </w:t>
      </w:r>
      <w:r>
        <w:rPr>
          <w:w w:val="105"/>
          <w:sz w:val="18"/>
          <w:vertAlign w:val="baseline"/>
        </w:rPr>
        <w:t>between</w:t>
      </w:r>
      <w:r>
        <w:rPr>
          <w:spacing w:val="-10"/>
          <w:w w:val="105"/>
          <w:sz w:val="18"/>
          <w:vertAlign w:val="baseline"/>
        </w:rPr>
        <w:t> </w:t>
      </w:r>
      <w:r>
        <w:rPr>
          <w:w w:val="105"/>
          <w:sz w:val="18"/>
          <w:vertAlign w:val="baseline"/>
        </w:rPr>
        <w:t>2000</w:t>
      </w:r>
      <w:r>
        <w:rPr>
          <w:spacing w:val="-10"/>
          <w:w w:val="105"/>
          <w:sz w:val="18"/>
          <w:vertAlign w:val="baseline"/>
        </w:rPr>
        <w:t> </w:t>
      </w:r>
      <w:r>
        <w:rPr>
          <w:w w:val="105"/>
          <w:sz w:val="18"/>
          <w:vertAlign w:val="baseline"/>
        </w:rPr>
        <w:t>and</w:t>
      </w:r>
      <w:r>
        <w:rPr>
          <w:spacing w:val="-10"/>
          <w:w w:val="105"/>
          <w:sz w:val="18"/>
          <w:vertAlign w:val="baseline"/>
        </w:rPr>
        <w:t> </w:t>
      </w:r>
      <w:r>
        <w:rPr>
          <w:w w:val="105"/>
          <w:sz w:val="18"/>
          <w:vertAlign w:val="baseline"/>
        </w:rPr>
        <w:t>2021,</w:t>
      </w:r>
      <w:r>
        <w:rPr>
          <w:spacing w:val="-10"/>
          <w:w w:val="105"/>
          <w:sz w:val="18"/>
          <w:vertAlign w:val="baseline"/>
        </w:rPr>
        <w:t> </w:t>
      </w:r>
      <w:r>
        <w:rPr>
          <w:w w:val="105"/>
          <w:sz w:val="18"/>
          <w:vertAlign w:val="baseline"/>
        </w:rPr>
        <w:t>42.3%</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its</w:t>
      </w:r>
      <w:r>
        <w:rPr>
          <w:spacing w:val="-10"/>
          <w:w w:val="105"/>
          <w:sz w:val="18"/>
          <w:vertAlign w:val="baseline"/>
        </w:rPr>
        <w:t> </w:t>
      </w:r>
      <w:r>
        <w:rPr>
          <w:w w:val="105"/>
          <w:sz w:val="18"/>
          <w:vertAlign w:val="baseline"/>
        </w:rPr>
        <w:t>portfolio</w:t>
      </w:r>
      <w:r>
        <w:rPr>
          <w:spacing w:val="-10"/>
          <w:w w:val="105"/>
          <w:sz w:val="18"/>
          <w:vertAlign w:val="baseline"/>
        </w:rPr>
        <w:t> </w:t>
      </w:r>
      <w:r>
        <w:rPr>
          <w:w w:val="105"/>
          <w:sz w:val="18"/>
          <w:vertAlign w:val="baseline"/>
        </w:rPr>
        <w:t>with </w:t>
      </w:r>
      <w:r>
        <w:rPr>
          <w:sz w:val="18"/>
          <w:vertAlign w:val="baseline"/>
        </w:rPr>
        <w:t>signiﬁcant social risk exposure was concentrated in Asia during that 22-year period (see Table A10).</w:t>
      </w:r>
    </w:p>
    <w:p>
      <w:pPr>
        <w:spacing w:line="249" w:lineRule="auto" w:before="6"/>
        <w:ind w:left="560" w:right="561" w:firstLine="0"/>
        <w:jc w:val="left"/>
        <w:rPr>
          <w:sz w:val="18"/>
        </w:rPr>
      </w:pPr>
      <w:r>
        <w:rPr>
          <w:sz w:val="18"/>
          <w:vertAlign w:val="superscript"/>
        </w:rPr>
        <w:t>259</w:t>
      </w:r>
      <w:r>
        <w:rPr>
          <w:sz w:val="18"/>
          <w:vertAlign w:val="baseline"/>
        </w:rPr>
        <w:t> According to Table A11, lower-middle income countries (LMICs) and low-income countries (LICs) received 26.8% and 25.3%, respectively, of China’s grant- and loan-ﬁnanced infrastructure project portfolio (measured in constant 2021 USD) during the 2000-2021 period. However, 35.8% of its portfolio with signiﬁcant</w:t>
      </w:r>
      <w:r>
        <w:rPr>
          <w:spacing w:val="-1"/>
          <w:sz w:val="18"/>
          <w:vertAlign w:val="baseline"/>
        </w:rPr>
        <w:t> </w:t>
      </w:r>
      <w:r>
        <w:rPr>
          <w:sz w:val="18"/>
          <w:vertAlign w:val="baseline"/>
        </w:rPr>
        <w:t>social</w:t>
      </w:r>
      <w:r>
        <w:rPr>
          <w:spacing w:val="-1"/>
          <w:sz w:val="18"/>
          <w:vertAlign w:val="baseline"/>
        </w:rPr>
        <w:t> </w:t>
      </w:r>
      <w:r>
        <w:rPr>
          <w:sz w:val="18"/>
          <w:vertAlign w:val="baseline"/>
        </w:rPr>
        <w:t>risk</w:t>
      </w:r>
      <w:r>
        <w:rPr>
          <w:spacing w:val="-1"/>
          <w:sz w:val="18"/>
          <w:vertAlign w:val="baseline"/>
        </w:rPr>
        <w:t> </w:t>
      </w:r>
      <w:r>
        <w:rPr>
          <w:sz w:val="18"/>
          <w:vertAlign w:val="baseline"/>
        </w:rPr>
        <w:t>exposure</w:t>
      </w:r>
      <w:r>
        <w:rPr>
          <w:spacing w:val="-1"/>
          <w:sz w:val="18"/>
          <w:vertAlign w:val="baseline"/>
        </w:rPr>
        <w:t> </w:t>
      </w:r>
      <w:r>
        <w:rPr>
          <w:sz w:val="18"/>
          <w:vertAlign w:val="baseline"/>
        </w:rPr>
        <w:t>was</w:t>
      </w:r>
      <w:r>
        <w:rPr>
          <w:spacing w:val="-1"/>
          <w:sz w:val="18"/>
          <w:vertAlign w:val="baseline"/>
        </w:rPr>
        <w:t> </w:t>
      </w:r>
      <w:r>
        <w:rPr>
          <w:sz w:val="18"/>
          <w:vertAlign w:val="baseline"/>
        </w:rPr>
        <w:t>concentrated</w:t>
      </w:r>
      <w:r>
        <w:rPr>
          <w:spacing w:val="-1"/>
          <w:sz w:val="18"/>
          <w:vertAlign w:val="baseline"/>
        </w:rPr>
        <w:t> </w:t>
      </w:r>
      <w:r>
        <w:rPr>
          <w:sz w:val="18"/>
          <w:vertAlign w:val="baseline"/>
        </w:rPr>
        <w:t>in</w:t>
      </w:r>
      <w:r>
        <w:rPr>
          <w:spacing w:val="-1"/>
          <w:sz w:val="18"/>
          <w:vertAlign w:val="baseline"/>
        </w:rPr>
        <w:t> </w:t>
      </w:r>
      <w:r>
        <w:rPr>
          <w:sz w:val="18"/>
          <w:vertAlign w:val="baseline"/>
        </w:rPr>
        <w:t>LMICs—and</w:t>
      </w:r>
      <w:r>
        <w:rPr>
          <w:spacing w:val="-1"/>
          <w:sz w:val="18"/>
          <w:vertAlign w:val="baseline"/>
        </w:rPr>
        <w:t> </w:t>
      </w:r>
      <w:r>
        <w:rPr>
          <w:sz w:val="18"/>
          <w:vertAlign w:val="baseline"/>
        </w:rPr>
        <w:t>37.8%</w:t>
      </w:r>
      <w:r>
        <w:rPr>
          <w:spacing w:val="-1"/>
          <w:sz w:val="18"/>
          <w:vertAlign w:val="baseline"/>
        </w:rPr>
        <w:t> </w:t>
      </w:r>
      <w:r>
        <w:rPr>
          <w:sz w:val="18"/>
          <w:vertAlign w:val="baseline"/>
        </w:rPr>
        <w:t>of</w:t>
      </w:r>
      <w:r>
        <w:rPr>
          <w:spacing w:val="-1"/>
          <w:sz w:val="18"/>
          <w:vertAlign w:val="baseline"/>
        </w:rPr>
        <w:t> </w:t>
      </w:r>
      <w:r>
        <w:rPr>
          <w:sz w:val="18"/>
          <w:vertAlign w:val="baseline"/>
        </w:rPr>
        <w:t>its</w:t>
      </w:r>
      <w:r>
        <w:rPr>
          <w:spacing w:val="-1"/>
          <w:sz w:val="18"/>
          <w:vertAlign w:val="baseline"/>
        </w:rPr>
        <w:t> </w:t>
      </w:r>
      <w:r>
        <w:rPr>
          <w:sz w:val="18"/>
          <w:vertAlign w:val="baseline"/>
        </w:rPr>
        <w:t>portfolio</w:t>
      </w:r>
      <w:r>
        <w:rPr>
          <w:spacing w:val="-1"/>
          <w:sz w:val="18"/>
          <w:vertAlign w:val="baseline"/>
        </w:rPr>
        <w:t> </w:t>
      </w:r>
      <w:r>
        <w:rPr>
          <w:sz w:val="18"/>
          <w:vertAlign w:val="baseline"/>
        </w:rPr>
        <w:t>with</w:t>
      </w:r>
      <w:r>
        <w:rPr>
          <w:spacing w:val="-1"/>
          <w:sz w:val="18"/>
          <w:vertAlign w:val="baseline"/>
        </w:rPr>
        <w:t> </w:t>
      </w:r>
      <w:r>
        <w:rPr>
          <w:sz w:val="18"/>
          <w:vertAlign w:val="baseline"/>
        </w:rPr>
        <w:t>signiﬁcant</w:t>
      </w:r>
      <w:r>
        <w:rPr>
          <w:spacing w:val="-1"/>
          <w:sz w:val="18"/>
          <w:vertAlign w:val="baseline"/>
        </w:rPr>
        <w:t> </w:t>
      </w:r>
      <w:r>
        <w:rPr>
          <w:sz w:val="18"/>
          <w:vertAlign w:val="baseline"/>
        </w:rPr>
        <w:t>social risk exposure was concentrated in LICs—between 2000 and 2021.</w:t>
      </w:r>
    </w:p>
    <w:p>
      <w:pPr>
        <w:spacing w:line="249" w:lineRule="auto" w:before="4"/>
        <w:ind w:left="560" w:right="680" w:firstLine="0"/>
        <w:jc w:val="left"/>
        <w:rPr>
          <w:sz w:val="18"/>
        </w:rPr>
      </w:pPr>
      <w:r>
        <w:rPr>
          <w:sz w:val="18"/>
          <w:vertAlign w:val="superscript"/>
        </w:rPr>
        <w:t>260</w:t>
      </w:r>
      <w:r>
        <w:rPr>
          <w:spacing w:val="-2"/>
          <w:sz w:val="18"/>
          <w:vertAlign w:val="baseline"/>
        </w:rPr>
        <w:t> </w:t>
      </w:r>
      <w:r>
        <w:rPr>
          <w:sz w:val="18"/>
          <w:vertAlign w:val="baseline"/>
        </w:rPr>
        <w:t>Only</w:t>
      </w:r>
      <w:r>
        <w:rPr>
          <w:spacing w:val="-1"/>
          <w:sz w:val="18"/>
          <w:vertAlign w:val="baseline"/>
        </w:rPr>
        <w:t> </w:t>
      </w:r>
      <w:r>
        <w:rPr>
          <w:sz w:val="18"/>
          <w:vertAlign w:val="baseline"/>
        </w:rPr>
        <w:t>15.8%</w:t>
      </w:r>
      <w:r>
        <w:rPr>
          <w:spacing w:val="-1"/>
          <w:sz w:val="18"/>
          <w:vertAlign w:val="baseline"/>
        </w:rPr>
        <w:t> </w:t>
      </w:r>
      <w:r>
        <w:rPr>
          <w:sz w:val="18"/>
          <w:vertAlign w:val="baseline"/>
        </w:rPr>
        <w:t>of</w:t>
      </w:r>
      <w:r>
        <w:rPr>
          <w:spacing w:val="-1"/>
          <w:sz w:val="18"/>
          <w:vertAlign w:val="baseline"/>
        </w:rPr>
        <w:t> </w:t>
      </w:r>
      <w:r>
        <w:rPr>
          <w:sz w:val="18"/>
          <w:vertAlign w:val="baseline"/>
        </w:rPr>
        <w:t>China’s</w:t>
      </w:r>
      <w:r>
        <w:rPr>
          <w:spacing w:val="-1"/>
          <w:sz w:val="18"/>
          <w:vertAlign w:val="baseline"/>
        </w:rPr>
        <w:t> </w:t>
      </w:r>
      <w:r>
        <w:rPr>
          <w:sz w:val="18"/>
          <w:vertAlign w:val="baseline"/>
        </w:rPr>
        <w:t>grant-</w:t>
      </w:r>
      <w:r>
        <w:rPr>
          <w:spacing w:val="-1"/>
          <w:sz w:val="18"/>
          <w:vertAlign w:val="baseline"/>
        </w:rPr>
        <w:t> </w:t>
      </w:r>
      <w:r>
        <w:rPr>
          <w:sz w:val="18"/>
          <w:vertAlign w:val="baseline"/>
        </w:rPr>
        <w:t>and</w:t>
      </w:r>
      <w:r>
        <w:rPr>
          <w:spacing w:val="-1"/>
          <w:sz w:val="18"/>
          <w:vertAlign w:val="baseline"/>
        </w:rPr>
        <w:t> </w:t>
      </w:r>
      <w:r>
        <w:rPr>
          <w:sz w:val="18"/>
          <w:vertAlign w:val="baseline"/>
        </w:rPr>
        <w:t>loan-ﬁnanced</w:t>
      </w:r>
      <w:r>
        <w:rPr>
          <w:spacing w:val="-1"/>
          <w:sz w:val="18"/>
          <w:vertAlign w:val="baseline"/>
        </w:rPr>
        <w:t> </w:t>
      </w:r>
      <w:r>
        <w:rPr>
          <w:sz w:val="18"/>
          <w:vertAlign w:val="baseline"/>
        </w:rPr>
        <w:t>infrastructure</w:t>
      </w:r>
      <w:r>
        <w:rPr>
          <w:spacing w:val="-1"/>
          <w:sz w:val="18"/>
          <w:vertAlign w:val="baseline"/>
        </w:rPr>
        <w:t> </w:t>
      </w:r>
      <w:r>
        <w:rPr>
          <w:sz w:val="18"/>
          <w:vertAlign w:val="baseline"/>
        </w:rPr>
        <w:t>project</w:t>
      </w:r>
      <w:r>
        <w:rPr>
          <w:spacing w:val="-1"/>
          <w:sz w:val="18"/>
          <w:vertAlign w:val="baseline"/>
        </w:rPr>
        <w:t> </w:t>
      </w:r>
      <w:r>
        <w:rPr>
          <w:sz w:val="18"/>
          <w:vertAlign w:val="baseline"/>
        </w:rPr>
        <w:t>portfolio</w:t>
      </w:r>
      <w:r>
        <w:rPr>
          <w:spacing w:val="-1"/>
          <w:sz w:val="18"/>
          <w:vertAlign w:val="baseline"/>
        </w:rPr>
        <w:t> </w:t>
      </w:r>
      <w:r>
        <w:rPr>
          <w:sz w:val="18"/>
          <w:vertAlign w:val="baseline"/>
        </w:rPr>
        <w:t>(measured</w:t>
      </w:r>
      <w:r>
        <w:rPr>
          <w:spacing w:val="-1"/>
          <w:sz w:val="18"/>
          <w:vertAlign w:val="baseline"/>
        </w:rPr>
        <w:t> </w:t>
      </w:r>
      <w:r>
        <w:rPr>
          <w:sz w:val="18"/>
          <w:vertAlign w:val="baseline"/>
        </w:rPr>
        <w:t>in</w:t>
      </w:r>
      <w:r>
        <w:rPr>
          <w:spacing w:val="-1"/>
          <w:sz w:val="18"/>
          <w:vertAlign w:val="baseline"/>
        </w:rPr>
        <w:t> </w:t>
      </w:r>
      <w:r>
        <w:rPr>
          <w:sz w:val="18"/>
          <w:vertAlign w:val="baseline"/>
        </w:rPr>
        <w:t>constant 2021 USD) with signiﬁcant social risk exposure—and 25.6% with signiﬁcant environmental risk exposure—was located in UMICs (see Table A11).</w:t>
      </w:r>
    </w:p>
    <w:p>
      <w:pPr>
        <w:spacing w:line="249" w:lineRule="auto" w:before="2"/>
        <w:ind w:left="560" w:right="626" w:firstLine="0"/>
        <w:jc w:val="left"/>
        <w:rPr>
          <w:sz w:val="18"/>
        </w:rPr>
      </w:pPr>
      <w:r>
        <w:rPr>
          <w:w w:val="105"/>
          <w:sz w:val="18"/>
          <w:vertAlign w:val="superscript"/>
        </w:rPr>
        <w:t>261</w:t>
      </w:r>
      <w:r>
        <w:rPr>
          <w:spacing w:val="-11"/>
          <w:w w:val="105"/>
          <w:sz w:val="18"/>
          <w:vertAlign w:val="baseline"/>
        </w:rPr>
        <w:t> </w:t>
      </w:r>
      <w:r>
        <w:rPr>
          <w:w w:val="105"/>
          <w:sz w:val="18"/>
          <w:vertAlign w:val="baseline"/>
        </w:rPr>
        <w:t>If</w:t>
      </w:r>
      <w:r>
        <w:rPr>
          <w:spacing w:val="-11"/>
          <w:w w:val="105"/>
          <w:sz w:val="18"/>
          <w:vertAlign w:val="baseline"/>
        </w:rPr>
        <w:t> </w:t>
      </w:r>
      <w:r>
        <w:rPr>
          <w:w w:val="105"/>
          <w:sz w:val="18"/>
          <w:vertAlign w:val="baseline"/>
        </w:rPr>
        <w:t>a</w:t>
      </w:r>
      <w:r>
        <w:rPr>
          <w:spacing w:val="-11"/>
          <w:w w:val="105"/>
          <w:sz w:val="18"/>
          <w:vertAlign w:val="baseline"/>
        </w:rPr>
        <w:t> </w:t>
      </w:r>
      <w:r>
        <w:rPr>
          <w:w w:val="105"/>
          <w:sz w:val="18"/>
          <w:vertAlign w:val="baseline"/>
        </w:rPr>
        <w:t>project</w:t>
      </w:r>
      <w:r>
        <w:rPr>
          <w:spacing w:val="-11"/>
          <w:w w:val="105"/>
          <w:sz w:val="18"/>
          <w:vertAlign w:val="baseline"/>
        </w:rPr>
        <w:t> </w:t>
      </w:r>
      <w:r>
        <w:rPr>
          <w:w w:val="105"/>
          <w:sz w:val="18"/>
          <w:vertAlign w:val="baseline"/>
        </w:rPr>
        <w:t>falls</w:t>
      </w:r>
      <w:r>
        <w:rPr>
          <w:spacing w:val="-11"/>
          <w:w w:val="105"/>
          <w:sz w:val="18"/>
          <w:vertAlign w:val="baseline"/>
        </w:rPr>
        <w:t> </w:t>
      </w:r>
      <w:r>
        <w:rPr>
          <w:w w:val="105"/>
          <w:sz w:val="18"/>
          <w:vertAlign w:val="baseline"/>
        </w:rPr>
        <w:t>across</w:t>
      </w:r>
      <w:r>
        <w:rPr>
          <w:spacing w:val="-11"/>
          <w:w w:val="105"/>
          <w:sz w:val="18"/>
          <w:vertAlign w:val="baseline"/>
        </w:rPr>
        <w:t> </w:t>
      </w:r>
      <w:r>
        <w:rPr>
          <w:w w:val="105"/>
          <w:sz w:val="18"/>
          <w:vertAlign w:val="baseline"/>
        </w:rPr>
        <w:t>multiple</w:t>
      </w:r>
      <w:r>
        <w:rPr>
          <w:spacing w:val="-11"/>
          <w:w w:val="105"/>
          <w:sz w:val="18"/>
          <w:vertAlign w:val="baseline"/>
        </w:rPr>
        <w:t> </w:t>
      </w:r>
      <w:r>
        <w:rPr>
          <w:w w:val="105"/>
          <w:sz w:val="18"/>
          <w:vertAlign w:val="baseline"/>
        </w:rPr>
        <w:t>grid</w:t>
      </w:r>
      <w:r>
        <w:rPr>
          <w:spacing w:val="-11"/>
          <w:w w:val="105"/>
          <w:sz w:val="18"/>
          <w:vertAlign w:val="baseline"/>
        </w:rPr>
        <w:t> </w:t>
      </w:r>
      <w:r>
        <w:rPr>
          <w:w w:val="105"/>
          <w:sz w:val="18"/>
          <w:vertAlign w:val="baseline"/>
        </w:rPr>
        <w:t>cells,</w:t>
      </w:r>
      <w:r>
        <w:rPr>
          <w:spacing w:val="-11"/>
          <w:w w:val="105"/>
          <w:sz w:val="18"/>
          <w:vertAlign w:val="baseline"/>
        </w:rPr>
        <w:t> </w:t>
      </w:r>
      <w:r>
        <w:rPr>
          <w:w w:val="105"/>
          <w:sz w:val="18"/>
          <w:vertAlign w:val="baseline"/>
        </w:rPr>
        <w:t>we</w:t>
      </w:r>
      <w:r>
        <w:rPr>
          <w:spacing w:val="-11"/>
          <w:w w:val="105"/>
          <w:sz w:val="18"/>
          <w:vertAlign w:val="baseline"/>
        </w:rPr>
        <w:t> </w:t>
      </w:r>
      <w:r>
        <w:rPr>
          <w:w w:val="105"/>
          <w:sz w:val="18"/>
          <w:vertAlign w:val="baseline"/>
        </w:rPr>
        <w:t>assume</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monetary</w:t>
      </w:r>
      <w:r>
        <w:rPr>
          <w:spacing w:val="-11"/>
          <w:w w:val="105"/>
          <w:sz w:val="18"/>
          <w:vertAlign w:val="baseline"/>
        </w:rPr>
        <w:t> </w:t>
      </w:r>
      <w:r>
        <w:rPr>
          <w:w w:val="105"/>
          <w:sz w:val="18"/>
          <w:vertAlign w:val="baseline"/>
        </w:rPr>
        <w:t>value</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commitment</w:t>
      </w:r>
      <w:r>
        <w:rPr>
          <w:spacing w:val="-11"/>
          <w:w w:val="105"/>
          <w:sz w:val="18"/>
          <w:vertAlign w:val="baseline"/>
        </w:rPr>
        <w:t> </w:t>
      </w:r>
      <w:r>
        <w:rPr>
          <w:w w:val="105"/>
          <w:sz w:val="18"/>
          <w:vertAlign w:val="baseline"/>
        </w:rPr>
        <w:t>for</w:t>
      </w:r>
      <w:r>
        <w:rPr>
          <w:spacing w:val="-11"/>
          <w:w w:val="105"/>
          <w:sz w:val="18"/>
          <w:vertAlign w:val="baseline"/>
        </w:rPr>
        <w:t> </w:t>
      </w:r>
      <w:r>
        <w:rPr>
          <w:w w:val="105"/>
          <w:sz w:val="18"/>
          <w:vertAlign w:val="baseline"/>
        </w:rPr>
        <w:t>the </w:t>
      </w:r>
      <w:r>
        <w:rPr>
          <w:sz w:val="18"/>
          <w:vertAlign w:val="baseline"/>
        </w:rPr>
        <w:t>project is evenly distributed within the project’s line or polygon. Thus, the total ﬁnancial commitment </w:t>
      </w:r>
      <w:r>
        <w:rPr>
          <w:sz w:val="18"/>
          <w:vertAlign w:val="baseline"/>
        </w:rPr>
        <w:t>value </w:t>
      </w:r>
      <w:r>
        <w:rPr>
          <w:w w:val="105"/>
          <w:sz w:val="18"/>
          <w:vertAlign w:val="baseline"/>
        </w:rPr>
        <w:t>for</w:t>
      </w:r>
      <w:r>
        <w:rPr>
          <w:spacing w:val="-14"/>
          <w:w w:val="105"/>
          <w:sz w:val="18"/>
          <w:vertAlign w:val="baseline"/>
        </w:rPr>
        <w:t> </w:t>
      </w:r>
      <w:r>
        <w:rPr>
          <w:w w:val="105"/>
          <w:sz w:val="18"/>
          <w:vertAlign w:val="baseline"/>
        </w:rPr>
        <w:t>the</w:t>
      </w:r>
      <w:r>
        <w:rPr>
          <w:spacing w:val="-13"/>
          <w:w w:val="105"/>
          <w:sz w:val="18"/>
          <w:vertAlign w:val="baseline"/>
        </w:rPr>
        <w:t> </w:t>
      </w:r>
      <w:r>
        <w:rPr>
          <w:w w:val="105"/>
          <w:sz w:val="18"/>
          <w:vertAlign w:val="baseline"/>
        </w:rPr>
        <w:t>project</w:t>
      </w:r>
      <w:r>
        <w:rPr>
          <w:spacing w:val="-13"/>
          <w:w w:val="105"/>
          <w:sz w:val="18"/>
          <w:vertAlign w:val="baseline"/>
        </w:rPr>
        <w:t> </w:t>
      </w:r>
      <w:r>
        <w:rPr>
          <w:w w:val="105"/>
          <w:sz w:val="18"/>
          <w:vertAlign w:val="baseline"/>
        </w:rPr>
        <w:t>is</w:t>
      </w:r>
      <w:r>
        <w:rPr>
          <w:spacing w:val="-13"/>
          <w:w w:val="105"/>
          <w:sz w:val="18"/>
          <w:vertAlign w:val="baseline"/>
        </w:rPr>
        <w:t> </w:t>
      </w:r>
      <w:r>
        <w:rPr>
          <w:w w:val="105"/>
          <w:sz w:val="18"/>
          <w:vertAlign w:val="baseline"/>
        </w:rPr>
        <w:t>split</w:t>
      </w:r>
      <w:r>
        <w:rPr>
          <w:spacing w:val="-13"/>
          <w:w w:val="105"/>
          <w:sz w:val="18"/>
          <w:vertAlign w:val="baseline"/>
        </w:rPr>
        <w:t> </w:t>
      </w:r>
      <w:r>
        <w:rPr>
          <w:w w:val="105"/>
          <w:sz w:val="18"/>
          <w:vertAlign w:val="baseline"/>
        </w:rPr>
        <w:t>up</w:t>
      </w:r>
      <w:r>
        <w:rPr>
          <w:spacing w:val="-13"/>
          <w:w w:val="105"/>
          <w:sz w:val="18"/>
          <w:vertAlign w:val="baseline"/>
        </w:rPr>
        <w:t> </w:t>
      </w:r>
      <w:r>
        <w:rPr>
          <w:w w:val="105"/>
          <w:sz w:val="18"/>
          <w:vertAlign w:val="baseline"/>
        </w:rPr>
        <w:t>among</w:t>
      </w:r>
      <w:r>
        <w:rPr>
          <w:spacing w:val="-13"/>
          <w:w w:val="105"/>
          <w:sz w:val="18"/>
          <w:vertAlign w:val="baseline"/>
        </w:rPr>
        <w:t> </w:t>
      </w:r>
      <w:r>
        <w:rPr>
          <w:w w:val="105"/>
          <w:sz w:val="18"/>
          <w:vertAlign w:val="baseline"/>
        </w:rPr>
        <w:t>grid</w:t>
      </w:r>
      <w:r>
        <w:rPr>
          <w:spacing w:val="-14"/>
          <w:w w:val="105"/>
          <w:sz w:val="18"/>
          <w:vertAlign w:val="baseline"/>
        </w:rPr>
        <w:t> </w:t>
      </w:r>
      <w:r>
        <w:rPr>
          <w:w w:val="105"/>
          <w:sz w:val="18"/>
          <w:vertAlign w:val="baseline"/>
        </w:rPr>
        <w:t>cells</w:t>
      </w:r>
      <w:r>
        <w:rPr>
          <w:spacing w:val="-13"/>
          <w:w w:val="105"/>
          <w:sz w:val="18"/>
          <w:vertAlign w:val="baseline"/>
        </w:rPr>
        <w:t> </w:t>
      </w:r>
      <w:r>
        <w:rPr>
          <w:w w:val="105"/>
          <w:sz w:val="18"/>
          <w:vertAlign w:val="baseline"/>
        </w:rPr>
        <w:t>based</w:t>
      </w:r>
      <w:r>
        <w:rPr>
          <w:spacing w:val="-13"/>
          <w:w w:val="105"/>
          <w:sz w:val="18"/>
          <w:vertAlign w:val="baseline"/>
        </w:rPr>
        <w:t> </w:t>
      </w:r>
      <w:r>
        <w:rPr>
          <w:w w:val="105"/>
          <w:sz w:val="18"/>
          <w:vertAlign w:val="baseline"/>
        </w:rPr>
        <w:t>upon</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percentage</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project’s</w:t>
      </w:r>
      <w:r>
        <w:rPr>
          <w:spacing w:val="-14"/>
          <w:w w:val="105"/>
          <w:sz w:val="18"/>
          <w:vertAlign w:val="baseline"/>
        </w:rPr>
        <w:t> </w:t>
      </w:r>
      <w:r>
        <w:rPr>
          <w:w w:val="105"/>
          <w:sz w:val="18"/>
          <w:vertAlign w:val="baseline"/>
        </w:rPr>
        <w:t>area</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falls</w:t>
      </w:r>
      <w:r>
        <w:rPr>
          <w:spacing w:val="-13"/>
          <w:w w:val="105"/>
          <w:sz w:val="18"/>
          <w:vertAlign w:val="baseline"/>
        </w:rPr>
        <w:t> </w:t>
      </w:r>
      <w:r>
        <w:rPr>
          <w:w w:val="105"/>
          <w:sz w:val="18"/>
          <w:vertAlign w:val="baseline"/>
        </w:rPr>
        <w:t>within each grid cell.</w:t>
      </w:r>
    </w:p>
    <w:p>
      <w:pPr>
        <w:spacing w:after="0" w:line="249" w:lineRule="auto"/>
        <w:jc w:val="left"/>
        <w:rPr>
          <w:sz w:val="18"/>
        </w:rPr>
        <w:sectPr>
          <w:pgSz w:w="12240" w:h="15840"/>
          <w:pgMar w:header="0" w:footer="720" w:top="1360" w:bottom="920" w:left="1240" w:right="1260"/>
        </w:sectPr>
      </w:pPr>
    </w:p>
    <w:p>
      <w:pPr>
        <w:pStyle w:val="BodyText"/>
        <w:spacing w:line="333" w:lineRule="auto" w:before="67"/>
        <w:ind w:left="560" w:right="561"/>
      </w:pPr>
      <w:r>
        <w:rPr/>
        <w:t>2021.</w:t>
      </w:r>
      <w:r>
        <w:rPr>
          <w:vertAlign w:val="superscript"/>
        </w:rPr>
        <w:t>262</w:t>
      </w:r>
      <w:r>
        <w:rPr>
          <w:vertAlign w:val="baseline"/>
        </w:rPr>
        <w:t> Whereas light pink grid cells represent areas where China has a relatively low level of risk exposure in its infrastructure project portfolio, dark purple</w:t>
      </w:r>
      <w:r>
        <w:rPr>
          <w:spacing w:val="-5"/>
          <w:vertAlign w:val="baseline"/>
        </w:rPr>
        <w:t> </w:t>
      </w:r>
      <w:r>
        <w:rPr>
          <w:vertAlign w:val="baseline"/>
        </w:rPr>
        <w:t>grid</w:t>
      </w:r>
      <w:r>
        <w:rPr>
          <w:spacing w:val="-5"/>
          <w:vertAlign w:val="baseline"/>
        </w:rPr>
        <w:t> </w:t>
      </w:r>
      <w:r>
        <w:rPr>
          <w:vertAlign w:val="baseline"/>
        </w:rPr>
        <w:t>cells</w:t>
      </w:r>
      <w:r>
        <w:rPr>
          <w:spacing w:val="-5"/>
          <w:vertAlign w:val="baseline"/>
        </w:rPr>
        <w:t> </w:t>
      </w:r>
      <w:r>
        <w:rPr>
          <w:vertAlign w:val="baseline"/>
        </w:rPr>
        <w:t>represent</w:t>
      </w:r>
      <w:r>
        <w:rPr>
          <w:spacing w:val="-5"/>
          <w:vertAlign w:val="baseline"/>
        </w:rPr>
        <w:t> </w:t>
      </w:r>
      <w:r>
        <w:rPr>
          <w:vertAlign w:val="baseline"/>
        </w:rPr>
        <w:t>areas</w:t>
      </w:r>
      <w:r>
        <w:rPr>
          <w:spacing w:val="-5"/>
          <w:vertAlign w:val="baseline"/>
        </w:rPr>
        <w:t> </w:t>
      </w:r>
      <w:r>
        <w:rPr>
          <w:vertAlign w:val="baseline"/>
        </w:rPr>
        <w:t>where</w:t>
      </w:r>
      <w:r>
        <w:rPr>
          <w:spacing w:val="-5"/>
          <w:vertAlign w:val="baseline"/>
        </w:rPr>
        <w:t> </w:t>
      </w:r>
      <w:r>
        <w:rPr>
          <w:vertAlign w:val="baseline"/>
        </w:rPr>
        <w:t>China</w:t>
      </w:r>
      <w:r>
        <w:rPr>
          <w:spacing w:val="-5"/>
          <w:vertAlign w:val="baseline"/>
        </w:rPr>
        <w:t> </w:t>
      </w:r>
      <w:r>
        <w:rPr>
          <w:vertAlign w:val="baseline"/>
        </w:rPr>
        <w:t>has</w:t>
      </w:r>
      <w:r>
        <w:rPr>
          <w:spacing w:val="-5"/>
          <w:vertAlign w:val="baseline"/>
        </w:rPr>
        <w:t> </w:t>
      </w:r>
      <w:r>
        <w:rPr>
          <w:vertAlign w:val="baseline"/>
        </w:rPr>
        <w:t>a</w:t>
      </w:r>
      <w:r>
        <w:rPr>
          <w:spacing w:val="-5"/>
          <w:vertAlign w:val="baseline"/>
        </w:rPr>
        <w:t> </w:t>
      </w:r>
      <w:r>
        <w:rPr>
          <w:vertAlign w:val="baseline"/>
        </w:rPr>
        <w:t>relatively</w:t>
      </w:r>
      <w:r>
        <w:rPr>
          <w:spacing w:val="-5"/>
          <w:vertAlign w:val="baseline"/>
        </w:rPr>
        <w:t> </w:t>
      </w:r>
      <w:r>
        <w:rPr>
          <w:vertAlign w:val="baseline"/>
        </w:rPr>
        <w:t>high</w:t>
      </w:r>
      <w:r>
        <w:rPr>
          <w:spacing w:val="-5"/>
          <w:vertAlign w:val="baseline"/>
        </w:rPr>
        <w:t> </w:t>
      </w:r>
      <w:r>
        <w:rPr>
          <w:vertAlign w:val="baseline"/>
        </w:rPr>
        <w:t>level</w:t>
      </w:r>
      <w:r>
        <w:rPr>
          <w:spacing w:val="-5"/>
          <w:vertAlign w:val="baseline"/>
        </w:rPr>
        <w:t> </w:t>
      </w:r>
      <w:r>
        <w:rPr>
          <w:vertAlign w:val="baseline"/>
        </w:rPr>
        <w:t>of</w:t>
      </w:r>
      <w:r>
        <w:rPr>
          <w:spacing w:val="-5"/>
          <w:vertAlign w:val="baseline"/>
        </w:rPr>
        <w:t> </w:t>
      </w:r>
      <w:r>
        <w:rPr>
          <w:vertAlign w:val="baseline"/>
        </w:rPr>
        <w:t>risk exposure in its infrastructure project portfolio.</w:t>
      </w:r>
    </w:p>
    <w:p>
      <w:pPr>
        <w:pStyle w:val="BodyText"/>
        <w:spacing w:before="7"/>
        <w:rPr>
          <w:sz w:val="27"/>
        </w:rPr>
      </w:pPr>
    </w:p>
    <w:p>
      <w:pPr>
        <w:pStyle w:val="BodyText"/>
        <w:spacing w:line="333" w:lineRule="auto"/>
        <w:ind w:left="560" w:right="575"/>
      </w:pPr>
      <w:r>
        <w:rPr/>
        <w:t>The map in the upper-left hand corner of Figure 3.6 demonstrates that Beijing has a particularly high level of environmental risk exposure in the Tropical Andes (including Venezuela, Ecuador, and Peru), the Southern Cone (including Argentina), East Africa (including Ethiopia, Kenya, and Uganda), West Africa (including Ghana, Togo, Benin, Nigeria, and Cameroon), Central Asia (including Kazakhstan,</w:t>
      </w:r>
      <w:r>
        <w:rPr>
          <w:spacing w:val="-7"/>
        </w:rPr>
        <w:t> </w:t>
      </w:r>
      <w:r>
        <w:rPr/>
        <w:t>Kyrgyzstan,</w:t>
      </w:r>
      <w:r>
        <w:rPr>
          <w:spacing w:val="-7"/>
        </w:rPr>
        <w:t> </w:t>
      </w:r>
      <w:r>
        <w:rPr/>
        <w:t>and</w:t>
      </w:r>
      <w:r>
        <w:rPr>
          <w:spacing w:val="-7"/>
        </w:rPr>
        <w:t> </w:t>
      </w:r>
      <w:r>
        <w:rPr/>
        <w:t>Tajikistan),</w:t>
      </w:r>
      <w:r>
        <w:rPr>
          <w:spacing w:val="-7"/>
        </w:rPr>
        <w:t> </w:t>
      </w:r>
      <w:r>
        <w:rPr/>
        <w:t>and</w:t>
      </w:r>
      <w:r>
        <w:rPr>
          <w:spacing w:val="-7"/>
        </w:rPr>
        <w:t> </w:t>
      </w:r>
      <w:r>
        <w:rPr/>
        <w:t>Southeast</w:t>
      </w:r>
      <w:r>
        <w:rPr>
          <w:spacing w:val="-7"/>
        </w:rPr>
        <w:t> </w:t>
      </w:r>
      <w:r>
        <w:rPr/>
        <w:t>Asia</w:t>
      </w:r>
      <w:r>
        <w:rPr>
          <w:spacing w:val="-7"/>
        </w:rPr>
        <w:t> </w:t>
      </w:r>
      <w:r>
        <w:rPr/>
        <w:t>(including</w:t>
      </w:r>
      <w:r>
        <w:rPr>
          <w:spacing w:val="-7"/>
        </w:rPr>
        <w:t> </w:t>
      </w:r>
      <w:r>
        <w:rPr/>
        <w:t>Laos, Cambodia, Vietnam, and Indonesia). The geographical distribution of social risk exposure, as depicted in the map in the upper-right hand corner of Figure 3.6, </w:t>
      </w:r>
      <w:r>
        <w:rPr/>
        <w:t>is broadly similar, although the hotspots are less concentrated in Central Asia and more</w:t>
      </w:r>
      <w:r>
        <w:rPr>
          <w:spacing w:val="-4"/>
        </w:rPr>
        <w:t> </w:t>
      </w:r>
      <w:r>
        <w:rPr/>
        <w:t>concentrated</w:t>
      </w:r>
      <w:r>
        <w:rPr>
          <w:spacing w:val="-4"/>
        </w:rPr>
        <w:t> </w:t>
      </w:r>
      <w:r>
        <w:rPr/>
        <w:t>in</w:t>
      </w:r>
      <w:r>
        <w:rPr>
          <w:spacing w:val="-4"/>
        </w:rPr>
        <w:t> </w:t>
      </w:r>
      <w:r>
        <w:rPr/>
        <w:t>Ethiopia,</w:t>
      </w:r>
      <w:r>
        <w:rPr>
          <w:spacing w:val="-4"/>
        </w:rPr>
        <w:t> </w:t>
      </w:r>
      <w:r>
        <w:rPr/>
        <w:t>Kenya,</w:t>
      </w:r>
      <w:r>
        <w:rPr>
          <w:spacing w:val="-4"/>
        </w:rPr>
        <w:t> </w:t>
      </w:r>
      <w:r>
        <w:rPr/>
        <w:t>Pakistan,</w:t>
      </w:r>
      <w:r>
        <w:rPr>
          <w:spacing w:val="-4"/>
        </w:rPr>
        <w:t> </w:t>
      </w:r>
      <w:r>
        <w:rPr/>
        <w:t>and</w:t>
      </w:r>
      <w:r>
        <w:rPr>
          <w:spacing w:val="-4"/>
        </w:rPr>
        <w:t> </w:t>
      </w:r>
      <w:r>
        <w:rPr/>
        <w:t>Southeast</w:t>
      </w:r>
      <w:r>
        <w:rPr>
          <w:spacing w:val="-4"/>
        </w:rPr>
        <w:t> </w:t>
      </w:r>
      <w:r>
        <w:rPr/>
        <w:t>Asia.</w:t>
      </w:r>
      <w:r>
        <w:rPr>
          <w:spacing w:val="-4"/>
        </w:rPr>
        <w:t> </w:t>
      </w:r>
      <w:r>
        <w:rPr/>
        <w:t>The</w:t>
      </w:r>
      <w:r>
        <w:rPr>
          <w:spacing w:val="-4"/>
        </w:rPr>
        <w:t> </w:t>
      </w:r>
      <w:r>
        <w:rPr/>
        <w:t>map</w:t>
      </w:r>
      <w:r>
        <w:rPr>
          <w:spacing w:val="-4"/>
        </w:rPr>
        <w:t> </w:t>
      </w:r>
      <w:r>
        <w:rPr/>
        <w:t>in the bottom-left hand corner of Figure 3.6 also demonstrates that Beijing has a particularly high level of governance risk exposure in the Tropical Andes, East Africa, and South Asia—including Zambia, Bangladesh, and Argentina (three countries for which we provide in-depth case study evidence in Chapter 4).</w:t>
      </w:r>
    </w:p>
    <w:p>
      <w:pPr>
        <w:pStyle w:val="BodyText"/>
        <w:spacing w:line="333" w:lineRule="auto"/>
        <w:ind w:left="560" w:right="561"/>
      </w:pPr>
      <w:r>
        <w:rPr/>
        <w:t>Finally, in the bottom-right hand corner of Figure 3.6, we collapse all three categories</w:t>
      </w:r>
      <w:r>
        <w:rPr>
          <w:spacing w:val="-1"/>
        </w:rPr>
        <w:t> </w:t>
      </w:r>
      <w:r>
        <w:rPr/>
        <w:t>of</w:t>
      </w:r>
      <w:r>
        <w:rPr>
          <w:spacing w:val="-1"/>
        </w:rPr>
        <w:t> </w:t>
      </w:r>
      <w:r>
        <w:rPr/>
        <w:t>risk</w:t>
      </w:r>
      <w:r>
        <w:rPr>
          <w:spacing w:val="-1"/>
        </w:rPr>
        <w:t> </w:t>
      </w:r>
      <w:r>
        <w:rPr/>
        <w:t>exposure</w:t>
      </w:r>
      <w:r>
        <w:rPr>
          <w:spacing w:val="-1"/>
        </w:rPr>
        <w:t> </w:t>
      </w:r>
      <w:r>
        <w:rPr/>
        <w:t>into</w:t>
      </w:r>
      <w:r>
        <w:rPr>
          <w:spacing w:val="-1"/>
        </w:rPr>
        <w:t> </w:t>
      </w:r>
      <w:r>
        <w:rPr/>
        <w:t>a</w:t>
      </w:r>
      <w:r>
        <w:rPr>
          <w:spacing w:val="-1"/>
        </w:rPr>
        <w:t> </w:t>
      </w:r>
      <w:r>
        <w:rPr/>
        <w:t>single</w:t>
      </w:r>
      <w:r>
        <w:rPr>
          <w:spacing w:val="-1"/>
        </w:rPr>
        <w:t> </w:t>
      </w:r>
      <w:r>
        <w:rPr/>
        <w:t>map,</w:t>
      </w:r>
      <w:r>
        <w:rPr>
          <w:spacing w:val="-1"/>
        </w:rPr>
        <w:t> </w:t>
      </w:r>
      <w:r>
        <w:rPr/>
        <w:t>such</w:t>
      </w:r>
      <w:r>
        <w:rPr>
          <w:spacing w:val="-1"/>
        </w:rPr>
        <w:t> </w:t>
      </w:r>
      <w:r>
        <w:rPr/>
        <w:t>that</w:t>
      </w:r>
      <w:r>
        <w:rPr>
          <w:spacing w:val="-1"/>
        </w:rPr>
        <w:t> </w:t>
      </w:r>
      <w:r>
        <w:rPr/>
        <w:t>each</w:t>
      </w:r>
      <w:r>
        <w:rPr>
          <w:spacing w:val="-1"/>
        </w:rPr>
        <w:t> </w:t>
      </w:r>
      <w:r>
        <w:rPr/>
        <w:t>grid</w:t>
      </w:r>
      <w:r>
        <w:rPr>
          <w:spacing w:val="-1"/>
        </w:rPr>
        <w:t> </w:t>
      </w:r>
      <w:r>
        <w:rPr/>
        <w:t>cell</w:t>
      </w:r>
      <w:r>
        <w:rPr>
          <w:spacing w:val="-1"/>
        </w:rPr>
        <w:t> </w:t>
      </w:r>
      <w:r>
        <w:rPr/>
        <w:t>captures the extent to which Chinese grant- and loan-ﬁnanced infrastructure projects in that area encountered signiﬁcant environmental, social, </w:t>
      </w:r>
      <w:r>
        <w:rPr>
          <w:i/>
        </w:rPr>
        <w:t>or </w:t>
      </w:r>
      <w:r>
        <w:rPr/>
        <w:t>government risks.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r>
        <w:rPr/>
        <w:pict>
          <v:shape style="position:absolute;margin-left:90pt;margin-top:18.354053pt;width:144pt;height:.1pt;mso-position-horizontal-relative:page;mso-position-vertical-relative:paragraph;z-index:-15715328;mso-wrap-distance-left:0;mso-wrap-distance-right:0" id="docshape22" coordorigin="1800,367" coordsize="2880,0" path="m1800,367l4680,367e" filled="false" stroked="true" strokeweight=".75pt" strokecolor="#000000">
            <v:path arrowok="t"/>
            <v:stroke dashstyle="solid"/>
            <w10:wrap type="topAndBottom"/>
          </v:shape>
        </w:pict>
      </w:r>
    </w:p>
    <w:p>
      <w:pPr>
        <w:spacing w:line="249" w:lineRule="auto" w:before="107"/>
        <w:ind w:left="560" w:right="680" w:firstLine="0"/>
        <w:jc w:val="left"/>
        <w:rPr>
          <w:sz w:val="18"/>
        </w:rPr>
      </w:pPr>
      <w:r>
        <w:rPr>
          <w:sz w:val="18"/>
          <w:vertAlign w:val="superscript"/>
        </w:rPr>
        <w:t>262</w:t>
      </w:r>
      <w:r>
        <w:rPr>
          <w:spacing w:val="-1"/>
          <w:sz w:val="18"/>
          <w:vertAlign w:val="baseline"/>
        </w:rPr>
        <w:t> </w:t>
      </w:r>
      <w:r>
        <w:rPr>
          <w:sz w:val="18"/>
          <w:vertAlign w:val="baseline"/>
        </w:rPr>
        <w:t>In Figure A62, we replicate Figure 3.6 but scale the level of risk exposure in a given grid cell </w:t>
      </w:r>
      <w:r>
        <w:rPr>
          <w:sz w:val="18"/>
          <w:vertAlign w:val="baseline"/>
        </w:rPr>
        <w:t>according to the cumulative count of Chinese grant- and loan-ﬁnanced infrastructure projects rather than the cumulative monetary value of Chinese grant and loan commitments for the same projects.</w:t>
      </w:r>
    </w:p>
    <w:p>
      <w:pPr>
        <w:spacing w:after="0" w:line="249" w:lineRule="auto"/>
        <w:jc w:val="left"/>
        <w:rPr>
          <w:sz w:val="18"/>
        </w:rPr>
        <w:sectPr>
          <w:pgSz w:w="12240" w:h="15840"/>
          <w:pgMar w:header="0" w:footer="720" w:top="1360" w:bottom="920" w:left="1240" w:right="1260"/>
        </w:sectPr>
      </w:pPr>
    </w:p>
    <w:p>
      <w:pPr>
        <w:pStyle w:val="BodyText"/>
        <w:ind w:left="440"/>
        <w:rPr>
          <w:sz w:val="20"/>
        </w:rPr>
      </w:pPr>
      <w:r>
        <w:rPr>
          <w:sz w:val="20"/>
        </w:rPr>
        <w:pict>
          <v:shape style="width:444pt;height:38pt;mso-position-horizontal-relative:char;mso-position-vertical-relative:line" type="#_x0000_t202" id="docshape23"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3.6</w:t>
                  </w:r>
                </w:p>
              </w:txbxContent>
            </v:textbox>
            <v:fill type="solid"/>
          </v:shape>
        </w:pict>
      </w:r>
      <w:r>
        <w:rPr>
          <w:sz w:val="20"/>
        </w:rPr>
      </w:r>
    </w:p>
    <w:p>
      <w:pPr>
        <w:pStyle w:val="Heading2"/>
        <w:spacing w:line="351" w:lineRule="exact" w:before="0"/>
        <w:ind w:left="560"/>
      </w:pPr>
      <w:r>
        <w:rPr>
          <w:spacing w:val="-10"/>
        </w:rPr>
        <w:t>A</w:t>
      </w:r>
      <w:r>
        <w:rPr>
          <w:spacing w:val="-6"/>
        </w:rPr>
        <w:t> </w:t>
      </w:r>
      <w:r>
        <w:rPr>
          <w:spacing w:val="-10"/>
        </w:rPr>
        <w:t>global</w:t>
      </w:r>
      <w:r>
        <w:rPr>
          <w:spacing w:val="-5"/>
        </w:rPr>
        <w:t> </w:t>
      </w:r>
      <w:r>
        <w:rPr>
          <w:spacing w:val="-10"/>
        </w:rPr>
        <w:t>map</w:t>
      </w:r>
      <w:r>
        <w:rPr>
          <w:spacing w:val="-5"/>
        </w:rPr>
        <w:t> </w:t>
      </w:r>
      <w:r>
        <w:rPr>
          <w:spacing w:val="-10"/>
        </w:rPr>
        <w:t>of</w:t>
      </w:r>
      <w:r>
        <w:rPr>
          <w:spacing w:val="-5"/>
        </w:rPr>
        <w:t> </w:t>
      </w:r>
      <w:r>
        <w:rPr>
          <w:spacing w:val="-10"/>
        </w:rPr>
        <w:t>China’s</w:t>
      </w:r>
      <w:r>
        <w:rPr>
          <w:spacing w:val="-5"/>
        </w:rPr>
        <w:t> </w:t>
      </w:r>
      <w:r>
        <w:rPr>
          <w:spacing w:val="-10"/>
        </w:rPr>
        <w:t>infrastructure</w:t>
      </w:r>
      <w:r>
        <w:rPr>
          <w:spacing w:val="-5"/>
        </w:rPr>
        <w:t> </w:t>
      </w:r>
      <w:r>
        <w:rPr>
          <w:spacing w:val="-10"/>
        </w:rPr>
        <w:t>project</w:t>
      </w:r>
      <w:r>
        <w:rPr>
          <w:spacing w:val="-5"/>
        </w:rPr>
        <w:t> </w:t>
      </w:r>
      <w:r>
        <w:rPr>
          <w:spacing w:val="-10"/>
        </w:rPr>
        <w:t>portfolio</w:t>
      </w:r>
      <w:r>
        <w:rPr>
          <w:spacing w:val="-5"/>
        </w:rPr>
        <w:t> </w:t>
      </w:r>
      <w:r>
        <w:rPr>
          <w:spacing w:val="-10"/>
        </w:rPr>
        <w:t>in</w:t>
      </w:r>
    </w:p>
    <w:p>
      <w:pPr>
        <w:spacing w:line="331" w:lineRule="auto" w:before="139"/>
        <w:ind w:left="560" w:right="0" w:firstLine="0"/>
        <w:jc w:val="left"/>
        <w:rPr>
          <w:rFonts w:ascii="Gill Sans MT" w:hAnsi="Gill Sans MT"/>
          <w:b/>
          <w:sz w:val="32"/>
        </w:rPr>
      </w:pPr>
      <w:r>
        <w:rPr/>
        <w:drawing>
          <wp:anchor distT="0" distB="0" distL="0" distR="0" allowOverlap="1" layoutInCell="1" locked="0" behindDoc="0" simplePos="0" relativeHeight="28">
            <wp:simplePos x="0" y="0"/>
            <wp:positionH relativeFrom="page">
              <wp:posOffset>1162050</wp:posOffset>
            </wp:positionH>
            <wp:positionV relativeFrom="paragraph">
              <wp:posOffset>751839</wp:posOffset>
            </wp:positionV>
            <wp:extent cx="5544921" cy="462076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544921" cy="4620768"/>
                    </a:xfrm>
                    <a:prstGeom prst="rect">
                      <a:avLst/>
                    </a:prstGeom>
                  </pic:spPr>
                </pic:pic>
              </a:graphicData>
            </a:graphic>
          </wp:anchor>
        </w:drawing>
      </w:r>
      <w:r>
        <w:rPr>
          <w:rFonts w:ascii="Gill Sans MT" w:hAnsi="Gill Sans MT"/>
          <w:b/>
          <w:spacing w:val="-6"/>
          <w:sz w:val="32"/>
        </w:rPr>
        <w:t>LICs</w:t>
      </w:r>
      <w:r>
        <w:rPr>
          <w:rFonts w:ascii="Gill Sans MT" w:hAnsi="Gill Sans MT"/>
          <w:b/>
          <w:spacing w:val="-10"/>
          <w:sz w:val="32"/>
        </w:rPr>
        <w:t> </w:t>
      </w:r>
      <w:r>
        <w:rPr>
          <w:rFonts w:ascii="Gill Sans MT" w:hAnsi="Gill Sans MT"/>
          <w:b/>
          <w:spacing w:val="-6"/>
          <w:sz w:val="32"/>
        </w:rPr>
        <w:t>and</w:t>
      </w:r>
      <w:r>
        <w:rPr>
          <w:rFonts w:ascii="Gill Sans MT" w:hAnsi="Gill Sans MT"/>
          <w:b/>
          <w:spacing w:val="-10"/>
          <w:sz w:val="32"/>
        </w:rPr>
        <w:t> </w:t>
      </w:r>
      <w:r>
        <w:rPr>
          <w:rFonts w:ascii="Gill Sans MT" w:hAnsi="Gill Sans MT"/>
          <w:b/>
          <w:spacing w:val="-6"/>
          <w:sz w:val="32"/>
        </w:rPr>
        <w:t>MICs</w:t>
      </w:r>
      <w:r>
        <w:rPr>
          <w:rFonts w:ascii="Gill Sans MT" w:hAnsi="Gill Sans MT"/>
          <w:b/>
          <w:spacing w:val="-10"/>
          <w:sz w:val="32"/>
        </w:rPr>
        <w:t> </w:t>
      </w:r>
      <w:r>
        <w:rPr>
          <w:rFonts w:ascii="Gill Sans MT" w:hAnsi="Gill Sans MT"/>
          <w:b/>
          <w:spacing w:val="-6"/>
          <w:sz w:val="32"/>
        </w:rPr>
        <w:t>with</w:t>
      </w:r>
      <w:r>
        <w:rPr>
          <w:rFonts w:ascii="Gill Sans MT" w:hAnsi="Gill Sans MT"/>
          <w:b/>
          <w:spacing w:val="-10"/>
          <w:sz w:val="32"/>
        </w:rPr>
        <w:t> </w:t>
      </w:r>
      <w:r>
        <w:rPr>
          <w:rFonts w:ascii="Gill Sans MT" w:hAnsi="Gill Sans MT"/>
          <w:b/>
          <w:spacing w:val="-6"/>
          <w:sz w:val="32"/>
        </w:rPr>
        <w:t>signiﬁcant</w:t>
      </w:r>
      <w:r>
        <w:rPr>
          <w:rFonts w:ascii="Gill Sans MT" w:hAnsi="Gill Sans MT"/>
          <w:b/>
          <w:spacing w:val="-10"/>
          <w:sz w:val="32"/>
        </w:rPr>
        <w:t> </w:t>
      </w:r>
      <w:r>
        <w:rPr>
          <w:rFonts w:ascii="Gill Sans MT" w:hAnsi="Gill Sans MT"/>
          <w:b/>
          <w:spacing w:val="-6"/>
          <w:sz w:val="32"/>
        </w:rPr>
        <w:t>environmental,</w:t>
      </w:r>
      <w:r>
        <w:rPr>
          <w:rFonts w:ascii="Gill Sans MT" w:hAnsi="Gill Sans MT"/>
          <w:b/>
          <w:spacing w:val="-10"/>
          <w:sz w:val="32"/>
        </w:rPr>
        <w:t> </w:t>
      </w:r>
      <w:r>
        <w:rPr>
          <w:rFonts w:ascii="Gill Sans MT" w:hAnsi="Gill Sans MT"/>
          <w:b/>
          <w:spacing w:val="-6"/>
          <w:sz w:val="32"/>
        </w:rPr>
        <w:t>social, </w:t>
      </w:r>
      <w:r>
        <w:rPr>
          <w:rFonts w:ascii="Gill Sans MT" w:hAnsi="Gill Sans MT"/>
          <w:b/>
          <w:sz w:val="32"/>
        </w:rPr>
        <w:t>governance</w:t>
      </w:r>
      <w:r>
        <w:rPr>
          <w:rFonts w:ascii="Gill Sans MT" w:hAnsi="Gill Sans MT"/>
          <w:b/>
          <w:spacing w:val="-23"/>
          <w:sz w:val="32"/>
        </w:rPr>
        <w:t> </w:t>
      </w:r>
      <w:r>
        <w:rPr>
          <w:rFonts w:ascii="Gill Sans MT" w:hAnsi="Gill Sans MT"/>
          <w:b/>
          <w:sz w:val="32"/>
        </w:rPr>
        <w:t>(ESG)</w:t>
      </w:r>
      <w:r>
        <w:rPr>
          <w:rFonts w:ascii="Gill Sans MT" w:hAnsi="Gill Sans MT"/>
          <w:b/>
          <w:spacing w:val="-22"/>
          <w:sz w:val="32"/>
        </w:rPr>
        <w:t> </w:t>
      </w:r>
      <w:r>
        <w:rPr>
          <w:rFonts w:ascii="Gill Sans MT" w:hAnsi="Gill Sans MT"/>
          <w:b/>
          <w:sz w:val="32"/>
        </w:rPr>
        <w:t>risk</w:t>
      </w:r>
      <w:r>
        <w:rPr>
          <w:rFonts w:ascii="Gill Sans MT" w:hAnsi="Gill Sans MT"/>
          <w:b/>
          <w:spacing w:val="-22"/>
          <w:sz w:val="32"/>
        </w:rPr>
        <w:t> </w:t>
      </w:r>
      <w:r>
        <w:rPr>
          <w:rFonts w:ascii="Gill Sans MT" w:hAnsi="Gill Sans MT"/>
          <w:b/>
          <w:sz w:val="32"/>
        </w:rPr>
        <w:t>exposure</w:t>
      </w:r>
    </w:p>
    <w:p>
      <w:pPr>
        <w:spacing w:line="333" w:lineRule="auto" w:before="80"/>
        <w:ind w:left="560" w:right="967" w:firstLine="0"/>
        <w:jc w:val="left"/>
        <w:rPr>
          <w:i/>
          <w:sz w:val="18"/>
        </w:rPr>
      </w:pPr>
      <w:r>
        <w:rPr>
          <w:i/>
          <w:sz w:val="18"/>
        </w:rPr>
        <w:t>Notes:</w:t>
      </w:r>
      <w:r>
        <w:rPr>
          <w:i/>
          <w:spacing w:val="-5"/>
          <w:sz w:val="18"/>
        </w:rPr>
        <w:t> </w:t>
      </w:r>
      <w:r>
        <w:rPr>
          <w:i/>
          <w:sz w:val="18"/>
        </w:rPr>
        <w:t>This</w:t>
      </w:r>
      <w:r>
        <w:rPr>
          <w:i/>
          <w:spacing w:val="-5"/>
          <w:sz w:val="18"/>
        </w:rPr>
        <w:t> </w:t>
      </w:r>
      <w:r>
        <w:rPr>
          <w:i/>
          <w:sz w:val="18"/>
        </w:rPr>
        <w:t>map</w:t>
      </w:r>
      <w:r>
        <w:rPr>
          <w:i/>
          <w:spacing w:val="-5"/>
          <w:sz w:val="18"/>
        </w:rPr>
        <w:t> </w:t>
      </w:r>
      <w:r>
        <w:rPr>
          <w:i/>
          <w:sz w:val="18"/>
        </w:rPr>
        <w:t>presents</w:t>
      </w:r>
      <w:r>
        <w:rPr>
          <w:i/>
          <w:spacing w:val="-5"/>
          <w:sz w:val="18"/>
        </w:rPr>
        <w:t> </w:t>
      </w:r>
      <w:r>
        <w:rPr>
          <w:i/>
          <w:sz w:val="18"/>
        </w:rPr>
        <w:t>the</w:t>
      </w:r>
      <w:r>
        <w:rPr>
          <w:i/>
          <w:spacing w:val="-5"/>
          <w:sz w:val="18"/>
        </w:rPr>
        <w:t> </w:t>
      </w:r>
      <w:r>
        <w:rPr>
          <w:i/>
          <w:sz w:val="18"/>
        </w:rPr>
        <w:t>geographical</w:t>
      </w:r>
      <w:r>
        <w:rPr>
          <w:i/>
          <w:spacing w:val="-5"/>
          <w:sz w:val="18"/>
        </w:rPr>
        <w:t> </w:t>
      </w:r>
      <w:r>
        <w:rPr>
          <w:i/>
          <w:sz w:val="18"/>
        </w:rPr>
        <w:t>areas</w:t>
      </w:r>
      <w:r>
        <w:rPr>
          <w:i/>
          <w:spacing w:val="-5"/>
          <w:sz w:val="18"/>
        </w:rPr>
        <w:t> </w:t>
      </w:r>
      <w:r>
        <w:rPr>
          <w:i/>
          <w:sz w:val="18"/>
        </w:rPr>
        <w:t>where</w:t>
      </w:r>
      <w:r>
        <w:rPr>
          <w:i/>
          <w:spacing w:val="-5"/>
          <w:sz w:val="18"/>
        </w:rPr>
        <w:t> </w:t>
      </w:r>
      <w:r>
        <w:rPr>
          <w:i/>
          <w:sz w:val="18"/>
        </w:rPr>
        <w:t>China’s</w:t>
      </w:r>
      <w:r>
        <w:rPr>
          <w:i/>
          <w:spacing w:val="-5"/>
          <w:sz w:val="18"/>
        </w:rPr>
        <w:t> </w:t>
      </w:r>
      <w:r>
        <w:rPr>
          <w:i/>
          <w:sz w:val="18"/>
        </w:rPr>
        <w:t>grant-</w:t>
      </w:r>
      <w:r>
        <w:rPr>
          <w:i/>
          <w:spacing w:val="-5"/>
          <w:sz w:val="18"/>
        </w:rPr>
        <w:t> </w:t>
      </w:r>
      <w:r>
        <w:rPr>
          <w:i/>
          <w:sz w:val="18"/>
        </w:rPr>
        <w:t>and</w:t>
      </w:r>
      <w:r>
        <w:rPr>
          <w:i/>
          <w:spacing w:val="-5"/>
          <w:sz w:val="18"/>
        </w:rPr>
        <w:t> </w:t>
      </w:r>
      <w:r>
        <w:rPr>
          <w:i/>
          <w:sz w:val="18"/>
        </w:rPr>
        <w:t>loan-ﬁnanced</w:t>
      </w:r>
      <w:r>
        <w:rPr>
          <w:i/>
          <w:spacing w:val="-5"/>
          <w:sz w:val="18"/>
        </w:rPr>
        <w:t> </w:t>
      </w:r>
      <w:r>
        <w:rPr>
          <w:i/>
          <w:sz w:val="18"/>
        </w:rPr>
        <w:t>infrastructure</w:t>
      </w:r>
      <w:r>
        <w:rPr>
          <w:i/>
          <w:sz w:val="18"/>
        </w:rPr>
        <w:t> project</w:t>
      </w:r>
      <w:r>
        <w:rPr>
          <w:i/>
          <w:spacing w:val="-1"/>
          <w:sz w:val="18"/>
        </w:rPr>
        <w:t> </w:t>
      </w:r>
      <w:r>
        <w:rPr>
          <w:i/>
          <w:sz w:val="18"/>
        </w:rPr>
        <w:t>portfolio</w:t>
      </w:r>
      <w:r>
        <w:rPr>
          <w:i/>
          <w:spacing w:val="-1"/>
          <w:sz w:val="18"/>
        </w:rPr>
        <w:t> </w:t>
      </w:r>
      <w:r>
        <w:rPr>
          <w:i/>
          <w:sz w:val="18"/>
        </w:rPr>
        <w:t>(measured</w:t>
      </w:r>
      <w:r>
        <w:rPr>
          <w:i/>
          <w:spacing w:val="-1"/>
          <w:sz w:val="18"/>
        </w:rPr>
        <w:t> </w:t>
      </w:r>
      <w:r>
        <w:rPr>
          <w:i/>
          <w:sz w:val="18"/>
        </w:rPr>
        <w:t>in</w:t>
      </w:r>
      <w:r>
        <w:rPr>
          <w:i/>
          <w:spacing w:val="-1"/>
          <w:sz w:val="18"/>
        </w:rPr>
        <w:t> </w:t>
      </w:r>
      <w:r>
        <w:rPr>
          <w:i/>
          <w:sz w:val="18"/>
        </w:rPr>
        <w:t>constant</w:t>
      </w:r>
      <w:r>
        <w:rPr>
          <w:i/>
          <w:spacing w:val="-1"/>
          <w:sz w:val="18"/>
        </w:rPr>
        <w:t> </w:t>
      </w:r>
      <w:r>
        <w:rPr>
          <w:i/>
          <w:sz w:val="18"/>
        </w:rPr>
        <w:t>2021</w:t>
      </w:r>
      <w:r>
        <w:rPr>
          <w:i/>
          <w:spacing w:val="-1"/>
          <w:sz w:val="18"/>
        </w:rPr>
        <w:t> </w:t>
      </w:r>
      <w:r>
        <w:rPr>
          <w:i/>
          <w:sz w:val="18"/>
        </w:rPr>
        <w:t>USD)</w:t>
      </w:r>
      <w:r>
        <w:rPr>
          <w:i/>
          <w:spacing w:val="-1"/>
          <w:sz w:val="18"/>
        </w:rPr>
        <w:t> </w:t>
      </w:r>
      <w:r>
        <w:rPr>
          <w:i/>
          <w:sz w:val="18"/>
        </w:rPr>
        <w:t>has</w:t>
      </w:r>
      <w:r>
        <w:rPr>
          <w:i/>
          <w:spacing w:val="-1"/>
          <w:sz w:val="18"/>
        </w:rPr>
        <w:t> </w:t>
      </w:r>
      <w:r>
        <w:rPr>
          <w:i/>
          <w:sz w:val="18"/>
        </w:rPr>
        <w:t>signiﬁcant</w:t>
      </w:r>
      <w:r>
        <w:rPr>
          <w:i/>
          <w:spacing w:val="-1"/>
          <w:sz w:val="18"/>
        </w:rPr>
        <w:t> </w:t>
      </w:r>
      <w:r>
        <w:rPr>
          <w:i/>
          <w:sz w:val="18"/>
        </w:rPr>
        <w:t>environmental,</w:t>
      </w:r>
      <w:r>
        <w:rPr>
          <w:i/>
          <w:spacing w:val="-1"/>
          <w:sz w:val="18"/>
        </w:rPr>
        <w:t> </w:t>
      </w:r>
      <w:r>
        <w:rPr>
          <w:i/>
          <w:sz w:val="18"/>
        </w:rPr>
        <w:t>social,</w:t>
      </w:r>
      <w:r>
        <w:rPr>
          <w:i/>
          <w:spacing w:val="-1"/>
          <w:sz w:val="18"/>
        </w:rPr>
        <w:t> </w:t>
      </w:r>
      <w:r>
        <w:rPr>
          <w:i/>
          <w:sz w:val="18"/>
        </w:rPr>
        <w:t>or</w:t>
      </w:r>
      <w:r>
        <w:rPr>
          <w:i/>
          <w:spacing w:val="-1"/>
          <w:sz w:val="18"/>
        </w:rPr>
        <w:t> </w:t>
      </w:r>
      <w:r>
        <w:rPr>
          <w:i/>
          <w:sz w:val="18"/>
        </w:rPr>
        <w:t>governance (ESG) risk exposure. Darker (purple) colors represent areas where the portfolio has high levels of risk exposure</w:t>
      </w:r>
      <w:r>
        <w:rPr>
          <w:i/>
          <w:spacing w:val="-3"/>
          <w:sz w:val="18"/>
        </w:rPr>
        <w:t> </w:t>
      </w:r>
      <w:r>
        <w:rPr>
          <w:i/>
          <w:sz w:val="18"/>
        </w:rPr>
        <w:t>and</w:t>
      </w:r>
      <w:r>
        <w:rPr>
          <w:i/>
          <w:spacing w:val="-3"/>
          <w:sz w:val="18"/>
        </w:rPr>
        <w:t> </w:t>
      </w:r>
      <w:r>
        <w:rPr>
          <w:i/>
          <w:sz w:val="18"/>
        </w:rPr>
        <w:t>lighter</w:t>
      </w:r>
      <w:r>
        <w:rPr>
          <w:i/>
          <w:spacing w:val="-3"/>
          <w:sz w:val="18"/>
        </w:rPr>
        <w:t> </w:t>
      </w:r>
      <w:r>
        <w:rPr>
          <w:i/>
          <w:sz w:val="18"/>
        </w:rPr>
        <w:t>(pink)</w:t>
      </w:r>
      <w:r>
        <w:rPr>
          <w:i/>
          <w:spacing w:val="-3"/>
          <w:sz w:val="18"/>
        </w:rPr>
        <w:t> </w:t>
      </w:r>
      <w:r>
        <w:rPr>
          <w:i/>
          <w:sz w:val="18"/>
        </w:rPr>
        <w:t>colors</w:t>
      </w:r>
      <w:r>
        <w:rPr>
          <w:i/>
          <w:spacing w:val="-3"/>
          <w:sz w:val="18"/>
        </w:rPr>
        <w:t> </w:t>
      </w:r>
      <w:r>
        <w:rPr>
          <w:i/>
          <w:sz w:val="18"/>
        </w:rPr>
        <w:t>represent</w:t>
      </w:r>
      <w:r>
        <w:rPr>
          <w:i/>
          <w:spacing w:val="-3"/>
          <w:sz w:val="18"/>
        </w:rPr>
        <w:t> </w:t>
      </w:r>
      <w:r>
        <w:rPr>
          <w:i/>
          <w:sz w:val="18"/>
        </w:rPr>
        <w:t>areas</w:t>
      </w:r>
      <w:r>
        <w:rPr>
          <w:i/>
          <w:spacing w:val="-3"/>
          <w:sz w:val="18"/>
        </w:rPr>
        <w:t> </w:t>
      </w:r>
      <w:r>
        <w:rPr>
          <w:i/>
          <w:sz w:val="18"/>
        </w:rPr>
        <w:t>where</w:t>
      </w:r>
      <w:r>
        <w:rPr>
          <w:i/>
          <w:spacing w:val="-3"/>
          <w:sz w:val="18"/>
        </w:rPr>
        <w:t> </w:t>
      </w:r>
      <w:r>
        <w:rPr>
          <w:i/>
          <w:sz w:val="18"/>
        </w:rPr>
        <w:t>the</w:t>
      </w:r>
      <w:r>
        <w:rPr>
          <w:i/>
          <w:spacing w:val="-3"/>
          <w:sz w:val="18"/>
        </w:rPr>
        <w:t> </w:t>
      </w:r>
      <w:r>
        <w:rPr>
          <w:i/>
          <w:sz w:val="18"/>
        </w:rPr>
        <w:t>portfolio</w:t>
      </w:r>
      <w:r>
        <w:rPr>
          <w:i/>
          <w:spacing w:val="-3"/>
          <w:sz w:val="18"/>
        </w:rPr>
        <w:t> </w:t>
      </w:r>
      <w:r>
        <w:rPr>
          <w:i/>
          <w:sz w:val="18"/>
        </w:rPr>
        <w:t>has</w:t>
      </w:r>
      <w:r>
        <w:rPr>
          <w:i/>
          <w:spacing w:val="-3"/>
          <w:sz w:val="18"/>
        </w:rPr>
        <w:t> </w:t>
      </w:r>
      <w:r>
        <w:rPr>
          <w:i/>
          <w:sz w:val="18"/>
        </w:rPr>
        <w:t>lower</w:t>
      </w:r>
      <w:r>
        <w:rPr>
          <w:i/>
          <w:spacing w:val="-3"/>
          <w:sz w:val="18"/>
        </w:rPr>
        <w:t> </w:t>
      </w:r>
      <w:r>
        <w:rPr>
          <w:i/>
          <w:sz w:val="18"/>
        </w:rPr>
        <w:t>levels</w:t>
      </w:r>
      <w:r>
        <w:rPr>
          <w:i/>
          <w:spacing w:val="-3"/>
          <w:sz w:val="18"/>
        </w:rPr>
        <w:t> </w:t>
      </w:r>
      <w:r>
        <w:rPr>
          <w:i/>
          <w:sz w:val="18"/>
        </w:rPr>
        <w:t>of</w:t>
      </w:r>
      <w:r>
        <w:rPr>
          <w:i/>
          <w:spacing w:val="-3"/>
          <w:sz w:val="18"/>
        </w:rPr>
        <w:t> </w:t>
      </w:r>
      <w:r>
        <w:rPr>
          <w:i/>
          <w:sz w:val="18"/>
        </w:rPr>
        <w:t>risk</w:t>
      </w:r>
      <w:r>
        <w:rPr>
          <w:i/>
          <w:spacing w:val="-3"/>
          <w:sz w:val="18"/>
        </w:rPr>
        <w:t> </w:t>
      </w:r>
      <w:r>
        <w:rPr>
          <w:i/>
          <w:sz w:val="18"/>
        </w:rPr>
        <w:t>exposure. Environmental risk exposure, social risk exposure, and governance risk exposure are based on the project-level composite measures that are described in Section 2 of Chapter 3.</w:t>
      </w:r>
    </w:p>
    <w:p>
      <w:pPr>
        <w:spacing w:after="0" w:line="333" w:lineRule="auto"/>
        <w:jc w:val="left"/>
        <w:rPr>
          <w:sz w:val="18"/>
        </w:rPr>
        <w:sectPr>
          <w:pgSz w:w="12240" w:h="15840"/>
          <w:pgMar w:header="0" w:footer="720" w:top="1580" w:bottom="920" w:left="1240" w:right="1260"/>
        </w:sectPr>
      </w:pPr>
    </w:p>
    <w:p>
      <w:pPr>
        <w:pStyle w:val="Heading3"/>
        <w:spacing w:line="312" w:lineRule="auto" w:before="29"/>
        <w:ind w:right="920"/>
        <w:jc w:val="both"/>
      </w:pPr>
      <w:r>
        <w:rPr/>
        <w:t>Section</w:t>
      </w:r>
      <w:r>
        <w:rPr>
          <w:spacing w:val="-1"/>
        </w:rPr>
        <w:t> </w:t>
      </w:r>
      <w:r>
        <w:rPr/>
        <w:t>3: Measuring</w:t>
      </w:r>
      <w:r>
        <w:rPr>
          <w:spacing w:val="-1"/>
        </w:rPr>
        <w:t> </w:t>
      </w:r>
      <w:r>
        <w:rPr/>
        <w:t>the</w:t>
      </w:r>
      <w:r>
        <w:rPr>
          <w:spacing w:val="-1"/>
        </w:rPr>
        <w:t> </w:t>
      </w:r>
      <w:r>
        <w:rPr/>
        <w:t>stringency of ESG</w:t>
      </w:r>
      <w:r>
        <w:rPr>
          <w:spacing w:val="-1"/>
        </w:rPr>
        <w:t> </w:t>
      </w:r>
      <w:r>
        <w:rPr/>
        <w:t>safeguards in China’s infrastructure project portfolio with new sources of contractual evidence</w:t>
      </w:r>
    </w:p>
    <w:p>
      <w:pPr>
        <w:pStyle w:val="BodyText"/>
        <w:spacing w:line="333" w:lineRule="auto" w:before="163"/>
        <w:ind w:left="560" w:right="864"/>
      </w:pPr>
      <w:r>
        <w:rPr/>
        <w:t>Although Beijing clearly faces a wide array of ESG risks in its overseas infrastructure project portfolio, little is known about the safeguards that it has put in place to manage and mitigate these risks. Another blind spot is </w:t>
      </w:r>
      <w:r>
        <w:rPr/>
        <w:t>whether and how Chinese state-owned lenders have strengthened or weakened their ESG safeguards over time.</w:t>
      </w:r>
    </w:p>
    <w:p>
      <w:pPr>
        <w:pStyle w:val="BodyText"/>
        <w:spacing w:before="6"/>
        <w:rPr>
          <w:sz w:val="27"/>
        </w:rPr>
      </w:pPr>
    </w:p>
    <w:p>
      <w:pPr>
        <w:pStyle w:val="BodyText"/>
        <w:spacing w:line="333" w:lineRule="auto" w:before="1"/>
        <w:ind w:left="560" w:right="561"/>
      </w:pPr>
      <w:r>
        <w:rPr/>
        <w:t>The 3.0 version of AidData’s GCDF dataset provides a unique opportunity to ﬁll this evidentiary gap.</w:t>
      </w:r>
      <w:r>
        <w:rPr>
          <w:vertAlign w:val="superscript"/>
        </w:rPr>
        <w:t>263</w:t>
      </w:r>
      <w:r>
        <w:rPr>
          <w:vertAlign w:val="baseline"/>
        </w:rPr>
        <w:t> As part of the primary source identiﬁcation work that was undertaken to support the construction of the dataset, AidData obtained a </w:t>
      </w:r>
      <w:r>
        <w:rPr>
          <w:vertAlign w:val="baseline"/>
        </w:rPr>
        <w:t>large cache of unredacted infrastructure ﬁnancing agreements via ofﬁcial sources in LICs and MICs, including government registers and gazettes, aid and debt information management systems, and parliamentary oversight institutions.</w:t>
      </w:r>
    </w:p>
    <w:p>
      <w:pPr>
        <w:pStyle w:val="BodyText"/>
        <w:spacing w:line="333" w:lineRule="auto"/>
        <w:ind w:left="560" w:right="864"/>
      </w:pPr>
      <w:r>
        <w:rPr/>
        <w:t>These grant and loan agreements represent “high-value sources,” in that </w:t>
      </w:r>
      <w:r>
        <w:rPr/>
        <w:t>they provide detailed information about whether ﬁnanciers, at the time that they signed the agreements with their host country counterparts, identiﬁed behavioral expectations related to ESG risk management and mechanisms to monitor and enforce compliance with those expectations.</w:t>
      </w:r>
    </w:p>
    <w:p>
      <w:pPr>
        <w:pStyle w:val="BodyText"/>
        <w:spacing w:before="3"/>
        <w:rPr>
          <w:sz w:val="27"/>
        </w:rPr>
      </w:pPr>
    </w:p>
    <w:p>
      <w:pPr>
        <w:pStyle w:val="BodyText"/>
        <w:spacing w:line="333" w:lineRule="auto"/>
        <w:ind w:left="560" w:right="702"/>
      </w:pPr>
      <w:r>
        <w:rPr/>
        <w:t>Another important feature of the 3.0 version of AidData’s GCDF dataset—and an improvement over the 2.0 version—is that it makes these unredacted agreements available for the full range of ﬁnancial instruments that Beijing </w:t>
      </w:r>
      <w:r>
        <w:rPr/>
        <w:t>uses to bankroll infrastructure projects in the developing world, including:</w:t>
      </w:r>
    </w:p>
    <w:p>
      <w:pPr>
        <w:pStyle w:val="BodyText"/>
        <w:spacing w:before="7"/>
        <w:rPr>
          <w:sz w:val="27"/>
        </w:rPr>
      </w:pPr>
    </w:p>
    <w:p>
      <w:pPr>
        <w:pStyle w:val="ListParagraph"/>
        <w:numPr>
          <w:ilvl w:val="0"/>
          <w:numId w:val="1"/>
        </w:numPr>
        <w:tabs>
          <w:tab w:pos="1280" w:val="left" w:leader="none"/>
        </w:tabs>
        <w:spacing w:line="333" w:lineRule="auto" w:before="0" w:after="0"/>
        <w:ind w:left="1280" w:right="1325" w:hanging="360"/>
        <w:jc w:val="left"/>
        <w:rPr>
          <w:sz w:val="24"/>
        </w:rPr>
      </w:pPr>
      <w:r>
        <w:rPr>
          <w:sz w:val="24"/>
        </w:rPr>
        <w:t>Bilateral</w:t>
      </w:r>
      <w:r>
        <w:rPr>
          <w:spacing w:val="-8"/>
          <w:sz w:val="24"/>
        </w:rPr>
        <w:t> </w:t>
      </w:r>
      <w:r>
        <w:rPr>
          <w:sz w:val="24"/>
        </w:rPr>
        <w:t>grants</w:t>
      </w:r>
      <w:r>
        <w:rPr>
          <w:spacing w:val="-8"/>
          <w:sz w:val="24"/>
        </w:rPr>
        <w:t> </w:t>
      </w:r>
      <w:r>
        <w:rPr>
          <w:sz w:val="24"/>
        </w:rPr>
        <w:t>and</w:t>
      </w:r>
      <w:r>
        <w:rPr>
          <w:spacing w:val="-8"/>
          <w:sz w:val="24"/>
        </w:rPr>
        <w:t> </w:t>
      </w:r>
      <w:r>
        <w:rPr>
          <w:sz w:val="24"/>
        </w:rPr>
        <w:t>interest-free</w:t>
      </w:r>
      <w:r>
        <w:rPr>
          <w:spacing w:val="-8"/>
          <w:sz w:val="24"/>
        </w:rPr>
        <w:t> </w:t>
      </w:r>
      <w:r>
        <w:rPr>
          <w:sz w:val="24"/>
        </w:rPr>
        <w:t>loans</w:t>
      </w:r>
      <w:r>
        <w:rPr>
          <w:spacing w:val="-8"/>
          <w:sz w:val="24"/>
        </w:rPr>
        <w:t> </w:t>
      </w:r>
      <w:r>
        <w:rPr>
          <w:sz w:val="24"/>
        </w:rPr>
        <w:t>issued</w:t>
      </w:r>
      <w:r>
        <w:rPr>
          <w:spacing w:val="-8"/>
          <w:sz w:val="24"/>
        </w:rPr>
        <w:t> </w:t>
      </w:r>
      <w:r>
        <w:rPr>
          <w:sz w:val="24"/>
        </w:rPr>
        <w:t>by</w:t>
      </w:r>
      <w:r>
        <w:rPr>
          <w:spacing w:val="-8"/>
          <w:sz w:val="24"/>
        </w:rPr>
        <w:t> </w:t>
      </w:r>
      <w:r>
        <w:rPr>
          <w:sz w:val="24"/>
        </w:rPr>
        <w:t>China’s</w:t>
      </w:r>
      <w:r>
        <w:rPr>
          <w:spacing w:val="-8"/>
          <w:sz w:val="24"/>
        </w:rPr>
        <w:t> </w:t>
      </w:r>
      <w:r>
        <w:rPr>
          <w:sz w:val="24"/>
        </w:rPr>
        <w:t>Ministry</w:t>
      </w:r>
      <w:r>
        <w:rPr>
          <w:spacing w:val="-8"/>
          <w:sz w:val="24"/>
        </w:rPr>
        <w:t> </w:t>
      </w:r>
      <w:r>
        <w:rPr>
          <w:sz w:val="24"/>
        </w:rPr>
        <w:t>of</w:t>
      </w:r>
      <w:r>
        <w:rPr>
          <w:sz w:val="24"/>
        </w:rPr>
        <w:t> Commerce (MOFCOM)</w:t>
      </w:r>
    </w:p>
    <w:p>
      <w:pPr>
        <w:pStyle w:val="BodyText"/>
        <w:spacing w:before="8"/>
        <w:rPr>
          <w:sz w:val="27"/>
        </w:rPr>
      </w:pPr>
    </w:p>
    <w:p>
      <w:pPr>
        <w:pStyle w:val="ListParagraph"/>
        <w:numPr>
          <w:ilvl w:val="0"/>
          <w:numId w:val="1"/>
        </w:numPr>
        <w:tabs>
          <w:tab w:pos="1280" w:val="left" w:leader="none"/>
        </w:tabs>
        <w:spacing w:line="240" w:lineRule="auto" w:before="1" w:after="0"/>
        <w:ind w:left="1280" w:right="0" w:hanging="360"/>
        <w:jc w:val="left"/>
        <w:rPr>
          <w:sz w:val="24"/>
        </w:rPr>
      </w:pPr>
      <w:r>
        <w:rPr>
          <w:sz w:val="24"/>
        </w:rPr>
        <w:t>Bilateral</w:t>
      </w:r>
      <w:r>
        <w:rPr>
          <w:spacing w:val="-10"/>
          <w:sz w:val="24"/>
        </w:rPr>
        <w:t> </w:t>
      </w:r>
      <w:r>
        <w:rPr>
          <w:sz w:val="24"/>
        </w:rPr>
        <w:t>loans</w:t>
      </w:r>
      <w:r>
        <w:rPr>
          <w:spacing w:val="-10"/>
          <w:sz w:val="24"/>
        </w:rPr>
        <w:t> </w:t>
      </w:r>
      <w:r>
        <w:rPr>
          <w:sz w:val="24"/>
        </w:rPr>
        <w:t>issued</w:t>
      </w:r>
      <w:r>
        <w:rPr>
          <w:spacing w:val="-10"/>
          <w:sz w:val="24"/>
        </w:rPr>
        <w:t> </w:t>
      </w:r>
      <w:r>
        <w:rPr>
          <w:sz w:val="24"/>
        </w:rPr>
        <w:t>by</w:t>
      </w:r>
      <w:r>
        <w:rPr>
          <w:spacing w:val="-10"/>
          <w:sz w:val="24"/>
        </w:rPr>
        <w:t> </w:t>
      </w:r>
      <w:r>
        <w:rPr>
          <w:sz w:val="24"/>
        </w:rPr>
        <w:t>China</w:t>
      </w:r>
      <w:r>
        <w:rPr>
          <w:spacing w:val="-10"/>
          <w:sz w:val="24"/>
        </w:rPr>
        <w:t> </w:t>
      </w:r>
      <w:r>
        <w:rPr>
          <w:spacing w:val="-2"/>
          <w:sz w:val="24"/>
        </w:rPr>
        <w:t>Eximbank</w:t>
      </w:r>
    </w:p>
    <w:p>
      <w:pPr>
        <w:pStyle w:val="BodyText"/>
        <w:rPr>
          <w:sz w:val="20"/>
        </w:rPr>
      </w:pPr>
    </w:p>
    <w:p>
      <w:pPr>
        <w:pStyle w:val="BodyText"/>
        <w:rPr>
          <w:sz w:val="20"/>
        </w:rPr>
      </w:pPr>
    </w:p>
    <w:p>
      <w:pPr>
        <w:pStyle w:val="BodyText"/>
        <w:spacing w:before="5"/>
      </w:pPr>
      <w:r>
        <w:rPr/>
        <w:pict>
          <v:shape style="position:absolute;margin-left:90pt;margin-top:15.267578pt;width:144pt;height:.1pt;mso-position-horizontal-relative:page;mso-position-vertical-relative:paragraph;z-index:-15713792;mso-wrap-distance-left:0;mso-wrap-distance-right:0" id="docshape24" coordorigin="1800,305" coordsize="2880,0" path="m1800,305l4680,305e" filled="false" stroked="true" strokeweight=".75pt" strokecolor="#000000">
            <v:path arrowok="t"/>
            <v:stroke dashstyle="solid"/>
            <w10:wrap type="topAndBottom"/>
          </v:shape>
        </w:pict>
      </w:r>
    </w:p>
    <w:p>
      <w:pPr>
        <w:spacing w:line="249" w:lineRule="auto" w:before="115"/>
        <w:ind w:left="560" w:right="561" w:firstLine="0"/>
        <w:jc w:val="left"/>
        <w:rPr>
          <w:sz w:val="18"/>
        </w:rPr>
      </w:pPr>
      <w:r>
        <w:rPr>
          <w:sz w:val="18"/>
          <w:vertAlign w:val="superscript"/>
        </w:rPr>
        <w:t>263</w:t>
      </w:r>
      <w:r>
        <w:rPr>
          <w:spacing w:val="-2"/>
          <w:sz w:val="18"/>
          <w:vertAlign w:val="baseline"/>
        </w:rPr>
        <w:t> </w:t>
      </w:r>
      <w:r>
        <w:rPr>
          <w:sz w:val="18"/>
          <w:vertAlign w:val="baseline"/>
        </w:rPr>
        <w:t>The</w:t>
      </w:r>
      <w:r>
        <w:rPr>
          <w:spacing w:val="-1"/>
          <w:sz w:val="18"/>
          <w:vertAlign w:val="baseline"/>
        </w:rPr>
        <w:t> </w:t>
      </w:r>
      <w:r>
        <w:rPr>
          <w:sz w:val="18"/>
          <w:vertAlign w:val="baseline"/>
        </w:rPr>
        <w:t>3.0</w:t>
      </w:r>
      <w:r>
        <w:rPr>
          <w:spacing w:val="-1"/>
          <w:sz w:val="18"/>
          <w:vertAlign w:val="baseline"/>
        </w:rPr>
        <w:t> </w:t>
      </w:r>
      <w:r>
        <w:rPr>
          <w:sz w:val="18"/>
          <w:vertAlign w:val="baseline"/>
        </w:rPr>
        <w:t>version</w:t>
      </w:r>
      <w:r>
        <w:rPr>
          <w:spacing w:val="-1"/>
          <w:sz w:val="18"/>
          <w:vertAlign w:val="baseline"/>
        </w:rPr>
        <w:t> </w:t>
      </w:r>
      <w:r>
        <w:rPr>
          <w:sz w:val="18"/>
          <w:vertAlign w:val="baseline"/>
        </w:rPr>
        <w:t>of</w:t>
      </w:r>
      <w:r>
        <w:rPr>
          <w:spacing w:val="-1"/>
          <w:sz w:val="18"/>
          <w:vertAlign w:val="baseline"/>
        </w:rPr>
        <w:t> </w:t>
      </w:r>
      <w:r>
        <w:rPr>
          <w:sz w:val="18"/>
          <w:vertAlign w:val="baseline"/>
        </w:rPr>
        <w:t>the</w:t>
      </w:r>
      <w:r>
        <w:rPr>
          <w:spacing w:val="-1"/>
          <w:sz w:val="18"/>
          <w:vertAlign w:val="baseline"/>
        </w:rPr>
        <w:t> </w:t>
      </w:r>
      <w:r>
        <w:rPr>
          <w:sz w:val="18"/>
          <w:vertAlign w:val="baseline"/>
        </w:rPr>
        <w:t>GCDF</w:t>
      </w:r>
      <w:r>
        <w:rPr>
          <w:spacing w:val="-1"/>
          <w:sz w:val="18"/>
          <w:vertAlign w:val="baseline"/>
        </w:rPr>
        <w:t> </w:t>
      </w:r>
      <w:r>
        <w:rPr>
          <w:sz w:val="18"/>
          <w:vertAlign w:val="baseline"/>
        </w:rPr>
        <w:t>dataset</w:t>
      </w:r>
      <w:r>
        <w:rPr>
          <w:spacing w:val="-1"/>
          <w:sz w:val="18"/>
          <w:vertAlign w:val="baseline"/>
        </w:rPr>
        <w:t> </w:t>
      </w:r>
      <w:r>
        <w:rPr>
          <w:sz w:val="18"/>
          <w:vertAlign w:val="baseline"/>
        </w:rPr>
        <w:t>provides</w:t>
      </w:r>
      <w:r>
        <w:rPr>
          <w:spacing w:val="-1"/>
          <w:sz w:val="18"/>
          <w:vertAlign w:val="baseline"/>
        </w:rPr>
        <w:t> </w:t>
      </w:r>
      <w:r>
        <w:rPr>
          <w:sz w:val="18"/>
          <w:vertAlign w:val="baseline"/>
        </w:rPr>
        <w:t>stable</w:t>
      </w:r>
      <w:r>
        <w:rPr>
          <w:spacing w:val="-1"/>
          <w:sz w:val="18"/>
          <w:vertAlign w:val="baseline"/>
        </w:rPr>
        <w:t> </w:t>
      </w:r>
      <w:r>
        <w:rPr>
          <w:sz w:val="18"/>
          <w:vertAlign w:val="baseline"/>
        </w:rPr>
        <w:t>URLs</w:t>
      </w:r>
      <w:r>
        <w:rPr>
          <w:spacing w:val="-1"/>
          <w:sz w:val="18"/>
          <w:vertAlign w:val="baseline"/>
        </w:rPr>
        <w:t> </w:t>
      </w:r>
      <w:r>
        <w:rPr>
          <w:sz w:val="18"/>
          <w:vertAlign w:val="baseline"/>
        </w:rPr>
        <w:t>to</w:t>
      </w:r>
      <w:r>
        <w:rPr>
          <w:spacing w:val="-1"/>
          <w:sz w:val="18"/>
          <w:vertAlign w:val="baseline"/>
        </w:rPr>
        <w:t> </w:t>
      </w:r>
      <w:r>
        <w:rPr>
          <w:sz w:val="18"/>
          <w:vertAlign w:val="baseline"/>
        </w:rPr>
        <w:t>hundreds</w:t>
      </w:r>
      <w:r>
        <w:rPr>
          <w:spacing w:val="-1"/>
          <w:sz w:val="18"/>
          <w:vertAlign w:val="baseline"/>
        </w:rPr>
        <w:t> </w:t>
      </w:r>
      <w:r>
        <w:rPr>
          <w:sz w:val="18"/>
          <w:vertAlign w:val="baseline"/>
        </w:rPr>
        <w:t>of</w:t>
      </w:r>
      <w:r>
        <w:rPr>
          <w:spacing w:val="-1"/>
          <w:sz w:val="18"/>
          <w:vertAlign w:val="baseline"/>
        </w:rPr>
        <w:t> </w:t>
      </w:r>
      <w:r>
        <w:rPr>
          <w:sz w:val="18"/>
          <w:vertAlign w:val="baseline"/>
        </w:rPr>
        <w:t>unredacted</w:t>
      </w:r>
      <w:r>
        <w:rPr>
          <w:spacing w:val="-1"/>
          <w:sz w:val="18"/>
          <w:vertAlign w:val="baseline"/>
        </w:rPr>
        <w:t> </w:t>
      </w:r>
      <w:r>
        <w:rPr>
          <w:sz w:val="18"/>
          <w:vertAlign w:val="baseline"/>
        </w:rPr>
        <w:t>grant,</w:t>
      </w:r>
      <w:r>
        <w:rPr>
          <w:spacing w:val="-1"/>
          <w:sz w:val="18"/>
          <w:vertAlign w:val="baseline"/>
        </w:rPr>
        <w:t> </w:t>
      </w:r>
      <w:r>
        <w:rPr>
          <w:sz w:val="18"/>
          <w:vertAlign w:val="baseline"/>
        </w:rPr>
        <w:t>loan,</w:t>
      </w:r>
      <w:r>
        <w:rPr>
          <w:spacing w:val="-1"/>
          <w:sz w:val="18"/>
          <w:vertAlign w:val="baseline"/>
        </w:rPr>
        <w:t> </w:t>
      </w:r>
      <w:r>
        <w:rPr>
          <w:sz w:val="18"/>
          <w:vertAlign w:val="baseline"/>
        </w:rPr>
        <w:t>debt forgiveness, debt rescheduling, and escrow account agreements. AidData published a subset of these ﬁnancing agreements in March 2021 when the </w:t>
      </w:r>
      <w:r>
        <w:rPr>
          <w:i/>
          <w:sz w:val="18"/>
          <w:vertAlign w:val="baseline"/>
        </w:rPr>
        <w:t>How China Lends </w:t>
      </w:r>
      <w:r>
        <w:rPr>
          <w:sz w:val="18"/>
          <w:vertAlign w:val="baseline"/>
        </w:rPr>
        <w:t>report was ﬁrst published (Gelpern et al. 2021, 2022). However, the 3.0 dataset provides the full set of agreements retrieved by AidData.</w:t>
      </w:r>
    </w:p>
    <w:p>
      <w:pPr>
        <w:spacing w:after="0" w:line="249" w:lineRule="auto"/>
        <w:jc w:val="left"/>
        <w:rPr>
          <w:sz w:val="18"/>
        </w:rPr>
        <w:sectPr>
          <w:pgSz w:w="12240" w:h="15840"/>
          <w:pgMar w:header="0" w:footer="720" w:top="1400" w:bottom="920" w:left="1240" w:right="1260"/>
        </w:sectPr>
      </w:pPr>
    </w:p>
    <w:p>
      <w:pPr>
        <w:pStyle w:val="ListParagraph"/>
        <w:numPr>
          <w:ilvl w:val="0"/>
          <w:numId w:val="1"/>
        </w:numPr>
        <w:tabs>
          <w:tab w:pos="1280" w:val="left" w:leader="none"/>
        </w:tabs>
        <w:spacing w:line="240" w:lineRule="auto" w:before="27" w:after="0"/>
        <w:ind w:left="1280" w:right="0" w:hanging="360"/>
        <w:jc w:val="left"/>
        <w:rPr>
          <w:sz w:val="24"/>
        </w:rPr>
      </w:pPr>
      <w:r>
        <w:rPr>
          <w:sz w:val="24"/>
        </w:rPr>
        <w:t>Bilateral</w:t>
      </w:r>
      <w:r>
        <w:rPr>
          <w:spacing w:val="-6"/>
          <w:sz w:val="24"/>
        </w:rPr>
        <w:t> </w:t>
      </w:r>
      <w:r>
        <w:rPr>
          <w:sz w:val="24"/>
        </w:rPr>
        <w:t>loans</w:t>
      </w:r>
      <w:r>
        <w:rPr>
          <w:spacing w:val="-6"/>
          <w:sz w:val="24"/>
        </w:rPr>
        <w:t> </w:t>
      </w:r>
      <w:r>
        <w:rPr>
          <w:sz w:val="24"/>
        </w:rPr>
        <w:t>issued</w:t>
      </w:r>
      <w:r>
        <w:rPr>
          <w:spacing w:val="-6"/>
          <w:sz w:val="24"/>
        </w:rPr>
        <w:t> </w:t>
      </w:r>
      <w:r>
        <w:rPr>
          <w:sz w:val="24"/>
        </w:rPr>
        <w:t>by</w:t>
      </w:r>
      <w:r>
        <w:rPr>
          <w:spacing w:val="-6"/>
          <w:sz w:val="24"/>
        </w:rPr>
        <w:t> </w:t>
      </w:r>
      <w:r>
        <w:rPr>
          <w:sz w:val="24"/>
        </w:rPr>
        <w:t>China</w:t>
      </w:r>
      <w:r>
        <w:rPr>
          <w:spacing w:val="-5"/>
          <w:sz w:val="24"/>
        </w:rPr>
        <w:t> </w:t>
      </w:r>
      <w:r>
        <w:rPr>
          <w:sz w:val="24"/>
        </w:rPr>
        <w:t>Development</w:t>
      </w:r>
      <w:r>
        <w:rPr>
          <w:spacing w:val="-6"/>
          <w:sz w:val="24"/>
        </w:rPr>
        <w:t> </w:t>
      </w:r>
      <w:r>
        <w:rPr>
          <w:sz w:val="24"/>
        </w:rPr>
        <w:t>Bank</w:t>
      </w:r>
      <w:r>
        <w:rPr>
          <w:spacing w:val="-6"/>
          <w:sz w:val="24"/>
        </w:rPr>
        <w:t> </w:t>
      </w:r>
      <w:r>
        <w:rPr>
          <w:spacing w:val="-2"/>
          <w:sz w:val="24"/>
        </w:rPr>
        <w:t>(CDB)</w:t>
      </w:r>
    </w:p>
    <w:p>
      <w:pPr>
        <w:pStyle w:val="BodyText"/>
      </w:pPr>
    </w:p>
    <w:p>
      <w:pPr>
        <w:pStyle w:val="ListParagraph"/>
        <w:numPr>
          <w:ilvl w:val="0"/>
          <w:numId w:val="1"/>
        </w:numPr>
        <w:tabs>
          <w:tab w:pos="1280" w:val="left" w:leader="none"/>
        </w:tabs>
        <w:spacing w:line="333" w:lineRule="auto" w:before="151" w:after="0"/>
        <w:ind w:left="1280" w:right="670" w:hanging="360"/>
        <w:jc w:val="left"/>
        <w:rPr>
          <w:sz w:val="24"/>
        </w:rPr>
      </w:pPr>
      <w:r>
        <w:rPr>
          <w:sz w:val="24"/>
        </w:rPr>
        <w:t>Bilateral</w:t>
      </w:r>
      <w:r>
        <w:rPr>
          <w:spacing w:val="-14"/>
          <w:sz w:val="24"/>
        </w:rPr>
        <w:t> </w:t>
      </w:r>
      <w:r>
        <w:rPr>
          <w:sz w:val="24"/>
        </w:rPr>
        <w:t>loans</w:t>
      </w:r>
      <w:r>
        <w:rPr>
          <w:spacing w:val="-14"/>
          <w:sz w:val="24"/>
        </w:rPr>
        <w:t> </w:t>
      </w:r>
      <w:r>
        <w:rPr>
          <w:sz w:val="24"/>
        </w:rPr>
        <w:t>issued</w:t>
      </w:r>
      <w:r>
        <w:rPr>
          <w:spacing w:val="-14"/>
          <w:sz w:val="24"/>
        </w:rPr>
        <w:t> </w:t>
      </w:r>
      <w:r>
        <w:rPr>
          <w:sz w:val="24"/>
        </w:rPr>
        <w:t>by</w:t>
      </w:r>
      <w:r>
        <w:rPr>
          <w:spacing w:val="-14"/>
          <w:sz w:val="24"/>
        </w:rPr>
        <w:t> </w:t>
      </w:r>
      <w:r>
        <w:rPr>
          <w:sz w:val="24"/>
        </w:rPr>
        <w:t>Chinese</w:t>
      </w:r>
      <w:r>
        <w:rPr>
          <w:spacing w:val="-14"/>
          <w:sz w:val="24"/>
        </w:rPr>
        <w:t> </w:t>
      </w:r>
      <w:r>
        <w:rPr>
          <w:sz w:val="24"/>
        </w:rPr>
        <w:t>state-owned</w:t>
      </w:r>
      <w:r>
        <w:rPr>
          <w:spacing w:val="-14"/>
          <w:sz w:val="24"/>
        </w:rPr>
        <w:t> </w:t>
      </w:r>
      <w:r>
        <w:rPr>
          <w:sz w:val="24"/>
        </w:rPr>
        <w:t>commercial</w:t>
      </w:r>
      <w:r>
        <w:rPr>
          <w:spacing w:val="-14"/>
          <w:sz w:val="24"/>
        </w:rPr>
        <w:t> </w:t>
      </w:r>
      <w:r>
        <w:rPr>
          <w:sz w:val="24"/>
        </w:rPr>
        <w:t>banks,</w:t>
      </w:r>
      <w:r>
        <w:rPr>
          <w:spacing w:val="-14"/>
          <w:sz w:val="24"/>
        </w:rPr>
        <w:t> </w:t>
      </w:r>
      <w:r>
        <w:rPr>
          <w:sz w:val="24"/>
        </w:rPr>
        <w:t>such</w:t>
      </w:r>
      <w:r>
        <w:rPr>
          <w:spacing w:val="-14"/>
          <w:sz w:val="24"/>
        </w:rPr>
        <w:t> </w:t>
      </w:r>
      <w:r>
        <w:rPr>
          <w:sz w:val="24"/>
        </w:rPr>
        <w:t>as</w:t>
      </w:r>
      <w:r>
        <w:rPr>
          <w:sz w:val="24"/>
        </w:rPr>
        <w:t> ICBC, China Construction Bank, and Bank of China</w:t>
      </w:r>
    </w:p>
    <w:p>
      <w:pPr>
        <w:pStyle w:val="BodyText"/>
        <w:spacing w:before="8"/>
        <w:rPr>
          <w:sz w:val="27"/>
        </w:rPr>
      </w:pPr>
    </w:p>
    <w:p>
      <w:pPr>
        <w:pStyle w:val="ListParagraph"/>
        <w:numPr>
          <w:ilvl w:val="0"/>
          <w:numId w:val="1"/>
        </w:numPr>
        <w:tabs>
          <w:tab w:pos="1280" w:val="left" w:leader="none"/>
        </w:tabs>
        <w:spacing w:line="333" w:lineRule="auto" w:before="1" w:after="0"/>
        <w:ind w:left="1280" w:right="1032" w:hanging="360"/>
        <w:jc w:val="left"/>
        <w:rPr>
          <w:sz w:val="24"/>
        </w:rPr>
      </w:pPr>
      <w:r>
        <w:rPr>
          <w:sz w:val="24"/>
        </w:rPr>
        <w:t>Syndicated</w:t>
      </w:r>
      <w:r>
        <w:rPr>
          <w:spacing w:val="-16"/>
          <w:sz w:val="24"/>
        </w:rPr>
        <w:t> </w:t>
      </w:r>
      <w:r>
        <w:rPr>
          <w:sz w:val="24"/>
        </w:rPr>
        <w:t>loans</w:t>
      </w:r>
      <w:r>
        <w:rPr>
          <w:spacing w:val="-16"/>
          <w:sz w:val="24"/>
        </w:rPr>
        <w:t> </w:t>
      </w:r>
      <w:r>
        <w:rPr>
          <w:sz w:val="24"/>
        </w:rPr>
        <w:t>issued</w:t>
      </w:r>
      <w:r>
        <w:rPr>
          <w:spacing w:val="-16"/>
          <w:sz w:val="24"/>
        </w:rPr>
        <w:t> </w:t>
      </w:r>
      <w:r>
        <w:rPr>
          <w:sz w:val="24"/>
        </w:rPr>
        <w:t>by</w:t>
      </w:r>
      <w:r>
        <w:rPr>
          <w:spacing w:val="-16"/>
          <w:sz w:val="24"/>
        </w:rPr>
        <w:t> </w:t>
      </w:r>
      <w:r>
        <w:rPr>
          <w:sz w:val="24"/>
        </w:rPr>
        <w:t>China’s</w:t>
      </w:r>
      <w:r>
        <w:rPr>
          <w:spacing w:val="-16"/>
          <w:sz w:val="24"/>
        </w:rPr>
        <w:t> </w:t>
      </w:r>
      <w:r>
        <w:rPr>
          <w:sz w:val="24"/>
        </w:rPr>
        <w:t>policy</w:t>
      </w:r>
      <w:r>
        <w:rPr>
          <w:spacing w:val="-16"/>
          <w:sz w:val="24"/>
        </w:rPr>
        <w:t> </w:t>
      </w:r>
      <w:r>
        <w:rPr>
          <w:sz w:val="24"/>
        </w:rPr>
        <w:t>banks</w:t>
      </w:r>
      <w:r>
        <w:rPr>
          <w:spacing w:val="-16"/>
          <w:sz w:val="24"/>
        </w:rPr>
        <w:t> </w:t>
      </w:r>
      <w:r>
        <w:rPr>
          <w:sz w:val="24"/>
        </w:rPr>
        <w:t>(China</w:t>
      </w:r>
      <w:r>
        <w:rPr>
          <w:spacing w:val="-16"/>
          <w:sz w:val="24"/>
        </w:rPr>
        <w:t> </w:t>
      </w:r>
      <w:r>
        <w:rPr>
          <w:sz w:val="24"/>
        </w:rPr>
        <w:t>Eximbank</w:t>
      </w:r>
      <w:r>
        <w:rPr>
          <w:spacing w:val="-16"/>
          <w:sz w:val="24"/>
        </w:rPr>
        <w:t> </w:t>
      </w:r>
      <w:r>
        <w:rPr>
          <w:sz w:val="24"/>
        </w:rPr>
        <w:t>and</w:t>
      </w:r>
      <w:r>
        <w:rPr>
          <w:sz w:val="24"/>
        </w:rPr>
        <w:t> CDB) and state-owned commercial banks</w:t>
      </w:r>
    </w:p>
    <w:p>
      <w:pPr>
        <w:pStyle w:val="BodyText"/>
        <w:spacing w:before="8"/>
        <w:rPr>
          <w:sz w:val="27"/>
        </w:rPr>
      </w:pPr>
    </w:p>
    <w:p>
      <w:pPr>
        <w:pStyle w:val="ListParagraph"/>
        <w:numPr>
          <w:ilvl w:val="0"/>
          <w:numId w:val="1"/>
        </w:numPr>
        <w:tabs>
          <w:tab w:pos="1280" w:val="left" w:leader="none"/>
        </w:tabs>
        <w:spacing w:line="333" w:lineRule="auto" w:before="0" w:after="0"/>
        <w:ind w:left="1280" w:right="830" w:hanging="360"/>
        <w:jc w:val="left"/>
        <w:rPr>
          <w:sz w:val="24"/>
        </w:rPr>
      </w:pPr>
      <w:r>
        <w:rPr>
          <w:sz w:val="24"/>
        </w:rPr>
        <w:t>Syndicated</w:t>
      </w:r>
      <w:r>
        <w:rPr>
          <w:spacing w:val="-6"/>
          <w:sz w:val="24"/>
        </w:rPr>
        <w:t> </w:t>
      </w:r>
      <w:r>
        <w:rPr>
          <w:sz w:val="24"/>
        </w:rPr>
        <w:t>loans</w:t>
      </w:r>
      <w:r>
        <w:rPr>
          <w:spacing w:val="-6"/>
          <w:sz w:val="24"/>
        </w:rPr>
        <w:t> </w:t>
      </w:r>
      <w:r>
        <w:rPr>
          <w:sz w:val="24"/>
        </w:rPr>
        <w:t>issued</w:t>
      </w:r>
      <w:r>
        <w:rPr>
          <w:spacing w:val="-6"/>
          <w:sz w:val="24"/>
        </w:rPr>
        <w:t> </w:t>
      </w:r>
      <w:r>
        <w:rPr>
          <w:sz w:val="24"/>
        </w:rPr>
        <w:t>by</w:t>
      </w:r>
      <w:r>
        <w:rPr>
          <w:spacing w:val="-6"/>
          <w:sz w:val="24"/>
        </w:rPr>
        <w:t> </w:t>
      </w:r>
      <w:r>
        <w:rPr>
          <w:sz w:val="24"/>
        </w:rPr>
        <w:t>Chinese</w:t>
      </w:r>
      <w:r>
        <w:rPr>
          <w:spacing w:val="-6"/>
          <w:sz w:val="24"/>
        </w:rPr>
        <w:t> </w:t>
      </w:r>
      <w:r>
        <w:rPr>
          <w:sz w:val="24"/>
        </w:rPr>
        <w:t>state-owned</w:t>
      </w:r>
      <w:r>
        <w:rPr>
          <w:spacing w:val="-6"/>
          <w:sz w:val="24"/>
        </w:rPr>
        <w:t> </w:t>
      </w:r>
      <w:r>
        <w:rPr>
          <w:sz w:val="24"/>
        </w:rPr>
        <w:t>banks</w:t>
      </w:r>
      <w:r>
        <w:rPr>
          <w:spacing w:val="-6"/>
          <w:sz w:val="24"/>
        </w:rPr>
        <w:t> </w:t>
      </w:r>
      <w:r>
        <w:rPr>
          <w:sz w:val="24"/>
        </w:rPr>
        <w:t>and</w:t>
      </w:r>
      <w:r>
        <w:rPr>
          <w:spacing w:val="-6"/>
          <w:sz w:val="24"/>
        </w:rPr>
        <w:t> </w:t>
      </w:r>
      <w:r>
        <w:rPr>
          <w:sz w:val="24"/>
        </w:rPr>
        <w:t>multilateral</w:t>
      </w:r>
      <w:r>
        <w:rPr>
          <w:sz w:val="24"/>
        </w:rPr>
        <w:t> </w:t>
      </w:r>
      <w:r>
        <w:rPr>
          <w:spacing w:val="-2"/>
          <w:sz w:val="24"/>
        </w:rPr>
        <w:t>institutions</w:t>
      </w:r>
    </w:p>
    <w:p>
      <w:pPr>
        <w:pStyle w:val="BodyText"/>
        <w:spacing w:before="8"/>
        <w:rPr>
          <w:sz w:val="27"/>
        </w:rPr>
      </w:pPr>
    </w:p>
    <w:p>
      <w:pPr>
        <w:pStyle w:val="ListParagraph"/>
        <w:numPr>
          <w:ilvl w:val="0"/>
          <w:numId w:val="1"/>
        </w:numPr>
        <w:tabs>
          <w:tab w:pos="1280" w:val="left" w:leader="none"/>
        </w:tabs>
        <w:spacing w:line="240" w:lineRule="auto" w:before="0" w:after="0"/>
        <w:ind w:left="1280" w:right="0" w:hanging="360"/>
        <w:jc w:val="left"/>
        <w:rPr>
          <w:sz w:val="24"/>
        </w:rPr>
      </w:pPr>
      <w:r>
        <w:rPr>
          <w:sz w:val="24"/>
        </w:rPr>
        <w:t>Grants</w:t>
      </w:r>
      <w:r>
        <w:rPr>
          <w:spacing w:val="-6"/>
          <w:sz w:val="24"/>
        </w:rPr>
        <w:t> </w:t>
      </w:r>
      <w:r>
        <w:rPr>
          <w:sz w:val="24"/>
        </w:rPr>
        <w:t>and</w:t>
      </w:r>
      <w:r>
        <w:rPr>
          <w:spacing w:val="-5"/>
          <w:sz w:val="24"/>
        </w:rPr>
        <w:t> </w:t>
      </w:r>
      <w:r>
        <w:rPr>
          <w:sz w:val="24"/>
        </w:rPr>
        <w:t>loans</w:t>
      </w:r>
      <w:r>
        <w:rPr>
          <w:spacing w:val="-6"/>
          <w:sz w:val="24"/>
        </w:rPr>
        <w:t> </w:t>
      </w:r>
      <w:r>
        <w:rPr>
          <w:sz w:val="24"/>
        </w:rPr>
        <w:t>that</w:t>
      </w:r>
      <w:r>
        <w:rPr>
          <w:spacing w:val="-5"/>
          <w:sz w:val="24"/>
        </w:rPr>
        <w:t> </w:t>
      </w:r>
      <w:r>
        <w:rPr>
          <w:sz w:val="24"/>
        </w:rPr>
        <w:t>China</w:t>
      </w:r>
      <w:r>
        <w:rPr>
          <w:spacing w:val="-6"/>
          <w:sz w:val="24"/>
        </w:rPr>
        <w:t> </w:t>
      </w:r>
      <w:r>
        <w:rPr>
          <w:sz w:val="24"/>
        </w:rPr>
        <w:t>has</w:t>
      </w:r>
      <w:r>
        <w:rPr>
          <w:spacing w:val="-5"/>
          <w:sz w:val="24"/>
        </w:rPr>
        <w:t> </w:t>
      </w:r>
      <w:r>
        <w:rPr>
          <w:sz w:val="24"/>
        </w:rPr>
        <w:t>channeled</w:t>
      </w:r>
      <w:r>
        <w:rPr>
          <w:spacing w:val="-6"/>
          <w:sz w:val="24"/>
        </w:rPr>
        <w:t> </w:t>
      </w:r>
      <w:r>
        <w:rPr>
          <w:sz w:val="24"/>
        </w:rPr>
        <w:t>via</w:t>
      </w:r>
      <w:r>
        <w:rPr>
          <w:spacing w:val="-5"/>
          <w:sz w:val="24"/>
        </w:rPr>
        <w:t> </w:t>
      </w:r>
      <w:r>
        <w:rPr>
          <w:sz w:val="24"/>
        </w:rPr>
        <w:t>multilateral</w:t>
      </w:r>
      <w:r>
        <w:rPr>
          <w:spacing w:val="-6"/>
          <w:sz w:val="24"/>
        </w:rPr>
        <w:t> </w:t>
      </w:r>
      <w:r>
        <w:rPr>
          <w:spacing w:val="-2"/>
          <w:sz w:val="24"/>
        </w:rPr>
        <w:t>institutions</w:t>
      </w:r>
    </w:p>
    <w:p>
      <w:pPr>
        <w:pStyle w:val="BodyText"/>
      </w:pPr>
    </w:p>
    <w:p>
      <w:pPr>
        <w:pStyle w:val="ListParagraph"/>
        <w:numPr>
          <w:ilvl w:val="0"/>
          <w:numId w:val="1"/>
        </w:numPr>
        <w:tabs>
          <w:tab w:pos="1280" w:val="left" w:leader="none"/>
        </w:tabs>
        <w:spacing w:line="240" w:lineRule="auto" w:before="152" w:after="0"/>
        <w:ind w:left="1280" w:right="0" w:hanging="360"/>
        <w:jc w:val="left"/>
        <w:rPr>
          <w:sz w:val="24"/>
        </w:rPr>
      </w:pPr>
      <w:r>
        <w:rPr>
          <w:sz w:val="24"/>
        </w:rPr>
        <w:t>Supplier’s</w:t>
      </w:r>
      <w:r>
        <w:rPr>
          <w:spacing w:val="-11"/>
          <w:sz w:val="24"/>
        </w:rPr>
        <w:t> </w:t>
      </w:r>
      <w:r>
        <w:rPr>
          <w:sz w:val="24"/>
        </w:rPr>
        <w:t>credits</w:t>
      </w:r>
      <w:r>
        <w:rPr>
          <w:spacing w:val="-10"/>
          <w:sz w:val="24"/>
        </w:rPr>
        <w:t> </w:t>
      </w:r>
      <w:r>
        <w:rPr>
          <w:sz w:val="24"/>
        </w:rPr>
        <w:t>issued</w:t>
      </w:r>
      <w:r>
        <w:rPr>
          <w:spacing w:val="-11"/>
          <w:sz w:val="24"/>
        </w:rPr>
        <w:t> </w:t>
      </w:r>
      <w:r>
        <w:rPr>
          <w:sz w:val="24"/>
        </w:rPr>
        <w:t>by</w:t>
      </w:r>
      <w:r>
        <w:rPr>
          <w:spacing w:val="-11"/>
          <w:sz w:val="24"/>
        </w:rPr>
        <w:t> </w:t>
      </w:r>
      <w:r>
        <w:rPr>
          <w:sz w:val="24"/>
        </w:rPr>
        <w:t>Chinese</w:t>
      </w:r>
      <w:r>
        <w:rPr>
          <w:spacing w:val="-10"/>
          <w:sz w:val="24"/>
        </w:rPr>
        <w:t> </w:t>
      </w:r>
      <w:r>
        <w:rPr>
          <w:sz w:val="24"/>
        </w:rPr>
        <w:t>state-owned</w:t>
      </w:r>
      <w:r>
        <w:rPr>
          <w:spacing w:val="-11"/>
          <w:sz w:val="24"/>
        </w:rPr>
        <w:t> </w:t>
      </w:r>
      <w:r>
        <w:rPr>
          <w:spacing w:val="-2"/>
          <w:sz w:val="24"/>
        </w:rPr>
        <w:t>companies</w:t>
      </w:r>
    </w:p>
    <w:p>
      <w:pPr>
        <w:pStyle w:val="BodyText"/>
      </w:pPr>
    </w:p>
    <w:p>
      <w:pPr>
        <w:pStyle w:val="BodyText"/>
        <w:spacing w:line="333" w:lineRule="auto" w:before="150"/>
        <w:ind w:left="560" w:right="655"/>
      </w:pPr>
      <w:r>
        <w:rPr/>
        <w:t>These eight types of ﬁnancing agreements, which account for 90% of China’s grant- and loan-ﬁnanced infrastructure project portfolio in the developing </w:t>
      </w:r>
      <w:r>
        <w:rPr/>
        <w:t>world between 2000 and 2021, include widely divergent ESG terms and conditions (see Tables A5 and A8).</w:t>
      </w:r>
      <w:r>
        <w:rPr>
          <w:vertAlign w:val="superscript"/>
        </w:rPr>
        <w:t>264</w:t>
      </w:r>
      <w:r>
        <w:rPr>
          <w:spacing w:val="-1"/>
          <w:vertAlign w:val="baseline"/>
        </w:rPr>
        <w:t> </w:t>
      </w:r>
      <w:r>
        <w:rPr>
          <w:vertAlign w:val="baseline"/>
        </w:rPr>
        <w:t>However, variation in de jure ESG safeguard stringency has never been systematically documented across agreement types. Nor has previous research demonstrated how Beijing’s use of these different types of agreements—with varying levels of de jure ESG safeguard</w:t>
      </w:r>
      <w:r>
        <w:rPr>
          <w:spacing w:val="40"/>
          <w:vertAlign w:val="baseline"/>
        </w:rPr>
        <w:t> </w:t>
      </w:r>
      <w:r>
        <w:rPr>
          <w:vertAlign w:val="baseline"/>
        </w:rPr>
        <w:t>stringency—has changed with the passage of time.</w:t>
      </w:r>
    </w:p>
    <w:p>
      <w:pPr>
        <w:pStyle w:val="BodyText"/>
        <w:spacing w:before="5"/>
        <w:rPr>
          <w:sz w:val="27"/>
        </w:rPr>
      </w:pPr>
    </w:p>
    <w:p>
      <w:pPr>
        <w:pStyle w:val="BodyText"/>
        <w:spacing w:line="333" w:lineRule="auto"/>
        <w:ind w:left="560" w:right="680"/>
      </w:pPr>
      <w:r>
        <w:rPr/>
        <w:t>In order to overcome these obstacles, we developed a standardized set of coding criteria related to ESG risk management that can be applied to any </w:t>
      </w:r>
      <w:r>
        <w:rPr/>
        <w:t>type of Chinese loan contract or grant agreement that supports an overseas infrastructure project.</w:t>
      </w:r>
      <w:r>
        <w:rPr>
          <w:vertAlign w:val="superscript"/>
        </w:rPr>
        <w:t>265</w:t>
      </w:r>
      <w:r>
        <w:rPr>
          <w:vertAlign w:val="baseline"/>
        </w:rPr>
        <w:t> These 26 criteria, which are described in Section A-8 and Table A3 in the Appendix, include 8 focused on environmental safeguards,</w:t>
      </w:r>
    </w:p>
    <w:p>
      <w:pPr>
        <w:pStyle w:val="BodyText"/>
        <w:rPr>
          <w:sz w:val="20"/>
        </w:rPr>
      </w:pPr>
    </w:p>
    <w:p>
      <w:pPr>
        <w:pStyle w:val="BodyText"/>
        <w:spacing w:before="8"/>
        <w:rPr>
          <w:sz w:val="11"/>
        </w:rPr>
      </w:pPr>
      <w:r>
        <w:rPr/>
        <w:pict>
          <v:shape style="position:absolute;margin-left:90pt;margin-top:7.967481pt;width:144pt;height:.1pt;mso-position-horizontal-relative:page;mso-position-vertical-relative:paragraph;z-index:-15713280;mso-wrap-distance-left:0;mso-wrap-distance-right:0" id="docshape25" coordorigin="1800,159" coordsize="2880,0" path="m1800,159l4680,159e" filled="false" stroked="true" strokeweight=".75pt" strokecolor="#000000">
            <v:path arrowok="t"/>
            <v:stroke dashstyle="solid"/>
            <w10:wrap type="topAndBottom"/>
          </v:shape>
        </w:pict>
      </w:r>
    </w:p>
    <w:p>
      <w:pPr>
        <w:spacing w:line="249" w:lineRule="auto" w:before="110"/>
        <w:ind w:left="560" w:right="611" w:firstLine="0"/>
        <w:jc w:val="left"/>
        <w:rPr>
          <w:sz w:val="18"/>
        </w:rPr>
      </w:pPr>
      <w:r>
        <w:rPr>
          <w:sz w:val="18"/>
          <w:vertAlign w:val="superscript"/>
        </w:rPr>
        <w:t>264</w:t>
      </w:r>
      <w:r>
        <w:rPr>
          <w:sz w:val="18"/>
          <w:vertAlign w:val="baseline"/>
        </w:rPr>
        <w:t> These 8 ﬁnancial instrument types were used by China to support 90.2% of its grant- and loan-ﬁnanced infrastructure project portfolio in LICs and MICs between 2000 and 2021. The remaining 9.8% of the portfolio consisted of projects supported by more “exotic” ﬁnancial instrument types (e.g., Engineering,</w:t>
      </w:r>
      <w:r>
        <w:rPr>
          <w:spacing w:val="40"/>
          <w:sz w:val="18"/>
          <w:vertAlign w:val="baseline"/>
        </w:rPr>
        <w:t> </w:t>
      </w:r>
      <w:r>
        <w:rPr>
          <w:sz w:val="18"/>
          <w:vertAlign w:val="baseline"/>
        </w:rPr>
        <w:t>Procurement,</w:t>
      </w:r>
      <w:r>
        <w:rPr>
          <w:spacing w:val="-9"/>
          <w:sz w:val="18"/>
          <w:vertAlign w:val="baseline"/>
        </w:rPr>
        <w:t> </w:t>
      </w:r>
      <w:r>
        <w:rPr>
          <w:sz w:val="18"/>
          <w:vertAlign w:val="baseline"/>
        </w:rPr>
        <w:t>Construction</w:t>
      </w:r>
      <w:r>
        <w:rPr>
          <w:spacing w:val="-9"/>
          <w:sz w:val="18"/>
          <w:vertAlign w:val="baseline"/>
        </w:rPr>
        <w:t> </w:t>
      </w:r>
      <w:r>
        <w:rPr>
          <w:sz w:val="18"/>
          <w:vertAlign w:val="baseline"/>
        </w:rPr>
        <w:t>and</w:t>
      </w:r>
      <w:r>
        <w:rPr>
          <w:spacing w:val="-9"/>
          <w:sz w:val="18"/>
          <w:vertAlign w:val="baseline"/>
        </w:rPr>
        <w:t> </w:t>
      </w:r>
      <w:r>
        <w:rPr>
          <w:sz w:val="18"/>
          <w:vertAlign w:val="baseline"/>
        </w:rPr>
        <w:t>Financing</w:t>
      </w:r>
      <w:r>
        <w:rPr>
          <w:spacing w:val="-9"/>
          <w:sz w:val="18"/>
          <w:vertAlign w:val="baseline"/>
        </w:rPr>
        <w:t> </w:t>
      </w:r>
      <w:r>
        <w:rPr>
          <w:sz w:val="18"/>
          <w:vertAlign w:val="baseline"/>
        </w:rPr>
        <w:t>(ECPDF)</w:t>
      </w:r>
      <w:r>
        <w:rPr>
          <w:spacing w:val="-9"/>
          <w:sz w:val="18"/>
          <w:vertAlign w:val="baseline"/>
        </w:rPr>
        <w:t> </w:t>
      </w:r>
      <w:r>
        <w:rPr>
          <w:sz w:val="18"/>
          <w:vertAlign w:val="baseline"/>
        </w:rPr>
        <w:t>agreements).</w:t>
      </w:r>
      <w:r>
        <w:rPr>
          <w:spacing w:val="-9"/>
          <w:sz w:val="18"/>
          <w:vertAlign w:val="baseline"/>
        </w:rPr>
        <w:t> </w:t>
      </w:r>
      <w:r>
        <w:rPr>
          <w:sz w:val="18"/>
          <w:vertAlign w:val="baseline"/>
        </w:rPr>
        <w:t>The</w:t>
      </w:r>
      <w:r>
        <w:rPr>
          <w:spacing w:val="-9"/>
          <w:sz w:val="18"/>
          <w:vertAlign w:val="baseline"/>
        </w:rPr>
        <w:t> </w:t>
      </w:r>
      <w:r>
        <w:rPr>
          <w:sz w:val="18"/>
          <w:vertAlign w:val="baseline"/>
        </w:rPr>
        <w:t>3.0</w:t>
      </w:r>
      <w:r>
        <w:rPr>
          <w:spacing w:val="-9"/>
          <w:sz w:val="18"/>
          <w:vertAlign w:val="baseline"/>
        </w:rPr>
        <w:t> </w:t>
      </w:r>
      <w:r>
        <w:rPr>
          <w:sz w:val="18"/>
          <w:vertAlign w:val="baseline"/>
        </w:rPr>
        <w:t>version</w:t>
      </w:r>
      <w:r>
        <w:rPr>
          <w:spacing w:val="-9"/>
          <w:sz w:val="18"/>
          <w:vertAlign w:val="baseline"/>
        </w:rPr>
        <w:t> </w:t>
      </w:r>
      <w:r>
        <w:rPr>
          <w:sz w:val="18"/>
          <w:vertAlign w:val="baseline"/>
        </w:rPr>
        <w:t>of</w:t>
      </w:r>
      <w:r>
        <w:rPr>
          <w:spacing w:val="-9"/>
          <w:sz w:val="18"/>
          <w:vertAlign w:val="baseline"/>
        </w:rPr>
        <w:t> </w:t>
      </w:r>
      <w:r>
        <w:rPr>
          <w:sz w:val="18"/>
          <w:vertAlign w:val="baseline"/>
        </w:rPr>
        <w:t>the</w:t>
      </w:r>
      <w:r>
        <w:rPr>
          <w:spacing w:val="-9"/>
          <w:sz w:val="18"/>
          <w:vertAlign w:val="baseline"/>
        </w:rPr>
        <w:t> </w:t>
      </w:r>
      <w:r>
        <w:rPr>
          <w:sz w:val="18"/>
          <w:vertAlign w:val="baseline"/>
        </w:rPr>
        <w:t>GCDF</w:t>
      </w:r>
      <w:r>
        <w:rPr>
          <w:spacing w:val="-9"/>
          <w:sz w:val="18"/>
          <w:vertAlign w:val="baseline"/>
        </w:rPr>
        <w:t> </w:t>
      </w:r>
      <w:r>
        <w:rPr>
          <w:sz w:val="18"/>
          <w:vertAlign w:val="baseline"/>
        </w:rPr>
        <w:t>dataset</w:t>
      </w:r>
      <w:r>
        <w:rPr>
          <w:spacing w:val="-9"/>
          <w:sz w:val="18"/>
          <w:vertAlign w:val="baseline"/>
        </w:rPr>
        <w:t> </w:t>
      </w:r>
      <w:r>
        <w:rPr>
          <w:sz w:val="18"/>
          <w:vertAlign w:val="baseline"/>
        </w:rPr>
        <w:t>does not include many unredacted ﬁnancing agreements for these projects, so we exclude them from our </w:t>
      </w:r>
      <w:r>
        <w:rPr>
          <w:spacing w:val="-2"/>
          <w:sz w:val="18"/>
          <w:vertAlign w:val="baseline"/>
        </w:rPr>
        <w:t>analysis.</w:t>
      </w:r>
    </w:p>
    <w:p>
      <w:pPr>
        <w:spacing w:line="249" w:lineRule="auto" w:before="4"/>
        <w:ind w:left="560" w:right="680" w:firstLine="0"/>
        <w:jc w:val="left"/>
        <w:rPr>
          <w:sz w:val="18"/>
        </w:rPr>
      </w:pPr>
      <w:r>
        <w:rPr>
          <w:sz w:val="18"/>
          <w:vertAlign w:val="superscript"/>
        </w:rPr>
        <w:t>265</w:t>
      </w:r>
      <w:r>
        <w:rPr>
          <w:sz w:val="18"/>
          <w:vertAlign w:val="baseline"/>
        </w:rPr>
        <w:t> Environmental and social safeguards are typically inapplicable to projects that do not involve the construction, rehabilitation, or expansion of infrastructure, although there are some exceptions to </w:t>
      </w:r>
      <w:r>
        <w:rPr>
          <w:sz w:val="18"/>
          <w:vertAlign w:val="baseline"/>
        </w:rPr>
        <w:t>this general rule (most notably, projects that involve natural resource extraction without infrastructure </w:t>
      </w:r>
      <w:r>
        <w:rPr>
          <w:spacing w:val="-2"/>
          <w:sz w:val="18"/>
          <w:vertAlign w:val="baseline"/>
        </w:rPr>
        <w:t>components).</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77"/>
      </w:pPr>
      <w:r>
        <w:rPr/>
        <w:t>7</w:t>
      </w:r>
      <w:r>
        <w:rPr>
          <w:spacing w:val="-7"/>
        </w:rPr>
        <w:t> </w:t>
      </w:r>
      <w:r>
        <w:rPr/>
        <w:t>focused</w:t>
      </w:r>
      <w:r>
        <w:rPr>
          <w:spacing w:val="-7"/>
        </w:rPr>
        <w:t> </w:t>
      </w:r>
      <w:r>
        <w:rPr/>
        <w:t>on</w:t>
      </w:r>
      <w:r>
        <w:rPr>
          <w:spacing w:val="-7"/>
        </w:rPr>
        <w:t> </w:t>
      </w:r>
      <w:r>
        <w:rPr/>
        <w:t>social</w:t>
      </w:r>
      <w:r>
        <w:rPr>
          <w:spacing w:val="-7"/>
        </w:rPr>
        <w:t> </w:t>
      </w:r>
      <w:r>
        <w:rPr/>
        <w:t>safeguards,</w:t>
      </w:r>
      <w:r>
        <w:rPr>
          <w:spacing w:val="-7"/>
        </w:rPr>
        <w:t> </w:t>
      </w:r>
      <w:r>
        <w:rPr/>
        <w:t>and</w:t>
      </w:r>
      <w:r>
        <w:rPr>
          <w:spacing w:val="-7"/>
        </w:rPr>
        <w:t> </w:t>
      </w:r>
      <w:r>
        <w:rPr/>
        <w:t>11</w:t>
      </w:r>
      <w:r>
        <w:rPr>
          <w:spacing w:val="-7"/>
        </w:rPr>
        <w:t> </w:t>
      </w:r>
      <w:r>
        <w:rPr/>
        <w:t>focused</w:t>
      </w:r>
      <w:r>
        <w:rPr>
          <w:spacing w:val="-7"/>
        </w:rPr>
        <w:t> </w:t>
      </w:r>
      <w:r>
        <w:rPr/>
        <w:t>on</w:t>
      </w:r>
      <w:r>
        <w:rPr>
          <w:spacing w:val="-7"/>
        </w:rPr>
        <w:t> </w:t>
      </w:r>
      <w:r>
        <w:rPr/>
        <w:t>governance</w:t>
      </w:r>
      <w:r>
        <w:rPr>
          <w:spacing w:val="-7"/>
        </w:rPr>
        <w:t> </w:t>
      </w:r>
      <w:r>
        <w:rPr/>
        <w:t>safeguards.</w:t>
      </w:r>
      <w:r>
        <w:rPr>
          <w:spacing w:val="-7"/>
        </w:rPr>
        <w:t> </w:t>
      </w:r>
      <w:r>
        <w:rPr/>
        <w:t>They are broadly aligned with the OECD Council Recommendation on Common Approaches for Ofﬁcially Supported Export Credits and Environmental and</w:t>
      </w:r>
      <w:r>
        <w:rPr>
          <w:spacing w:val="80"/>
        </w:rPr>
        <w:t> </w:t>
      </w:r>
      <w:r>
        <w:rPr/>
        <w:t>Social Due Diligence, the IFC's Performance Standards on Environmental and Social Sustainability, the Uniform Framework for Preventing and Combating Fraud and Corruption, the OECD Council Recommendation on Bribery and Ofﬁcially Supported Export Credits, and the OECD Council Recommendation </w:t>
      </w:r>
      <w:r>
        <w:rPr/>
        <w:t>on</w:t>
      </w:r>
      <w:r>
        <w:rPr/>
        <w:t> Public Procurement.</w:t>
      </w:r>
      <w:r>
        <w:rPr>
          <w:vertAlign w:val="superscript"/>
        </w:rPr>
        <w:t>2</w:t>
      </w:r>
      <w:r>
        <w:rPr>
          <w:vertAlign w:val="superscript"/>
        </w:rPr>
        <w:t>6</w:t>
      </w:r>
      <w:r>
        <w:rPr>
          <w:vertAlign w:val="superscript"/>
        </w:rPr>
        <w:t>6</w:t>
      </w:r>
      <w:r>
        <w:rPr>
          <w:vertAlign w:val="baseline"/>
        </w:rPr>
        <w:t> The criteria are organized into three groups: those that identify the presence or absence of (1) rules or standards to establish behavioral expectations related to ESG risk management and mitigation, (2) oversight mechanisms for monitoring compliance with those behavioral expectations; and/or (3) enforcement mechanisms for sanctioning noncompliance with those behavioral expectations (e.g., indemniﬁcation, withholding disbursements).</w:t>
      </w:r>
    </w:p>
    <w:p>
      <w:pPr>
        <w:pStyle w:val="BodyText"/>
        <w:spacing w:before="2"/>
        <w:rPr>
          <w:sz w:val="27"/>
        </w:rPr>
      </w:pPr>
    </w:p>
    <w:p>
      <w:pPr>
        <w:pStyle w:val="BodyText"/>
        <w:spacing w:line="333" w:lineRule="auto"/>
        <w:ind w:left="560" w:right="561"/>
      </w:pPr>
      <w:r>
        <w:rPr/>
        <w:t>To construct our coding sample, we ﬁrst identify all of the records (nearly 300) in the 3.0 version of the GCDF dataset that include unredacted loan contracts and grant agreements. We then remove all of the loan contracts and grant agreements that do not support infrastructure projects. We subsequently eliminate all loan contracts and grant agreements that do not correspond to </w:t>
      </w:r>
      <w:r>
        <w:rPr/>
        <w:t>one of the 8 primary infrastructure ﬁnancing agreement types. As shown in Section</w:t>
      </w:r>
    </w:p>
    <w:p>
      <w:pPr>
        <w:pStyle w:val="BodyText"/>
        <w:spacing w:line="333" w:lineRule="auto"/>
        <w:ind w:left="560" w:right="554"/>
      </w:pPr>
      <w:r>
        <w:rPr/>
        <w:t>A-10, we then prune the remaining sample of loan contracts and grant agreements to identify 3 agreements for each of the 8 ﬁnancial instrument categories</w:t>
      </w:r>
      <w:r>
        <w:rPr>
          <w:vertAlign w:val="superscript"/>
        </w:rPr>
        <w:t>267</w:t>
      </w:r>
      <w:r>
        <w:rPr>
          <w:vertAlign w:val="baseline"/>
        </w:rPr>
        <w:t> that provide broad geographical coverage (across Africa, Latin America and the Caribbean, Asia and the Paciﬁc, Central and Eastern Europe, and the Middle East) and income bracket coverage (across upper-middle </w:t>
      </w:r>
      <w:r>
        <w:rPr>
          <w:vertAlign w:val="baseline"/>
        </w:rPr>
        <w:t>income countries, lower-middle income countries, low-income countries, and least developed countries), and temporal coverage (over our 22-year period of study). For each ﬁnancial instrument category, we also seek to identify agreements</w:t>
      </w:r>
    </w:p>
    <w:p>
      <w:pPr>
        <w:pStyle w:val="BodyText"/>
        <w:rPr>
          <w:sz w:val="20"/>
        </w:rPr>
      </w:pPr>
    </w:p>
    <w:p>
      <w:pPr>
        <w:pStyle w:val="BodyText"/>
        <w:rPr>
          <w:sz w:val="20"/>
        </w:rPr>
      </w:pPr>
    </w:p>
    <w:p>
      <w:pPr>
        <w:pStyle w:val="BodyText"/>
        <w:rPr>
          <w:sz w:val="20"/>
        </w:rPr>
      </w:pPr>
    </w:p>
    <w:p>
      <w:pPr>
        <w:pStyle w:val="BodyText"/>
        <w:spacing w:before="5"/>
        <w:rPr>
          <w:sz w:val="13"/>
        </w:rPr>
      </w:pPr>
      <w:r>
        <w:rPr/>
        <w:pict>
          <v:shape style="position:absolute;margin-left:90pt;margin-top:8.940478pt;width:144pt;height:.1pt;mso-position-horizontal-relative:page;mso-position-vertical-relative:paragraph;z-index:-15712768;mso-wrap-distance-left:0;mso-wrap-distance-right:0" id="docshape26" coordorigin="1800,179" coordsize="2880,0" path="m1800,179l4680,179e" filled="false" stroked="true" strokeweight=".75pt" strokecolor="#000000">
            <v:path arrowok="t"/>
            <v:stroke dashstyle="solid"/>
            <w10:wrap type="topAndBottom"/>
          </v:shape>
        </w:pict>
      </w:r>
    </w:p>
    <w:p>
      <w:pPr>
        <w:spacing w:line="249" w:lineRule="auto" w:before="110"/>
        <w:ind w:left="560" w:right="672" w:firstLine="0"/>
        <w:jc w:val="left"/>
        <w:rPr>
          <w:sz w:val="20"/>
        </w:rPr>
      </w:pPr>
      <w:r>
        <w:rPr>
          <w:sz w:val="20"/>
          <w:vertAlign w:val="superscript"/>
        </w:rPr>
        <w:t>266</w:t>
      </w:r>
      <w:r>
        <w:rPr>
          <w:sz w:val="20"/>
          <w:vertAlign w:val="baseline"/>
        </w:rPr>
        <w:t> The OECD Council Recommendation on Common Approaches for Ofﬁcially Supported Export</w:t>
      </w:r>
      <w:r>
        <w:rPr>
          <w:spacing w:val="-4"/>
          <w:sz w:val="20"/>
          <w:vertAlign w:val="baseline"/>
        </w:rPr>
        <w:t> </w:t>
      </w:r>
      <w:r>
        <w:rPr>
          <w:sz w:val="20"/>
          <w:vertAlign w:val="baseline"/>
        </w:rPr>
        <w:t>Credits</w:t>
      </w:r>
      <w:r>
        <w:rPr>
          <w:spacing w:val="-4"/>
          <w:sz w:val="20"/>
          <w:vertAlign w:val="baseline"/>
        </w:rPr>
        <w:t> </w:t>
      </w:r>
      <w:r>
        <w:rPr>
          <w:sz w:val="20"/>
          <w:vertAlign w:val="baseline"/>
        </w:rPr>
        <w:t>and</w:t>
      </w:r>
      <w:r>
        <w:rPr>
          <w:spacing w:val="-4"/>
          <w:sz w:val="20"/>
          <w:vertAlign w:val="baseline"/>
        </w:rPr>
        <w:t> </w:t>
      </w:r>
      <w:r>
        <w:rPr>
          <w:sz w:val="20"/>
          <w:vertAlign w:val="baseline"/>
        </w:rPr>
        <w:t>Environmental</w:t>
      </w:r>
      <w:r>
        <w:rPr>
          <w:spacing w:val="-3"/>
          <w:sz w:val="20"/>
          <w:vertAlign w:val="baseline"/>
        </w:rPr>
        <w:t> </w:t>
      </w:r>
      <w:r>
        <w:rPr>
          <w:sz w:val="20"/>
          <w:vertAlign w:val="baseline"/>
        </w:rPr>
        <w:t>and</w:t>
      </w:r>
      <w:r>
        <w:rPr>
          <w:spacing w:val="-4"/>
          <w:sz w:val="20"/>
          <w:vertAlign w:val="baseline"/>
        </w:rPr>
        <w:t> </w:t>
      </w:r>
      <w:r>
        <w:rPr>
          <w:sz w:val="20"/>
          <w:vertAlign w:val="baseline"/>
        </w:rPr>
        <w:t>Social</w:t>
      </w:r>
      <w:r>
        <w:rPr>
          <w:spacing w:val="-3"/>
          <w:sz w:val="20"/>
          <w:vertAlign w:val="baseline"/>
        </w:rPr>
        <w:t> </w:t>
      </w:r>
      <w:r>
        <w:rPr>
          <w:sz w:val="20"/>
          <w:vertAlign w:val="baseline"/>
        </w:rPr>
        <w:t>Due</w:t>
      </w:r>
      <w:r>
        <w:rPr>
          <w:spacing w:val="-4"/>
          <w:sz w:val="20"/>
          <w:vertAlign w:val="baseline"/>
        </w:rPr>
        <w:t> </w:t>
      </w:r>
      <w:r>
        <w:rPr>
          <w:sz w:val="20"/>
          <w:vertAlign w:val="baseline"/>
        </w:rPr>
        <w:t>Diligence</w:t>
      </w:r>
      <w:r>
        <w:rPr>
          <w:spacing w:val="-4"/>
          <w:sz w:val="20"/>
          <w:vertAlign w:val="baseline"/>
        </w:rPr>
        <w:t> </w:t>
      </w:r>
      <w:r>
        <w:rPr>
          <w:sz w:val="20"/>
          <w:vertAlign w:val="baseline"/>
        </w:rPr>
        <w:t>was</w:t>
      </w:r>
      <w:r>
        <w:rPr>
          <w:spacing w:val="-4"/>
          <w:sz w:val="20"/>
          <w:vertAlign w:val="baseline"/>
        </w:rPr>
        <w:t> </w:t>
      </w:r>
      <w:r>
        <w:rPr>
          <w:sz w:val="20"/>
          <w:vertAlign w:val="baseline"/>
        </w:rPr>
        <w:t>previously</w:t>
      </w:r>
      <w:r>
        <w:rPr>
          <w:spacing w:val="-4"/>
          <w:sz w:val="20"/>
          <w:vertAlign w:val="baseline"/>
        </w:rPr>
        <w:t> </w:t>
      </w:r>
      <w:r>
        <w:rPr>
          <w:sz w:val="20"/>
          <w:vertAlign w:val="baseline"/>
        </w:rPr>
        <w:t>known</w:t>
      </w:r>
      <w:r>
        <w:rPr>
          <w:spacing w:val="-4"/>
          <w:sz w:val="20"/>
          <w:vertAlign w:val="baseline"/>
        </w:rPr>
        <w:t> </w:t>
      </w:r>
      <w:r>
        <w:rPr>
          <w:sz w:val="20"/>
          <w:vertAlign w:val="baseline"/>
        </w:rPr>
        <w:t>as</w:t>
      </w:r>
      <w:r>
        <w:rPr>
          <w:spacing w:val="-4"/>
          <w:sz w:val="20"/>
          <w:vertAlign w:val="baseline"/>
        </w:rPr>
        <w:t> </w:t>
      </w:r>
      <w:r>
        <w:rPr>
          <w:sz w:val="20"/>
          <w:vertAlign w:val="baseline"/>
        </w:rPr>
        <w:t>the</w:t>
      </w:r>
      <w:r>
        <w:rPr>
          <w:spacing w:val="-4"/>
          <w:sz w:val="20"/>
          <w:vertAlign w:val="baseline"/>
        </w:rPr>
        <w:t> </w:t>
      </w:r>
      <w:r>
        <w:rPr>
          <w:sz w:val="20"/>
          <w:vertAlign w:val="baseline"/>
        </w:rPr>
        <w:t>OECD Revised Council Recommendation on Common Approaches on the Environment and Ofﬁcially Supported Export Credits.</w:t>
      </w:r>
    </w:p>
    <w:p>
      <w:pPr>
        <w:spacing w:line="249" w:lineRule="auto" w:before="3"/>
        <w:ind w:left="560" w:right="593" w:firstLine="0"/>
        <w:jc w:val="left"/>
        <w:rPr>
          <w:sz w:val="20"/>
        </w:rPr>
      </w:pPr>
      <w:r>
        <w:rPr>
          <w:sz w:val="20"/>
          <w:vertAlign w:val="superscript"/>
        </w:rPr>
        <w:t>267</w:t>
      </w:r>
      <w:r>
        <w:rPr>
          <w:sz w:val="20"/>
          <w:vertAlign w:val="baseline"/>
        </w:rPr>
        <w:t> For one of the eight ﬁnancial instrument categories (“syndicated loans issued by Chinese state-owned banks and multilateral institutions”), we were only able to identify two infrastructure project ﬁnancing agreements.</w:t>
      </w:r>
    </w:p>
    <w:p>
      <w:pPr>
        <w:spacing w:after="0" w:line="249" w:lineRule="auto"/>
        <w:jc w:val="left"/>
        <w:rPr>
          <w:sz w:val="20"/>
        </w:rPr>
        <w:sectPr>
          <w:pgSz w:w="12240" w:h="15840"/>
          <w:pgMar w:header="0" w:footer="720" w:top="1400" w:bottom="920" w:left="1240" w:right="1260"/>
        </w:sectPr>
      </w:pPr>
    </w:p>
    <w:p>
      <w:pPr>
        <w:pStyle w:val="BodyText"/>
        <w:spacing w:line="333" w:lineRule="auto" w:before="67"/>
        <w:ind w:left="560"/>
      </w:pPr>
      <w:r>
        <w:rPr/>
        <w:t>issued</w:t>
      </w:r>
      <w:r>
        <w:rPr>
          <w:spacing w:val="-1"/>
        </w:rPr>
        <w:t> </w:t>
      </w:r>
      <w:r>
        <w:rPr/>
        <w:t>before</w:t>
      </w:r>
      <w:r>
        <w:rPr>
          <w:spacing w:val="-1"/>
        </w:rPr>
        <w:t> </w:t>
      </w:r>
      <w:r>
        <w:rPr/>
        <w:t>and</w:t>
      </w:r>
      <w:r>
        <w:rPr>
          <w:spacing w:val="-1"/>
        </w:rPr>
        <w:t> </w:t>
      </w:r>
      <w:r>
        <w:rPr/>
        <w:t>after</w:t>
      </w:r>
      <w:r>
        <w:rPr>
          <w:spacing w:val="-1"/>
        </w:rPr>
        <w:t> </w:t>
      </w:r>
      <w:r>
        <w:rPr/>
        <w:t>the</w:t>
      </w:r>
      <w:r>
        <w:rPr>
          <w:spacing w:val="-1"/>
        </w:rPr>
        <w:t> </w:t>
      </w:r>
      <w:r>
        <w:rPr/>
        <w:t>late</w:t>
      </w:r>
      <w:r>
        <w:rPr>
          <w:spacing w:val="-1"/>
        </w:rPr>
        <w:t> </w:t>
      </w:r>
      <w:r>
        <w:rPr/>
        <w:t>BRI</w:t>
      </w:r>
      <w:r>
        <w:rPr>
          <w:spacing w:val="-1"/>
        </w:rPr>
        <w:t> </w:t>
      </w:r>
      <w:r>
        <w:rPr/>
        <w:t>period,</w:t>
      </w:r>
      <w:r>
        <w:rPr>
          <w:vertAlign w:val="superscript"/>
        </w:rPr>
        <w:t>268</w:t>
      </w:r>
      <w:r>
        <w:rPr>
          <w:spacing w:val="-2"/>
          <w:vertAlign w:val="baseline"/>
        </w:rPr>
        <w:t> </w:t>
      </w:r>
      <w:r>
        <w:rPr>
          <w:vertAlign w:val="baseline"/>
        </w:rPr>
        <w:t>given</w:t>
      </w:r>
      <w:r>
        <w:rPr>
          <w:spacing w:val="-1"/>
          <w:vertAlign w:val="baseline"/>
        </w:rPr>
        <w:t> </w:t>
      </w:r>
      <w:r>
        <w:rPr>
          <w:vertAlign w:val="baseline"/>
        </w:rPr>
        <w:t>that</w:t>
      </w:r>
      <w:r>
        <w:rPr>
          <w:spacing w:val="-1"/>
          <w:vertAlign w:val="baseline"/>
        </w:rPr>
        <w:t> </w:t>
      </w:r>
      <w:r>
        <w:rPr>
          <w:vertAlign w:val="baseline"/>
        </w:rPr>
        <w:t>Beijing</w:t>
      </w:r>
      <w:r>
        <w:rPr>
          <w:spacing w:val="-1"/>
          <w:vertAlign w:val="baseline"/>
        </w:rPr>
        <w:t> </w:t>
      </w:r>
      <w:r>
        <w:rPr>
          <w:vertAlign w:val="baseline"/>
        </w:rPr>
        <w:t>has</w:t>
      </w:r>
      <w:r>
        <w:rPr>
          <w:spacing w:val="-1"/>
          <w:vertAlign w:val="baseline"/>
        </w:rPr>
        <w:t> </w:t>
      </w:r>
      <w:r>
        <w:rPr>
          <w:vertAlign w:val="baseline"/>
        </w:rPr>
        <w:t>made</w:t>
      </w:r>
      <w:r>
        <w:rPr>
          <w:spacing w:val="-1"/>
          <w:vertAlign w:val="baseline"/>
        </w:rPr>
        <w:t> </w:t>
      </w:r>
      <w:r>
        <w:rPr>
          <w:vertAlign w:val="baseline"/>
        </w:rPr>
        <w:t>many </w:t>
      </w:r>
      <w:r>
        <w:rPr>
          <w:w w:val="105"/>
          <w:vertAlign w:val="baseline"/>
        </w:rPr>
        <w:t>rhetorical</w:t>
      </w:r>
      <w:r>
        <w:rPr>
          <w:spacing w:val="-18"/>
          <w:w w:val="105"/>
          <w:vertAlign w:val="baseline"/>
        </w:rPr>
        <w:t> </w:t>
      </w:r>
      <w:r>
        <w:rPr>
          <w:w w:val="105"/>
          <w:vertAlign w:val="baseline"/>
        </w:rPr>
        <w:t>commitments</w:t>
      </w:r>
      <w:r>
        <w:rPr>
          <w:spacing w:val="-17"/>
          <w:w w:val="105"/>
          <w:vertAlign w:val="baseline"/>
        </w:rPr>
        <w:t> </w:t>
      </w:r>
      <w:r>
        <w:rPr>
          <w:w w:val="105"/>
          <w:vertAlign w:val="baseline"/>
        </w:rPr>
        <w:t>to</w:t>
      </w:r>
      <w:r>
        <w:rPr>
          <w:spacing w:val="-18"/>
          <w:w w:val="105"/>
          <w:vertAlign w:val="baseline"/>
        </w:rPr>
        <w:t> </w:t>
      </w:r>
      <w:r>
        <w:rPr>
          <w:w w:val="105"/>
          <w:vertAlign w:val="baseline"/>
        </w:rPr>
        <w:t>strengthen</w:t>
      </w:r>
      <w:r>
        <w:rPr>
          <w:spacing w:val="-18"/>
          <w:w w:val="105"/>
          <w:vertAlign w:val="baseline"/>
        </w:rPr>
        <w:t> </w:t>
      </w:r>
      <w:r>
        <w:rPr>
          <w:w w:val="105"/>
          <w:vertAlign w:val="baseline"/>
        </w:rPr>
        <w:t>ESG</w:t>
      </w:r>
      <w:r>
        <w:rPr>
          <w:spacing w:val="-17"/>
          <w:w w:val="105"/>
          <w:vertAlign w:val="baseline"/>
        </w:rPr>
        <w:t> </w:t>
      </w:r>
      <w:r>
        <w:rPr>
          <w:w w:val="105"/>
          <w:vertAlign w:val="baseline"/>
        </w:rPr>
        <w:t>protections</w:t>
      </w:r>
      <w:r>
        <w:rPr>
          <w:spacing w:val="-18"/>
          <w:w w:val="105"/>
          <w:vertAlign w:val="baseline"/>
        </w:rPr>
        <w:t> </w:t>
      </w:r>
      <w:r>
        <w:rPr>
          <w:w w:val="105"/>
          <w:vertAlign w:val="baseline"/>
        </w:rPr>
        <w:t>since</w:t>
      </w:r>
      <w:r>
        <w:rPr>
          <w:spacing w:val="-17"/>
          <w:w w:val="105"/>
          <w:vertAlign w:val="baseline"/>
        </w:rPr>
        <w:t> </w:t>
      </w:r>
      <w:r>
        <w:rPr>
          <w:w w:val="105"/>
          <w:vertAlign w:val="baseline"/>
        </w:rPr>
        <w:t>late</w:t>
      </w:r>
      <w:r>
        <w:rPr>
          <w:spacing w:val="-18"/>
          <w:w w:val="105"/>
          <w:vertAlign w:val="baseline"/>
        </w:rPr>
        <w:t> </w:t>
      </w:r>
      <w:r>
        <w:rPr>
          <w:w w:val="105"/>
          <w:vertAlign w:val="baseline"/>
        </w:rPr>
        <w:t>2017.</w:t>
      </w:r>
    </w:p>
    <w:p>
      <w:pPr>
        <w:pStyle w:val="BodyText"/>
        <w:spacing w:before="8"/>
        <w:rPr>
          <w:sz w:val="27"/>
        </w:rPr>
      </w:pPr>
    </w:p>
    <w:p>
      <w:pPr>
        <w:pStyle w:val="BodyText"/>
        <w:spacing w:line="333" w:lineRule="auto" w:before="1"/>
        <w:ind w:left="560" w:right="561"/>
      </w:pPr>
      <w:r>
        <w:rPr/>
        <w:t>Although we do not select infrastructure ﬁnancing agreements for coding purposes through a random sampling procedure and our coding sample represents a small part of China's grant- and loan-ﬁnanced infrastructure project portfolio in LICs and MICs, our ﬁndings demonstrate that </w:t>
      </w:r>
      <w:r>
        <w:rPr>
          <w:i/>
        </w:rPr>
        <w:t>ESG terms and</w:t>
      </w:r>
      <w:r>
        <w:rPr>
          <w:i/>
        </w:rPr>
        <w:t> conditions are highly standardized by infrastructure ﬁnancing instrument</w:t>
      </w:r>
      <w:r>
        <w:rPr/>
        <w:t>, which gives us conﬁdence that we are capturing meaningful differences in de jure ESG safeguard stringency across the main ﬁnancial instruments that Beijing uses to bankroll overseas infrastructure projects.</w:t>
      </w:r>
      <w:r>
        <w:rPr>
          <w:vertAlign w:val="superscript"/>
        </w:rPr>
        <w:t>269</w:t>
      </w:r>
      <w:r>
        <w:rPr>
          <w:vertAlign w:val="baseline"/>
        </w:rPr>
        <w:t> We also ﬁnd relatively little variation in ESG terms and conditions across countries in different regions and income brackets (see Table A4 in the Appendix).</w:t>
      </w:r>
      <w:r>
        <w:rPr>
          <w:vertAlign w:val="superscript"/>
        </w:rPr>
        <w:t>270</w:t>
      </w:r>
      <w:r>
        <w:rPr>
          <w:vertAlign w:val="baseline"/>
        </w:rPr>
        <w:t> In this respect, our ﬁndings are consistent with the ﬁrst study to ever systematically evaluate the terms and conditions governing China’s loan contracts with overseas borrowers. Gelpern </w:t>
      </w:r>
      <w:r>
        <w:rPr>
          <w:vertAlign w:val="baseline"/>
        </w:rPr>
        <w:t>et al. (2022: 16) conclude that “our analysis of [100] contracts shows that Chinese lending terms are highly standardized by lender and instrument, and do not exhibit signiﬁcant variation by [...] region or income bracket.”</w:t>
      </w:r>
    </w:p>
    <w:p>
      <w:pPr>
        <w:pStyle w:val="BodyText"/>
        <w:spacing w:before="3"/>
        <w:rPr>
          <w:sz w:val="27"/>
        </w:rPr>
      </w:pPr>
    </w:p>
    <w:p>
      <w:pPr>
        <w:pStyle w:val="BodyText"/>
        <w:spacing w:line="333" w:lineRule="auto"/>
        <w:ind w:left="560" w:right="702"/>
      </w:pPr>
      <w:r>
        <w:rPr/>
        <w:t>The contract-level data from our coding sample are provided in Table A8 of </w:t>
      </w:r>
      <w:r>
        <w:rPr/>
        <w:t>the Appendix. In order to convert the contract-level data into categorical measures of safeguard stringency for each ﬁnancial instrument type, we ﬁrst make binary determinations of whether there is any evidence that each ﬁnancial instrument type (before or after the late BRI period) established any (a) rules or standards </w:t>
      </w:r>
      <w:r>
        <w:rPr>
          <w:spacing w:val="-2"/>
          <w:w w:val="105"/>
        </w:rPr>
        <w:t>that</w:t>
      </w:r>
      <w:r>
        <w:rPr>
          <w:spacing w:val="-8"/>
          <w:w w:val="105"/>
        </w:rPr>
        <w:t> </w:t>
      </w:r>
      <w:r>
        <w:rPr>
          <w:spacing w:val="-2"/>
          <w:w w:val="105"/>
        </w:rPr>
        <w:t>create</w:t>
      </w:r>
      <w:r>
        <w:rPr>
          <w:spacing w:val="-8"/>
          <w:w w:val="105"/>
        </w:rPr>
        <w:t> </w:t>
      </w:r>
      <w:r>
        <w:rPr>
          <w:spacing w:val="-2"/>
          <w:w w:val="105"/>
        </w:rPr>
        <w:t>behavioral</w:t>
      </w:r>
      <w:r>
        <w:rPr>
          <w:spacing w:val="-8"/>
          <w:w w:val="105"/>
        </w:rPr>
        <w:t> </w:t>
      </w:r>
      <w:r>
        <w:rPr>
          <w:spacing w:val="-2"/>
          <w:w w:val="105"/>
        </w:rPr>
        <w:t>expectations</w:t>
      </w:r>
      <w:r>
        <w:rPr>
          <w:spacing w:val="-8"/>
          <w:w w:val="105"/>
        </w:rPr>
        <w:t> </w:t>
      </w:r>
      <w:r>
        <w:rPr>
          <w:spacing w:val="-2"/>
          <w:w w:val="105"/>
        </w:rPr>
        <w:t>related</w:t>
      </w:r>
      <w:r>
        <w:rPr>
          <w:spacing w:val="-8"/>
          <w:w w:val="105"/>
        </w:rPr>
        <w:t> </w:t>
      </w:r>
      <w:r>
        <w:rPr>
          <w:spacing w:val="-2"/>
          <w:w w:val="105"/>
        </w:rPr>
        <w:t>to</w:t>
      </w:r>
      <w:r>
        <w:rPr>
          <w:spacing w:val="-8"/>
          <w:w w:val="105"/>
        </w:rPr>
        <w:t> </w:t>
      </w:r>
      <w:r>
        <w:rPr>
          <w:spacing w:val="-2"/>
          <w:w w:val="105"/>
        </w:rPr>
        <w:t>ESG</w:t>
      </w:r>
      <w:r>
        <w:rPr>
          <w:spacing w:val="-8"/>
          <w:w w:val="105"/>
        </w:rPr>
        <w:t> </w:t>
      </w:r>
      <w:r>
        <w:rPr>
          <w:spacing w:val="-2"/>
          <w:w w:val="105"/>
        </w:rPr>
        <w:t>risk</w:t>
      </w:r>
      <w:r>
        <w:rPr>
          <w:spacing w:val="-8"/>
          <w:w w:val="105"/>
        </w:rPr>
        <w:t> </w:t>
      </w:r>
      <w:r>
        <w:rPr>
          <w:spacing w:val="-2"/>
          <w:w w:val="105"/>
        </w:rPr>
        <w:t>management</w:t>
      </w:r>
      <w:r>
        <w:rPr>
          <w:spacing w:val="-8"/>
          <w:w w:val="105"/>
        </w:rPr>
        <w:t> </w:t>
      </w:r>
      <w:r>
        <w:rPr>
          <w:spacing w:val="-2"/>
          <w:w w:val="105"/>
        </w:rPr>
        <w:t>and </w:t>
      </w:r>
      <w:r>
        <w:rPr>
          <w:w w:val="105"/>
        </w:rPr>
        <w:t>mitigation,</w:t>
      </w:r>
      <w:r>
        <w:rPr>
          <w:spacing w:val="-14"/>
          <w:w w:val="105"/>
        </w:rPr>
        <w:t> </w:t>
      </w:r>
      <w:r>
        <w:rPr>
          <w:w w:val="105"/>
        </w:rPr>
        <w:t>(b)</w:t>
      </w:r>
      <w:r>
        <w:rPr>
          <w:spacing w:val="-14"/>
          <w:w w:val="105"/>
        </w:rPr>
        <w:t> </w:t>
      </w:r>
      <w:r>
        <w:rPr>
          <w:w w:val="105"/>
        </w:rPr>
        <w:t>oversight</w:t>
      </w:r>
      <w:r>
        <w:rPr>
          <w:spacing w:val="-14"/>
          <w:w w:val="105"/>
        </w:rPr>
        <w:t> </w:t>
      </w:r>
      <w:r>
        <w:rPr>
          <w:w w:val="105"/>
        </w:rPr>
        <w:t>mechanisms</w:t>
      </w:r>
      <w:r>
        <w:rPr>
          <w:spacing w:val="-14"/>
          <w:w w:val="105"/>
        </w:rPr>
        <w:t> </w:t>
      </w:r>
      <w:r>
        <w:rPr>
          <w:w w:val="105"/>
        </w:rPr>
        <w:t>for</w:t>
      </w:r>
      <w:r>
        <w:rPr>
          <w:spacing w:val="-14"/>
          <w:w w:val="105"/>
        </w:rPr>
        <w:t> </w:t>
      </w:r>
      <w:r>
        <w:rPr>
          <w:w w:val="105"/>
        </w:rPr>
        <w:t>monitoring</w:t>
      </w:r>
      <w:r>
        <w:rPr>
          <w:spacing w:val="-14"/>
          <w:w w:val="105"/>
        </w:rPr>
        <w:t> </w:t>
      </w:r>
      <w:r>
        <w:rPr>
          <w:w w:val="105"/>
        </w:rPr>
        <w:t>compliance</w:t>
      </w:r>
      <w:r>
        <w:rPr>
          <w:spacing w:val="-14"/>
          <w:w w:val="105"/>
        </w:rPr>
        <w:t> </w:t>
      </w:r>
      <w:r>
        <w:rPr>
          <w:w w:val="105"/>
        </w:rPr>
        <w:t>with</w:t>
      </w:r>
      <w:r>
        <w:rPr>
          <w:spacing w:val="-14"/>
          <w:w w:val="105"/>
        </w:rPr>
        <w:t> </w:t>
      </w:r>
      <w:r>
        <w:rPr>
          <w:w w:val="105"/>
        </w:rPr>
        <w:t>those</w:t>
      </w:r>
    </w:p>
    <w:p>
      <w:pPr>
        <w:pStyle w:val="BodyText"/>
        <w:spacing w:before="6"/>
        <w:rPr>
          <w:sz w:val="29"/>
        </w:rPr>
      </w:pPr>
      <w:r>
        <w:rPr/>
        <w:pict>
          <v:shape style="position:absolute;margin-left:90pt;margin-top:18.204981pt;width:144pt;height:.1pt;mso-position-horizontal-relative:page;mso-position-vertical-relative:paragraph;z-index:-15712256;mso-wrap-distance-left:0;mso-wrap-distance-right:0" id="docshape27" coordorigin="1800,364" coordsize="2880,0" path="m1800,364l4680,364e" filled="false" stroked="true" strokeweight=".75pt" strokecolor="#000000">
            <v:path arrowok="t"/>
            <v:stroke dashstyle="solid"/>
            <w10:wrap type="topAndBottom"/>
          </v:shape>
        </w:pict>
      </w:r>
    </w:p>
    <w:p>
      <w:pPr>
        <w:spacing w:line="249" w:lineRule="auto" w:before="101"/>
        <w:ind w:left="560" w:right="575" w:firstLine="0"/>
        <w:jc w:val="left"/>
        <w:rPr>
          <w:sz w:val="18"/>
        </w:rPr>
      </w:pPr>
      <w:r>
        <w:rPr>
          <w:sz w:val="18"/>
          <w:vertAlign w:val="superscript"/>
        </w:rPr>
        <w:t>268</w:t>
      </w:r>
      <w:r>
        <w:rPr>
          <w:sz w:val="18"/>
          <w:vertAlign w:val="baseline"/>
        </w:rPr>
        <w:t> For two of the eight ﬁnancial instrument categories (“supplier’s credits issued by Chinese state-owned companies” and “syndicated loans issued by China’s policy banks and state-owned commercial banks”), </w:t>
      </w:r>
      <w:r>
        <w:rPr>
          <w:sz w:val="18"/>
          <w:vertAlign w:val="baseline"/>
        </w:rPr>
        <w:t>we relied on infrastructure ﬁnancing agreements that were issued in 2022 (in lieu of agreements issued</w:t>
      </w:r>
      <w:r>
        <w:rPr>
          <w:spacing w:val="40"/>
          <w:sz w:val="18"/>
          <w:vertAlign w:val="baseline"/>
        </w:rPr>
        <w:t> </w:t>
      </w:r>
      <w:r>
        <w:rPr>
          <w:sz w:val="18"/>
          <w:vertAlign w:val="baseline"/>
        </w:rPr>
        <w:t>between 2018 and 2021) to ensure adequate coverage during the late BRI period (see Tables A5, A6, and A7 in the Appendix for more details).</w:t>
      </w:r>
    </w:p>
    <w:p>
      <w:pPr>
        <w:spacing w:line="249" w:lineRule="auto" w:before="4"/>
        <w:ind w:left="560" w:right="561" w:firstLine="0"/>
        <w:jc w:val="left"/>
        <w:rPr>
          <w:sz w:val="18"/>
        </w:rPr>
      </w:pPr>
      <w:r>
        <w:rPr>
          <w:sz w:val="18"/>
          <w:vertAlign w:val="superscript"/>
        </w:rPr>
        <w:t>269</w:t>
      </w:r>
      <w:r>
        <w:rPr>
          <w:sz w:val="18"/>
          <w:vertAlign w:val="baseline"/>
        </w:rPr>
        <w:t> The agreement-level ratings that are reported in Table A8 demonstrate that most of the </w:t>
      </w:r>
      <w:r>
        <w:rPr>
          <w:sz w:val="18"/>
          <w:vertAlign w:val="baseline"/>
        </w:rPr>
        <w:t>observed heterogeneity in ESG safeguard stringency is across ﬁnancial instrument types rather than across </w:t>
      </w:r>
      <w:r>
        <w:rPr>
          <w:w w:val="105"/>
          <w:sz w:val="18"/>
          <w:vertAlign w:val="baseline"/>
        </w:rPr>
        <w:t>agreements</w:t>
      </w:r>
      <w:r>
        <w:rPr>
          <w:spacing w:val="-14"/>
          <w:w w:val="105"/>
          <w:sz w:val="18"/>
          <w:vertAlign w:val="baseline"/>
        </w:rPr>
        <w:t> </w:t>
      </w:r>
      <w:r>
        <w:rPr>
          <w:w w:val="105"/>
          <w:sz w:val="18"/>
          <w:vertAlign w:val="baseline"/>
        </w:rPr>
        <w:t>within</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given</w:t>
      </w:r>
      <w:r>
        <w:rPr>
          <w:spacing w:val="-13"/>
          <w:w w:val="105"/>
          <w:sz w:val="18"/>
          <w:vertAlign w:val="baseline"/>
        </w:rPr>
        <w:t> </w:t>
      </w:r>
      <w:r>
        <w:rPr>
          <w:w w:val="105"/>
          <w:sz w:val="18"/>
          <w:vertAlign w:val="baseline"/>
        </w:rPr>
        <w:t>ﬁnancial</w:t>
      </w:r>
      <w:r>
        <w:rPr>
          <w:spacing w:val="-13"/>
          <w:w w:val="105"/>
          <w:sz w:val="18"/>
          <w:vertAlign w:val="baseline"/>
        </w:rPr>
        <w:t> </w:t>
      </w:r>
      <w:r>
        <w:rPr>
          <w:w w:val="105"/>
          <w:sz w:val="18"/>
          <w:vertAlign w:val="baseline"/>
        </w:rPr>
        <w:t>instrument</w:t>
      </w:r>
      <w:r>
        <w:rPr>
          <w:spacing w:val="-13"/>
          <w:w w:val="105"/>
          <w:sz w:val="18"/>
          <w:vertAlign w:val="baseline"/>
        </w:rPr>
        <w:t> </w:t>
      </w:r>
      <w:r>
        <w:rPr>
          <w:w w:val="105"/>
          <w:sz w:val="18"/>
          <w:vertAlign w:val="baseline"/>
        </w:rPr>
        <w:t>type.</w:t>
      </w:r>
      <w:r>
        <w:rPr>
          <w:spacing w:val="-13"/>
          <w:w w:val="105"/>
          <w:sz w:val="18"/>
          <w:vertAlign w:val="baseline"/>
        </w:rPr>
        <w:t> </w:t>
      </w:r>
      <w:r>
        <w:rPr>
          <w:w w:val="105"/>
          <w:sz w:val="18"/>
          <w:vertAlign w:val="baseline"/>
        </w:rPr>
        <w:t>See</w:t>
      </w:r>
      <w:r>
        <w:rPr>
          <w:spacing w:val="-14"/>
          <w:w w:val="105"/>
          <w:sz w:val="18"/>
          <w:vertAlign w:val="baseline"/>
        </w:rPr>
        <w:t> </w:t>
      </w:r>
      <w:r>
        <w:rPr>
          <w:w w:val="105"/>
          <w:sz w:val="18"/>
          <w:vertAlign w:val="baseline"/>
        </w:rPr>
        <w:t>also</w:t>
      </w:r>
      <w:r>
        <w:rPr>
          <w:spacing w:val="-13"/>
          <w:w w:val="105"/>
          <w:sz w:val="18"/>
          <w:vertAlign w:val="baseline"/>
        </w:rPr>
        <w:t> </w:t>
      </w:r>
      <w:r>
        <w:rPr>
          <w:w w:val="105"/>
          <w:sz w:val="18"/>
          <w:vertAlign w:val="baseline"/>
        </w:rPr>
        <w:t>Tables</w:t>
      </w:r>
      <w:r>
        <w:rPr>
          <w:spacing w:val="-13"/>
          <w:w w:val="105"/>
          <w:sz w:val="18"/>
          <w:vertAlign w:val="baseline"/>
        </w:rPr>
        <w:t> </w:t>
      </w:r>
      <w:r>
        <w:rPr>
          <w:w w:val="105"/>
          <w:sz w:val="18"/>
          <w:vertAlign w:val="baseline"/>
        </w:rPr>
        <w:t>A6</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A7.</w:t>
      </w:r>
    </w:p>
    <w:p>
      <w:pPr>
        <w:spacing w:line="249" w:lineRule="auto" w:before="2"/>
        <w:ind w:left="560" w:right="597" w:firstLine="0"/>
        <w:jc w:val="left"/>
        <w:rPr>
          <w:sz w:val="18"/>
        </w:rPr>
      </w:pPr>
      <w:r>
        <w:rPr>
          <w:sz w:val="18"/>
          <w:vertAlign w:val="superscript"/>
        </w:rPr>
        <w:t>270</w:t>
      </w:r>
      <w:r>
        <w:rPr>
          <w:sz w:val="18"/>
          <w:vertAlign w:val="baseline"/>
        </w:rPr>
        <w:t> Our coding sample underrepresents China’s infrastructure ﬁnancing to some regions and income brackets and overrepresents its infrastructure ﬁnancing to other regions and income brackets (see Section A-10).</w:t>
      </w:r>
      <w:r>
        <w:rPr>
          <w:spacing w:val="-1"/>
          <w:sz w:val="18"/>
          <w:vertAlign w:val="baseline"/>
        </w:rPr>
        <w:t> </w:t>
      </w:r>
      <w:r>
        <w:rPr>
          <w:sz w:val="18"/>
          <w:vertAlign w:val="baseline"/>
        </w:rPr>
        <w:t>The</w:t>
      </w:r>
      <w:r>
        <w:rPr>
          <w:spacing w:val="-1"/>
          <w:sz w:val="18"/>
          <w:vertAlign w:val="baseline"/>
        </w:rPr>
        <w:t> </w:t>
      </w:r>
      <w:r>
        <w:rPr>
          <w:sz w:val="18"/>
          <w:vertAlign w:val="baseline"/>
        </w:rPr>
        <w:t>external</w:t>
      </w:r>
      <w:r>
        <w:rPr>
          <w:spacing w:val="-1"/>
          <w:sz w:val="18"/>
          <w:vertAlign w:val="baseline"/>
        </w:rPr>
        <w:t> </w:t>
      </w:r>
      <w:r>
        <w:rPr>
          <w:sz w:val="18"/>
          <w:vertAlign w:val="baseline"/>
        </w:rPr>
        <w:t>validity</w:t>
      </w:r>
      <w:r>
        <w:rPr>
          <w:spacing w:val="-1"/>
          <w:sz w:val="18"/>
          <w:vertAlign w:val="baseline"/>
        </w:rPr>
        <w:t> </w:t>
      </w:r>
      <w:r>
        <w:rPr>
          <w:sz w:val="18"/>
          <w:vertAlign w:val="baseline"/>
        </w:rPr>
        <w:t>of</w:t>
      </w:r>
      <w:r>
        <w:rPr>
          <w:spacing w:val="-1"/>
          <w:sz w:val="18"/>
          <w:vertAlign w:val="baseline"/>
        </w:rPr>
        <w:t> </w:t>
      </w:r>
      <w:r>
        <w:rPr>
          <w:sz w:val="18"/>
          <w:vertAlign w:val="baseline"/>
        </w:rPr>
        <w:t>our</w:t>
      </w:r>
      <w:r>
        <w:rPr>
          <w:spacing w:val="-1"/>
          <w:sz w:val="18"/>
          <w:vertAlign w:val="baseline"/>
        </w:rPr>
        <w:t> </w:t>
      </w:r>
      <w:r>
        <w:rPr>
          <w:sz w:val="18"/>
          <w:vertAlign w:val="baseline"/>
        </w:rPr>
        <w:t>sample</w:t>
      </w:r>
      <w:r>
        <w:rPr>
          <w:spacing w:val="-1"/>
          <w:sz w:val="18"/>
          <w:vertAlign w:val="baseline"/>
        </w:rPr>
        <w:t> </w:t>
      </w:r>
      <w:r>
        <w:rPr>
          <w:sz w:val="18"/>
          <w:vertAlign w:val="baseline"/>
        </w:rPr>
        <w:t>would</w:t>
      </w:r>
      <w:r>
        <w:rPr>
          <w:spacing w:val="-1"/>
          <w:sz w:val="18"/>
          <w:vertAlign w:val="baseline"/>
        </w:rPr>
        <w:t> </w:t>
      </w:r>
      <w:r>
        <w:rPr>
          <w:sz w:val="18"/>
          <w:vertAlign w:val="baseline"/>
        </w:rPr>
        <w:t>be</w:t>
      </w:r>
      <w:r>
        <w:rPr>
          <w:spacing w:val="-1"/>
          <w:sz w:val="18"/>
          <w:vertAlign w:val="baseline"/>
        </w:rPr>
        <w:t> </w:t>
      </w:r>
      <w:r>
        <w:rPr>
          <w:sz w:val="18"/>
          <w:vertAlign w:val="baseline"/>
        </w:rPr>
        <w:t>a</w:t>
      </w:r>
      <w:r>
        <w:rPr>
          <w:spacing w:val="-1"/>
          <w:sz w:val="18"/>
          <w:vertAlign w:val="baseline"/>
        </w:rPr>
        <w:t> </w:t>
      </w:r>
      <w:r>
        <w:rPr>
          <w:sz w:val="18"/>
          <w:vertAlign w:val="baseline"/>
        </w:rPr>
        <w:t>concern</w:t>
      </w:r>
      <w:r>
        <w:rPr>
          <w:spacing w:val="-1"/>
          <w:sz w:val="18"/>
          <w:vertAlign w:val="baseline"/>
        </w:rPr>
        <w:t> </w:t>
      </w:r>
      <w:r>
        <w:rPr>
          <w:sz w:val="18"/>
          <w:vertAlign w:val="baseline"/>
        </w:rPr>
        <w:t>if</w:t>
      </w:r>
      <w:r>
        <w:rPr>
          <w:spacing w:val="-1"/>
          <w:sz w:val="18"/>
          <w:vertAlign w:val="baseline"/>
        </w:rPr>
        <w:t> </w:t>
      </w:r>
      <w:r>
        <w:rPr>
          <w:sz w:val="18"/>
          <w:vertAlign w:val="baseline"/>
        </w:rPr>
        <w:t>China’s</w:t>
      </w:r>
      <w:r>
        <w:rPr>
          <w:spacing w:val="-1"/>
          <w:sz w:val="18"/>
          <w:vertAlign w:val="baseline"/>
        </w:rPr>
        <w:t> </w:t>
      </w:r>
      <w:r>
        <w:rPr>
          <w:sz w:val="18"/>
          <w:vertAlign w:val="baseline"/>
        </w:rPr>
        <w:t>infrastructure</w:t>
      </w:r>
      <w:r>
        <w:rPr>
          <w:spacing w:val="-1"/>
          <w:sz w:val="18"/>
          <w:vertAlign w:val="baseline"/>
        </w:rPr>
        <w:t> </w:t>
      </w:r>
      <w:r>
        <w:rPr>
          <w:sz w:val="18"/>
          <w:vertAlign w:val="baseline"/>
        </w:rPr>
        <w:t>ﬁnancing</w:t>
      </w:r>
      <w:r>
        <w:rPr>
          <w:spacing w:val="-1"/>
          <w:sz w:val="18"/>
          <w:vertAlign w:val="baseline"/>
        </w:rPr>
        <w:t> </w:t>
      </w:r>
      <w:r>
        <w:rPr>
          <w:sz w:val="18"/>
          <w:vertAlign w:val="baseline"/>
        </w:rPr>
        <w:t>agreements varied systematically by region or income bracket. However, we do not ﬁnd much evidence that China’s infrastructure ﬁnancing agreements differ signiﬁcantly by region or income bracket (see Table A4 in the </w:t>
      </w:r>
      <w:r>
        <w:rPr>
          <w:spacing w:val="-2"/>
          <w:sz w:val="18"/>
          <w:vertAlign w:val="baseline"/>
        </w:rPr>
        <w:t>Appendix).</w:t>
      </w:r>
    </w:p>
    <w:p>
      <w:pPr>
        <w:spacing w:after="0" w:line="249" w:lineRule="auto"/>
        <w:jc w:val="left"/>
        <w:rPr>
          <w:sz w:val="18"/>
        </w:rPr>
        <w:sectPr>
          <w:pgSz w:w="12240" w:h="15840"/>
          <w:pgMar w:header="0" w:footer="720" w:top="1360" w:bottom="920" w:left="1240" w:right="1260"/>
        </w:sectPr>
      </w:pPr>
    </w:p>
    <w:p>
      <w:pPr>
        <w:pStyle w:val="BodyText"/>
        <w:spacing w:line="333" w:lineRule="auto" w:before="27"/>
        <w:ind w:left="560" w:right="561"/>
      </w:pPr>
      <w:r>
        <w:rPr/>
        <w:t>behavioral expectations, or (c) enforcement mechanisms for sanctioning </w:t>
      </w:r>
      <w:r>
        <w:rPr>
          <w:w w:val="105"/>
        </w:rPr>
        <w:t>noncompliance</w:t>
      </w:r>
      <w:r>
        <w:rPr>
          <w:spacing w:val="-18"/>
          <w:w w:val="105"/>
        </w:rPr>
        <w:t> </w:t>
      </w:r>
      <w:r>
        <w:rPr>
          <w:w w:val="105"/>
        </w:rPr>
        <w:t>with</w:t>
      </w:r>
      <w:r>
        <w:rPr>
          <w:spacing w:val="-17"/>
          <w:w w:val="105"/>
        </w:rPr>
        <w:t> </w:t>
      </w:r>
      <w:r>
        <w:rPr>
          <w:w w:val="105"/>
        </w:rPr>
        <w:t>those</w:t>
      </w:r>
      <w:r>
        <w:rPr>
          <w:spacing w:val="-18"/>
          <w:w w:val="105"/>
        </w:rPr>
        <w:t> </w:t>
      </w:r>
      <w:r>
        <w:rPr>
          <w:w w:val="105"/>
        </w:rPr>
        <w:t>behavioral</w:t>
      </w:r>
      <w:r>
        <w:rPr>
          <w:spacing w:val="-18"/>
          <w:w w:val="105"/>
        </w:rPr>
        <w:t> </w:t>
      </w:r>
      <w:r>
        <w:rPr>
          <w:w w:val="105"/>
        </w:rPr>
        <w:t>expectations.</w:t>
      </w:r>
      <w:r>
        <w:rPr>
          <w:spacing w:val="-17"/>
          <w:w w:val="105"/>
        </w:rPr>
        <w:t> </w:t>
      </w:r>
      <w:r>
        <w:rPr>
          <w:w w:val="105"/>
        </w:rPr>
        <w:t>Based</w:t>
      </w:r>
      <w:r>
        <w:rPr>
          <w:spacing w:val="-18"/>
          <w:w w:val="105"/>
        </w:rPr>
        <w:t> </w:t>
      </w:r>
      <w:r>
        <w:rPr>
          <w:w w:val="105"/>
        </w:rPr>
        <w:t>upon</w:t>
      </w:r>
      <w:r>
        <w:rPr>
          <w:spacing w:val="-17"/>
          <w:w w:val="105"/>
        </w:rPr>
        <w:t> </w:t>
      </w:r>
      <w:r>
        <w:rPr>
          <w:w w:val="105"/>
        </w:rPr>
        <w:t>these </w:t>
      </w:r>
      <w:r>
        <w:rPr/>
        <w:t>determinations, which are reported in Table A8, we assign high, medium, or </w:t>
      </w:r>
      <w:r>
        <w:rPr/>
        <w:t>low environmental, social, and governance safeguard ratings to each ﬁnancial </w:t>
      </w:r>
      <w:r>
        <w:rPr>
          <w:w w:val="105"/>
        </w:rPr>
        <w:t>instrument type using the following criteria:</w:t>
      </w:r>
    </w:p>
    <w:p>
      <w:pPr>
        <w:pStyle w:val="BodyText"/>
        <w:spacing w:before="6"/>
        <w:rPr>
          <w:sz w:val="27"/>
        </w:rPr>
      </w:pPr>
    </w:p>
    <w:p>
      <w:pPr>
        <w:pStyle w:val="ListParagraph"/>
        <w:numPr>
          <w:ilvl w:val="0"/>
          <w:numId w:val="2"/>
        </w:numPr>
        <w:tabs>
          <w:tab w:pos="1279" w:val="left" w:leader="none"/>
          <w:tab w:pos="1280" w:val="left" w:leader="none"/>
        </w:tabs>
        <w:spacing w:line="333" w:lineRule="auto" w:before="1" w:after="0"/>
        <w:ind w:left="1280" w:right="1278" w:hanging="360"/>
        <w:jc w:val="left"/>
        <w:rPr>
          <w:sz w:val="24"/>
        </w:rPr>
      </w:pPr>
      <w:r>
        <w:rPr>
          <w:b/>
          <w:sz w:val="24"/>
        </w:rPr>
        <w:t>Low:</w:t>
      </w:r>
      <w:r>
        <w:rPr>
          <w:b/>
          <w:spacing w:val="-11"/>
          <w:sz w:val="24"/>
        </w:rPr>
        <w:t> </w:t>
      </w:r>
      <w:r>
        <w:rPr>
          <w:sz w:val="24"/>
        </w:rPr>
        <w:t>No</w:t>
      </w:r>
      <w:r>
        <w:rPr>
          <w:spacing w:val="-11"/>
          <w:sz w:val="24"/>
        </w:rPr>
        <w:t> </w:t>
      </w:r>
      <w:r>
        <w:rPr>
          <w:sz w:val="24"/>
        </w:rPr>
        <w:t>rules</w:t>
      </w:r>
      <w:r>
        <w:rPr>
          <w:spacing w:val="-11"/>
          <w:sz w:val="24"/>
        </w:rPr>
        <w:t> </w:t>
      </w:r>
      <w:r>
        <w:rPr>
          <w:sz w:val="24"/>
        </w:rPr>
        <w:t>and</w:t>
      </w:r>
      <w:r>
        <w:rPr>
          <w:spacing w:val="-11"/>
          <w:sz w:val="24"/>
        </w:rPr>
        <w:t> </w:t>
      </w:r>
      <w:r>
        <w:rPr>
          <w:sz w:val="24"/>
        </w:rPr>
        <w:t>standards</w:t>
      </w:r>
      <w:r>
        <w:rPr>
          <w:spacing w:val="-11"/>
          <w:sz w:val="24"/>
        </w:rPr>
        <w:t> </w:t>
      </w:r>
      <w:r>
        <w:rPr>
          <w:sz w:val="24"/>
        </w:rPr>
        <w:t>exist</w:t>
      </w:r>
      <w:r>
        <w:rPr>
          <w:spacing w:val="-11"/>
          <w:sz w:val="24"/>
        </w:rPr>
        <w:t> </w:t>
      </w:r>
      <w:r>
        <w:rPr>
          <w:sz w:val="24"/>
        </w:rPr>
        <w:t>and</w:t>
      </w:r>
      <w:r>
        <w:rPr>
          <w:spacing w:val="-11"/>
          <w:sz w:val="24"/>
        </w:rPr>
        <w:t> </w:t>
      </w:r>
      <w:r>
        <w:rPr>
          <w:sz w:val="24"/>
        </w:rPr>
        <w:t>there</w:t>
      </w:r>
      <w:r>
        <w:rPr>
          <w:spacing w:val="-11"/>
          <w:sz w:val="24"/>
        </w:rPr>
        <w:t> </w:t>
      </w:r>
      <w:r>
        <w:rPr>
          <w:sz w:val="24"/>
        </w:rPr>
        <w:t>are</w:t>
      </w:r>
      <w:r>
        <w:rPr>
          <w:spacing w:val="-11"/>
          <w:sz w:val="24"/>
        </w:rPr>
        <w:t> </w:t>
      </w:r>
      <w:r>
        <w:rPr>
          <w:sz w:val="24"/>
        </w:rPr>
        <w:t>no</w:t>
      </w:r>
      <w:r>
        <w:rPr>
          <w:spacing w:val="-11"/>
          <w:sz w:val="24"/>
        </w:rPr>
        <w:t> </w:t>
      </w:r>
      <w:r>
        <w:rPr>
          <w:sz w:val="24"/>
        </w:rPr>
        <w:t>mechanisms</w:t>
      </w:r>
      <w:r>
        <w:rPr>
          <w:spacing w:val="-11"/>
          <w:sz w:val="24"/>
        </w:rPr>
        <w:t> </w:t>
      </w:r>
      <w:r>
        <w:rPr>
          <w:sz w:val="24"/>
        </w:rPr>
        <w:t>for</w:t>
      </w:r>
      <w:r>
        <w:rPr>
          <w:sz w:val="24"/>
        </w:rPr>
        <w:t> monitoring compliance or sanctioning noncompliance.</w:t>
      </w:r>
    </w:p>
    <w:p>
      <w:pPr>
        <w:pStyle w:val="BodyText"/>
        <w:spacing w:before="8"/>
        <w:rPr>
          <w:sz w:val="27"/>
        </w:rPr>
      </w:pPr>
    </w:p>
    <w:p>
      <w:pPr>
        <w:pStyle w:val="ListParagraph"/>
        <w:numPr>
          <w:ilvl w:val="0"/>
          <w:numId w:val="2"/>
        </w:numPr>
        <w:tabs>
          <w:tab w:pos="1279" w:val="left" w:leader="none"/>
          <w:tab w:pos="1280" w:val="left" w:leader="none"/>
        </w:tabs>
        <w:spacing w:line="333" w:lineRule="auto" w:before="0" w:after="0"/>
        <w:ind w:left="1280" w:right="1137" w:hanging="360"/>
        <w:jc w:val="left"/>
        <w:rPr>
          <w:sz w:val="24"/>
        </w:rPr>
      </w:pPr>
      <w:r>
        <w:rPr>
          <w:b/>
          <w:sz w:val="24"/>
        </w:rPr>
        <w:t>Medium:</w:t>
      </w:r>
      <w:r>
        <w:rPr>
          <w:b/>
          <w:spacing w:val="-12"/>
          <w:sz w:val="24"/>
        </w:rPr>
        <w:t> </w:t>
      </w:r>
      <w:r>
        <w:rPr>
          <w:sz w:val="24"/>
        </w:rPr>
        <w:t>Rules</w:t>
      </w:r>
      <w:r>
        <w:rPr>
          <w:spacing w:val="-12"/>
          <w:sz w:val="24"/>
        </w:rPr>
        <w:t> </w:t>
      </w:r>
      <w:r>
        <w:rPr>
          <w:sz w:val="24"/>
        </w:rPr>
        <w:t>and</w:t>
      </w:r>
      <w:r>
        <w:rPr>
          <w:spacing w:val="-12"/>
          <w:sz w:val="24"/>
        </w:rPr>
        <w:t> </w:t>
      </w:r>
      <w:r>
        <w:rPr>
          <w:sz w:val="24"/>
        </w:rPr>
        <w:t>standards</w:t>
      </w:r>
      <w:r>
        <w:rPr>
          <w:spacing w:val="-12"/>
          <w:sz w:val="24"/>
        </w:rPr>
        <w:t> </w:t>
      </w:r>
      <w:r>
        <w:rPr>
          <w:sz w:val="24"/>
        </w:rPr>
        <w:t>exist,</w:t>
      </w:r>
      <w:r>
        <w:rPr>
          <w:spacing w:val="-12"/>
          <w:sz w:val="24"/>
        </w:rPr>
        <w:t> </w:t>
      </w:r>
      <w:r>
        <w:rPr>
          <w:sz w:val="24"/>
        </w:rPr>
        <w:t>but</w:t>
      </w:r>
      <w:r>
        <w:rPr>
          <w:spacing w:val="-12"/>
          <w:sz w:val="24"/>
        </w:rPr>
        <w:t> </w:t>
      </w:r>
      <w:r>
        <w:rPr>
          <w:sz w:val="24"/>
        </w:rPr>
        <w:t>there</w:t>
      </w:r>
      <w:r>
        <w:rPr>
          <w:spacing w:val="-12"/>
          <w:sz w:val="24"/>
        </w:rPr>
        <w:t> </w:t>
      </w:r>
      <w:r>
        <w:rPr>
          <w:sz w:val="24"/>
        </w:rPr>
        <w:t>are</w:t>
      </w:r>
      <w:r>
        <w:rPr>
          <w:spacing w:val="-12"/>
          <w:sz w:val="24"/>
        </w:rPr>
        <w:t> </w:t>
      </w:r>
      <w:r>
        <w:rPr>
          <w:sz w:val="24"/>
        </w:rPr>
        <w:t>no</w:t>
      </w:r>
      <w:r>
        <w:rPr>
          <w:spacing w:val="-12"/>
          <w:sz w:val="24"/>
        </w:rPr>
        <w:t> </w:t>
      </w:r>
      <w:r>
        <w:rPr>
          <w:sz w:val="24"/>
        </w:rPr>
        <w:t>mechanisms</w:t>
      </w:r>
      <w:r>
        <w:rPr>
          <w:spacing w:val="-12"/>
          <w:sz w:val="24"/>
        </w:rPr>
        <w:t> </w:t>
      </w:r>
      <w:r>
        <w:rPr>
          <w:sz w:val="24"/>
        </w:rPr>
        <w:t>for</w:t>
      </w:r>
      <w:r>
        <w:rPr>
          <w:sz w:val="24"/>
        </w:rPr>
        <w:t> monitoring compliance or sanctioning noncompliance.</w:t>
      </w:r>
    </w:p>
    <w:p>
      <w:pPr>
        <w:pStyle w:val="BodyText"/>
        <w:spacing w:before="8"/>
        <w:rPr>
          <w:sz w:val="27"/>
        </w:rPr>
      </w:pPr>
    </w:p>
    <w:p>
      <w:pPr>
        <w:pStyle w:val="ListParagraph"/>
        <w:numPr>
          <w:ilvl w:val="0"/>
          <w:numId w:val="2"/>
        </w:numPr>
        <w:tabs>
          <w:tab w:pos="1279" w:val="left" w:leader="none"/>
          <w:tab w:pos="1280" w:val="left" w:leader="none"/>
        </w:tabs>
        <w:spacing w:line="333" w:lineRule="auto" w:before="0" w:after="0"/>
        <w:ind w:left="1280" w:right="1630" w:hanging="360"/>
        <w:jc w:val="left"/>
        <w:rPr>
          <w:sz w:val="24"/>
        </w:rPr>
      </w:pPr>
      <w:r>
        <w:rPr>
          <w:b/>
          <w:sz w:val="24"/>
        </w:rPr>
        <w:t>High:</w:t>
      </w:r>
      <w:r>
        <w:rPr>
          <w:b/>
          <w:spacing w:val="-2"/>
          <w:sz w:val="24"/>
        </w:rPr>
        <w:t> </w:t>
      </w:r>
      <w:r>
        <w:rPr>
          <w:sz w:val="24"/>
        </w:rPr>
        <w:t>There</w:t>
      </w:r>
      <w:r>
        <w:rPr>
          <w:spacing w:val="-2"/>
          <w:sz w:val="24"/>
        </w:rPr>
        <w:t> </w:t>
      </w:r>
      <w:r>
        <w:rPr>
          <w:sz w:val="24"/>
        </w:rPr>
        <w:t>is</w:t>
      </w:r>
      <w:r>
        <w:rPr>
          <w:spacing w:val="-2"/>
          <w:sz w:val="24"/>
        </w:rPr>
        <w:t> </w:t>
      </w:r>
      <w:r>
        <w:rPr>
          <w:sz w:val="24"/>
        </w:rPr>
        <w:t>a</w:t>
      </w:r>
      <w:r>
        <w:rPr>
          <w:spacing w:val="-2"/>
          <w:sz w:val="24"/>
        </w:rPr>
        <w:t> </w:t>
      </w:r>
      <w:r>
        <w:rPr>
          <w:sz w:val="24"/>
        </w:rPr>
        <w:t>mechanism</w:t>
      </w:r>
      <w:r>
        <w:rPr>
          <w:spacing w:val="-2"/>
          <w:sz w:val="24"/>
        </w:rPr>
        <w:t> </w:t>
      </w:r>
      <w:r>
        <w:rPr>
          <w:sz w:val="24"/>
        </w:rPr>
        <w:t>for</w:t>
      </w:r>
      <w:r>
        <w:rPr>
          <w:spacing w:val="-2"/>
          <w:sz w:val="24"/>
        </w:rPr>
        <w:t> </w:t>
      </w:r>
      <w:r>
        <w:rPr>
          <w:sz w:val="24"/>
        </w:rPr>
        <w:t>monitoring</w:t>
      </w:r>
      <w:r>
        <w:rPr>
          <w:spacing w:val="-2"/>
          <w:sz w:val="24"/>
        </w:rPr>
        <w:t> </w:t>
      </w:r>
      <w:r>
        <w:rPr>
          <w:sz w:val="24"/>
        </w:rPr>
        <w:t>compliance</w:t>
      </w:r>
      <w:r>
        <w:rPr>
          <w:spacing w:val="-2"/>
          <w:sz w:val="24"/>
        </w:rPr>
        <w:t> </w:t>
      </w:r>
      <w:r>
        <w:rPr>
          <w:sz w:val="24"/>
        </w:rPr>
        <w:t>and/or</w:t>
      </w:r>
      <w:r>
        <w:rPr>
          <w:spacing w:val="-2"/>
          <w:sz w:val="24"/>
        </w:rPr>
        <w:t> </w:t>
      </w:r>
      <w:r>
        <w:rPr>
          <w:sz w:val="24"/>
        </w:rPr>
        <w:t>a</w:t>
      </w:r>
      <w:r>
        <w:rPr>
          <w:sz w:val="24"/>
        </w:rPr>
        <w:t> mechanism for sanctioning noncompliance.</w:t>
      </w:r>
    </w:p>
    <w:p>
      <w:pPr>
        <w:pStyle w:val="BodyText"/>
        <w:spacing w:before="9"/>
        <w:rPr>
          <w:sz w:val="27"/>
        </w:rPr>
      </w:pPr>
    </w:p>
    <w:p>
      <w:pPr>
        <w:pStyle w:val="BodyText"/>
        <w:spacing w:line="333" w:lineRule="auto"/>
        <w:ind w:left="560" w:right="554"/>
      </w:pPr>
      <w:r>
        <w:rPr/>
        <w:t>Our application of the standardized coding criteria to the sample of grant and</w:t>
      </w:r>
      <w:r>
        <w:rPr>
          <w:spacing w:val="40"/>
        </w:rPr>
        <w:t> </w:t>
      </w:r>
      <w:r>
        <w:rPr/>
        <w:t>loan agreements produces a set of summary ESG ratings for the 8 ﬁnancial instrument categories over two time periods: the pre-BRI and early BRI period (2000-2017) and the late BRI period (2018-2021).</w:t>
      </w:r>
      <w:r>
        <w:rPr>
          <w:vertAlign w:val="superscript"/>
        </w:rPr>
        <w:t>271</w:t>
      </w:r>
      <w:r>
        <w:rPr>
          <w:vertAlign w:val="baseline"/>
        </w:rPr>
        <w:t> These summary ratings, which</w:t>
      </w:r>
      <w:r>
        <w:rPr>
          <w:spacing w:val="-4"/>
          <w:vertAlign w:val="baseline"/>
        </w:rPr>
        <w:t> </w:t>
      </w:r>
      <w:r>
        <w:rPr>
          <w:vertAlign w:val="baseline"/>
        </w:rPr>
        <w:t>measure</w:t>
      </w:r>
      <w:r>
        <w:rPr>
          <w:spacing w:val="-4"/>
          <w:vertAlign w:val="baseline"/>
        </w:rPr>
        <w:t> </w:t>
      </w:r>
      <w:r>
        <w:rPr>
          <w:vertAlign w:val="baseline"/>
        </w:rPr>
        <w:t>the</w:t>
      </w:r>
      <w:r>
        <w:rPr>
          <w:spacing w:val="-4"/>
          <w:vertAlign w:val="baseline"/>
        </w:rPr>
        <w:t> </w:t>
      </w:r>
      <w:r>
        <w:rPr>
          <w:vertAlign w:val="baseline"/>
        </w:rPr>
        <w:t>strength</w:t>
      </w:r>
      <w:r>
        <w:rPr>
          <w:spacing w:val="-4"/>
          <w:vertAlign w:val="baseline"/>
        </w:rPr>
        <w:t> </w:t>
      </w:r>
      <w:r>
        <w:rPr>
          <w:vertAlign w:val="baseline"/>
        </w:rPr>
        <w:t>of</w:t>
      </w:r>
      <w:r>
        <w:rPr>
          <w:spacing w:val="-4"/>
          <w:vertAlign w:val="baseline"/>
        </w:rPr>
        <w:t> </w:t>
      </w:r>
      <w:r>
        <w:rPr>
          <w:vertAlign w:val="baseline"/>
        </w:rPr>
        <w:t>ESG</w:t>
      </w:r>
      <w:r>
        <w:rPr>
          <w:spacing w:val="-4"/>
          <w:vertAlign w:val="baseline"/>
        </w:rPr>
        <w:t> </w:t>
      </w:r>
      <w:r>
        <w:rPr>
          <w:vertAlign w:val="baseline"/>
        </w:rPr>
        <w:t>safeguards</w:t>
      </w:r>
      <w:r>
        <w:rPr>
          <w:spacing w:val="-4"/>
          <w:vertAlign w:val="baseline"/>
        </w:rPr>
        <w:t> </w:t>
      </w:r>
      <w:r>
        <w:rPr>
          <w:vertAlign w:val="baseline"/>
        </w:rPr>
        <w:t>in</w:t>
      </w:r>
      <w:r>
        <w:rPr>
          <w:spacing w:val="-4"/>
          <w:vertAlign w:val="baseline"/>
        </w:rPr>
        <w:t> </w:t>
      </w:r>
      <w:r>
        <w:rPr>
          <w:vertAlign w:val="baseline"/>
        </w:rPr>
        <w:t>a</w:t>
      </w:r>
      <w:r>
        <w:rPr>
          <w:spacing w:val="-4"/>
          <w:vertAlign w:val="baseline"/>
        </w:rPr>
        <w:t> </w:t>
      </w:r>
      <w:r>
        <w:rPr>
          <w:vertAlign w:val="baseline"/>
        </w:rPr>
        <w:t>de</w:t>
      </w:r>
      <w:r>
        <w:rPr>
          <w:spacing w:val="-4"/>
          <w:vertAlign w:val="baseline"/>
        </w:rPr>
        <w:t> </w:t>
      </w:r>
      <w:r>
        <w:rPr>
          <w:vertAlign w:val="baseline"/>
        </w:rPr>
        <w:t>jure</w:t>
      </w:r>
      <w:r>
        <w:rPr>
          <w:spacing w:val="-4"/>
          <w:vertAlign w:val="baseline"/>
        </w:rPr>
        <w:t> </w:t>
      </w:r>
      <w:r>
        <w:rPr>
          <w:vertAlign w:val="baseline"/>
        </w:rPr>
        <w:t>rather</w:t>
      </w:r>
      <w:r>
        <w:rPr>
          <w:spacing w:val="-4"/>
          <w:vertAlign w:val="baseline"/>
        </w:rPr>
        <w:t> </w:t>
      </w:r>
      <w:r>
        <w:rPr>
          <w:vertAlign w:val="baseline"/>
        </w:rPr>
        <w:t>than</w:t>
      </w:r>
      <w:r>
        <w:rPr>
          <w:spacing w:val="-4"/>
          <w:vertAlign w:val="baseline"/>
        </w:rPr>
        <w:t> </w:t>
      </w:r>
      <w:r>
        <w:rPr>
          <w:vertAlign w:val="baseline"/>
        </w:rPr>
        <w:t>a</w:t>
      </w:r>
      <w:r>
        <w:rPr>
          <w:spacing w:val="-4"/>
          <w:vertAlign w:val="baseline"/>
        </w:rPr>
        <w:t> </w:t>
      </w:r>
      <w:r>
        <w:rPr>
          <w:vertAlign w:val="baseline"/>
        </w:rPr>
        <w:t>de</w:t>
      </w:r>
      <w:r>
        <w:rPr>
          <w:spacing w:val="-4"/>
          <w:vertAlign w:val="baseline"/>
        </w:rPr>
        <w:t> </w:t>
      </w:r>
      <w:r>
        <w:rPr>
          <w:vertAlign w:val="baseline"/>
        </w:rPr>
        <w:t>facto sense, are provided in Table 3.1 and they call attention to several important patterns and trends.</w:t>
      </w:r>
      <w:r>
        <w:rPr>
          <w:vertAlign w:val="superscript"/>
        </w:rPr>
        <w:t>272</w:t>
      </w:r>
      <w:r>
        <w:rPr>
          <w:vertAlign w:val="baseline"/>
        </w:rPr>
        <w:t> First, among the infrastructure ﬁnancing instruments at Beijing’s</w:t>
      </w:r>
      <w:r>
        <w:rPr>
          <w:spacing w:val="-1"/>
          <w:vertAlign w:val="baseline"/>
        </w:rPr>
        <w:t> </w:t>
      </w:r>
      <w:r>
        <w:rPr>
          <w:vertAlign w:val="baseline"/>
        </w:rPr>
        <w:t>disposal,</w:t>
      </w:r>
      <w:r>
        <w:rPr>
          <w:spacing w:val="-1"/>
          <w:vertAlign w:val="baseline"/>
        </w:rPr>
        <w:t> </w:t>
      </w:r>
      <w:r>
        <w:rPr>
          <w:vertAlign w:val="baseline"/>
        </w:rPr>
        <w:t>policy</w:t>
      </w:r>
      <w:r>
        <w:rPr>
          <w:spacing w:val="-1"/>
          <w:vertAlign w:val="baseline"/>
        </w:rPr>
        <w:t> </w:t>
      </w:r>
      <w:r>
        <w:rPr>
          <w:vertAlign w:val="baseline"/>
        </w:rPr>
        <w:t>bank</w:t>
      </w:r>
      <w:r>
        <w:rPr>
          <w:spacing w:val="-1"/>
          <w:vertAlign w:val="baseline"/>
        </w:rPr>
        <w:t> </w:t>
      </w:r>
      <w:r>
        <w:rPr>
          <w:vertAlign w:val="baseline"/>
        </w:rPr>
        <w:t>(China</w:t>
      </w:r>
      <w:r>
        <w:rPr>
          <w:spacing w:val="-1"/>
          <w:vertAlign w:val="baseline"/>
        </w:rPr>
        <w:t> </w:t>
      </w:r>
      <w:r>
        <w:rPr>
          <w:vertAlign w:val="baseline"/>
        </w:rPr>
        <w:t>Eximbank</w:t>
      </w:r>
      <w:r>
        <w:rPr>
          <w:spacing w:val="-1"/>
          <w:vertAlign w:val="baseline"/>
        </w:rPr>
        <w:t> </w:t>
      </w:r>
      <w:r>
        <w:rPr>
          <w:vertAlign w:val="baseline"/>
        </w:rPr>
        <w:t>and</w:t>
      </w:r>
      <w:r>
        <w:rPr>
          <w:spacing w:val="-1"/>
          <w:vertAlign w:val="baseline"/>
        </w:rPr>
        <w:t> </w:t>
      </w:r>
      <w:r>
        <w:rPr>
          <w:vertAlign w:val="baseline"/>
        </w:rPr>
        <w:t>CDB)</w:t>
      </w:r>
      <w:r>
        <w:rPr>
          <w:spacing w:val="-1"/>
          <w:vertAlign w:val="baseline"/>
        </w:rPr>
        <w:t> </w:t>
      </w:r>
      <w:r>
        <w:rPr>
          <w:vertAlign w:val="baseline"/>
        </w:rPr>
        <w:t>loan</w:t>
      </w:r>
      <w:r>
        <w:rPr>
          <w:spacing w:val="-1"/>
          <w:vertAlign w:val="baseline"/>
        </w:rPr>
        <w:t> </w:t>
      </w:r>
      <w:r>
        <w:rPr>
          <w:vertAlign w:val="baseline"/>
        </w:rPr>
        <w:t>agreements</w:t>
      </w:r>
      <w:r>
        <w:rPr>
          <w:spacing w:val="-1"/>
          <w:vertAlign w:val="baseline"/>
        </w:rPr>
        <w:t> </w:t>
      </w:r>
      <w:r>
        <w:rPr>
          <w:vertAlign w:val="baseline"/>
        </w:rPr>
        <w:t>offer the</w:t>
      </w:r>
      <w:r>
        <w:rPr>
          <w:spacing w:val="-1"/>
          <w:vertAlign w:val="baseline"/>
        </w:rPr>
        <w:t> </w:t>
      </w:r>
      <w:r>
        <w:rPr>
          <w:vertAlign w:val="baseline"/>
        </w:rPr>
        <w:t>weakest</w:t>
      </w:r>
      <w:r>
        <w:rPr>
          <w:spacing w:val="-1"/>
          <w:vertAlign w:val="baseline"/>
        </w:rPr>
        <w:t> </w:t>
      </w:r>
      <w:r>
        <w:rPr>
          <w:vertAlign w:val="baseline"/>
        </w:rPr>
        <w:t>ESG</w:t>
      </w:r>
      <w:r>
        <w:rPr>
          <w:spacing w:val="-1"/>
          <w:vertAlign w:val="baseline"/>
        </w:rPr>
        <w:t> </w:t>
      </w:r>
      <w:r>
        <w:rPr>
          <w:vertAlign w:val="baseline"/>
        </w:rPr>
        <w:t>safeguards.</w:t>
      </w:r>
      <w:r>
        <w:rPr>
          <w:vertAlign w:val="superscript"/>
        </w:rPr>
        <w:t>273</w:t>
      </w:r>
      <w:r>
        <w:rPr>
          <w:spacing w:val="-2"/>
          <w:vertAlign w:val="baseline"/>
        </w:rPr>
        <w:t> </w:t>
      </w:r>
      <w:r>
        <w:rPr>
          <w:vertAlign w:val="baseline"/>
        </w:rPr>
        <w:t>This</w:t>
      </w:r>
      <w:r>
        <w:rPr>
          <w:spacing w:val="-1"/>
          <w:vertAlign w:val="baseline"/>
        </w:rPr>
        <w:t> </w:t>
      </w:r>
      <w:r>
        <w:rPr>
          <w:vertAlign w:val="baseline"/>
        </w:rPr>
        <w:t>was</w:t>
      </w:r>
      <w:r>
        <w:rPr>
          <w:spacing w:val="-1"/>
          <w:vertAlign w:val="baseline"/>
        </w:rPr>
        <w:t> </w:t>
      </w:r>
      <w:r>
        <w:rPr>
          <w:vertAlign w:val="baseline"/>
        </w:rPr>
        <w:t>certainly</w:t>
      </w:r>
      <w:r>
        <w:rPr>
          <w:spacing w:val="-1"/>
          <w:vertAlign w:val="baseline"/>
        </w:rPr>
        <w:t> </w:t>
      </w:r>
      <w:r>
        <w:rPr>
          <w:vertAlign w:val="baseline"/>
        </w:rPr>
        <w:t>true</w:t>
      </w:r>
      <w:r>
        <w:rPr>
          <w:spacing w:val="-1"/>
          <w:vertAlign w:val="baseline"/>
        </w:rPr>
        <w:t> </w:t>
      </w:r>
      <w:r>
        <w:rPr>
          <w:vertAlign w:val="baseline"/>
        </w:rPr>
        <w:t>before</w:t>
      </w:r>
      <w:r>
        <w:rPr>
          <w:spacing w:val="-1"/>
          <w:vertAlign w:val="baseline"/>
        </w:rPr>
        <w:t> </w:t>
      </w:r>
      <w:r>
        <w:rPr>
          <w:vertAlign w:val="baseline"/>
        </w:rPr>
        <w:t>the</w:t>
      </w:r>
      <w:r>
        <w:rPr>
          <w:spacing w:val="-1"/>
          <w:vertAlign w:val="baseline"/>
        </w:rPr>
        <w:t> </w:t>
      </w:r>
      <w:r>
        <w:rPr>
          <w:vertAlign w:val="baseline"/>
        </w:rPr>
        <w:t>BRI</w:t>
      </w:r>
      <w:r>
        <w:rPr>
          <w:spacing w:val="-1"/>
          <w:vertAlign w:val="baseline"/>
        </w:rPr>
        <w:t> </w:t>
      </w:r>
      <w:r>
        <w:rPr>
          <w:vertAlign w:val="baseline"/>
        </w:rPr>
        <w:t>was</w:t>
      </w:r>
    </w:p>
    <w:p>
      <w:pPr>
        <w:pStyle w:val="BodyText"/>
        <w:spacing w:before="4"/>
        <w:rPr>
          <w:sz w:val="13"/>
        </w:rPr>
      </w:pPr>
      <w:r>
        <w:rPr/>
        <w:pict>
          <v:shape style="position:absolute;margin-left:90pt;margin-top:8.879102pt;width:144pt;height:.1pt;mso-position-horizontal-relative:page;mso-position-vertical-relative:paragraph;z-index:-15711744;mso-wrap-distance-left:0;mso-wrap-distance-right:0" id="docshape28" coordorigin="1800,178" coordsize="2880,0" path="m1800,178l4680,178e" filled="false" stroked="true" strokeweight=".75pt" strokecolor="#000000">
            <v:path arrowok="t"/>
            <v:stroke dashstyle="solid"/>
            <w10:wrap type="topAndBottom"/>
          </v:shape>
        </w:pict>
      </w:r>
    </w:p>
    <w:p>
      <w:pPr>
        <w:spacing w:line="249" w:lineRule="auto" w:before="101"/>
        <w:ind w:left="560" w:right="684" w:firstLine="0"/>
        <w:jc w:val="left"/>
        <w:rPr>
          <w:sz w:val="18"/>
        </w:rPr>
      </w:pPr>
      <w:r>
        <w:rPr>
          <w:sz w:val="18"/>
          <w:vertAlign w:val="superscript"/>
        </w:rPr>
        <w:t>271</w:t>
      </w:r>
      <w:r>
        <w:rPr>
          <w:sz w:val="18"/>
          <w:vertAlign w:val="baseline"/>
        </w:rPr>
        <w:t> Beyond the fact that some Chinese ﬁnanciers have published environmental policies and standards on their</w:t>
      </w:r>
      <w:r>
        <w:rPr>
          <w:spacing w:val="-3"/>
          <w:sz w:val="18"/>
          <w:vertAlign w:val="baseline"/>
        </w:rPr>
        <w:t> </w:t>
      </w:r>
      <w:r>
        <w:rPr>
          <w:sz w:val="18"/>
          <w:vertAlign w:val="baseline"/>
        </w:rPr>
        <w:t>websites</w:t>
      </w:r>
      <w:r>
        <w:rPr>
          <w:spacing w:val="-3"/>
          <w:sz w:val="18"/>
          <w:vertAlign w:val="baseline"/>
        </w:rPr>
        <w:t> </w:t>
      </w:r>
      <w:r>
        <w:rPr>
          <w:sz w:val="18"/>
          <w:vertAlign w:val="baseline"/>
        </w:rPr>
        <w:t>and</w:t>
      </w:r>
      <w:r>
        <w:rPr>
          <w:spacing w:val="-3"/>
          <w:sz w:val="18"/>
          <w:vertAlign w:val="baseline"/>
        </w:rPr>
        <w:t> </w:t>
      </w:r>
      <w:r>
        <w:rPr>
          <w:sz w:val="18"/>
          <w:vertAlign w:val="baseline"/>
        </w:rPr>
        <w:t>others</w:t>
      </w:r>
      <w:r>
        <w:rPr>
          <w:spacing w:val="-3"/>
          <w:sz w:val="18"/>
          <w:vertAlign w:val="baseline"/>
        </w:rPr>
        <w:t> </w:t>
      </w:r>
      <w:r>
        <w:rPr>
          <w:sz w:val="18"/>
          <w:vertAlign w:val="baseline"/>
        </w:rPr>
        <w:t>have</w:t>
      </w:r>
      <w:r>
        <w:rPr>
          <w:spacing w:val="-3"/>
          <w:sz w:val="18"/>
          <w:vertAlign w:val="baseline"/>
        </w:rPr>
        <w:t> </w:t>
      </w:r>
      <w:r>
        <w:rPr>
          <w:sz w:val="18"/>
          <w:vertAlign w:val="baseline"/>
        </w:rPr>
        <w:t>not,</w:t>
      </w:r>
      <w:r>
        <w:rPr>
          <w:spacing w:val="-3"/>
          <w:sz w:val="18"/>
          <w:vertAlign w:val="baseline"/>
        </w:rPr>
        <w:t> </w:t>
      </w:r>
      <w:r>
        <w:rPr>
          <w:sz w:val="18"/>
          <w:vertAlign w:val="baseline"/>
        </w:rPr>
        <w:t>Narain</w:t>
      </w:r>
      <w:r>
        <w:rPr>
          <w:spacing w:val="-3"/>
          <w:sz w:val="18"/>
          <w:vertAlign w:val="baseline"/>
        </w:rPr>
        <w:t> </w:t>
      </w:r>
      <w:r>
        <w:rPr>
          <w:sz w:val="18"/>
          <w:vertAlign w:val="baseline"/>
        </w:rPr>
        <w:t>et</w:t>
      </w:r>
      <w:r>
        <w:rPr>
          <w:spacing w:val="-3"/>
          <w:sz w:val="18"/>
          <w:vertAlign w:val="baseline"/>
        </w:rPr>
        <w:t> </w:t>
      </w:r>
      <w:r>
        <w:rPr>
          <w:sz w:val="18"/>
          <w:vertAlign w:val="baseline"/>
        </w:rPr>
        <w:t>al.</w:t>
      </w:r>
      <w:r>
        <w:rPr>
          <w:spacing w:val="-3"/>
          <w:sz w:val="18"/>
          <w:vertAlign w:val="baseline"/>
        </w:rPr>
        <w:t> </w:t>
      </w:r>
      <w:r>
        <w:rPr>
          <w:sz w:val="18"/>
          <w:vertAlign w:val="baseline"/>
        </w:rPr>
        <w:t>(2020)</w:t>
      </w:r>
      <w:r>
        <w:rPr>
          <w:spacing w:val="-3"/>
          <w:sz w:val="18"/>
          <w:vertAlign w:val="baseline"/>
        </w:rPr>
        <w:t> </w:t>
      </w:r>
      <w:r>
        <w:rPr>
          <w:sz w:val="18"/>
          <w:vertAlign w:val="baseline"/>
        </w:rPr>
        <w:t>does</w:t>
      </w:r>
      <w:r>
        <w:rPr>
          <w:spacing w:val="-3"/>
          <w:sz w:val="18"/>
          <w:vertAlign w:val="baseline"/>
        </w:rPr>
        <w:t> </w:t>
      </w:r>
      <w:r>
        <w:rPr>
          <w:sz w:val="18"/>
          <w:vertAlign w:val="baseline"/>
        </w:rPr>
        <w:t>not</w:t>
      </w:r>
      <w:r>
        <w:rPr>
          <w:spacing w:val="-3"/>
          <w:sz w:val="18"/>
          <w:vertAlign w:val="baseline"/>
        </w:rPr>
        <w:t> </w:t>
      </w:r>
      <w:r>
        <w:rPr>
          <w:sz w:val="18"/>
          <w:vertAlign w:val="baseline"/>
        </w:rPr>
        <w:t>document</w:t>
      </w:r>
      <w:r>
        <w:rPr>
          <w:spacing w:val="-3"/>
          <w:sz w:val="18"/>
          <w:vertAlign w:val="baseline"/>
        </w:rPr>
        <w:t> </w:t>
      </w:r>
      <w:r>
        <w:rPr>
          <w:sz w:val="18"/>
          <w:vertAlign w:val="baseline"/>
        </w:rPr>
        <w:t>any</w:t>
      </w:r>
      <w:r>
        <w:rPr>
          <w:spacing w:val="-3"/>
          <w:sz w:val="18"/>
          <w:vertAlign w:val="baseline"/>
        </w:rPr>
        <w:t> </w:t>
      </w:r>
      <w:r>
        <w:rPr>
          <w:sz w:val="18"/>
          <w:vertAlign w:val="baseline"/>
        </w:rPr>
        <w:t>safeguard</w:t>
      </w:r>
      <w:r>
        <w:rPr>
          <w:spacing w:val="-3"/>
          <w:sz w:val="18"/>
          <w:vertAlign w:val="baseline"/>
        </w:rPr>
        <w:t> </w:t>
      </w:r>
      <w:r>
        <w:rPr>
          <w:sz w:val="18"/>
          <w:vertAlign w:val="baseline"/>
        </w:rPr>
        <w:t>variation</w:t>
      </w:r>
      <w:r>
        <w:rPr>
          <w:spacing w:val="-3"/>
          <w:sz w:val="18"/>
          <w:vertAlign w:val="baseline"/>
        </w:rPr>
        <w:t> </w:t>
      </w:r>
      <w:r>
        <w:rPr>
          <w:sz w:val="18"/>
          <w:vertAlign w:val="baseline"/>
        </w:rPr>
        <w:t>across Chinese state-owned creditors that ﬁnance overseas infrastructure projects. However, Narain et al. (2020) does not systematically evaluate the safeguard provisions contained in the ﬁnancing agreements of Chinese state-owned creditors. Nor does the study capture any of the changes that took place during the late BRI period (2018-2021).</w:t>
      </w:r>
    </w:p>
    <w:p>
      <w:pPr>
        <w:spacing w:line="249" w:lineRule="auto" w:before="4"/>
        <w:ind w:left="560" w:right="684" w:firstLine="0"/>
        <w:jc w:val="left"/>
        <w:rPr>
          <w:sz w:val="18"/>
        </w:rPr>
      </w:pPr>
      <w:r>
        <w:rPr>
          <w:sz w:val="18"/>
          <w:vertAlign w:val="superscript"/>
        </w:rPr>
        <w:t>272</w:t>
      </w:r>
      <w:r>
        <w:rPr>
          <w:spacing w:val="28"/>
          <w:sz w:val="18"/>
          <w:vertAlign w:val="baseline"/>
        </w:rPr>
        <w:t> </w:t>
      </w:r>
      <w:r>
        <w:rPr>
          <w:sz w:val="18"/>
          <w:vertAlign w:val="baseline"/>
        </w:rPr>
        <w:t>The</w:t>
      </w:r>
      <w:r>
        <w:rPr>
          <w:spacing w:val="29"/>
          <w:sz w:val="18"/>
          <w:vertAlign w:val="baseline"/>
        </w:rPr>
        <w:t> </w:t>
      </w:r>
      <w:r>
        <w:rPr>
          <w:sz w:val="18"/>
          <w:vertAlign w:val="baseline"/>
        </w:rPr>
        <w:t>“High,”</w:t>
      </w:r>
      <w:r>
        <w:rPr>
          <w:spacing w:val="29"/>
          <w:sz w:val="18"/>
          <w:vertAlign w:val="baseline"/>
        </w:rPr>
        <w:t> </w:t>
      </w:r>
      <w:r>
        <w:rPr>
          <w:sz w:val="18"/>
          <w:vertAlign w:val="baseline"/>
        </w:rPr>
        <w:t>“Medium,”</w:t>
      </w:r>
      <w:r>
        <w:rPr>
          <w:spacing w:val="29"/>
          <w:sz w:val="18"/>
          <w:vertAlign w:val="baseline"/>
        </w:rPr>
        <w:t> </w:t>
      </w:r>
      <w:r>
        <w:rPr>
          <w:sz w:val="18"/>
          <w:vertAlign w:val="baseline"/>
        </w:rPr>
        <w:t>and</w:t>
      </w:r>
      <w:r>
        <w:rPr>
          <w:spacing w:val="29"/>
          <w:sz w:val="18"/>
          <w:vertAlign w:val="baseline"/>
        </w:rPr>
        <w:t> </w:t>
      </w:r>
      <w:r>
        <w:rPr>
          <w:sz w:val="18"/>
          <w:vertAlign w:val="baseline"/>
        </w:rPr>
        <w:t>“Low”</w:t>
      </w:r>
      <w:r>
        <w:rPr>
          <w:spacing w:val="29"/>
          <w:sz w:val="18"/>
          <w:vertAlign w:val="baseline"/>
        </w:rPr>
        <w:t> </w:t>
      </w:r>
      <w:r>
        <w:rPr>
          <w:sz w:val="18"/>
          <w:vertAlign w:val="baseline"/>
        </w:rPr>
        <w:t>designations</w:t>
      </w:r>
      <w:r>
        <w:rPr>
          <w:spacing w:val="29"/>
          <w:sz w:val="18"/>
          <w:vertAlign w:val="baseline"/>
        </w:rPr>
        <w:t> </w:t>
      </w:r>
      <w:r>
        <w:rPr>
          <w:sz w:val="18"/>
          <w:vertAlign w:val="baseline"/>
        </w:rPr>
        <w:t>are</w:t>
      </w:r>
      <w:r>
        <w:rPr>
          <w:spacing w:val="29"/>
          <w:sz w:val="18"/>
          <w:vertAlign w:val="baseline"/>
        </w:rPr>
        <w:t> </w:t>
      </w:r>
      <w:r>
        <w:rPr>
          <w:sz w:val="18"/>
          <w:vertAlign w:val="baseline"/>
        </w:rPr>
        <w:t>not</w:t>
      </w:r>
      <w:r>
        <w:rPr>
          <w:spacing w:val="29"/>
          <w:sz w:val="18"/>
          <w:vertAlign w:val="baseline"/>
        </w:rPr>
        <w:t> </w:t>
      </w:r>
      <w:r>
        <w:rPr>
          <w:sz w:val="18"/>
          <w:vertAlign w:val="baseline"/>
        </w:rPr>
        <w:t>comprehensive</w:t>
      </w:r>
      <w:r>
        <w:rPr>
          <w:spacing w:val="29"/>
          <w:sz w:val="18"/>
          <w:vertAlign w:val="baseline"/>
        </w:rPr>
        <w:t> </w:t>
      </w:r>
      <w:r>
        <w:rPr>
          <w:sz w:val="18"/>
          <w:vertAlign w:val="baseline"/>
        </w:rPr>
        <w:t>measurements</w:t>
      </w:r>
      <w:r>
        <w:rPr>
          <w:spacing w:val="29"/>
          <w:sz w:val="18"/>
          <w:vertAlign w:val="baseline"/>
        </w:rPr>
        <w:t> </w:t>
      </w:r>
      <w:r>
        <w:rPr>
          <w:sz w:val="18"/>
          <w:vertAlign w:val="baseline"/>
        </w:rPr>
        <w:t>of</w:t>
      </w:r>
      <w:r>
        <w:rPr>
          <w:spacing w:val="29"/>
          <w:sz w:val="18"/>
          <w:vertAlign w:val="baseline"/>
        </w:rPr>
        <w:t> </w:t>
      </w:r>
      <w:r>
        <w:rPr>
          <w:sz w:val="18"/>
          <w:vertAlign w:val="baseline"/>
        </w:rPr>
        <w:t>ESG safeguard stringency vis-à-vis international standards, such as PS6. They only provide measurements of whether ESG rules and standards exist and whether there are mechanisms in place for monitoring compliance or sanctioning noncompliance. A potentially productive avenue for future research would be </w:t>
      </w:r>
      <w:r>
        <w:rPr>
          <w:sz w:val="18"/>
          <w:vertAlign w:val="baseline"/>
        </w:rPr>
        <w:t>to construct “distance-to-frontier” safeguard stringency measures that are based on PS6 or an analogous set of international standards that are broadly encompassing.</w:t>
      </w:r>
    </w:p>
    <w:p>
      <w:pPr>
        <w:spacing w:line="249" w:lineRule="auto" w:before="5"/>
        <w:ind w:left="560" w:right="665" w:firstLine="0"/>
        <w:jc w:val="left"/>
        <w:rPr>
          <w:sz w:val="18"/>
        </w:rPr>
      </w:pPr>
      <w:r>
        <w:rPr>
          <w:sz w:val="18"/>
          <w:vertAlign w:val="superscript"/>
        </w:rPr>
        <w:t>273</w:t>
      </w:r>
      <w:r>
        <w:rPr>
          <w:sz w:val="18"/>
          <w:vertAlign w:val="baseline"/>
        </w:rPr>
        <w:t> China Eximbank’s infrastructure loan agreements received low environmental, social, and governance safeguard ratings. CDB’s infrastructure loan agreements received low environmental and social safeguard ratings, but a medium governance safeguard rating—due to the fact that two out of the three CDB</w:t>
      </w:r>
      <w:r>
        <w:rPr>
          <w:spacing w:val="80"/>
          <w:sz w:val="18"/>
          <w:vertAlign w:val="baseline"/>
        </w:rPr>
        <w:t> </w:t>
      </w:r>
      <w:r>
        <w:rPr>
          <w:sz w:val="18"/>
          <w:vertAlign w:val="baseline"/>
        </w:rPr>
        <w:t>contracts in the coding sample included anti-corruption and anti-money laundering requirements as well </w:t>
      </w:r>
      <w:r>
        <w:rPr>
          <w:sz w:val="18"/>
          <w:vertAlign w:val="baseline"/>
        </w:rPr>
        <w:t>as requirements to prepare and submit ﬁnancial statements in accordance with International Financial Reporting Standards (IFRS) or the Generally Accepted Accounting Principles (GAAP) of the Financial Accounting Standards Board (FASB).</w:t>
      </w:r>
    </w:p>
    <w:p>
      <w:pPr>
        <w:spacing w:after="0" w:line="249" w:lineRule="auto"/>
        <w:jc w:val="left"/>
        <w:rPr>
          <w:sz w:val="18"/>
        </w:rPr>
        <w:sectPr>
          <w:pgSz w:w="12240" w:h="15840"/>
          <w:pgMar w:header="0" w:footer="720" w:top="1400" w:bottom="920" w:left="1240" w:right="1260"/>
        </w:sectPr>
      </w:pPr>
    </w:p>
    <w:p>
      <w:pPr>
        <w:pStyle w:val="BodyText"/>
        <w:spacing w:line="333" w:lineRule="auto" w:before="67"/>
        <w:ind w:left="560" w:right="601"/>
      </w:pPr>
      <w:r>
        <w:rPr/>
        <w:t>launched, and it remained largely true during the early and late BRI periods.</w:t>
      </w:r>
      <w:r>
        <w:rPr>
          <w:vertAlign w:val="superscript"/>
        </w:rPr>
        <w:t>274</w:t>
      </w:r>
      <w:r>
        <w:rPr>
          <w:vertAlign w:val="baseline"/>
        </w:rPr>
        <w:t> Second, China’s state-owned commercial banks have strong de jure ESG safeguards in their overseas loan agreements. They not only apply such safeguards when they issue bilateral loan agreements, but also when they participate in syndicated loan agreements. Third, strong ESG safeguards consistently apply to the grants and loans that the PBOC and China’s Ministry of Finance</w:t>
      </w:r>
      <w:r>
        <w:rPr>
          <w:spacing w:val="-3"/>
          <w:vertAlign w:val="baseline"/>
        </w:rPr>
        <w:t> </w:t>
      </w:r>
      <w:r>
        <w:rPr>
          <w:vertAlign w:val="baseline"/>
        </w:rPr>
        <w:t>channel</w:t>
      </w:r>
      <w:r>
        <w:rPr>
          <w:spacing w:val="-3"/>
          <w:vertAlign w:val="baseline"/>
        </w:rPr>
        <w:t> </w:t>
      </w:r>
      <w:r>
        <w:rPr>
          <w:vertAlign w:val="baseline"/>
        </w:rPr>
        <w:t>to</w:t>
      </w:r>
      <w:r>
        <w:rPr>
          <w:spacing w:val="-3"/>
          <w:vertAlign w:val="baseline"/>
        </w:rPr>
        <w:t> </w:t>
      </w:r>
      <w:r>
        <w:rPr>
          <w:vertAlign w:val="baseline"/>
        </w:rPr>
        <w:t>LICs</w:t>
      </w:r>
      <w:r>
        <w:rPr>
          <w:spacing w:val="-3"/>
          <w:vertAlign w:val="baseline"/>
        </w:rPr>
        <w:t> </w:t>
      </w:r>
      <w:r>
        <w:rPr>
          <w:vertAlign w:val="baseline"/>
        </w:rPr>
        <w:t>and</w:t>
      </w:r>
      <w:r>
        <w:rPr>
          <w:spacing w:val="-3"/>
          <w:vertAlign w:val="baseline"/>
        </w:rPr>
        <w:t> </w:t>
      </w:r>
      <w:r>
        <w:rPr>
          <w:vertAlign w:val="baseline"/>
        </w:rPr>
        <w:t>MICs</w:t>
      </w:r>
      <w:r>
        <w:rPr>
          <w:spacing w:val="-3"/>
          <w:vertAlign w:val="baseline"/>
        </w:rPr>
        <w:t> </w:t>
      </w:r>
      <w:r>
        <w:rPr>
          <w:vertAlign w:val="baseline"/>
        </w:rPr>
        <w:t>via</w:t>
      </w:r>
      <w:r>
        <w:rPr>
          <w:spacing w:val="-3"/>
          <w:vertAlign w:val="baseline"/>
        </w:rPr>
        <w:t> </w:t>
      </w:r>
      <w:r>
        <w:rPr>
          <w:vertAlign w:val="baseline"/>
        </w:rPr>
        <w:t>multilateral</w:t>
      </w:r>
      <w:r>
        <w:rPr>
          <w:spacing w:val="-3"/>
          <w:vertAlign w:val="baseline"/>
        </w:rPr>
        <w:t> </w:t>
      </w:r>
      <w:r>
        <w:rPr>
          <w:vertAlign w:val="baseline"/>
        </w:rPr>
        <w:t>institutions.</w:t>
      </w:r>
      <w:r>
        <w:rPr>
          <w:spacing w:val="-3"/>
          <w:vertAlign w:val="baseline"/>
        </w:rPr>
        <w:t> </w:t>
      </w:r>
      <w:r>
        <w:rPr>
          <w:vertAlign w:val="baseline"/>
        </w:rPr>
        <w:t>They</w:t>
      </w:r>
      <w:r>
        <w:rPr>
          <w:spacing w:val="-3"/>
          <w:vertAlign w:val="baseline"/>
        </w:rPr>
        <w:t> </w:t>
      </w:r>
      <w:r>
        <w:rPr>
          <w:vertAlign w:val="baseline"/>
        </w:rPr>
        <w:t>also</w:t>
      </w:r>
      <w:r>
        <w:rPr>
          <w:spacing w:val="-3"/>
          <w:vertAlign w:val="baseline"/>
        </w:rPr>
        <w:t> </w:t>
      </w:r>
      <w:r>
        <w:rPr>
          <w:vertAlign w:val="baseline"/>
        </w:rPr>
        <w:t>apply</w:t>
      </w:r>
      <w:r>
        <w:rPr>
          <w:spacing w:val="-3"/>
          <w:vertAlign w:val="baseline"/>
        </w:rPr>
        <w:t> </w:t>
      </w:r>
      <w:r>
        <w:rPr>
          <w:vertAlign w:val="baseline"/>
        </w:rPr>
        <w:t>to syndicated loans that involve multilateral institutions, which highlights a fourth (broader) ﬁnding from Table 3.1: the fact that syndicated loans have consistently stronger de jure ESG safeguards than bilateral loans. Given that all participants in a syndicated loan agreement for an infrastructure project must agree to a common set of contractual terms and conditions, including applicable ESG safeguards, one might think that a “least common denominator” dynamic could go into effect. But Table 3.1 indicates that the opposite is true: syndicate participants seem to defer to the lending institution(s) with the strongest preference(s) for ESG risk mitigation.</w:t>
      </w:r>
      <w:r>
        <w:rPr>
          <w:vertAlign w:val="superscript"/>
        </w:rPr>
        <w:t>275</w:t>
      </w:r>
    </w:p>
    <w:p>
      <w:pPr>
        <w:pStyle w:val="BodyText"/>
        <w:rPr>
          <w:sz w:val="20"/>
        </w:rPr>
      </w:pPr>
    </w:p>
    <w:p>
      <w:pPr>
        <w:pStyle w:val="BodyText"/>
        <w:spacing w:before="8"/>
        <w:rPr>
          <w:sz w:val="15"/>
        </w:rPr>
      </w:pPr>
      <w:r>
        <w:rPr/>
        <w:pict>
          <v:shape style="position:absolute;margin-left:84pt;margin-top:10.224268pt;width:444pt;height:38pt;mso-position-horizontal-relative:page;mso-position-vertical-relative:paragraph;z-index:-15711232;mso-wrap-distance-left:0;mso-wrap-distance-right:0" type="#_x0000_t202" id="docshape29" filled="true" fillcolor="#5b666f" stroked="false">
            <v:textbox inset="0,0,0,0">
              <w:txbxContent>
                <w:p>
                  <w:pPr>
                    <w:spacing w:before="135"/>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3.1</w:t>
                  </w:r>
                </w:p>
              </w:txbxContent>
            </v:textbox>
            <v:fill type="solid"/>
            <w10:wrap type="topAndBottom"/>
          </v:shape>
        </w:pict>
      </w:r>
    </w:p>
    <w:p>
      <w:pPr>
        <w:pStyle w:val="Heading2"/>
        <w:spacing w:line="331" w:lineRule="auto" w:before="8"/>
        <w:ind w:left="560"/>
      </w:pPr>
      <w:r>
        <w:rPr>
          <w:spacing w:val="-2"/>
        </w:rPr>
        <w:t>De</w:t>
      </w:r>
      <w:r>
        <w:rPr>
          <w:spacing w:val="-16"/>
        </w:rPr>
        <w:t> </w:t>
      </w:r>
      <w:r>
        <w:rPr>
          <w:spacing w:val="-2"/>
        </w:rPr>
        <w:t>jure</w:t>
      </w:r>
      <w:r>
        <w:rPr>
          <w:spacing w:val="-16"/>
        </w:rPr>
        <w:t> </w:t>
      </w:r>
      <w:r>
        <w:rPr>
          <w:spacing w:val="-2"/>
        </w:rPr>
        <w:t>ESG</w:t>
      </w:r>
      <w:r>
        <w:rPr>
          <w:spacing w:val="-16"/>
        </w:rPr>
        <w:t> </w:t>
      </w:r>
      <w:r>
        <w:rPr>
          <w:spacing w:val="-2"/>
        </w:rPr>
        <w:t>safeguard</w:t>
      </w:r>
      <w:r>
        <w:rPr>
          <w:spacing w:val="-16"/>
        </w:rPr>
        <w:t> </w:t>
      </w:r>
      <w:r>
        <w:rPr>
          <w:spacing w:val="-2"/>
        </w:rPr>
        <w:t>stringency</w:t>
      </w:r>
      <w:r>
        <w:rPr>
          <w:spacing w:val="-16"/>
        </w:rPr>
        <w:t> </w:t>
      </w:r>
      <w:r>
        <w:rPr>
          <w:spacing w:val="-2"/>
        </w:rPr>
        <w:t>in</w:t>
      </w:r>
      <w:r>
        <w:rPr>
          <w:spacing w:val="-16"/>
        </w:rPr>
        <w:t> </w:t>
      </w:r>
      <w:r>
        <w:rPr>
          <w:spacing w:val="-2"/>
        </w:rPr>
        <w:t>China’s</w:t>
      </w:r>
      <w:r>
        <w:rPr>
          <w:spacing w:val="-16"/>
        </w:rPr>
        <w:t> </w:t>
      </w:r>
      <w:r>
        <w:rPr>
          <w:spacing w:val="-2"/>
        </w:rPr>
        <w:t>overseas </w:t>
      </w:r>
      <w:r>
        <w:rPr>
          <w:spacing w:val="-6"/>
        </w:rPr>
        <w:t>infrastructure</w:t>
      </w:r>
      <w:r>
        <w:rPr>
          <w:spacing w:val="-17"/>
        </w:rPr>
        <w:t> </w:t>
      </w:r>
      <w:r>
        <w:rPr>
          <w:spacing w:val="-6"/>
        </w:rPr>
        <w:t>portfolio</w:t>
      </w:r>
      <w:r>
        <w:rPr>
          <w:spacing w:val="-16"/>
        </w:rPr>
        <w:t> </w:t>
      </w:r>
      <w:r>
        <w:rPr>
          <w:spacing w:val="-6"/>
        </w:rPr>
        <w:t>by</w:t>
      </w:r>
      <w:r>
        <w:rPr>
          <w:spacing w:val="-16"/>
        </w:rPr>
        <w:t> </w:t>
      </w:r>
      <w:r>
        <w:rPr>
          <w:spacing w:val="-6"/>
        </w:rPr>
        <w:t>type</w:t>
      </w:r>
      <w:r>
        <w:rPr>
          <w:spacing w:val="-16"/>
        </w:rPr>
        <w:t> </w:t>
      </w:r>
      <w:r>
        <w:rPr>
          <w:spacing w:val="-6"/>
        </w:rPr>
        <w:t>of</w:t>
      </w:r>
      <w:r>
        <w:rPr>
          <w:spacing w:val="-17"/>
        </w:rPr>
        <w:t> </w:t>
      </w:r>
      <w:r>
        <w:rPr>
          <w:spacing w:val="-6"/>
        </w:rPr>
        <w:t>ﬁnancing</w:t>
      </w:r>
      <w:r>
        <w:rPr>
          <w:spacing w:val="-16"/>
        </w:rPr>
        <w:t> </w:t>
      </w:r>
      <w:r>
        <w:rPr>
          <w:spacing w:val="-6"/>
        </w:rPr>
        <w:t>instrument</w:t>
      </w: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00"/>
        <w:gridCol w:w="800"/>
        <w:gridCol w:w="900"/>
        <w:gridCol w:w="840"/>
        <w:gridCol w:w="1260"/>
        <w:gridCol w:w="840"/>
        <w:gridCol w:w="900"/>
      </w:tblGrid>
      <w:tr>
        <w:trPr>
          <w:trHeight w:val="759" w:hRule="atLeast"/>
        </w:trPr>
        <w:tc>
          <w:tcPr>
            <w:tcW w:w="3100" w:type="dxa"/>
            <w:vMerge w:val="restart"/>
          </w:tcPr>
          <w:p>
            <w:pPr>
              <w:pStyle w:val="TableParagraph"/>
              <w:ind w:left="0"/>
              <w:rPr>
                <w:rFonts w:ascii="Gill Sans MT"/>
                <w:b/>
                <w:sz w:val="24"/>
              </w:rPr>
            </w:pPr>
          </w:p>
          <w:p>
            <w:pPr>
              <w:pStyle w:val="TableParagraph"/>
              <w:spacing w:before="198"/>
              <w:ind w:left="4"/>
              <w:rPr>
                <w:sz w:val="24"/>
              </w:rPr>
            </w:pPr>
            <w:r>
              <w:rPr>
                <w:sz w:val="24"/>
              </w:rPr>
              <w:t>Financing</w:t>
            </w:r>
            <w:r>
              <w:rPr>
                <w:spacing w:val="-11"/>
                <w:sz w:val="24"/>
              </w:rPr>
              <w:t> </w:t>
            </w:r>
            <w:r>
              <w:rPr>
                <w:spacing w:val="-2"/>
                <w:sz w:val="24"/>
              </w:rPr>
              <w:t>Instrument</w:t>
            </w:r>
          </w:p>
        </w:tc>
        <w:tc>
          <w:tcPr>
            <w:tcW w:w="1700" w:type="dxa"/>
            <w:gridSpan w:val="2"/>
          </w:tcPr>
          <w:p>
            <w:pPr>
              <w:pStyle w:val="TableParagraph"/>
              <w:spacing w:line="266" w:lineRule="exact"/>
              <w:ind w:left="9"/>
              <w:rPr>
                <w:sz w:val="24"/>
              </w:rPr>
            </w:pPr>
            <w:r>
              <w:rPr>
                <w:spacing w:val="-2"/>
                <w:sz w:val="24"/>
              </w:rPr>
              <w:t>Environmental</w:t>
            </w:r>
          </w:p>
          <w:p>
            <w:pPr>
              <w:pStyle w:val="TableParagraph"/>
              <w:spacing w:before="107"/>
              <w:ind w:left="9"/>
              <w:rPr>
                <w:sz w:val="24"/>
              </w:rPr>
            </w:pPr>
            <w:r>
              <w:rPr>
                <w:spacing w:val="-2"/>
                <w:sz w:val="24"/>
              </w:rPr>
              <w:t>Safeguards</w:t>
            </w:r>
          </w:p>
        </w:tc>
        <w:tc>
          <w:tcPr>
            <w:tcW w:w="2100" w:type="dxa"/>
            <w:gridSpan w:val="2"/>
          </w:tcPr>
          <w:p>
            <w:pPr>
              <w:pStyle w:val="TableParagraph"/>
              <w:spacing w:line="266" w:lineRule="exact"/>
              <w:rPr>
                <w:sz w:val="24"/>
              </w:rPr>
            </w:pPr>
            <w:r>
              <w:rPr>
                <w:spacing w:val="-2"/>
                <w:sz w:val="24"/>
              </w:rPr>
              <w:t>Social</w:t>
            </w:r>
          </w:p>
          <w:p>
            <w:pPr>
              <w:pStyle w:val="TableParagraph"/>
              <w:spacing w:before="107"/>
              <w:rPr>
                <w:sz w:val="24"/>
              </w:rPr>
            </w:pPr>
            <w:r>
              <w:rPr>
                <w:spacing w:val="-2"/>
                <w:sz w:val="24"/>
              </w:rPr>
              <w:t>Safeguards</w:t>
            </w:r>
          </w:p>
        </w:tc>
        <w:tc>
          <w:tcPr>
            <w:tcW w:w="1740" w:type="dxa"/>
            <w:gridSpan w:val="2"/>
          </w:tcPr>
          <w:p>
            <w:pPr>
              <w:pStyle w:val="TableParagraph"/>
              <w:spacing w:line="266" w:lineRule="exact"/>
              <w:rPr>
                <w:b/>
                <w:sz w:val="24"/>
              </w:rPr>
            </w:pPr>
            <w:r>
              <w:rPr>
                <w:b/>
                <w:spacing w:val="-2"/>
                <w:sz w:val="24"/>
              </w:rPr>
              <w:t>Governance</w:t>
            </w:r>
          </w:p>
          <w:p>
            <w:pPr>
              <w:pStyle w:val="TableParagraph"/>
              <w:spacing w:before="107"/>
              <w:rPr>
                <w:b/>
                <w:sz w:val="24"/>
              </w:rPr>
            </w:pPr>
            <w:r>
              <w:rPr>
                <w:b/>
                <w:spacing w:val="-2"/>
                <w:sz w:val="24"/>
              </w:rPr>
              <w:t>Safeguards</w:t>
            </w:r>
          </w:p>
        </w:tc>
      </w:tr>
      <w:tr>
        <w:trPr>
          <w:trHeight w:val="560" w:hRule="atLeast"/>
        </w:trPr>
        <w:tc>
          <w:tcPr>
            <w:tcW w:w="3100" w:type="dxa"/>
            <w:vMerge/>
            <w:tcBorders>
              <w:top w:val="nil"/>
            </w:tcBorders>
          </w:tcPr>
          <w:p>
            <w:pPr>
              <w:rPr>
                <w:sz w:val="2"/>
                <w:szCs w:val="2"/>
              </w:rPr>
            </w:pPr>
          </w:p>
        </w:tc>
        <w:tc>
          <w:tcPr>
            <w:tcW w:w="800" w:type="dxa"/>
          </w:tcPr>
          <w:p>
            <w:pPr>
              <w:pStyle w:val="TableParagraph"/>
              <w:spacing w:line="197" w:lineRule="exact"/>
              <w:ind w:left="9"/>
              <w:rPr>
                <w:sz w:val="18"/>
              </w:rPr>
            </w:pPr>
            <w:r>
              <w:rPr>
                <w:spacing w:val="-2"/>
                <w:sz w:val="18"/>
              </w:rPr>
              <w:t>Pre/Early</w:t>
            </w:r>
          </w:p>
          <w:p>
            <w:pPr>
              <w:pStyle w:val="TableParagraph"/>
              <w:spacing w:before="80"/>
              <w:ind w:left="9"/>
              <w:rPr>
                <w:sz w:val="18"/>
              </w:rPr>
            </w:pPr>
            <w:r>
              <w:rPr>
                <w:spacing w:val="-5"/>
                <w:sz w:val="18"/>
              </w:rPr>
              <w:t>BRI</w:t>
            </w:r>
          </w:p>
        </w:tc>
        <w:tc>
          <w:tcPr>
            <w:tcW w:w="900" w:type="dxa"/>
          </w:tcPr>
          <w:p>
            <w:pPr>
              <w:pStyle w:val="TableParagraph"/>
              <w:spacing w:before="133"/>
              <w:rPr>
                <w:sz w:val="18"/>
              </w:rPr>
            </w:pPr>
            <w:r>
              <w:rPr>
                <w:sz w:val="18"/>
              </w:rPr>
              <w:t>Late</w:t>
            </w:r>
            <w:r>
              <w:rPr>
                <w:spacing w:val="-10"/>
                <w:sz w:val="18"/>
              </w:rPr>
              <w:t> </w:t>
            </w:r>
            <w:r>
              <w:rPr>
                <w:spacing w:val="-5"/>
                <w:sz w:val="18"/>
              </w:rPr>
              <w:t>BRI</w:t>
            </w:r>
          </w:p>
        </w:tc>
        <w:tc>
          <w:tcPr>
            <w:tcW w:w="840" w:type="dxa"/>
          </w:tcPr>
          <w:p>
            <w:pPr>
              <w:pStyle w:val="TableParagraph"/>
              <w:spacing w:line="197" w:lineRule="exact"/>
              <w:rPr>
                <w:sz w:val="18"/>
              </w:rPr>
            </w:pPr>
            <w:r>
              <w:rPr>
                <w:spacing w:val="-2"/>
                <w:sz w:val="18"/>
              </w:rPr>
              <w:t>Pre/Early</w:t>
            </w:r>
          </w:p>
          <w:p>
            <w:pPr>
              <w:pStyle w:val="TableParagraph"/>
              <w:spacing w:before="80"/>
              <w:rPr>
                <w:sz w:val="18"/>
              </w:rPr>
            </w:pPr>
            <w:r>
              <w:rPr>
                <w:spacing w:val="-5"/>
                <w:sz w:val="18"/>
              </w:rPr>
              <w:t>BRI</w:t>
            </w:r>
          </w:p>
        </w:tc>
        <w:tc>
          <w:tcPr>
            <w:tcW w:w="1260" w:type="dxa"/>
          </w:tcPr>
          <w:p>
            <w:pPr>
              <w:pStyle w:val="TableParagraph"/>
              <w:spacing w:before="133"/>
              <w:ind w:left="4"/>
              <w:rPr>
                <w:sz w:val="18"/>
              </w:rPr>
            </w:pPr>
            <w:r>
              <w:rPr>
                <w:sz w:val="18"/>
              </w:rPr>
              <w:t>Late</w:t>
            </w:r>
            <w:r>
              <w:rPr>
                <w:spacing w:val="-10"/>
                <w:sz w:val="18"/>
              </w:rPr>
              <w:t> </w:t>
            </w:r>
            <w:r>
              <w:rPr>
                <w:spacing w:val="-5"/>
                <w:sz w:val="18"/>
              </w:rPr>
              <w:t>BRI</w:t>
            </w:r>
          </w:p>
        </w:tc>
        <w:tc>
          <w:tcPr>
            <w:tcW w:w="840" w:type="dxa"/>
          </w:tcPr>
          <w:p>
            <w:pPr>
              <w:pStyle w:val="TableParagraph"/>
              <w:spacing w:line="197" w:lineRule="exact"/>
              <w:rPr>
                <w:sz w:val="18"/>
              </w:rPr>
            </w:pPr>
            <w:r>
              <w:rPr>
                <w:spacing w:val="-2"/>
                <w:sz w:val="18"/>
              </w:rPr>
              <w:t>Pre/Early</w:t>
            </w:r>
          </w:p>
          <w:p>
            <w:pPr>
              <w:pStyle w:val="TableParagraph"/>
              <w:spacing w:before="80"/>
              <w:rPr>
                <w:sz w:val="18"/>
              </w:rPr>
            </w:pPr>
            <w:r>
              <w:rPr>
                <w:spacing w:val="-5"/>
                <w:sz w:val="18"/>
              </w:rPr>
              <w:t>BRI</w:t>
            </w:r>
          </w:p>
        </w:tc>
        <w:tc>
          <w:tcPr>
            <w:tcW w:w="900" w:type="dxa"/>
          </w:tcPr>
          <w:p>
            <w:pPr>
              <w:pStyle w:val="TableParagraph"/>
              <w:spacing w:before="133"/>
              <w:rPr>
                <w:sz w:val="18"/>
              </w:rPr>
            </w:pPr>
            <w:r>
              <w:rPr>
                <w:sz w:val="18"/>
              </w:rPr>
              <w:t>Late</w:t>
            </w:r>
            <w:r>
              <w:rPr>
                <w:spacing w:val="-10"/>
                <w:sz w:val="18"/>
              </w:rPr>
              <w:t> </w:t>
            </w:r>
            <w:r>
              <w:rPr>
                <w:spacing w:val="-5"/>
                <w:sz w:val="18"/>
              </w:rPr>
              <w:t>BRI</w:t>
            </w:r>
          </w:p>
        </w:tc>
      </w:tr>
      <w:tr>
        <w:trPr>
          <w:trHeight w:val="340" w:hRule="atLeast"/>
        </w:trPr>
        <w:tc>
          <w:tcPr>
            <w:tcW w:w="3100" w:type="dxa"/>
          </w:tcPr>
          <w:p>
            <w:pPr>
              <w:pStyle w:val="TableParagraph"/>
              <w:spacing w:before="29"/>
              <w:rPr>
                <w:sz w:val="18"/>
              </w:rPr>
            </w:pPr>
            <w:r>
              <w:rPr>
                <w:sz w:val="18"/>
              </w:rPr>
              <w:t>Bilateral</w:t>
            </w:r>
            <w:r>
              <w:rPr>
                <w:spacing w:val="-10"/>
                <w:sz w:val="18"/>
              </w:rPr>
              <w:t> </w:t>
            </w:r>
            <w:r>
              <w:rPr>
                <w:sz w:val="18"/>
              </w:rPr>
              <w:t>China</w:t>
            </w:r>
            <w:r>
              <w:rPr>
                <w:spacing w:val="-9"/>
                <w:sz w:val="18"/>
              </w:rPr>
              <w:t> </w:t>
            </w:r>
            <w:r>
              <w:rPr>
                <w:sz w:val="18"/>
              </w:rPr>
              <w:t>Eximbank</w:t>
            </w:r>
            <w:r>
              <w:rPr>
                <w:spacing w:val="-9"/>
                <w:sz w:val="18"/>
              </w:rPr>
              <w:t> </w:t>
            </w:r>
            <w:r>
              <w:rPr>
                <w:spacing w:val="-4"/>
                <w:sz w:val="18"/>
              </w:rPr>
              <w:t>loan</w:t>
            </w:r>
          </w:p>
        </w:tc>
        <w:tc>
          <w:tcPr>
            <w:tcW w:w="800" w:type="dxa"/>
            <w:shd w:val="clear" w:color="auto" w:fill="FFC7CD"/>
          </w:tcPr>
          <w:p>
            <w:pPr>
              <w:pStyle w:val="TableParagraph"/>
              <w:spacing w:before="29"/>
              <w:ind w:left="9"/>
              <w:rPr>
                <w:sz w:val="18"/>
              </w:rPr>
            </w:pPr>
            <w:r>
              <w:rPr>
                <w:spacing w:val="-5"/>
                <w:sz w:val="18"/>
              </w:rPr>
              <w:t>Low</w:t>
            </w:r>
          </w:p>
        </w:tc>
        <w:tc>
          <w:tcPr>
            <w:tcW w:w="900" w:type="dxa"/>
            <w:shd w:val="clear" w:color="auto" w:fill="FFC7CD"/>
          </w:tcPr>
          <w:p>
            <w:pPr>
              <w:pStyle w:val="TableParagraph"/>
              <w:spacing w:before="29"/>
              <w:rPr>
                <w:sz w:val="18"/>
              </w:rPr>
            </w:pPr>
            <w:r>
              <w:rPr>
                <w:spacing w:val="-5"/>
                <w:sz w:val="18"/>
              </w:rPr>
              <w:t>Low</w:t>
            </w:r>
          </w:p>
        </w:tc>
        <w:tc>
          <w:tcPr>
            <w:tcW w:w="840" w:type="dxa"/>
            <w:shd w:val="clear" w:color="auto" w:fill="FFC7CD"/>
          </w:tcPr>
          <w:p>
            <w:pPr>
              <w:pStyle w:val="TableParagraph"/>
              <w:spacing w:before="29"/>
              <w:rPr>
                <w:sz w:val="18"/>
              </w:rPr>
            </w:pPr>
            <w:r>
              <w:rPr>
                <w:spacing w:val="-5"/>
                <w:sz w:val="18"/>
              </w:rPr>
              <w:t>Low</w:t>
            </w:r>
          </w:p>
        </w:tc>
        <w:tc>
          <w:tcPr>
            <w:tcW w:w="1260" w:type="dxa"/>
            <w:shd w:val="clear" w:color="auto" w:fill="FFC7CD"/>
          </w:tcPr>
          <w:p>
            <w:pPr>
              <w:pStyle w:val="TableParagraph"/>
              <w:spacing w:before="29"/>
              <w:ind w:left="4"/>
              <w:rPr>
                <w:sz w:val="18"/>
              </w:rPr>
            </w:pPr>
            <w:r>
              <w:rPr>
                <w:spacing w:val="-5"/>
                <w:sz w:val="18"/>
              </w:rPr>
              <w:t>Low</w:t>
            </w:r>
          </w:p>
        </w:tc>
        <w:tc>
          <w:tcPr>
            <w:tcW w:w="840" w:type="dxa"/>
            <w:shd w:val="clear" w:color="auto" w:fill="FFC7CD"/>
          </w:tcPr>
          <w:p>
            <w:pPr>
              <w:pStyle w:val="TableParagraph"/>
              <w:spacing w:before="29"/>
              <w:rPr>
                <w:sz w:val="18"/>
              </w:rPr>
            </w:pPr>
            <w:r>
              <w:rPr>
                <w:spacing w:val="-5"/>
                <w:sz w:val="18"/>
              </w:rPr>
              <w:t>Low</w:t>
            </w:r>
          </w:p>
        </w:tc>
        <w:tc>
          <w:tcPr>
            <w:tcW w:w="900" w:type="dxa"/>
            <w:shd w:val="clear" w:color="auto" w:fill="FFC7CD"/>
          </w:tcPr>
          <w:p>
            <w:pPr>
              <w:pStyle w:val="TableParagraph"/>
              <w:spacing w:before="29"/>
              <w:rPr>
                <w:sz w:val="18"/>
              </w:rPr>
            </w:pPr>
            <w:r>
              <w:rPr>
                <w:spacing w:val="-5"/>
                <w:sz w:val="18"/>
              </w:rPr>
              <w:t>Low</w:t>
            </w:r>
          </w:p>
        </w:tc>
      </w:tr>
      <w:tr>
        <w:trPr>
          <w:trHeight w:val="340" w:hRule="atLeast"/>
        </w:trPr>
        <w:tc>
          <w:tcPr>
            <w:tcW w:w="3100" w:type="dxa"/>
          </w:tcPr>
          <w:p>
            <w:pPr>
              <w:pStyle w:val="TableParagraph"/>
              <w:spacing w:before="31"/>
              <w:rPr>
                <w:sz w:val="18"/>
              </w:rPr>
            </w:pPr>
            <w:r>
              <w:rPr>
                <w:sz w:val="18"/>
              </w:rPr>
              <w:t>Bilateral</w:t>
            </w:r>
            <w:r>
              <w:rPr>
                <w:spacing w:val="-7"/>
                <w:sz w:val="18"/>
              </w:rPr>
              <w:t> </w:t>
            </w:r>
            <w:r>
              <w:rPr>
                <w:sz w:val="18"/>
              </w:rPr>
              <w:t>CDB</w:t>
            </w:r>
            <w:r>
              <w:rPr>
                <w:spacing w:val="-6"/>
                <w:sz w:val="18"/>
              </w:rPr>
              <w:t> </w:t>
            </w:r>
            <w:r>
              <w:rPr>
                <w:spacing w:val="-4"/>
                <w:sz w:val="18"/>
              </w:rPr>
              <w:t>loan</w:t>
            </w:r>
          </w:p>
        </w:tc>
        <w:tc>
          <w:tcPr>
            <w:tcW w:w="800" w:type="dxa"/>
            <w:shd w:val="clear" w:color="auto" w:fill="FFC7CD"/>
          </w:tcPr>
          <w:p>
            <w:pPr>
              <w:pStyle w:val="TableParagraph"/>
              <w:spacing w:before="31"/>
              <w:ind w:left="9"/>
              <w:rPr>
                <w:sz w:val="18"/>
              </w:rPr>
            </w:pPr>
            <w:r>
              <w:rPr>
                <w:spacing w:val="-5"/>
                <w:sz w:val="18"/>
              </w:rPr>
              <w:t>Low</w:t>
            </w:r>
          </w:p>
        </w:tc>
        <w:tc>
          <w:tcPr>
            <w:tcW w:w="900" w:type="dxa"/>
            <w:shd w:val="clear" w:color="auto" w:fill="FFC7CD"/>
          </w:tcPr>
          <w:p>
            <w:pPr>
              <w:pStyle w:val="TableParagraph"/>
              <w:spacing w:before="31"/>
              <w:rPr>
                <w:sz w:val="18"/>
              </w:rPr>
            </w:pPr>
            <w:r>
              <w:rPr>
                <w:spacing w:val="-5"/>
                <w:sz w:val="18"/>
              </w:rPr>
              <w:t>Low</w:t>
            </w:r>
          </w:p>
        </w:tc>
        <w:tc>
          <w:tcPr>
            <w:tcW w:w="840" w:type="dxa"/>
            <w:shd w:val="clear" w:color="auto" w:fill="FFC7CD"/>
          </w:tcPr>
          <w:p>
            <w:pPr>
              <w:pStyle w:val="TableParagraph"/>
              <w:spacing w:before="31"/>
              <w:rPr>
                <w:sz w:val="18"/>
              </w:rPr>
            </w:pPr>
            <w:r>
              <w:rPr>
                <w:spacing w:val="-5"/>
                <w:sz w:val="18"/>
              </w:rPr>
              <w:t>Low</w:t>
            </w:r>
          </w:p>
        </w:tc>
        <w:tc>
          <w:tcPr>
            <w:tcW w:w="1260" w:type="dxa"/>
            <w:shd w:val="clear" w:color="auto" w:fill="FFC7CD"/>
          </w:tcPr>
          <w:p>
            <w:pPr>
              <w:pStyle w:val="TableParagraph"/>
              <w:spacing w:before="31"/>
              <w:ind w:left="4"/>
              <w:rPr>
                <w:sz w:val="18"/>
              </w:rPr>
            </w:pPr>
            <w:r>
              <w:rPr>
                <w:spacing w:val="-5"/>
                <w:sz w:val="18"/>
              </w:rPr>
              <w:t>Low</w:t>
            </w:r>
          </w:p>
        </w:tc>
        <w:tc>
          <w:tcPr>
            <w:tcW w:w="840" w:type="dxa"/>
            <w:shd w:val="clear" w:color="auto" w:fill="FFF1CC"/>
          </w:tcPr>
          <w:p>
            <w:pPr>
              <w:pStyle w:val="TableParagraph"/>
              <w:spacing w:before="31"/>
              <w:rPr>
                <w:sz w:val="18"/>
              </w:rPr>
            </w:pPr>
            <w:r>
              <w:rPr>
                <w:spacing w:val="-2"/>
                <w:w w:val="105"/>
                <w:sz w:val="18"/>
              </w:rPr>
              <w:t>Medium</w:t>
            </w:r>
          </w:p>
        </w:tc>
        <w:tc>
          <w:tcPr>
            <w:tcW w:w="900" w:type="dxa"/>
            <w:shd w:val="clear" w:color="auto" w:fill="FFF1CC"/>
          </w:tcPr>
          <w:p>
            <w:pPr>
              <w:pStyle w:val="TableParagraph"/>
              <w:spacing w:before="31"/>
              <w:rPr>
                <w:sz w:val="18"/>
              </w:rPr>
            </w:pPr>
            <w:r>
              <w:rPr>
                <w:spacing w:val="-2"/>
                <w:w w:val="105"/>
                <w:sz w:val="18"/>
              </w:rPr>
              <w:t>Medium</w:t>
            </w:r>
          </w:p>
        </w:tc>
      </w:tr>
      <w:tr>
        <w:trPr>
          <w:trHeight w:val="340" w:hRule="atLeast"/>
        </w:trPr>
        <w:tc>
          <w:tcPr>
            <w:tcW w:w="3100" w:type="dxa"/>
          </w:tcPr>
          <w:p>
            <w:pPr>
              <w:pStyle w:val="TableParagraph"/>
              <w:spacing w:before="34"/>
              <w:rPr>
                <w:sz w:val="18"/>
              </w:rPr>
            </w:pPr>
            <w:r>
              <w:rPr>
                <w:sz w:val="18"/>
              </w:rPr>
              <w:t>Bilateral</w:t>
            </w:r>
            <w:r>
              <w:rPr>
                <w:spacing w:val="6"/>
                <w:sz w:val="18"/>
              </w:rPr>
              <w:t> </w:t>
            </w:r>
            <w:r>
              <w:rPr>
                <w:sz w:val="18"/>
              </w:rPr>
              <w:t>MOFCOM</w:t>
            </w:r>
            <w:r>
              <w:rPr>
                <w:spacing w:val="7"/>
                <w:sz w:val="18"/>
              </w:rPr>
              <w:t> </w:t>
            </w:r>
            <w:r>
              <w:rPr>
                <w:sz w:val="18"/>
              </w:rPr>
              <w:t>loan</w:t>
            </w:r>
            <w:r>
              <w:rPr>
                <w:spacing w:val="7"/>
                <w:sz w:val="18"/>
              </w:rPr>
              <w:t> </w:t>
            </w:r>
            <w:r>
              <w:rPr>
                <w:sz w:val="18"/>
              </w:rPr>
              <w:t>or</w:t>
            </w:r>
            <w:r>
              <w:rPr>
                <w:spacing w:val="6"/>
                <w:sz w:val="18"/>
              </w:rPr>
              <w:t> </w:t>
            </w:r>
            <w:r>
              <w:rPr>
                <w:spacing w:val="-2"/>
                <w:sz w:val="18"/>
              </w:rPr>
              <w:t>grant</w:t>
            </w:r>
          </w:p>
        </w:tc>
        <w:tc>
          <w:tcPr>
            <w:tcW w:w="800" w:type="dxa"/>
            <w:shd w:val="clear" w:color="auto" w:fill="FFC7CD"/>
          </w:tcPr>
          <w:p>
            <w:pPr>
              <w:pStyle w:val="TableParagraph"/>
              <w:spacing w:before="34"/>
              <w:ind w:left="9"/>
              <w:rPr>
                <w:sz w:val="18"/>
              </w:rPr>
            </w:pPr>
            <w:r>
              <w:rPr>
                <w:spacing w:val="-5"/>
                <w:sz w:val="18"/>
              </w:rPr>
              <w:t>Low</w:t>
            </w:r>
          </w:p>
        </w:tc>
        <w:tc>
          <w:tcPr>
            <w:tcW w:w="900" w:type="dxa"/>
            <w:shd w:val="clear" w:color="auto" w:fill="FFF1CC"/>
          </w:tcPr>
          <w:p>
            <w:pPr>
              <w:pStyle w:val="TableParagraph"/>
              <w:spacing w:before="34"/>
              <w:rPr>
                <w:sz w:val="18"/>
              </w:rPr>
            </w:pPr>
            <w:r>
              <w:rPr>
                <w:spacing w:val="-2"/>
                <w:w w:val="105"/>
                <w:sz w:val="18"/>
              </w:rPr>
              <w:t>Medium</w:t>
            </w:r>
          </w:p>
        </w:tc>
        <w:tc>
          <w:tcPr>
            <w:tcW w:w="840" w:type="dxa"/>
            <w:shd w:val="clear" w:color="auto" w:fill="FFC7CD"/>
          </w:tcPr>
          <w:p>
            <w:pPr>
              <w:pStyle w:val="TableParagraph"/>
              <w:spacing w:before="34"/>
              <w:rPr>
                <w:sz w:val="18"/>
              </w:rPr>
            </w:pPr>
            <w:r>
              <w:rPr>
                <w:spacing w:val="-5"/>
                <w:sz w:val="18"/>
              </w:rPr>
              <w:t>Low</w:t>
            </w:r>
          </w:p>
        </w:tc>
        <w:tc>
          <w:tcPr>
            <w:tcW w:w="1260" w:type="dxa"/>
            <w:shd w:val="clear" w:color="auto" w:fill="FFF1CC"/>
          </w:tcPr>
          <w:p>
            <w:pPr>
              <w:pStyle w:val="TableParagraph"/>
              <w:spacing w:before="34"/>
              <w:ind w:left="4"/>
              <w:rPr>
                <w:sz w:val="18"/>
              </w:rPr>
            </w:pPr>
            <w:r>
              <w:rPr>
                <w:spacing w:val="-2"/>
                <w:w w:val="105"/>
                <w:sz w:val="18"/>
              </w:rPr>
              <w:t>Medium</w:t>
            </w:r>
          </w:p>
        </w:tc>
        <w:tc>
          <w:tcPr>
            <w:tcW w:w="840" w:type="dxa"/>
            <w:shd w:val="clear" w:color="auto" w:fill="FFC7CD"/>
          </w:tcPr>
          <w:p>
            <w:pPr>
              <w:pStyle w:val="TableParagraph"/>
              <w:spacing w:before="34"/>
              <w:rPr>
                <w:sz w:val="18"/>
              </w:rPr>
            </w:pPr>
            <w:r>
              <w:rPr>
                <w:spacing w:val="-5"/>
                <w:sz w:val="18"/>
              </w:rPr>
              <w:t>Low</w:t>
            </w:r>
          </w:p>
        </w:tc>
        <w:tc>
          <w:tcPr>
            <w:tcW w:w="900" w:type="dxa"/>
            <w:shd w:val="clear" w:color="auto" w:fill="E2EFD9"/>
          </w:tcPr>
          <w:p>
            <w:pPr>
              <w:pStyle w:val="TableParagraph"/>
              <w:spacing w:before="34"/>
              <w:rPr>
                <w:sz w:val="18"/>
              </w:rPr>
            </w:pPr>
            <w:r>
              <w:rPr>
                <w:spacing w:val="-4"/>
                <w:w w:val="105"/>
                <w:sz w:val="18"/>
              </w:rPr>
              <w:t>High</w:t>
            </w:r>
          </w:p>
        </w:tc>
      </w:tr>
      <w:tr>
        <w:trPr>
          <w:trHeight w:val="640" w:hRule="atLeast"/>
        </w:trPr>
        <w:tc>
          <w:tcPr>
            <w:tcW w:w="3100" w:type="dxa"/>
          </w:tcPr>
          <w:p>
            <w:pPr>
              <w:pStyle w:val="TableParagraph"/>
              <w:spacing w:line="333" w:lineRule="auto" w:before="36"/>
              <w:rPr>
                <w:sz w:val="18"/>
              </w:rPr>
            </w:pPr>
            <w:r>
              <w:rPr>
                <w:sz w:val="18"/>
              </w:rPr>
              <w:t>Bilateral</w:t>
            </w:r>
            <w:r>
              <w:rPr>
                <w:spacing w:val="-15"/>
                <w:sz w:val="18"/>
              </w:rPr>
              <w:t> </w:t>
            </w:r>
            <w:r>
              <w:rPr>
                <w:sz w:val="18"/>
              </w:rPr>
              <w:t>Chinese</w:t>
            </w:r>
            <w:r>
              <w:rPr>
                <w:spacing w:val="-12"/>
                <w:sz w:val="18"/>
              </w:rPr>
              <w:t> </w:t>
            </w:r>
            <w:r>
              <w:rPr>
                <w:sz w:val="18"/>
              </w:rPr>
              <w:t>state-owned commercial bank loan</w:t>
            </w:r>
          </w:p>
        </w:tc>
        <w:tc>
          <w:tcPr>
            <w:tcW w:w="800" w:type="dxa"/>
            <w:shd w:val="clear" w:color="auto" w:fill="E2EFD9"/>
          </w:tcPr>
          <w:p>
            <w:pPr>
              <w:pStyle w:val="TableParagraph"/>
              <w:spacing w:before="6"/>
              <w:ind w:left="0"/>
              <w:rPr>
                <w:rFonts w:ascii="Gill Sans MT"/>
                <w:b/>
                <w:sz w:val="15"/>
              </w:rPr>
            </w:pPr>
          </w:p>
          <w:p>
            <w:pPr>
              <w:pStyle w:val="TableParagraph"/>
              <w:ind w:left="9"/>
              <w:rPr>
                <w:sz w:val="18"/>
              </w:rPr>
            </w:pPr>
            <w:r>
              <w:rPr>
                <w:spacing w:val="-4"/>
                <w:w w:val="105"/>
                <w:sz w:val="18"/>
              </w:rPr>
              <w:t>High</w:t>
            </w:r>
          </w:p>
        </w:tc>
        <w:tc>
          <w:tcPr>
            <w:tcW w:w="90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84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1260" w:type="dxa"/>
            <w:shd w:val="clear" w:color="auto" w:fill="FFC7CD"/>
          </w:tcPr>
          <w:p>
            <w:pPr>
              <w:pStyle w:val="TableParagraph"/>
              <w:spacing w:before="6"/>
              <w:ind w:left="0"/>
              <w:rPr>
                <w:rFonts w:ascii="Gill Sans MT"/>
                <w:b/>
                <w:sz w:val="15"/>
              </w:rPr>
            </w:pPr>
          </w:p>
          <w:p>
            <w:pPr>
              <w:pStyle w:val="TableParagraph"/>
              <w:ind w:left="4"/>
              <w:rPr>
                <w:sz w:val="18"/>
              </w:rPr>
            </w:pPr>
            <w:r>
              <w:rPr>
                <w:spacing w:val="-5"/>
                <w:sz w:val="18"/>
              </w:rPr>
              <w:t>Low</w:t>
            </w:r>
          </w:p>
        </w:tc>
        <w:tc>
          <w:tcPr>
            <w:tcW w:w="84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90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r>
      <w:tr>
        <w:trPr>
          <w:trHeight w:val="619" w:hRule="atLeast"/>
        </w:trPr>
        <w:tc>
          <w:tcPr>
            <w:tcW w:w="3100" w:type="dxa"/>
          </w:tcPr>
          <w:p>
            <w:pPr>
              <w:pStyle w:val="TableParagraph"/>
              <w:spacing w:before="26"/>
              <w:rPr>
                <w:sz w:val="18"/>
              </w:rPr>
            </w:pPr>
            <w:r>
              <w:rPr>
                <w:sz w:val="18"/>
              </w:rPr>
              <w:t>Syndicated</w:t>
            </w:r>
            <w:r>
              <w:rPr>
                <w:spacing w:val="-4"/>
                <w:sz w:val="18"/>
              </w:rPr>
              <w:t> </w:t>
            </w:r>
            <w:r>
              <w:rPr>
                <w:sz w:val="18"/>
              </w:rPr>
              <w:t>loan</w:t>
            </w:r>
            <w:r>
              <w:rPr>
                <w:spacing w:val="-3"/>
                <w:sz w:val="18"/>
              </w:rPr>
              <w:t> </w:t>
            </w:r>
            <w:r>
              <w:rPr>
                <w:sz w:val="18"/>
              </w:rPr>
              <w:t>with</w:t>
            </w:r>
            <w:r>
              <w:rPr>
                <w:spacing w:val="-3"/>
                <w:sz w:val="18"/>
              </w:rPr>
              <w:t> </w:t>
            </w:r>
            <w:r>
              <w:rPr>
                <w:sz w:val="18"/>
              </w:rPr>
              <w:t>Chinese</w:t>
            </w:r>
            <w:r>
              <w:rPr>
                <w:spacing w:val="-3"/>
                <w:sz w:val="18"/>
              </w:rPr>
              <w:t> </w:t>
            </w:r>
            <w:r>
              <w:rPr>
                <w:spacing w:val="-5"/>
                <w:sz w:val="18"/>
              </w:rPr>
              <w:t>and</w:t>
            </w:r>
          </w:p>
          <w:p>
            <w:pPr>
              <w:pStyle w:val="TableParagraph"/>
              <w:spacing w:before="80"/>
              <w:rPr>
                <w:sz w:val="18"/>
              </w:rPr>
            </w:pPr>
            <w:r>
              <w:rPr>
                <w:sz w:val="18"/>
              </w:rPr>
              <w:t>multilateral</w:t>
            </w:r>
            <w:r>
              <w:rPr>
                <w:spacing w:val="7"/>
                <w:sz w:val="18"/>
              </w:rPr>
              <w:t> </w:t>
            </w:r>
            <w:r>
              <w:rPr>
                <w:sz w:val="18"/>
              </w:rPr>
              <w:t>bank</w:t>
            </w:r>
            <w:r>
              <w:rPr>
                <w:spacing w:val="8"/>
                <w:sz w:val="18"/>
              </w:rPr>
              <w:t> </w:t>
            </w:r>
            <w:r>
              <w:rPr>
                <w:spacing w:val="-2"/>
                <w:sz w:val="18"/>
              </w:rPr>
              <w:t>participants</w:t>
            </w:r>
          </w:p>
        </w:tc>
        <w:tc>
          <w:tcPr>
            <w:tcW w:w="800" w:type="dxa"/>
            <w:shd w:val="clear" w:color="auto" w:fill="E2EFD9"/>
          </w:tcPr>
          <w:p>
            <w:pPr>
              <w:pStyle w:val="TableParagraph"/>
              <w:spacing w:before="7"/>
              <w:ind w:left="0"/>
              <w:rPr>
                <w:rFonts w:ascii="Gill Sans MT"/>
                <w:b/>
                <w:sz w:val="14"/>
              </w:rPr>
            </w:pPr>
          </w:p>
          <w:p>
            <w:pPr>
              <w:pStyle w:val="TableParagraph"/>
              <w:ind w:left="9"/>
              <w:rPr>
                <w:sz w:val="18"/>
              </w:rPr>
            </w:pPr>
            <w:r>
              <w:rPr>
                <w:spacing w:val="-4"/>
                <w:w w:val="105"/>
                <w:sz w:val="18"/>
              </w:rPr>
              <w:t>High</w:t>
            </w:r>
          </w:p>
        </w:tc>
        <w:tc>
          <w:tcPr>
            <w:tcW w:w="90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84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1260" w:type="dxa"/>
            <w:shd w:val="clear" w:color="auto" w:fill="E2EFD9"/>
          </w:tcPr>
          <w:p>
            <w:pPr>
              <w:pStyle w:val="TableParagraph"/>
              <w:spacing w:before="7"/>
              <w:ind w:left="0"/>
              <w:rPr>
                <w:rFonts w:ascii="Gill Sans MT"/>
                <w:b/>
                <w:sz w:val="14"/>
              </w:rPr>
            </w:pPr>
          </w:p>
          <w:p>
            <w:pPr>
              <w:pStyle w:val="TableParagraph"/>
              <w:ind w:left="4"/>
              <w:rPr>
                <w:sz w:val="18"/>
              </w:rPr>
            </w:pPr>
            <w:r>
              <w:rPr>
                <w:spacing w:val="-4"/>
                <w:w w:val="105"/>
                <w:sz w:val="18"/>
              </w:rPr>
              <w:t>High</w:t>
            </w:r>
          </w:p>
        </w:tc>
        <w:tc>
          <w:tcPr>
            <w:tcW w:w="84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90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r>
    </w:tbl>
    <w:p>
      <w:pPr>
        <w:pStyle w:val="BodyText"/>
        <w:spacing w:before="7"/>
        <w:rPr>
          <w:rFonts w:ascii="Gill Sans MT"/>
          <w:b/>
          <w:sz w:val="9"/>
        </w:rPr>
      </w:pPr>
      <w:r>
        <w:rPr/>
        <w:pict>
          <v:shape style="position:absolute;margin-left:90pt;margin-top:6.811083pt;width:144pt;height:.1pt;mso-position-horizontal-relative:page;mso-position-vertical-relative:paragraph;z-index:-15710720;mso-wrap-distance-left:0;mso-wrap-distance-right:0" id="docshape30" coordorigin="1800,136" coordsize="2880,0" path="m1800,136l4680,136e" filled="false" stroked="true" strokeweight=".75pt" strokecolor="#000000">
            <v:path arrowok="t"/>
            <v:stroke dashstyle="solid"/>
            <w10:wrap type="topAndBottom"/>
          </v:shape>
        </w:pict>
      </w:r>
    </w:p>
    <w:p>
      <w:pPr>
        <w:spacing w:before="110"/>
        <w:ind w:left="560" w:right="0" w:firstLine="0"/>
        <w:jc w:val="left"/>
        <w:rPr>
          <w:sz w:val="20"/>
        </w:rPr>
      </w:pPr>
      <w:r>
        <w:rPr>
          <w:sz w:val="20"/>
          <w:vertAlign w:val="superscript"/>
        </w:rPr>
        <w:t>274</w:t>
      </w:r>
      <w:r>
        <w:rPr>
          <w:spacing w:val="-8"/>
          <w:sz w:val="20"/>
          <w:vertAlign w:val="baseline"/>
        </w:rPr>
        <w:t> </w:t>
      </w:r>
      <w:r>
        <w:rPr>
          <w:sz w:val="20"/>
          <w:vertAlign w:val="baseline"/>
        </w:rPr>
        <w:t>These</w:t>
      </w:r>
      <w:r>
        <w:rPr>
          <w:spacing w:val="-8"/>
          <w:sz w:val="20"/>
          <w:vertAlign w:val="baseline"/>
        </w:rPr>
        <w:t> </w:t>
      </w:r>
      <w:r>
        <w:rPr>
          <w:sz w:val="20"/>
          <w:vertAlign w:val="baseline"/>
        </w:rPr>
        <w:t>ﬁndings</w:t>
      </w:r>
      <w:r>
        <w:rPr>
          <w:spacing w:val="-8"/>
          <w:sz w:val="20"/>
          <w:vertAlign w:val="baseline"/>
        </w:rPr>
        <w:t> </w:t>
      </w:r>
      <w:r>
        <w:rPr>
          <w:sz w:val="20"/>
          <w:vertAlign w:val="baseline"/>
        </w:rPr>
        <w:t>are</w:t>
      </w:r>
      <w:r>
        <w:rPr>
          <w:spacing w:val="-8"/>
          <w:sz w:val="20"/>
          <w:vertAlign w:val="baseline"/>
        </w:rPr>
        <w:t> </w:t>
      </w:r>
      <w:r>
        <w:rPr>
          <w:sz w:val="20"/>
          <w:vertAlign w:val="baseline"/>
        </w:rPr>
        <w:t>consistent</w:t>
      </w:r>
      <w:r>
        <w:rPr>
          <w:spacing w:val="-8"/>
          <w:sz w:val="20"/>
          <w:vertAlign w:val="baseline"/>
        </w:rPr>
        <w:t> </w:t>
      </w:r>
      <w:r>
        <w:rPr>
          <w:sz w:val="20"/>
          <w:vertAlign w:val="baseline"/>
        </w:rPr>
        <w:t>with</w:t>
      </w:r>
      <w:r>
        <w:rPr>
          <w:spacing w:val="-8"/>
          <w:sz w:val="20"/>
          <w:vertAlign w:val="baseline"/>
        </w:rPr>
        <w:t> </w:t>
      </w:r>
      <w:r>
        <w:rPr>
          <w:sz w:val="20"/>
          <w:vertAlign w:val="baseline"/>
        </w:rPr>
        <w:t>those</w:t>
      </w:r>
      <w:r>
        <w:rPr>
          <w:spacing w:val="-8"/>
          <w:sz w:val="20"/>
          <w:vertAlign w:val="baseline"/>
        </w:rPr>
        <w:t> </w:t>
      </w:r>
      <w:r>
        <w:rPr>
          <w:sz w:val="20"/>
          <w:vertAlign w:val="baseline"/>
        </w:rPr>
        <w:t>of</w:t>
      </w:r>
      <w:r>
        <w:rPr>
          <w:spacing w:val="-8"/>
          <w:sz w:val="20"/>
          <w:vertAlign w:val="baseline"/>
        </w:rPr>
        <w:t> </w:t>
      </w:r>
      <w:r>
        <w:rPr>
          <w:sz w:val="20"/>
          <w:vertAlign w:val="baseline"/>
        </w:rPr>
        <w:t>Narain</w:t>
      </w:r>
      <w:r>
        <w:rPr>
          <w:spacing w:val="-8"/>
          <w:sz w:val="20"/>
          <w:vertAlign w:val="baseline"/>
        </w:rPr>
        <w:t> </w:t>
      </w:r>
      <w:r>
        <w:rPr>
          <w:sz w:val="20"/>
          <w:vertAlign w:val="baseline"/>
        </w:rPr>
        <w:t>et</w:t>
      </w:r>
      <w:r>
        <w:rPr>
          <w:spacing w:val="-8"/>
          <w:sz w:val="20"/>
          <w:vertAlign w:val="baseline"/>
        </w:rPr>
        <w:t> </w:t>
      </w:r>
      <w:r>
        <w:rPr>
          <w:sz w:val="20"/>
          <w:vertAlign w:val="baseline"/>
        </w:rPr>
        <w:t>al.</w:t>
      </w:r>
      <w:r>
        <w:rPr>
          <w:spacing w:val="-8"/>
          <w:sz w:val="20"/>
          <w:vertAlign w:val="baseline"/>
        </w:rPr>
        <w:t> </w:t>
      </w:r>
      <w:r>
        <w:rPr>
          <w:sz w:val="20"/>
          <w:vertAlign w:val="baseline"/>
        </w:rPr>
        <w:t>(2020,</w:t>
      </w:r>
      <w:r>
        <w:rPr>
          <w:spacing w:val="-8"/>
          <w:sz w:val="20"/>
          <w:vertAlign w:val="baseline"/>
        </w:rPr>
        <w:t> </w:t>
      </w:r>
      <w:r>
        <w:rPr>
          <w:spacing w:val="-2"/>
          <w:sz w:val="20"/>
          <w:vertAlign w:val="baseline"/>
        </w:rPr>
        <w:t>2022).</w:t>
      </w:r>
    </w:p>
    <w:p>
      <w:pPr>
        <w:spacing w:line="249" w:lineRule="auto" w:before="10"/>
        <w:ind w:left="560" w:right="684" w:firstLine="0"/>
        <w:jc w:val="left"/>
        <w:rPr>
          <w:sz w:val="20"/>
        </w:rPr>
      </w:pPr>
      <w:r>
        <w:rPr>
          <w:sz w:val="20"/>
          <w:vertAlign w:val="superscript"/>
        </w:rPr>
        <w:t>275</w:t>
      </w:r>
      <w:r>
        <w:rPr>
          <w:sz w:val="20"/>
          <w:vertAlign w:val="baseline"/>
        </w:rPr>
        <w:t> The apparent beneﬁt of including a multilateral institution or a state-owned commercial bank in a lending syndicate is that it can lead every other member of the syndicate to adopt their (stronger) safeguards.</w:t>
      </w:r>
    </w:p>
    <w:p>
      <w:pPr>
        <w:spacing w:after="0" w:line="249" w:lineRule="auto"/>
        <w:jc w:val="left"/>
        <w:rPr>
          <w:sz w:val="20"/>
        </w:rPr>
        <w:sectPr>
          <w:pgSz w:w="12240" w:h="15840"/>
          <w:pgMar w:header="0" w:footer="720" w:top="1360" w:bottom="920" w:left="1240" w:right="1260"/>
        </w:sect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00"/>
        <w:gridCol w:w="800"/>
        <w:gridCol w:w="900"/>
        <w:gridCol w:w="840"/>
        <w:gridCol w:w="1260"/>
        <w:gridCol w:w="840"/>
        <w:gridCol w:w="900"/>
      </w:tblGrid>
      <w:tr>
        <w:trPr>
          <w:trHeight w:val="760" w:hRule="atLeast"/>
        </w:trPr>
        <w:tc>
          <w:tcPr>
            <w:tcW w:w="3100" w:type="dxa"/>
            <w:vMerge w:val="restart"/>
          </w:tcPr>
          <w:p>
            <w:pPr>
              <w:pStyle w:val="TableParagraph"/>
              <w:ind w:left="0"/>
              <w:rPr>
                <w:sz w:val="24"/>
              </w:rPr>
            </w:pPr>
          </w:p>
          <w:p>
            <w:pPr>
              <w:pStyle w:val="TableParagraph"/>
              <w:spacing w:before="212"/>
              <w:ind w:left="4"/>
              <w:rPr>
                <w:sz w:val="24"/>
              </w:rPr>
            </w:pPr>
            <w:r>
              <w:rPr>
                <w:sz w:val="24"/>
              </w:rPr>
              <w:t>Financing</w:t>
            </w:r>
            <w:r>
              <w:rPr>
                <w:spacing w:val="-11"/>
                <w:sz w:val="24"/>
              </w:rPr>
              <w:t> </w:t>
            </w:r>
            <w:r>
              <w:rPr>
                <w:spacing w:val="-2"/>
                <w:sz w:val="24"/>
              </w:rPr>
              <w:t>Instrument</w:t>
            </w:r>
          </w:p>
        </w:tc>
        <w:tc>
          <w:tcPr>
            <w:tcW w:w="1700" w:type="dxa"/>
            <w:gridSpan w:val="2"/>
          </w:tcPr>
          <w:p>
            <w:pPr>
              <w:pStyle w:val="TableParagraph"/>
              <w:spacing w:before="2"/>
              <w:ind w:left="9"/>
              <w:rPr>
                <w:sz w:val="24"/>
              </w:rPr>
            </w:pPr>
            <w:r>
              <w:rPr>
                <w:spacing w:val="-2"/>
                <w:sz w:val="24"/>
              </w:rPr>
              <w:t>Environmental</w:t>
            </w:r>
          </w:p>
          <w:p>
            <w:pPr>
              <w:pStyle w:val="TableParagraph"/>
              <w:spacing w:before="107"/>
              <w:ind w:left="9"/>
              <w:rPr>
                <w:sz w:val="24"/>
              </w:rPr>
            </w:pPr>
            <w:r>
              <w:rPr>
                <w:spacing w:val="-2"/>
                <w:sz w:val="24"/>
              </w:rPr>
              <w:t>Safeguards</w:t>
            </w:r>
          </w:p>
        </w:tc>
        <w:tc>
          <w:tcPr>
            <w:tcW w:w="2100" w:type="dxa"/>
            <w:gridSpan w:val="2"/>
          </w:tcPr>
          <w:p>
            <w:pPr>
              <w:pStyle w:val="TableParagraph"/>
              <w:spacing w:before="2"/>
              <w:rPr>
                <w:sz w:val="24"/>
              </w:rPr>
            </w:pPr>
            <w:r>
              <w:rPr>
                <w:spacing w:val="-2"/>
                <w:sz w:val="24"/>
              </w:rPr>
              <w:t>Social</w:t>
            </w:r>
          </w:p>
          <w:p>
            <w:pPr>
              <w:pStyle w:val="TableParagraph"/>
              <w:spacing w:before="107"/>
              <w:rPr>
                <w:sz w:val="24"/>
              </w:rPr>
            </w:pPr>
            <w:r>
              <w:rPr>
                <w:spacing w:val="-2"/>
                <w:sz w:val="24"/>
              </w:rPr>
              <w:t>Safeguards</w:t>
            </w:r>
          </w:p>
        </w:tc>
        <w:tc>
          <w:tcPr>
            <w:tcW w:w="1740" w:type="dxa"/>
            <w:gridSpan w:val="2"/>
          </w:tcPr>
          <w:p>
            <w:pPr>
              <w:pStyle w:val="TableParagraph"/>
              <w:spacing w:before="2"/>
              <w:rPr>
                <w:b/>
                <w:sz w:val="24"/>
              </w:rPr>
            </w:pPr>
            <w:r>
              <w:rPr>
                <w:b/>
                <w:spacing w:val="-2"/>
                <w:sz w:val="24"/>
              </w:rPr>
              <w:t>Governance</w:t>
            </w:r>
          </w:p>
          <w:p>
            <w:pPr>
              <w:pStyle w:val="TableParagraph"/>
              <w:spacing w:before="107"/>
              <w:rPr>
                <w:b/>
                <w:sz w:val="24"/>
              </w:rPr>
            </w:pPr>
            <w:r>
              <w:rPr>
                <w:b/>
                <w:spacing w:val="-2"/>
                <w:sz w:val="24"/>
              </w:rPr>
              <w:t>Safeguards</w:t>
            </w:r>
          </w:p>
        </w:tc>
      </w:tr>
      <w:tr>
        <w:trPr>
          <w:trHeight w:val="560" w:hRule="atLeast"/>
        </w:trPr>
        <w:tc>
          <w:tcPr>
            <w:tcW w:w="3100" w:type="dxa"/>
            <w:vMerge/>
            <w:tcBorders>
              <w:top w:val="nil"/>
            </w:tcBorders>
          </w:tcPr>
          <w:p>
            <w:pPr>
              <w:rPr>
                <w:sz w:val="2"/>
                <w:szCs w:val="2"/>
              </w:rPr>
            </w:pPr>
          </w:p>
        </w:tc>
        <w:tc>
          <w:tcPr>
            <w:tcW w:w="800" w:type="dxa"/>
          </w:tcPr>
          <w:p>
            <w:pPr>
              <w:pStyle w:val="TableParagraph"/>
              <w:spacing w:before="2"/>
              <w:ind w:left="9"/>
              <w:rPr>
                <w:sz w:val="18"/>
              </w:rPr>
            </w:pPr>
            <w:r>
              <w:rPr>
                <w:spacing w:val="-2"/>
                <w:sz w:val="18"/>
              </w:rPr>
              <w:t>Pre/Early</w:t>
            </w:r>
          </w:p>
          <w:p>
            <w:pPr>
              <w:pStyle w:val="TableParagraph"/>
              <w:spacing w:before="80"/>
              <w:ind w:left="9"/>
              <w:rPr>
                <w:sz w:val="18"/>
              </w:rPr>
            </w:pPr>
            <w:r>
              <w:rPr>
                <w:spacing w:val="-5"/>
                <w:sz w:val="18"/>
              </w:rPr>
              <w:t>BRI</w:t>
            </w:r>
          </w:p>
        </w:tc>
        <w:tc>
          <w:tcPr>
            <w:tcW w:w="900" w:type="dxa"/>
          </w:tcPr>
          <w:p>
            <w:pPr>
              <w:pStyle w:val="TableParagraph"/>
              <w:spacing w:before="146"/>
              <w:rPr>
                <w:sz w:val="18"/>
              </w:rPr>
            </w:pPr>
            <w:r>
              <w:rPr>
                <w:sz w:val="18"/>
              </w:rPr>
              <w:t>Late</w:t>
            </w:r>
            <w:r>
              <w:rPr>
                <w:spacing w:val="-10"/>
                <w:sz w:val="18"/>
              </w:rPr>
              <w:t> </w:t>
            </w:r>
            <w:r>
              <w:rPr>
                <w:spacing w:val="-5"/>
                <w:sz w:val="18"/>
              </w:rPr>
              <w:t>BRI</w:t>
            </w:r>
          </w:p>
        </w:tc>
        <w:tc>
          <w:tcPr>
            <w:tcW w:w="840" w:type="dxa"/>
          </w:tcPr>
          <w:p>
            <w:pPr>
              <w:pStyle w:val="TableParagraph"/>
              <w:spacing w:before="2"/>
              <w:rPr>
                <w:sz w:val="18"/>
              </w:rPr>
            </w:pPr>
            <w:r>
              <w:rPr>
                <w:spacing w:val="-2"/>
                <w:sz w:val="18"/>
              </w:rPr>
              <w:t>Pre/Early</w:t>
            </w:r>
          </w:p>
          <w:p>
            <w:pPr>
              <w:pStyle w:val="TableParagraph"/>
              <w:spacing w:before="80"/>
              <w:rPr>
                <w:sz w:val="18"/>
              </w:rPr>
            </w:pPr>
            <w:r>
              <w:rPr>
                <w:spacing w:val="-5"/>
                <w:sz w:val="18"/>
              </w:rPr>
              <w:t>BRI</w:t>
            </w:r>
          </w:p>
        </w:tc>
        <w:tc>
          <w:tcPr>
            <w:tcW w:w="1260" w:type="dxa"/>
          </w:tcPr>
          <w:p>
            <w:pPr>
              <w:pStyle w:val="TableParagraph"/>
              <w:spacing w:before="146"/>
              <w:ind w:left="4"/>
              <w:rPr>
                <w:sz w:val="18"/>
              </w:rPr>
            </w:pPr>
            <w:r>
              <w:rPr>
                <w:sz w:val="18"/>
              </w:rPr>
              <w:t>Late</w:t>
            </w:r>
            <w:r>
              <w:rPr>
                <w:spacing w:val="-10"/>
                <w:sz w:val="18"/>
              </w:rPr>
              <w:t> </w:t>
            </w:r>
            <w:r>
              <w:rPr>
                <w:spacing w:val="-5"/>
                <w:sz w:val="18"/>
              </w:rPr>
              <w:t>BRI</w:t>
            </w:r>
          </w:p>
        </w:tc>
        <w:tc>
          <w:tcPr>
            <w:tcW w:w="840" w:type="dxa"/>
          </w:tcPr>
          <w:p>
            <w:pPr>
              <w:pStyle w:val="TableParagraph"/>
              <w:spacing w:before="2"/>
              <w:rPr>
                <w:sz w:val="18"/>
              </w:rPr>
            </w:pPr>
            <w:r>
              <w:rPr>
                <w:spacing w:val="-2"/>
                <w:sz w:val="18"/>
              </w:rPr>
              <w:t>Pre/Early</w:t>
            </w:r>
          </w:p>
          <w:p>
            <w:pPr>
              <w:pStyle w:val="TableParagraph"/>
              <w:spacing w:before="80"/>
              <w:rPr>
                <w:sz w:val="18"/>
              </w:rPr>
            </w:pPr>
            <w:r>
              <w:rPr>
                <w:spacing w:val="-5"/>
                <w:sz w:val="18"/>
              </w:rPr>
              <w:t>BRI</w:t>
            </w:r>
          </w:p>
        </w:tc>
        <w:tc>
          <w:tcPr>
            <w:tcW w:w="900" w:type="dxa"/>
          </w:tcPr>
          <w:p>
            <w:pPr>
              <w:pStyle w:val="TableParagraph"/>
              <w:spacing w:before="146"/>
              <w:rPr>
                <w:sz w:val="18"/>
              </w:rPr>
            </w:pPr>
            <w:r>
              <w:rPr>
                <w:sz w:val="18"/>
              </w:rPr>
              <w:t>Late</w:t>
            </w:r>
            <w:r>
              <w:rPr>
                <w:spacing w:val="-10"/>
                <w:sz w:val="18"/>
              </w:rPr>
              <w:t> </w:t>
            </w:r>
            <w:r>
              <w:rPr>
                <w:spacing w:val="-5"/>
                <w:sz w:val="18"/>
              </w:rPr>
              <w:t>BRI</w:t>
            </w:r>
          </w:p>
        </w:tc>
      </w:tr>
      <w:tr>
        <w:trPr>
          <w:trHeight w:val="919" w:hRule="atLeast"/>
        </w:trPr>
        <w:tc>
          <w:tcPr>
            <w:tcW w:w="3100" w:type="dxa"/>
          </w:tcPr>
          <w:p>
            <w:pPr>
              <w:pStyle w:val="TableParagraph"/>
              <w:spacing w:line="333" w:lineRule="auto" w:before="42"/>
              <w:ind w:right="571"/>
              <w:rPr>
                <w:sz w:val="18"/>
              </w:rPr>
            </w:pPr>
            <w:r>
              <w:rPr>
                <w:sz w:val="18"/>
              </w:rPr>
              <w:t>Syndicated loan with Chinese state-owned</w:t>
            </w:r>
            <w:r>
              <w:rPr>
                <w:spacing w:val="-15"/>
                <w:sz w:val="18"/>
              </w:rPr>
              <w:t> </w:t>
            </w:r>
            <w:r>
              <w:rPr>
                <w:sz w:val="18"/>
              </w:rPr>
              <w:t>commercial</w:t>
            </w:r>
            <w:r>
              <w:rPr>
                <w:spacing w:val="-12"/>
                <w:sz w:val="18"/>
              </w:rPr>
              <w:t> </w:t>
            </w:r>
            <w:r>
              <w:rPr>
                <w:sz w:val="18"/>
              </w:rPr>
              <w:t>banks</w:t>
            </w:r>
          </w:p>
          <w:p>
            <w:pPr>
              <w:pStyle w:val="TableParagraph"/>
              <w:spacing w:line="206" w:lineRule="exact"/>
              <w:rPr>
                <w:sz w:val="18"/>
              </w:rPr>
            </w:pPr>
            <w:r>
              <w:rPr>
                <w:w w:val="105"/>
                <w:sz w:val="18"/>
              </w:rPr>
              <w:t>and/or</w:t>
            </w:r>
            <w:r>
              <w:rPr>
                <w:spacing w:val="-9"/>
                <w:w w:val="105"/>
                <w:sz w:val="18"/>
              </w:rPr>
              <w:t> </w:t>
            </w:r>
            <w:r>
              <w:rPr>
                <w:w w:val="105"/>
                <w:sz w:val="18"/>
              </w:rPr>
              <w:t>policy</w:t>
            </w:r>
            <w:r>
              <w:rPr>
                <w:spacing w:val="-8"/>
                <w:w w:val="105"/>
                <w:sz w:val="18"/>
              </w:rPr>
              <w:t> </w:t>
            </w:r>
            <w:r>
              <w:rPr>
                <w:spacing w:val="-4"/>
                <w:w w:val="105"/>
                <w:sz w:val="18"/>
              </w:rPr>
              <w:t>banks</w:t>
            </w:r>
          </w:p>
        </w:tc>
        <w:tc>
          <w:tcPr>
            <w:tcW w:w="800" w:type="dxa"/>
            <w:shd w:val="clear" w:color="auto" w:fill="E2EFD9"/>
          </w:tcPr>
          <w:p>
            <w:pPr>
              <w:pStyle w:val="TableParagraph"/>
              <w:ind w:left="0"/>
              <w:rPr>
                <w:sz w:val="18"/>
              </w:rPr>
            </w:pPr>
          </w:p>
          <w:p>
            <w:pPr>
              <w:pStyle w:val="TableParagraph"/>
              <w:spacing w:before="122"/>
              <w:ind w:left="9"/>
              <w:rPr>
                <w:sz w:val="18"/>
              </w:rPr>
            </w:pPr>
            <w:r>
              <w:rPr>
                <w:spacing w:val="-4"/>
                <w:w w:val="105"/>
                <w:sz w:val="18"/>
              </w:rPr>
              <w:t>High</w:t>
            </w:r>
          </w:p>
        </w:tc>
        <w:tc>
          <w:tcPr>
            <w:tcW w:w="90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84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1260" w:type="dxa"/>
            <w:shd w:val="clear" w:color="auto" w:fill="FFC7CD"/>
          </w:tcPr>
          <w:p>
            <w:pPr>
              <w:pStyle w:val="TableParagraph"/>
              <w:ind w:left="0"/>
              <w:rPr>
                <w:sz w:val="18"/>
              </w:rPr>
            </w:pPr>
          </w:p>
          <w:p>
            <w:pPr>
              <w:pStyle w:val="TableParagraph"/>
              <w:spacing w:before="122"/>
              <w:ind w:left="4"/>
              <w:rPr>
                <w:sz w:val="18"/>
              </w:rPr>
            </w:pPr>
            <w:r>
              <w:rPr>
                <w:spacing w:val="-5"/>
                <w:sz w:val="18"/>
              </w:rPr>
              <w:t>Low</w:t>
            </w:r>
          </w:p>
        </w:tc>
        <w:tc>
          <w:tcPr>
            <w:tcW w:w="84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90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r>
      <w:tr>
        <w:trPr>
          <w:trHeight w:val="639" w:hRule="atLeast"/>
        </w:trPr>
        <w:tc>
          <w:tcPr>
            <w:tcW w:w="3100" w:type="dxa"/>
          </w:tcPr>
          <w:p>
            <w:pPr>
              <w:pStyle w:val="TableParagraph"/>
              <w:spacing w:line="333" w:lineRule="auto" w:before="38"/>
              <w:rPr>
                <w:sz w:val="18"/>
              </w:rPr>
            </w:pPr>
            <w:r>
              <w:rPr>
                <w:sz w:val="18"/>
              </w:rPr>
              <w:t>PBOC/MOF</w:t>
            </w:r>
            <w:r>
              <w:rPr>
                <w:spacing w:val="-1"/>
                <w:sz w:val="18"/>
              </w:rPr>
              <w:t> </w:t>
            </w:r>
            <w:r>
              <w:rPr>
                <w:sz w:val="18"/>
              </w:rPr>
              <w:t>grant</w:t>
            </w:r>
            <w:r>
              <w:rPr>
                <w:spacing w:val="-1"/>
                <w:sz w:val="18"/>
              </w:rPr>
              <w:t> </w:t>
            </w:r>
            <w:r>
              <w:rPr>
                <w:sz w:val="18"/>
              </w:rPr>
              <w:t>or</w:t>
            </w:r>
            <w:r>
              <w:rPr>
                <w:spacing w:val="-1"/>
                <w:sz w:val="18"/>
              </w:rPr>
              <w:t> </w:t>
            </w:r>
            <w:r>
              <w:rPr>
                <w:sz w:val="18"/>
              </w:rPr>
              <w:t>loan</w:t>
            </w:r>
            <w:r>
              <w:rPr>
                <w:spacing w:val="-1"/>
                <w:sz w:val="18"/>
              </w:rPr>
              <w:t> </w:t>
            </w:r>
            <w:r>
              <w:rPr>
                <w:sz w:val="18"/>
              </w:rPr>
              <w:t>channeled </w:t>
            </w:r>
            <w:r>
              <w:rPr>
                <w:w w:val="105"/>
                <w:sz w:val="18"/>
              </w:rPr>
              <w:t>through multilateral institutions</w:t>
            </w:r>
          </w:p>
        </w:tc>
        <w:tc>
          <w:tcPr>
            <w:tcW w:w="800" w:type="dxa"/>
            <w:shd w:val="clear" w:color="auto" w:fill="E2EFD9"/>
          </w:tcPr>
          <w:p>
            <w:pPr>
              <w:pStyle w:val="TableParagraph"/>
              <w:spacing w:before="9"/>
              <w:ind w:left="0"/>
              <w:rPr>
                <w:sz w:val="15"/>
              </w:rPr>
            </w:pPr>
          </w:p>
          <w:p>
            <w:pPr>
              <w:pStyle w:val="TableParagraph"/>
              <w:spacing w:before="1"/>
              <w:ind w:left="9"/>
              <w:rPr>
                <w:sz w:val="18"/>
              </w:rPr>
            </w:pPr>
            <w:r>
              <w:rPr>
                <w:spacing w:val="-4"/>
                <w:w w:val="105"/>
                <w:sz w:val="18"/>
              </w:rPr>
              <w:t>High</w:t>
            </w:r>
          </w:p>
        </w:tc>
        <w:tc>
          <w:tcPr>
            <w:tcW w:w="90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84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1260" w:type="dxa"/>
            <w:shd w:val="clear" w:color="auto" w:fill="E2EFD9"/>
          </w:tcPr>
          <w:p>
            <w:pPr>
              <w:pStyle w:val="TableParagraph"/>
              <w:spacing w:before="9"/>
              <w:ind w:left="0"/>
              <w:rPr>
                <w:sz w:val="15"/>
              </w:rPr>
            </w:pPr>
          </w:p>
          <w:p>
            <w:pPr>
              <w:pStyle w:val="TableParagraph"/>
              <w:spacing w:before="1"/>
              <w:ind w:left="4"/>
              <w:rPr>
                <w:sz w:val="18"/>
              </w:rPr>
            </w:pPr>
            <w:r>
              <w:rPr>
                <w:spacing w:val="-4"/>
                <w:w w:val="105"/>
                <w:sz w:val="18"/>
              </w:rPr>
              <w:t>High</w:t>
            </w:r>
          </w:p>
        </w:tc>
        <w:tc>
          <w:tcPr>
            <w:tcW w:w="84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90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r>
      <w:tr>
        <w:trPr>
          <w:trHeight w:val="340" w:hRule="atLeast"/>
        </w:trPr>
        <w:tc>
          <w:tcPr>
            <w:tcW w:w="3100" w:type="dxa"/>
          </w:tcPr>
          <w:p>
            <w:pPr>
              <w:pStyle w:val="TableParagraph"/>
              <w:spacing w:before="28"/>
              <w:rPr>
                <w:sz w:val="18"/>
              </w:rPr>
            </w:pPr>
            <w:r>
              <w:rPr>
                <w:sz w:val="18"/>
              </w:rPr>
              <w:t>Supplier’s</w:t>
            </w:r>
            <w:r>
              <w:rPr>
                <w:spacing w:val="-6"/>
                <w:sz w:val="18"/>
              </w:rPr>
              <w:t> </w:t>
            </w:r>
            <w:r>
              <w:rPr>
                <w:sz w:val="18"/>
              </w:rPr>
              <w:t>credit</w:t>
            </w:r>
            <w:r>
              <w:rPr>
                <w:spacing w:val="-6"/>
                <w:sz w:val="18"/>
              </w:rPr>
              <w:t> </w:t>
            </w:r>
            <w:r>
              <w:rPr>
                <w:sz w:val="18"/>
              </w:rPr>
              <w:t>from</w:t>
            </w:r>
            <w:r>
              <w:rPr>
                <w:spacing w:val="-6"/>
                <w:sz w:val="18"/>
              </w:rPr>
              <w:t> </w:t>
            </w:r>
            <w:r>
              <w:rPr>
                <w:sz w:val="18"/>
              </w:rPr>
              <w:t>Chinese</w:t>
            </w:r>
            <w:r>
              <w:rPr>
                <w:spacing w:val="-6"/>
                <w:sz w:val="18"/>
              </w:rPr>
              <w:t> </w:t>
            </w:r>
            <w:r>
              <w:rPr>
                <w:spacing w:val="-5"/>
                <w:sz w:val="18"/>
              </w:rPr>
              <w:t>SOE</w:t>
            </w:r>
          </w:p>
        </w:tc>
        <w:tc>
          <w:tcPr>
            <w:tcW w:w="800" w:type="dxa"/>
            <w:shd w:val="clear" w:color="auto" w:fill="FFC7CD"/>
          </w:tcPr>
          <w:p>
            <w:pPr>
              <w:pStyle w:val="TableParagraph"/>
              <w:spacing w:before="28"/>
              <w:ind w:left="9"/>
              <w:rPr>
                <w:sz w:val="18"/>
              </w:rPr>
            </w:pPr>
            <w:r>
              <w:rPr>
                <w:spacing w:val="-5"/>
                <w:sz w:val="18"/>
              </w:rPr>
              <w:t>Low</w:t>
            </w:r>
          </w:p>
        </w:tc>
        <w:tc>
          <w:tcPr>
            <w:tcW w:w="900" w:type="dxa"/>
            <w:shd w:val="clear" w:color="auto" w:fill="E2EFD9"/>
          </w:tcPr>
          <w:p>
            <w:pPr>
              <w:pStyle w:val="TableParagraph"/>
              <w:spacing w:before="28"/>
              <w:rPr>
                <w:sz w:val="18"/>
              </w:rPr>
            </w:pPr>
            <w:r>
              <w:rPr>
                <w:spacing w:val="-4"/>
                <w:w w:val="105"/>
                <w:sz w:val="18"/>
              </w:rPr>
              <w:t>High</w:t>
            </w:r>
          </w:p>
        </w:tc>
        <w:tc>
          <w:tcPr>
            <w:tcW w:w="840" w:type="dxa"/>
            <w:shd w:val="clear" w:color="auto" w:fill="FFC7CD"/>
          </w:tcPr>
          <w:p>
            <w:pPr>
              <w:pStyle w:val="TableParagraph"/>
              <w:spacing w:before="28"/>
              <w:rPr>
                <w:sz w:val="18"/>
              </w:rPr>
            </w:pPr>
            <w:r>
              <w:rPr>
                <w:spacing w:val="-5"/>
                <w:sz w:val="18"/>
              </w:rPr>
              <w:t>Low</w:t>
            </w:r>
          </w:p>
        </w:tc>
        <w:tc>
          <w:tcPr>
            <w:tcW w:w="1260" w:type="dxa"/>
            <w:shd w:val="clear" w:color="auto" w:fill="FFC7CD"/>
          </w:tcPr>
          <w:p>
            <w:pPr>
              <w:pStyle w:val="TableParagraph"/>
              <w:spacing w:before="28"/>
              <w:ind w:left="4"/>
              <w:rPr>
                <w:sz w:val="18"/>
              </w:rPr>
            </w:pPr>
            <w:r>
              <w:rPr>
                <w:spacing w:val="-5"/>
                <w:sz w:val="18"/>
              </w:rPr>
              <w:t>Low</w:t>
            </w:r>
          </w:p>
        </w:tc>
        <w:tc>
          <w:tcPr>
            <w:tcW w:w="840" w:type="dxa"/>
            <w:shd w:val="clear" w:color="auto" w:fill="FFC7CD"/>
          </w:tcPr>
          <w:p>
            <w:pPr>
              <w:pStyle w:val="TableParagraph"/>
              <w:spacing w:before="28"/>
              <w:rPr>
                <w:sz w:val="18"/>
              </w:rPr>
            </w:pPr>
            <w:r>
              <w:rPr>
                <w:spacing w:val="-5"/>
                <w:sz w:val="18"/>
              </w:rPr>
              <w:t>Low</w:t>
            </w:r>
          </w:p>
        </w:tc>
        <w:tc>
          <w:tcPr>
            <w:tcW w:w="900" w:type="dxa"/>
            <w:shd w:val="clear" w:color="auto" w:fill="E2EFD9"/>
          </w:tcPr>
          <w:p>
            <w:pPr>
              <w:pStyle w:val="TableParagraph"/>
              <w:spacing w:before="28"/>
              <w:rPr>
                <w:sz w:val="18"/>
              </w:rPr>
            </w:pPr>
            <w:r>
              <w:rPr>
                <w:spacing w:val="-4"/>
                <w:w w:val="105"/>
                <w:sz w:val="18"/>
              </w:rPr>
              <w:t>High</w:t>
            </w:r>
          </w:p>
        </w:tc>
      </w:tr>
    </w:tbl>
    <w:p>
      <w:pPr>
        <w:spacing w:line="333" w:lineRule="auto" w:before="23"/>
        <w:ind w:left="560" w:right="561" w:firstLine="0"/>
        <w:jc w:val="left"/>
        <w:rPr>
          <w:i/>
          <w:sz w:val="18"/>
        </w:rPr>
      </w:pPr>
      <w:r>
        <w:rPr>
          <w:i/>
          <w:sz w:val="18"/>
        </w:rPr>
        <w:t>Notes: The safeguard stringency scores for each type of grant-giving and lending instrument are based </w:t>
      </w:r>
      <w:r>
        <w:rPr>
          <w:i/>
          <w:sz w:val="18"/>
        </w:rPr>
        <w:t>on</w:t>
      </w:r>
      <w:r>
        <w:rPr>
          <w:i/>
          <w:sz w:val="18"/>
        </w:rPr>
        <w:t> the analysis described in Section A-9 of the Appendix.</w:t>
      </w:r>
    </w:p>
    <w:p>
      <w:pPr>
        <w:pStyle w:val="BodyText"/>
        <w:rPr>
          <w:i/>
          <w:sz w:val="18"/>
        </w:rPr>
      </w:pPr>
    </w:p>
    <w:p>
      <w:pPr>
        <w:pStyle w:val="BodyText"/>
        <w:spacing w:line="333" w:lineRule="auto" w:before="113"/>
        <w:ind w:left="560" w:right="655"/>
      </w:pPr>
      <w:r>
        <w:rPr/>
        <w:t>Several changes that took place during our period of study (2000-2021) also merit</w:t>
      </w:r>
      <w:r>
        <w:rPr>
          <w:spacing w:val="-3"/>
        </w:rPr>
        <w:t> </w:t>
      </w:r>
      <w:r>
        <w:rPr/>
        <w:t>discussion.</w:t>
      </w:r>
      <w:r>
        <w:rPr>
          <w:spacing w:val="-3"/>
        </w:rPr>
        <w:t> </w:t>
      </w:r>
      <w:r>
        <w:rPr/>
        <w:t>MOFCOM’s</w:t>
      </w:r>
      <w:r>
        <w:rPr>
          <w:spacing w:val="-3"/>
        </w:rPr>
        <w:t> </w:t>
      </w:r>
      <w:r>
        <w:rPr/>
        <w:t>grant</w:t>
      </w:r>
      <w:r>
        <w:rPr>
          <w:spacing w:val="-3"/>
        </w:rPr>
        <w:t> </w:t>
      </w:r>
      <w:r>
        <w:rPr/>
        <w:t>and</w:t>
      </w:r>
      <w:r>
        <w:rPr>
          <w:spacing w:val="-3"/>
        </w:rPr>
        <w:t> </w:t>
      </w:r>
      <w:r>
        <w:rPr/>
        <w:t>interest-free</w:t>
      </w:r>
      <w:r>
        <w:rPr>
          <w:spacing w:val="-3"/>
        </w:rPr>
        <w:t> </w:t>
      </w:r>
      <w:r>
        <w:rPr/>
        <w:t>loan</w:t>
      </w:r>
      <w:r>
        <w:rPr>
          <w:spacing w:val="-3"/>
        </w:rPr>
        <w:t> </w:t>
      </w:r>
      <w:r>
        <w:rPr/>
        <w:t>agreements</w:t>
      </w:r>
      <w:r>
        <w:rPr>
          <w:spacing w:val="-3"/>
        </w:rPr>
        <w:t> </w:t>
      </w:r>
      <w:r>
        <w:rPr/>
        <w:t>had</w:t>
      </w:r>
      <w:r>
        <w:rPr>
          <w:spacing w:val="-3"/>
        </w:rPr>
        <w:t> </w:t>
      </w:r>
      <w:r>
        <w:rPr/>
        <w:t>weak ESG safeguards prior to the late BRI period. However, we see evidence of MOFCOM shifting toward stronger de jure ESG protections between 2018 and 2021. The same pattern is evident in supplier’s credit agreements issued by Chinese state-owned enterprises: formal ESG safeguard stringency increased with the passage of time.</w:t>
      </w:r>
      <w:r>
        <w:rPr>
          <w:vertAlign w:val="superscript"/>
        </w:rPr>
        <w:t>276</w:t>
      </w:r>
      <w:r>
        <w:rPr>
          <w:vertAlign w:val="baseline"/>
        </w:rPr>
        <w:t> Table 3.1 also provides evidence that, during the late BRI period, China’s state-owned commercial banks watered down their social safeguards.</w:t>
      </w:r>
      <w:r>
        <w:rPr>
          <w:vertAlign w:val="superscript"/>
        </w:rPr>
        <w:t>277</w:t>
      </w:r>
      <w:r>
        <w:rPr>
          <w:vertAlign w:val="baseline"/>
        </w:rPr>
        <w:t> During the pre-BRI and early BRI periods, these ﬁnancial institutions had mechanisms in place to monitor compliance and/or sanction noncompliance with domestic and international social laws and standards.</w:t>
      </w:r>
      <w:r>
        <w:rPr>
          <w:vertAlign w:val="superscript"/>
        </w:rPr>
        <w:t>278</w:t>
      </w:r>
      <w:r>
        <w:rPr>
          <w:vertAlign w:val="baseline"/>
        </w:rPr>
        <w:t> Their bilateral loan agreements </w:t>
      </w:r>
      <w:r>
        <w:rPr>
          <w:i/>
          <w:vertAlign w:val="baseline"/>
        </w:rPr>
        <w:t>and </w:t>
      </w:r>
      <w:r>
        <w:rPr>
          <w:vertAlign w:val="baseline"/>
        </w:rPr>
        <w:t>syndicated loan agreements made ﬁnancial disbursements conditional upon certiﬁcation of compliance with social laws and standards, or required borrowers to ﬁnancially compensate (indemnify) lenders for any losses or liabilities resulting from actual or alleged violations of social</w:t>
      </w:r>
    </w:p>
    <w:p>
      <w:pPr>
        <w:pStyle w:val="BodyText"/>
        <w:rPr>
          <w:sz w:val="20"/>
        </w:rPr>
      </w:pPr>
    </w:p>
    <w:p>
      <w:pPr>
        <w:pStyle w:val="BodyText"/>
        <w:rPr>
          <w:sz w:val="20"/>
        </w:rPr>
      </w:pPr>
    </w:p>
    <w:p>
      <w:pPr>
        <w:pStyle w:val="BodyText"/>
        <w:spacing w:before="6"/>
        <w:rPr>
          <w:sz w:val="13"/>
        </w:rPr>
      </w:pPr>
      <w:r>
        <w:rPr/>
        <w:pict>
          <v:shape style="position:absolute;margin-left:90pt;margin-top:9.007959pt;width:144pt;height:.1pt;mso-position-horizontal-relative:page;mso-position-vertical-relative:paragraph;z-index:-15710208;mso-wrap-distance-left:0;mso-wrap-distance-right:0" id="docshape31" coordorigin="1800,180" coordsize="2880,0" path="m1800,180l4680,180e" filled="false" stroked="true" strokeweight=".75pt" strokecolor="#000000">
            <v:path arrowok="t"/>
            <v:stroke dashstyle="solid"/>
            <w10:wrap type="topAndBottom"/>
          </v:shape>
        </w:pict>
      </w:r>
    </w:p>
    <w:p>
      <w:pPr>
        <w:spacing w:line="249" w:lineRule="auto" w:before="113"/>
        <w:ind w:left="560" w:right="561" w:firstLine="0"/>
        <w:jc w:val="left"/>
        <w:rPr>
          <w:sz w:val="18"/>
        </w:rPr>
      </w:pPr>
      <w:r>
        <w:rPr>
          <w:sz w:val="18"/>
          <w:vertAlign w:val="superscript"/>
        </w:rPr>
        <w:t>276</w:t>
      </w:r>
      <w:r>
        <w:rPr>
          <w:sz w:val="18"/>
          <w:vertAlign w:val="baseline"/>
        </w:rPr>
        <w:t> Although the environmental and governance safeguards that apply to supplier’s credits </w:t>
      </w:r>
      <w:r>
        <w:rPr>
          <w:sz w:val="18"/>
          <w:vertAlign w:val="baseline"/>
        </w:rPr>
        <w:t>strengthened during the late BRI period, the social safeguards that apply to supplier’s credits did not.</w:t>
      </w:r>
    </w:p>
    <w:p>
      <w:pPr>
        <w:spacing w:line="249" w:lineRule="auto" w:before="1"/>
        <w:ind w:left="560" w:right="561" w:firstLine="0"/>
        <w:jc w:val="left"/>
        <w:rPr>
          <w:sz w:val="18"/>
        </w:rPr>
      </w:pPr>
      <w:r>
        <w:rPr>
          <w:sz w:val="18"/>
          <w:vertAlign w:val="superscript"/>
        </w:rPr>
        <w:t>277</w:t>
      </w:r>
      <w:r>
        <w:rPr>
          <w:spacing w:val="-9"/>
          <w:sz w:val="18"/>
          <w:vertAlign w:val="baseline"/>
        </w:rPr>
        <w:t> </w:t>
      </w:r>
      <w:r>
        <w:rPr>
          <w:sz w:val="18"/>
          <w:vertAlign w:val="baseline"/>
        </w:rPr>
        <w:t>Table</w:t>
      </w:r>
      <w:r>
        <w:rPr>
          <w:spacing w:val="-8"/>
          <w:sz w:val="18"/>
          <w:vertAlign w:val="baseline"/>
        </w:rPr>
        <w:t> </w:t>
      </w:r>
      <w:r>
        <w:rPr>
          <w:sz w:val="18"/>
          <w:vertAlign w:val="baseline"/>
        </w:rPr>
        <w:t>3.1</w:t>
      </w:r>
      <w:r>
        <w:rPr>
          <w:spacing w:val="-8"/>
          <w:sz w:val="18"/>
          <w:vertAlign w:val="baseline"/>
        </w:rPr>
        <w:t> </w:t>
      </w:r>
      <w:r>
        <w:rPr>
          <w:sz w:val="18"/>
          <w:vertAlign w:val="baseline"/>
        </w:rPr>
        <w:t>provides</w:t>
      </w:r>
      <w:r>
        <w:rPr>
          <w:spacing w:val="-8"/>
          <w:sz w:val="18"/>
          <w:vertAlign w:val="baseline"/>
        </w:rPr>
        <w:t> </w:t>
      </w:r>
      <w:r>
        <w:rPr>
          <w:sz w:val="18"/>
          <w:vertAlign w:val="baseline"/>
        </w:rPr>
        <w:t>evidence</w:t>
      </w:r>
      <w:r>
        <w:rPr>
          <w:spacing w:val="-8"/>
          <w:sz w:val="18"/>
          <w:vertAlign w:val="baseline"/>
        </w:rPr>
        <w:t> </w:t>
      </w:r>
      <w:r>
        <w:rPr>
          <w:sz w:val="18"/>
          <w:vertAlign w:val="baseline"/>
        </w:rPr>
        <w:t>that</w:t>
      </w:r>
      <w:r>
        <w:rPr>
          <w:spacing w:val="-8"/>
          <w:sz w:val="18"/>
          <w:vertAlign w:val="baseline"/>
        </w:rPr>
        <w:t> </w:t>
      </w:r>
      <w:r>
        <w:rPr>
          <w:sz w:val="18"/>
          <w:vertAlign w:val="baseline"/>
        </w:rPr>
        <w:t>China’s</w:t>
      </w:r>
      <w:r>
        <w:rPr>
          <w:spacing w:val="-8"/>
          <w:sz w:val="18"/>
          <w:vertAlign w:val="baseline"/>
        </w:rPr>
        <w:t> </w:t>
      </w:r>
      <w:r>
        <w:rPr>
          <w:sz w:val="18"/>
          <w:vertAlign w:val="baseline"/>
        </w:rPr>
        <w:t>state-owned</w:t>
      </w:r>
      <w:r>
        <w:rPr>
          <w:spacing w:val="-8"/>
          <w:sz w:val="18"/>
          <w:vertAlign w:val="baseline"/>
        </w:rPr>
        <w:t> </w:t>
      </w:r>
      <w:r>
        <w:rPr>
          <w:sz w:val="18"/>
          <w:vertAlign w:val="baseline"/>
        </w:rPr>
        <w:t>commercial</w:t>
      </w:r>
      <w:r>
        <w:rPr>
          <w:spacing w:val="-8"/>
          <w:sz w:val="18"/>
          <w:vertAlign w:val="baseline"/>
        </w:rPr>
        <w:t> </w:t>
      </w:r>
      <w:r>
        <w:rPr>
          <w:sz w:val="18"/>
          <w:vertAlign w:val="baseline"/>
        </w:rPr>
        <w:t>banks</w:t>
      </w:r>
      <w:r>
        <w:rPr>
          <w:spacing w:val="-8"/>
          <w:sz w:val="18"/>
          <w:vertAlign w:val="baseline"/>
        </w:rPr>
        <w:t> </w:t>
      </w:r>
      <w:r>
        <w:rPr>
          <w:sz w:val="18"/>
          <w:vertAlign w:val="baseline"/>
        </w:rPr>
        <w:t>weakened</w:t>
      </w:r>
      <w:r>
        <w:rPr>
          <w:spacing w:val="-8"/>
          <w:sz w:val="18"/>
          <w:vertAlign w:val="baseline"/>
        </w:rPr>
        <w:t> </w:t>
      </w:r>
      <w:r>
        <w:rPr>
          <w:sz w:val="18"/>
          <w:vertAlign w:val="baseline"/>
        </w:rPr>
        <w:t>the</w:t>
      </w:r>
      <w:r>
        <w:rPr>
          <w:spacing w:val="-8"/>
          <w:sz w:val="18"/>
          <w:vertAlign w:val="baseline"/>
        </w:rPr>
        <w:t> </w:t>
      </w:r>
      <w:r>
        <w:rPr>
          <w:sz w:val="18"/>
          <w:vertAlign w:val="baseline"/>
        </w:rPr>
        <w:t>social</w:t>
      </w:r>
      <w:r>
        <w:rPr>
          <w:spacing w:val="-8"/>
          <w:sz w:val="18"/>
          <w:vertAlign w:val="baseline"/>
        </w:rPr>
        <w:t> </w:t>
      </w:r>
      <w:r>
        <w:rPr>
          <w:sz w:val="18"/>
          <w:vertAlign w:val="baseline"/>
        </w:rPr>
        <w:t>safeguards that apply to their bilateral loans and their syndicated loans during the late BRI period.</w:t>
      </w:r>
    </w:p>
    <w:p>
      <w:pPr>
        <w:spacing w:line="249" w:lineRule="auto" w:before="2"/>
        <w:ind w:left="560" w:right="655" w:firstLine="0"/>
        <w:jc w:val="left"/>
        <w:rPr>
          <w:sz w:val="18"/>
        </w:rPr>
      </w:pPr>
      <w:r>
        <w:rPr>
          <w:sz w:val="18"/>
          <w:vertAlign w:val="superscript"/>
        </w:rPr>
        <w:t>278</w:t>
      </w:r>
      <w:r>
        <w:rPr>
          <w:sz w:val="18"/>
          <w:vertAlign w:val="baseline"/>
        </w:rPr>
        <w:t> In the sample of ﬁnancing agreements that we evaluated, social laws and standards were given expansive deﬁnitions, including (a) laws, rules, and regulations in borrower countries related to work, </w:t>
      </w:r>
      <w:r>
        <w:rPr>
          <w:sz w:val="18"/>
          <w:vertAlign w:val="baseline"/>
        </w:rPr>
        <w:t>social security, industrial relations, occupational health and safety, public participation, property ownership</w:t>
      </w:r>
      <w:r>
        <w:rPr>
          <w:spacing w:val="80"/>
          <w:sz w:val="18"/>
          <w:vertAlign w:val="baseline"/>
        </w:rPr>
        <w:t> </w:t>
      </w:r>
      <w:r>
        <w:rPr>
          <w:sz w:val="18"/>
          <w:vertAlign w:val="baseline"/>
        </w:rPr>
        <w:t>(formal and traditional), and the protection and empowerment of indigenous peoples and ethnic groups;</w:t>
      </w:r>
      <w:r>
        <w:rPr>
          <w:spacing w:val="80"/>
          <w:sz w:val="18"/>
          <w:vertAlign w:val="baseline"/>
        </w:rPr>
        <w:t> </w:t>
      </w:r>
      <w:r>
        <w:rPr>
          <w:sz w:val="18"/>
          <w:vertAlign w:val="baseline"/>
        </w:rPr>
        <w:t>the projection, restoration, and promotion of cultural heritage and archaeological artifacts; and the resettlement or economic displacement of persons; (b) the OECD Revised Council Recommendation on Common Approaches on the Environment and Ofﬁcially Supported Export Credits; (c) the Equator Principles; (d) UN treaties and conventions on human rights; and (e) international labor agreements.</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61"/>
      </w:pPr>
      <w:r>
        <w:rPr/>
        <w:t>laws</w:t>
      </w:r>
      <w:r>
        <w:rPr>
          <w:spacing w:val="-5"/>
        </w:rPr>
        <w:t> </w:t>
      </w:r>
      <w:r>
        <w:rPr/>
        <w:t>and</w:t>
      </w:r>
      <w:r>
        <w:rPr>
          <w:spacing w:val="-5"/>
        </w:rPr>
        <w:t> </w:t>
      </w:r>
      <w:r>
        <w:rPr/>
        <w:t>standards.</w:t>
      </w:r>
      <w:r>
        <w:rPr>
          <w:spacing w:val="-5"/>
        </w:rPr>
        <w:t> </w:t>
      </w:r>
      <w:r>
        <w:rPr/>
        <w:t>Yet,</w:t>
      </w:r>
      <w:r>
        <w:rPr>
          <w:spacing w:val="-5"/>
        </w:rPr>
        <w:t> </w:t>
      </w:r>
      <w:r>
        <w:rPr/>
        <w:t>for</w:t>
      </w:r>
      <w:r>
        <w:rPr>
          <w:spacing w:val="-5"/>
        </w:rPr>
        <w:t> </w:t>
      </w:r>
      <w:r>
        <w:rPr/>
        <w:t>reasons</w:t>
      </w:r>
      <w:r>
        <w:rPr>
          <w:spacing w:val="-5"/>
        </w:rPr>
        <w:t> </w:t>
      </w:r>
      <w:r>
        <w:rPr/>
        <w:t>that</w:t>
      </w:r>
      <w:r>
        <w:rPr>
          <w:spacing w:val="-5"/>
        </w:rPr>
        <w:t> </w:t>
      </w:r>
      <w:r>
        <w:rPr/>
        <w:t>we</w:t>
      </w:r>
      <w:r>
        <w:rPr>
          <w:spacing w:val="-5"/>
        </w:rPr>
        <w:t> </w:t>
      </w:r>
      <w:r>
        <w:rPr/>
        <w:t>do</w:t>
      </w:r>
      <w:r>
        <w:rPr>
          <w:spacing w:val="-5"/>
        </w:rPr>
        <w:t> </w:t>
      </w:r>
      <w:r>
        <w:rPr/>
        <w:t>not</w:t>
      </w:r>
      <w:r>
        <w:rPr>
          <w:spacing w:val="-5"/>
        </w:rPr>
        <w:t> </w:t>
      </w:r>
      <w:r>
        <w:rPr/>
        <w:t>yet</w:t>
      </w:r>
      <w:r>
        <w:rPr>
          <w:spacing w:val="-5"/>
        </w:rPr>
        <w:t> </w:t>
      </w:r>
      <w:r>
        <w:rPr/>
        <w:t>understand,</w:t>
      </w:r>
      <w:r>
        <w:rPr>
          <w:spacing w:val="-5"/>
        </w:rPr>
        <w:t> </w:t>
      </w:r>
      <w:r>
        <w:rPr/>
        <w:t>these safeguards vanished during the late BRI period.</w:t>
      </w:r>
    </w:p>
    <w:p>
      <w:pPr>
        <w:pStyle w:val="BodyText"/>
        <w:spacing w:before="8"/>
        <w:rPr>
          <w:sz w:val="27"/>
        </w:rPr>
      </w:pPr>
    </w:p>
    <w:p>
      <w:pPr>
        <w:pStyle w:val="BodyText"/>
        <w:spacing w:line="333" w:lineRule="auto" w:before="1"/>
        <w:ind w:left="560" w:right="571"/>
      </w:pPr>
      <w:r>
        <w:rPr/>
        <w:t>The next step in our analysis is to apply the ESG safeguard stringency ratings from Table 3.1 to China’s entire grant- and loan-ﬁnanced infrastructure project portfolio</w:t>
      </w:r>
      <w:r>
        <w:rPr>
          <w:spacing w:val="28"/>
        </w:rPr>
        <w:t> </w:t>
      </w:r>
      <w:r>
        <w:rPr/>
        <w:t>in</w:t>
      </w:r>
      <w:r>
        <w:rPr>
          <w:spacing w:val="28"/>
        </w:rPr>
        <w:t> </w:t>
      </w:r>
      <w:r>
        <w:rPr/>
        <w:t>the</w:t>
      </w:r>
      <w:r>
        <w:rPr>
          <w:spacing w:val="28"/>
        </w:rPr>
        <w:t> </w:t>
      </w:r>
      <w:r>
        <w:rPr/>
        <w:t>developing</w:t>
      </w:r>
      <w:r>
        <w:rPr>
          <w:spacing w:val="28"/>
        </w:rPr>
        <w:t> </w:t>
      </w:r>
      <w:r>
        <w:rPr/>
        <w:t>world.</w:t>
      </w:r>
      <w:r>
        <w:rPr>
          <w:spacing w:val="28"/>
        </w:rPr>
        <w:t> </w:t>
      </w:r>
      <w:r>
        <w:rPr/>
        <w:t>We</w:t>
      </w:r>
      <w:r>
        <w:rPr>
          <w:spacing w:val="28"/>
        </w:rPr>
        <w:t> </w:t>
      </w:r>
      <w:r>
        <w:rPr/>
        <w:t>do</w:t>
      </w:r>
      <w:r>
        <w:rPr>
          <w:spacing w:val="28"/>
        </w:rPr>
        <w:t> </w:t>
      </w:r>
      <w:r>
        <w:rPr/>
        <w:t>so</w:t>
      </w:r>
      <w:r>
        <w:rPr>
          <w:spacing w:val="28"/>
        </w:rPr>
        <w:t> </w:t>
      </w:r>
      <w:r>
        <w:rPr/>
        <w:t>by</w:t>
      </w:r>
      <w:r>
        <w:rPr>
          <w:spacing w:val="28"/>
        </w:rPr>
        <w:t> </w:t>
      </w:r>
      <w:r>
        <w:rPr/>
        <w:t>ﬁrst</w:t>
      </w:r>
      <w:r>
        <w:rPr>
          <w:spacing w:val="28"/>
        </w:rPr>
        <w:t> </w:t>
      </w:r>
      <w:r>
        <w:rPr/>
        <w:t>mapping</w:t>
      </w:r>
      <w:r>
        <w:rPr>
          <w:spacing w:val="28"/>
        </w:rPr>
        <w:t> </w:t>
      </w:r>
      <w:r>
        <w:rPr/>
        <w:t>all</w:t>
      </w:r>
      <w:r>
        <w:rPr>
          <w:spacing w:val="28"/>
        </w:rPr>
        <w:t> </w:t>
      </w:r>
      <w:r>
        <w:rPr/>
        <w:t>loans</w:t>
      </w:r>
      <w:r>
        <w:rPr>
          <w:spacing w:val="28"/>
        </w:rPr>
        <w:t> </w:t>
      </w:r>
      <w:r>
        <w:rPr/>
        <w:t>and grants for active, completed, suspended, or canceled infrastructure projects in</w:t>
      </w:r>
      <w:r>
        <w:rPr>
          <w:spacing w:val="40"/>
        </w:rPr>
        <w:t> </w:t>
      </w:r>
      <w:r>
        <w:rPr/>
        <w:t>the 3.0 version of the GCDF dataset to one of the 8 ﬁnancial instrument categories (whenever possible). Then, we assign the aggregate ESG safeguard stringency ratings—reported in Table 3.1—to the infrastructure loans and grants in</w:t>
      </w:r>
      <w:r>
        <w:rPr>
          <w:spacing w:val="-3"/>
        </w:rPr>
        <w:t> </w:t>
      </w:r>
      <w:r>
        <w:rPr/>
        <w:t>the 3.0</w:t>
      </w:r>
      <w:r>
        <w:rPr>
          <w:spacing w:val="-1"/>
        </w:rPr>
        <w:t> </w:t>
      </w:r>
      <w:r>
        <w:rPr/>
        <w:t>version of</w:t>
      </w:r>
      <w:r>
        <w:rPr>
          <w:spacing w:val="-1"/>
        </w:rPr>
        <w:t> </w:t>
      </w:r>
      <w:r>
        <w:rPr/>
        <w:t>GCDF dataset that</w:t>
      </w:r>
      <w:r>
        <w:rPr>
          <w:spacing w:val="-1"/>
        </w:rPr>
        <w:t> </w:t>
      </w:r>
      <w:r>
        <w:rPr/>
        <w:t>use the</w:t>
      </w:r>
      <w:r>
        <w:rPr>
          <w:spacing w:val="-1"/>
        </w:rPr>
        <w:t> </w:t>
      </w:r>
      <w:r>
        <w:rPr/>
        <w:t>same loan</w:t>
      </w:r>
      <w:r>
        <w:rPr>
          <w:spacing w:val="-1"/>
        </w:rPr>
        <w:t> </w:t>
      </w:r>
      <w:r>
        <w:rPr/>
        <w:t>or grant </w:t>
      </w:r>
      <w:r>
        <w:rPr>
          <w:spacing w:val="-2"/>
        </w:rPr>
        <w:t>instrument.</w:t>
      </w:r>
      <w:r>
        <w:rPr>
          <w:spacing w:val="-2"/>
          <w:vertAlign w:val="superscript"/>
        </w:rPr>
        <w:t>279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pict>
          <v:shape style="position:absolute;margin-left:90pt;margin-top:11.682178pt;width:144pt;height:.1pt;mso-position-horizontal-relative:page;mso-position-vertical-relative:paragraph;z-index:-15709696;mso-wrap-distance-left:0;mso-wrap-distance-right:0" id="docshape32" coordorigin="1800,234" coordsize="2880,0" path="m1800,234l4680,234e" filled="false" stroked="true" strokeweight=".75pt" strokecolor="#000000">
            <v:path arrowok="t"/>
            <v:stroke dashstyle="solid"/>
            <w10:wrap type="topAndBottom"/>
          </v:shape>
        </w:pict>
      </w:r>
    </w:p>
    <w:p>
      <w:pPr>
        <w:spacing w:line="249" w:lineRule="auto" w:before="110"/>
        <w:ind w:left="560" w:right="629" w:firstLine="0"/>
        <w:jc w:val="left"/>
        <w:rPr>
          <w:sz w:val="18"/>
        </w:rPr>
      </w:pPr>
      <w:r>
        <w:rPr>
          <w:sz w:val="18"/>
          <w:vertAlign w:val="superscript"/>
        </w:rPr>
        <w:t>279</w:t>
      </w:r>
      <w:r>
        <w:rPr>
          <w:sz w:val="18"/>
          <w:vertAlign w:val="baseline"/>
        </w:rPr>
        <w:t> To map individual grants and loans for infrastructure projects to our taxonomy of infrastructure </w:t>
      </w:r>
      <w:r>
        <w:rPr>
          <w:sz w:val="18"/>
          <w:vertAlign w:val="baseline"/>
        </w:rPr>
        <w:t>ﬁnancing instruments (consisting of 8 loan and grant-giving instruments), we use a combination of the funding agency, implementing agency, co-ﬁnancing agency, receiving agency, number of lenders, ﬂow type, and supplier’s credits ﬁelds in the 3.0 version of the GCDF dataset. These 8 ﬁnancial instrument types cover 90.2% of China’s grant- and loan-ﬁnanced infrastructure project portfolio in LICs and MICs between 2000 and 2021. We do not assign de jure ESG safeguard stringency ratings to the remaining 9.8% of the portfolio, which represents infrastructure projects ﬁnanced with other types of ﬁnancial instruments. As such, whenever we report portfolio-level summary statistics related to the application of de jure ESG safeguards, we disregard projects for which de jure ESG safeguard stringency ratings could not be reliably assigned (i.e., 9.8% of the LIC and MIC portfolio).</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3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3.7</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39">
            <wp:simplePos x="0" y="0"/>
            <wp:positionH relativeFrom="page">
              <wp:posOffset>1250453</wp:posOffset>
            </wp:positionH>
            <wp:positionV relativeFrom="paragraph">
              <wp:posOffset>116431</wp:posOffset>
            </wp:positionV>
            <wp:extent cx="5265026" cy="318439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265026" cy="3184398"/>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560" w:right="561" w:firstLine="0"/>
        <w:jc w:val="left"/>
        <w:rPr>
          <w:i/>
          <w:sz w:val="20"/>
        </w:rPr>
      </w:pPr>
      <w:r>
        <w:rPr>
          <w:i/>
          <w:sz w:val="20"/>
        </w:rPr>
        <w:t>Notes: The safeguard stringency ratings for each grant-giving and lending instrument are based</w:t>
      </w:r>
      <w:r>
        <w:rPr>
          <w:i/>
          <w:sz w:val="20"/>
        </w:rPr>
        <w:t> on Table 3.1 and explained in Section A-9 of the Appendix.</w:t>
      </w:r>
    </w:p>
    <w:p>
      <w:pPr>
        <w:pStyle w:val="BodyText"/>
        <w:spacing w:before="9"/>
        <w:rPr>
          <w:i/>
          <w:sz w:val="27"/>
        </w:rPr>
      </w:pPr>
    </w:p>
    <w:p>
      <w:pPr>
        <w:spacing w:before="1"/>
        <w:ind w:left="560" w:right="0" w:firstLine="0"/>
        <w:jc w:val="left"/>
        <w:rPr>
          <w:sz w:val="24"/>
        </w:rPr>
      </w:pPr>
      <w:r>
        <w:rPr>
          <w:sz w:val="24"/>
        </w:rPr>
        <w:t>Figure</w:t>
      </w:r>
      <w:r>
        <w:rPr>
          <w:spacing w:val="-2"/>
          <w:sz w:val="24"/>
        </w:rPr>
        <w:t> </w:t>
      </w:r>
      <w:r>
        <w:rPr>
          <w:sz w:val="24"/>
        </w:rPr>
        <w:t>3.7</w:t>
      </w:r>
      <w:r>
        <w:rPr>
          <w:spacing w:val="-2"/>
          <w:sz w:val="24"/>
        </w:rPr>
        <w:t> </w:t>
      </w:r>
      <w:r>
        <w:rPr>
          <w:sz w:val="24"/>
        </w:rPr>
        <w:t>presents</w:t>
      </w:r>
      <w:r>
        <w:rPr>
          <w:spacing w:val="-2"/>
          <w:sz w:val="24"/>
        </w:rPr>
        <w:t> </w:t>
      </w:r>
      <w:r>
        <w:rPr>
          <w:sz w:val="24"/>
        </w:rPr>
        <w:t>the</w:t>
      </w:r>
      <w:r>
        <w:rPr>
          <w:spacing w:val="-2"/>
          <w:sz w:val="24"/>
        </w:rPr>
        <w:t> </w:t>
      </w:r>
      <w:r>
        <w:rPr>
          <w:i/>
          <w:sz w:val="24"/>
        </w:rPr>
        <w:t>estimated</w:t>
      </w:r>
      <w:r>
        <w:rPr>
          <w:i/>
          <w:spacing w:val="-2"/>
          <w:sz w:val="24"/>
        </w:rPr>
        <w:t> </w:t>
      </w:r>
      <w:r>
        <w:rPr>
          <w:i/>
          <w:sz w:val="24"/>
        </w:rPr>
        <w:t>percentage</w:t>
      </w:r>
      <w:r>
        <w:rPr>
          <w:i/>
          <w:spacing w:val="-2"/>
          <w:sz w:val="24"/>
        </w:rPr>
        <w:t> </w:t>
      </w:r>
      <w:r>
        <w:rPr>
          <w:sz w:val="24"/>
        </w:rPr>
        <w:t>of</w:t>
      </w:r>
      <w:r>
        <w:rPr>
          <w:spacing w:val="-1"/>
          <w:sz w:val="24"/>
        </w:rPr>
        <w:t> </w:t>
      </w:r>
      <w:r>
        <w:rPr>
          <w:sz w:val="24"/>
        </w:rPr>
        <w:t>China’s</w:t>
      </w:r>
      <w:r>
        <w:rPr>
          <w:spacing w:val="-2"/>
          <w:sz w:val="24"/>
        </w:rPr>
        <w:t> </w:t>
      </w:r>
      <w:r>
        <w:rPr>
          <w:sz w:val="24"/>
        </w:rPr>
        <w:t>grant-</w:t>
      </w:r>
      <w:r>
        <w:rPr>
          <w:spacing w:val="-3"/>
          <w:sz w:val="24"/>
        </w:rPr>
        <w:t> </w:t>
      </w:r>
      <w:r>
        <w:rPr>
          <w:spacing w:val="-5"/>
          <w:sz w:val="24"/>
        </w:rPr>
        <w:t>and</w:t>
      </w:r>
    </w:p>
    <w:p>
      <w:pPr>
        <w:pStyle w:val="BodyText"/>
        <w:spacing w:line="333" w:lineRule="auto" w:before="107"/>
        <w:ind w:left="560" w:right="621"/>
      </w:pPr>
      <w:r>
        <w:rPr/>
        <w:t>loan-ﬁnanced infrastructure project portfolio in LIC and MICs with strong de </w:t>
      </w:r>
      <w:r>
        <w:rPr/>
        <w:t>jure environmental, social, and governance safeguards in place between 2000 and 2021. One can see a marked shift toward stronger ESG protections during the late BRI period (2018-2021). By the eighth full year of BRI project implementation (2021), approximately 57% of China’s grant- and loan-ﬁnanced infrastructure project portfolio in LIC and MICs had strong de jure</w:t>
      </w:r>
      <w:r>
        <w:rPr>
          <w:spacing w:val="80"/>
        </w:rPr>
        <w:t> </w:t>
      </w:r>
      <w:r>
        <w:rPr/>
        <w:t>environmental, social, and governance safeguards in place.</w:t>
      </w:r>
      <w:r>
        <w:rPr>
          <w:vertAlign w:val="superscript"/>
        </w:rPr>
        <w:t>280</w:t>
      </w:r>
      <w:r>
        <w:rPr>
          <w:spacing w:val="-1"/>
          <w:vertAlign w:val="baseline"/>
        </w:rPr>
        <w:t> </w:t>
      </w:r>
      <w:r>
        <w:rPr>
          <w:vertAlign w:val="baseline"/>
        </w:rPr>
        <w:t>This represents a major departure from past practice: at the turn of the century, China’s </w:t>
      </w:r>
      <w:r>
        <w:rPr>
          <w:i/>
          <w:vertAlign w:val="baseline"/>
        </w:rPr>
        <w:t>entire</w:t>
      </w:r>
      <w:r>
        <w:rPr>
          <w:i/>
          <w:vertAlign w:val="baseline"/>
        </w:rPr>
        <w:t> </w:t>
      </w:r>
      <w:r>
        <w:rPr>
          <w:vertAlign w:val="baseline"/>
        </w:rPr>
        <w:t>grant- and loan-ﬁnanced infrastructure project portfolio in LIC and MICs had weak de jure environmental, social, and governance safeguards in place.</w:t>
      </w:r>
    </w:p>
    <w:p>
      <w:pPr>
        <w:pStyle w:val="BodyText"/>
        <w:rPr>
          <w:sz w:val="20"/>
        </w:rPr>
      </w:pPr>
    </w:p>
    <w:p>
      <w:pPr>
        <w:pStyle w:val="BodyText"/>
        <w:rPr>
          <w:sz w:val="20"/>
        </w:rPr>
      </w:pPr>
    </w:p>
    <w:p>
      <w:pPr>
        <w:pStyle w:val="BodyText"/>
        <w:spacing w:before="10"/>
        <w:rPr>
          <w:sz w:val="19"/>
        </w:rPr>
      </w:pPr>
      <w:r>
        <w:rPr/>
        <w:pict>
          <v:shape style="position:absolute;margin-left:90pt;margin-top:12.624439pt;width:144pt;height:.1pt;mso-position-horizontal-relative:page;mso-position-vertical-relative:paragraph;z-index:-15708160;mso-wrap-distance-left:0;mso-wrap-distance-right:0" id="docshape34" coordorigin="1800,252" coordsize="2880,0" path="m1800,252l4680,252e" filled="false" stroked="true" strokeweight=".75pt" strokecolor="#000000">
            <v:path arrowok="t"/>
            <v:stroke dashstyle="solid"/>
            <w10:wrap type="topAndBottom"/>
          </v:shape>
        </w:pict>
      </w:r>
    </w:p>
    <w:p>
      <w:pPr>
        <w:spacing w:before="108"/>
        <w:ind w:left="560" w:right="0" w:firstLine="0"/>
        <w:jc w:val="left"/>
        <w:rPr>
          <w:sz w:val="18"/>
        </w:rPr>
      </w:pPr>
      <w:r>
        <w:rPr>
          <w:sz w:val="18"/>
          <w:vertAlign w:val="superscript"/>
        </w:rPr>
        <w:t>280</w:t>
      </w:r>
      <w:r>
        <w:rPr>
          <w:spacing w:val="-6"/>
          <w:sz w:val="18"/>
          <w:vertAlign w:val="baseline"/>
        </w:rPr>
        <w:t> </w:t>
      </w:r>
      <w:r>
        <w:rPr>
          <w:sz w:val="18"/>
          <w:vertAlign w:val="baseline"/>
        </w:rPr>
        <w:t>Table</w:t>
      </w:r>
      <w:r>
        <w:rPr>
          <w:spacing w:val="-4"/>
          <w:sz w:val="18"/>
          <w:vertAlign w:val="baseline"/>
        </w:rPr>
        <w:t> </w:t>
      </w:r>
      <w:r>
        <w:rPr>
          <w:sz w:val="18"/>
          <w:vertAlign w:val="baseline"/>
        </w:rPr>
        <w:t>A12</w:t>
      </w:r>
      <w:r>
        <w:rPr>
          <w:spacing w:val="-4"/>
          <w:sz w:val="18"/>
          <w:vertAlign w:val="baseline"/>
        </w:rPr>
        <w:t> </w:t>
      </w:r>
      <w:r>
        <w:rPr>
          <w:sz w:val="18"/>
          <w:vertAlign w:val="baseline"/>
        </w:rPr>
        <w:t>provides</w:t>
      </w:r>
      <w:r>
        <w:rPr>
          <w:spacing w:val="-4"/>
          <w:sz w:val="18"/>
          <w:vertAlign w:val="baseline"/>
        </w:rPr>
        <w:t> </w:t>
      </w:r>
      <w:r>
        <w:rPr>
          <w:sz w:val="18"/>
          <w:vertAlign w:val="baseline"/>
        </w:rPr>
        <w:t>country-level</w:t>
      </w:r>
      <w:r>
        <w:rPr>
          <w:spacing w:val="-4"/>
          <w:sz w:val="18"/>
          <w:vertAlign w:val="baseline"/>
        </w:rPr>
        <w:t> </w:t>
      </w:r>
      <w:r>
        <w:rPr>
          <w:sz w:val="18"/>
          <w:vertAlign w:val="baseline"/>
        </w:rPr>
        <w:t>summary</w:t>
      </w:r>
      <w:r>
        <w:rPr>
          <w:spacing w:val="-4"/>
          <w:sz w:val="18"/>
          <w:vertAlign w:val="baseline"/>
        </w:rPr>
        <w:t> </w:t>
      </w:r>
      <w:r>
        <w:rPr>
          <w:sz w:val="18"/>
          <w:vertAlign w:val="baseline"/>
        </w:rPr>
        <w:t>statistics</w:t>
      </w:r>
      <w:r>
        <w:rPr>
          <w:spacing w:val="-4"/>
          <w:sz w:val="18"/>
          <w:vertAlign w:val="baseline"/>
        </w:rPr>
        <w:t> </w:t>
      </w:r>
      <w:r>
        <w:rPr>
          <w:sz w:val="18"/>
          <w:vertAlign w:val="baseline"/>
        </w:rPr>
        <w:t>on</w:t>
      </w:r>
      <w:r>
        <w:rPr>
          <w:spacing w:val="-5"/>
          <w:sz w:val="18"/>
          <w:vertAlign w:val="baseline"/>
        </w:rPr>
        <w:t> </w:t>
      </w:r>
      <w:r>
        <w:rPr>
          <w:sz w:val="18"/>
          <w:vertAlign w:val="baseline"/>
        </w:rPr>
        <w:t>the</w:t>
      </w:r>
      <w:r>
        <w:rPr>
          <w:spacing w:val="-4"/>
          <w:sz w:val="18"/>
          <w:vertAlign w:val="baseline"/>
        </w:rPr>
        <w:t> </w:t>
      </w:r>
      <w:r>
        <w:rPr>
          <w:sz w:val="18"/>
          <w:vertAlign w:val="baseline"/>
        </w:rPr>
        <w:t>percentage</w:t>
      </w:r>
      <w:r>
        <w:rPr>
          <w:spacing w:val="-4"/>
          <w:sz w:val="18"/>
          <w:vertAlign w:val="baseline"/>
        </w:rPr>
        <w:t> </w:t>
      </w:r>
      <w:r>
        <w:rPr>
          <w:sz w:val="18"/>
          <w:vertAlign w:val="baseline"/>
        </w:rPr>
        <w:t>of</w:t>
      </w:r>
      <w:r>
        <w:rPr>
          <w:spacing w:val="-4"/>
          <w:sz w:val="18"/>
          <w:vertAlign w:val="baseline"/>
        </w:rPr>
        <w:t> </w:t>
      </w:r>
      <w:r>
        <w:rPr>
          <w:sz w:val="18"/>
          <w:vertAlign w:val="baseline"/>
        </w:rPr>
        <w:t>China’s</w:t>
      </w:r>
      <w:r>
        <w:rPr>
          <w:spacing w:val="-4"/>
          <w:sz w:val="18"/>
          <w:vertAlign w:val="baseline"/>
        </w:rPr>
        <w:t> </w:t>
      </w:r>
      <w:r>
        <w:rPr>
          <w:sz w:val="18"/>
          <w:vertAlign w:val="baseline"/>
        </w:rPr>
        <w:t>grant-</w:t>
      </w:r>
      <w:r>
        <w:rPr>
          <w:spacing w:val="-5"/>
          <w:sz w:val="18"/>
          <w:vertAlign w:val="baseline"/>
        </w:rPr>
        <w:t> and</w:t>
      </w:r>
    </w:p>
    <w:p>
      <w:pPr>
        <w:spacing w:before="9"/>
        <w:ind w:left="560" w:right="0" w:firstLine="0"/>
        <w:jc w:val="left"/>
        <w:rPr>
          <w:sz w:val="18"/>
        </w:rPr>
      </w:pPr>
      <w:r>
        <w:rPr>
          <w:sz w:val="18"/>
        </w:rPr>
        <w:t>loan-ﬁnanced</w:t>
      </w:r>
      <w:r>
        <w:rPr>
          <w:spacing w:val="2"/>
          <w:sz w:val="18"/>
        </w:rPr>
        <w:t> </w:t>
      </w:r>
      <w:r>
        <w:rPr>
          <w:sz w:val="18"/>
        </w:rPr>
        <w:t>infrastructure</w:t>
      </w:r>
      <w:r>
        <w:rPr>
          <w:spacing w:val="2"/>
          <w:sz w:val="18"/>
        </w:rPr>
        <w:t> </w:t>
      </w:r>
      <w:r>
        <w:rPr>
          <w:sz w:val="18"/>
        </w:rPr>
        <w:t>project</w:t>
      </w:r>
      <w:r>
        <w:rPr>
          <w:spacing w:val="2"/>
          <w:sz w:val="18"/>
        </w:rPr>
        <w:t> </w:t>
      </w:r>
      <w:r>
        <w:rPr>
          <w:sz w:val="18"/>
        </w:rPr>
        <w:t>portfolio</w:t>
      </w:r>
      <w:r>
        <w:rPr>
          <w:spacing w:val="2"/>
          <w:sz w:val="18"/>
        </w:rPr>
        <w:t> </w:t>
      </w:r>
      <w:r>
        <w:rPr>
          <w:sz w:val="18"/>
        </w:rPr>
        <w:t>with</w:t>
      </w:r>
      <w:r>
        <w:rPr>
          <w:spacing w:val="2"/>
          <w:sz w:val="18"/>
        </w:rPr>
        <w:t> </w:t>
      </w:r>
      <w:r>
        <w:rPr>
          <w:sz w:val="18"/>
        </w:rPr>
        <w:t>strong</w:t>
      </w:r>
      <w:r>
        <w:rPr>
          <w:spacing w:val="2"/>
          <w:sz w:val="18"/>
        </w:rPr>
        <w:t> </w:t>
      </w:r>
      <w:r>
        <w:rPr>
          <w:sz w:val="18"/>
        </w:rPr>
        <w:t>de</w:t>
      </w:r>
      <w:r>
        <w:rPr>
          <w:spacing w:val="2"/>
          <w:sz w:val="18"/>
        </w:rPr>
        <w:t> </w:t>
      </w:r>
      <w:r>
        <w:rPr>
          <w:sz w:val="18"/>
        </w:rPr>
        <w:t>jure</w:t>
      </w:r>
      <w:r>
        <w:rPr>
          <w:spacing w:val="2"/>
          <w:sz w:val="18"/>
        </w:rPr>
        <w:t> </w:t>
      </w:r>
      <w:r>
        <w:rPr>
          <w:sz w:val="18"/>
        </w:rPr>
        <w:t>ESG</w:t>
      </w:r>
      <w:r>
        <w:rPr>
          <w:spacing w:val="2"/>
          <w:sz w:val="18"/>
        </w:rPr>
        <w:t> </w:t>
      </w:r>
      <w:r>
        <w:rPr>
          <w:sz w:val="18"/>
        </w:rPr>
        <w:t>safeguards</w:t>
      </w:r>
      <w:r>
        <w:rPr>
          <w:spacing w:val="2"/>
          <w:sz w:val="18"/>
        </w:rPr>
        <w:t> </w:t>
      </w:r>
      <w:r>
        <w:rPr>
          <w:sz w:val="18"/>
        </w:rPr>
        <w:t>between</w:t>
      </w:r>
      <w:r>
        <w:rPr>
          <w:spacing w:val="2"/>
          <w:sz w:val="18"/>
        </w:rPr>
        <w:t> </w:t>
      </w:r>
      <w:r>
        <w:rPr>
          <w:sz w:val="18"/>
        </w:rPr>
        <w:t>2000</w:t>
      </w:r>
      <w:r>
        <w:rPr>
          <w:spacing w:val="2"/>
          <w:sz w:val="18"/>
        </w:rPr>
        <w:t> </w:t>
      </w:r>
      <w:r>
        <w:rPr>
          <w:sz w:val="18"/>
        </w:rPr>
        <w:t>and</w:t>
      </w:r>
      <w:r>
        <w:rPr>
          <w:spacing w:val="2"/>
          <w:sz w:val="18"/>
        </w:rPr>
        <w:t> </w:t>
      </w:r>
      <w:r>
        <w:rPr>
          <w:spacing w:val="-2"/>
          <w:sz w:val="18"/>
        </w:rPr>
        <w:t>2021.</w:t>
      </w:r>
    </w:p>
    <w:p>
      <w:pPr>
        <w:spacing w:after="0"/>
        <w:jc w:val="left"/>
        <w:rPr>
          <w:sz w:val="18"/>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35" filled="true" fillcolor="#5b666f" stroked="false">
            <w10:anchorlock/>
            <v:textbox inset="0,0,0,0">
              <w:txbxContent>
                <w:p>
                  <w:pPr>
                    <w:spacing w:before="127"/>
                    <w:ind w:left="120" w:right="0" w:firstLine="0"/>
                    <w:jc w:val="left"/>
                    <w:rPr>
                      <w:b/>
                      <w:color w:val="000000"/>
                      <w:sz w:val="32"/>
                    </w:rPr>
                  </w:pPr>
                  <w:r>
                    <w:rPr>
                      <w:b/>
                      <w:color w:val="FFFFFF"/>
                      <w:spacing w:val="-6"/>
                      <w:sz w:val="32"/>
                    </w:rPr>
                    <w:t>Figure</w:t>
                  </w:r>
                  <w:r>
                    <w:rPr>
                      <w:b/>
                      <w:color w:val="FFFFFF"/>
                      <w:spacing w:val="-16"/>
                      <w:sz w:val="32"/>
                    </w:rPr>
                    <w:t> </w:t>
                  </w:r>
                  <w:r>
                    <w:rPr>
                      <w:b/>
                      <w:color w:val="FFFFFF"/>
                      <w:spacing w:val="-6"/>
                      <w:sz w:val="32"/>
                    </w:rPr>
                    <w:t>3.8.1:</w:t>
                  </w:r>
                  <w:r>
                    <w:rPr>
                      <w:b/>
                      <w:color w:val="FFFFFF"/>
                      <w:spacing w:val="-14"/>
                      <w:sz w:val="32"/>
                    </w:rPr>
                    <w:t> </w:t>
                  </w:r>
                  <w:r>
                    <w:rPr>
                      <w:b/>
                      <w:color w:val="FFFFFF"/>
                      <w:spacing w:val="-6"/>
                      <w:sz w:val="32"/>
                    </w:rPr>
                    <w:t>Environment</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42">
            <wp:simplePos x="0" y="0"/>
            <wp:positionH relativeFrom="page">
              <wp:posOffset>1250540</wp:posOffset>
            </wp:positionH>
            <wp:positionV relativeFrom="paragraph">
              <wp:posOffset>116384</wp:posOffset>
            </wp:positionV>
            <wp:extent cx="5345861" cy="323669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345861" cy="3236690"/>
                    </a:xfrm>
                    <a:prstGeom prst="rect">
                      <a:avLst/>
                    </a:prstGeom>
                  </pic:spPr>
                </pic:pic>
              </a:graphicData>
            </a:graphic>
          </wp:anchor>
        </w:drawing>
      </w:r>
      <w:r>
        <w:rPr/>
        <w:pict>
          <v:shape style="position:absolute;margin-left:84pt;margin-top:276.987122pt;width:444pt;height:38pt;mso-position-horizontal-relative:page;mso-position-vertical-relative:paragraph;z-index:-15706624;mso-wrap-distance-left:0;mso-wrap-distance-right:0" type="#_x0000_t202" id="docshape36" filled="true" fillcolor="#5b666f" stroked="false">
            <v:textbox inset="0,0,0,0">
              <w:txbxContent>
                <w:p>
                  <w:pPr>
                    <w:spacing w:before="126"/>
                    <w:ind w:left="120" w:right="0" w:firstLine="0"/>
                    <w:jc w:val="left"/>
                    <w:rPr>
                      <w:b/>
                      <w:color w:val="000000"/>
                      <w:sz w:val="32"/>
                    </w:rPr>
                  </w:pPr>
                  <w:r>
                    <w:rPr>
                      <w:b/>
                      <w:color w:val="FFFFFF"/>
                      <w:spacing w:val="-6"/>
                      <w:sz w:val="32"/>
                    </w:rPr>
                    <w:t>Figure</w:t>
                  </w:r>
                  <w:r>
                    <w:rPr>
                      <w:b/>
                      <w:color w:val="FFFFFF"/>
                      <w:spacing w:val="-16"/>
                      <w:sz w:val="32"/>
                    </w:rPr>
                    <w:t> </w:t>
                  </w:r>
                  <w:r>
                    <w:rPr>
                      <w:b/>
                      <w:color w:val="FFFFFF"/>
                      <w:spacing w:val="-6"/>
                      <w:sz w:val="32"/>
                    </w:rPr>
                    <w:t>3.8.2:</w:t>
                  </w:r>
                  <w:r>
                    <w:rPr>
                      <w:b/>
                      <w:color w:val="FFFFFF"/>
                      <w:spacing w:val="-14"/>
                      <w:sz w:val="32"/>
                    </w:rPr>
                    <w:t> </w:t>
                  </w:r>
                  <w:r>
                    <w:rPr>
                      <w:b/>
                      <w:color w:val="FFFFFF"/>
                      <w:spacing w:val="-6"/>
                      <w:sz w:val="32"/>
                    </w:rPr>
                    <w:t>Social</w:t>
                  </w:r>
                </w:p>
              </w:txbxContent>
            </v:textbox>
            <v:fill type="solid"/>
            <w10:wrap type="topAndBottom"/>
          </v:shape>
        </w:pict>
      </w:r>
      <w:r>
        <w:rPr/>
        <w:drawing>
          <wp:anchor distT="0" distB="0" distL="0" distR="0" allowOverlap="1" layoutInCell="1" locked="0" behindDoc="0" simplePos="0" relativeHeight="44">
            <wp:simplePos x="0" y="0"/>
            <wp:positionH relativeFrom="page">
              <wp:posOffset>1250540</wp:posOffset>
            </wp:positionH>
            <wp:positionV relativeFrom="paragraph">
              <wp:posOffset>4129060</wp:posOffset>
            </wp:positionV>
            <wp:extent cx="5237888" cy="316782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237888" cy="3167824"/>
                    </a:xfrm>
                    <a:prstGeom prst="rect">
                      <a:avLst/>
                    </a:prstGeom>
                  </pic:spPr>
                </pic:pic>
              </a:graphicData>
            </a:graphic>
          </wp:anchor>
        </w:drawing>
      </w:r>
    </w:p>
    <w:p>
      <w:pPr>
        <w:pStyle w:val="BodyText"/>
        <w:spacing w:before="5"/>
        <w:rPr>
          <w:sz w:val="20"/>
        </w:rPr>
      </w:pPr>
    </w:p>
    <w:p>
      <w:pPr>
        <w:pStyle w:val="BodyText"/>
        <w:spacing w:before="6"/>
        <w:rPr>
          <w:sz w:val="15"/>
        </w:rPr>
      </w:pPr>
    </w:p>
    <w:p>
      <w:pPr>
        <w:spacing w:after="0"/>
        <w:rPr>
          <w:sz w:val="15"/>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37" filled="true" fillcolor="#5b666f" stroked="false">
            <w10:anchorlock/>
            <v:textbox inset="0,0,0,0">
              <w:txbxContent>
                <w:p>
                  <w:pPr>
                    <w:spacing w:before="129"/>
                    <w:ind w:left="120" w:right="0" w:firstLine="0"/>
                    <w:jc w:val="left"/>
                    <w:rPr>
                      <w:b/>
                      <w:color w:val="000000"/>
                      <w:sz w:val="32"/>
                    </w:rPr>
                  </w:pPr>
                  <w:r>
                    <w:rPr>
                      <w:b/>
                      <w:color w:val="FFFFFF"/>
                      <w:spacing w:val="-6"/>
                      <w:sz w:val="32"/>
                    </w:rPr>
                    <w:t>Figure</w:t>
                  </w:r>
                  <w:r>
                    <w:rPr>
                      <w:b/>
                      <w:color w:val="FFFFFF"/>
                      <w:spacing w:val="-18"/>
                      <w:sz w:val="32"/>
                    </w:rPr>
                    <w:t> </w:t>
                  </w:r>
                  <w:r>
                    <w:rPr>
                      <w:b/>
                      <w:color w:val="FFFFFF"/>
                      <w:spacing w:val="-6"/>
                      <w:sz w:val="32"/>
                    </w:rPr>
                    <w:t>3.8.3:</w:t>
                  </w:r>
                  <w:r>
                    <w:rPr>
                      <w:b/>
                      <w:color w:val="FFFFFF"/>
                      <w:spacing w:val="-14"/>
                      <w:sz w:val="32"/>
                    </w:rPr>
                    <w:t> </w:t>
                  </w:r>
                  <w:r>
                    <w:rPr>
                      <w:b/>
                      <w:color w:val="FFFFFF"/>
                      <w:spacing w:val="-6"/>
                      <w:sz w:val="32"/>
                    </w:rPr>
                    <w:t>Governance</w:t>
                  </w:r>
                </w:p>
              </w:txbxContent>
            </v:textbox>
            <v:fill type="solid"/>
          </v:shape>
        </w:pict>
      </w:r>
      <w:r>
        <w:rPr>
          <w:sz w:val="20"/>
        </w:rPr>
      </w:r>
    </w:p>
    <w:p>
      <w:pPr>
        <w:pStyle w:val="BodyText"/>
        <w:rPr>
          <w:sz w:val="14"/>
        </w:rPr>
      </w:pPr>
      <w:r>
        <w:rPr/>
        <w:drawing>
          <wp:anchor distT="0" distB="0" distL="0" distR="0" allowOverlap="1" layoutInCell="1" locked="0" behindDoc="0" simplePos="0" relativeHeight="46">
            <wp:simplePos x="0" y="0"/>
            <wp:positionH relativeFrom="page">
              <wp:posOffset>1250540</wp:posOffset>
            </wp:positionH>
            <wp:positionV relativeFrom="paragraph">
              <wp:posOffset>117746</wp:posOffset>
            </wp:positionV>
            <wp:extent cx="5345409" cy="323669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345409" cy="3236690"/>
                    </a:xfrm>
                    <a:prstGeom prst="rect">
                      <a:avLst/>
                    </a:prstGeom>
                  </pic:spPr>
                </pic:pic>
              </a:graphicData>
            </a:graphic>
          </wp:anchor>
        </w:drawing>
      </w:r>
    </w:p>
    <w:p>
      <w:pPr>
        <w:pStyle w:val="BodyText"/>
        <w:spacing w:before="1"/>
        <w:rPr>
          <w:sz w:val="14"/>
        </w:rPr>
      </w:pPr>
    </w:p>
    <w:p>
      <w:pPr>
        <w:spacing w:before="72"/>
        <w:ind w:left="560" w:right="0" w:firstLine="0"/>
        <w:jc w:val="left"/>
        <w:rPr>
          <w:i/>
          <w:sz w:val="18"/>
        </w:rPr>
      </w:pPr>
      <w:r>
        <w:rPr>
          <w:i/>
          <w:sz w:val="18"/>
        </w:rPr>
        <w:t>Notes:</w:t>
      </w:r>
      <w:r>
        <w:rPr>
          <w:i/>
          <w:spacing w:val="1"/>
          <w:sz w:val="18"/>
        </w:rPr>
        <w:t> </w:t>
      </w:r>
      <w:r>
        <w:rPr>
          <w:i/>
          <w:sz w:val="18"/>
        </w:rPr>
        <w:t>The</w:t>
      </w:r>
      <w:r>
        <w:rPr>
          <w:i/>
          <w:spacing w:val="2"/>
          <w:sz w:val="18"/>
        </w:rPr>
        <w:t> </w:t>
      </w:r>
      <w:r>
        <w:rPr>
          <w:i/>
          <w:sz w:val="18"/>
        </w:rPr>
        <w:t>safeguard</w:t>
      </w:r>
      <w:r>
        <w:rPr>
          <w:i/>
          <w:spacing w:val="2"/>
          <w:sz w:val="18"/>
        </w:rPr>
        <w:t> </w:t>
      </w:r>
      <w:r>
        <w:rPr>
          <w:i/>
          <w:sz w:val="18"/>
        </w:rPr>
        <w:t>stringency</w:t>
      </w:r>
      <w:r>
        <w:rPr>
          <w:i/>
          <w:spacing w:val="2"/>
          <w:sz w:val="18"/>
        </w:rPr>
        <w:t> </w:t>
      </w:r>
      <w:r>
        <w:rPr>
          <w:i/>
          <w:sz w:val="18"/>
        </w:rPr>
        <w:t>ratings</w:t>
      </w:r>
      <w:r>
        <w:rPr>
          <w:i/>
          <w:spacing w:val="2"/>
          <w:sz w:val="18"/>
        </w:rPr>
        <w:t> </w:t>
      </w:r>
      <w:r>
        <w:rPr>
          <w:i/>
          <w:sz w:val="18"/>
        </w:rPr>
        <w:t>for</w:t>
      </w:r>
      <w:r>
        <w:rPr>
          <w:i/>
          <w:spacing w:val="2"/>
          <w:sz w:val="18"/>
        </w:rPr>
        <w:t> </w:t>
      </w:r>
      <w:r>
        <w:rPr>
          <w:i/>
          <w:sz w:val="18"/>
        </w:rPr>
        <w:t>each</w:t>
      </w:r>
      <w:r>
        <w:rPr>
          <w:i/>
          <w:spacing w:val="2"/>
          <w:sz w:val="18"/>
        </w:rPr>
        <w:t> </w:t>
      </w:r>
      <w:r>
        <w:rPr>
          <w:i/>
          <w:sz w:val="18"/>
        </w:rPr>
        <w:t>grant-giving</w:t>
      </w:r>
      <w:r>
        <w:rPr>
          <w:i/>
          <w:spacing w:val="2"/>
          <w:sz w:val="18"/>
        </w:rPr>
        <w:t> </w:t>
      </w:r>
      <w:r>
        <w:rPr>
          <w:i/>
          <w:sz w:val="18"/>
        </w:rPr>
        <w:t>and</w:t>
      </w:r>
      <w:r>
        <w:rPr>
          <w:i/>
          <w:spacing w:val="2"/>
          <w:sz w:val="18"/>
        </w:rPr>
        <w:t> </w:t>
      </w:r>
      <w:r>
        <w:rPr>
          <w:i/>
          <w:sz w:val="18"/>
        </w:rPr>
        <w:t>lending</w:t>
      </w:r>
      <w:r>
        <w:rPr>
          <w:i/>
          <w:spacing w:val="2"/>
          <w:sz w:val="18"/>
        </w:rPr>
        <w:t> </w:t>
      </w:r>
      <w:r>
        <w:rPr>
          <w:i/>
          <w:sz w:val="18"/>
        </w:rPr>
        <w:t>instrument</w:t>
      </w:r>
      <w:r>
        <w:rPr>
          <w:i/>
          <w:spacing w:val="2"/>
          <w:sz w:val="18"/>
        </w:rPr>
        <w:t> </w:t>
      </w:r>
      <w:r>
        <w:rPr>
          <w:i/>
          <w:sz w:val="18"/>
        </w:rPr>
        <w:t>are</w:t>
      </w:r>
      <w:r>
        <w:rPr>
          <w:i/>
          <w:spacing w:val="2"/>
          <w:sz w:val="18"/>
        </w:rPr>
        <w:t> </w:t>
      </w:r>
      <w:r>
        <w:rPr>
          <w:i/>
          <w:sz w:val="18"/>
        </w:rPr>
        <w:t>based</w:t>
      </w:r>
      <w:r>
        <w:rPr>
          <w:i/>
          <w:spacing w:val="2"/>
          <w:sz w:val="18"/>
        </w:rPr>
        <w:t> </w:t>
      </w:r>
      <w:r>
        <w:rPr>
          <w:i/>
          <w:sz w:val="18"/>
        </w:rPr>
        <w:t>on</w:t>
      </w:r>
      <w:r>
        <w:rPr>
          <w:i/>
          <w:spacing w:val="2"/>
          <w:sz w:val="18"/>
        </w:rPr>
        <w:t> </w:t>
      </w:r>
      <w:r>
        <w:rPr>
          <w:i/>
          <w:spacing w:val="-2"/>
          <w:sz w:val="18"/>
        </w:rPr>
        <w:t>Table</w:t>
      </w:r>
    </w:p>
    <w:p>
      <w:pPr>
        <w:spacing w:before="80"/>
        <w:ind w:left="560" w:right="0" w:firstLine="0"/>
        <w:jc w:val="left"/>
        <w:rPr>
          <w:i/>
          <w:sz w:val="18"/>
        </w:rPr>
      </w:pPr>
      <w:r>
        <w:rPr>
          <w:i/>
          <w:sz w:val="18"/>
        </w:rPr>
        <w:t>3.1</w:t>
      </w:r>
      <w:r>
        <w:rPr>
          <w:i/>
          <w:spacing w:val="2"/>
          <w:sz w:val="18"/>
        </w:rPr>
        <w:t> </w:t>
      </w:r>
      <w:r>
        <w:rPr>
          <w:i/>
          <w:sz w:val="18"/>
        </w:rPr>
        <w:t>and</w:t>
      </w:r>
      <w:r>
        <w:rPr>
          <w:i/>
          <w:spacing w:val="3"/>
          <w:sz w:val="18"/>
        </w:rPr>
        <w:t> </w:t>
      </w:r>
      <w:r>
        <w:rPr>
          <w:i/>
          <w:sz w:val="18"/>
        </w:rPr>
        <w:t>explained</w:t>
      </w:r>
      <w:r>
        <w:rPr>
          <w:i/>
          <w:spacing w:val="3"/>
          <w:sz w:val="18"/>
        </w:rPr>
        <w:t> </w:t>
      </w:r>
      <w:r>
        <w:rPr>
          <w:i/>
          <w:sz w:val="18"/>
        </w:rPr>
        <w:t>in</w:t>
      </w:r>
      <w:r>
        <w:rPr>
          <w:i/>
          <w:spacing w:val="3"/>
          <w:sz w:val="18"/>
        </w:rPr>
        <w:t> </w:t>
      </w:r>
      <w:r>
        <w:rPr>
          <w:i/>
          <w:sz w:val="18"/>
        </w:rPr>
        <w:t>Section</w:t>
      </w:r>
      <w:r>
        <w:rPr>
          <w:i/>
          <w:spacing w:val="2"/>
          <w:sz w:val="18"/>
        </w:rPr>
        <w:t> </w:t>
      </w:r>
      <w:r>
        <w:rPr>
          <w:i/>
          <w:sz w:val="18"/>
        </w:rPr>
        <w:t>A-9</w:t>
      </w:r>
      <w:r>
        <w:rPr>
          <w:i/>
          <w:spacing w:val="3"/>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18"/>
        </w:rPr>
      </w:pPr>
    </w:p>
    <w:p>
      <w:pPr>
        <w:pStyle w:val="BodyText"/>
        <w:spacing w:before="9"/>
        <w:rPr>
          <w:i/>
          <w:sz w:val="16"/>
        </w:rPr>
      </w:pPr>
    </w:p>
    <w:p>
      <w:pPr>
        <w:pStyle w:val="BodyText"/>
        <w:spacing w:line="333" w:lineRule="auto"/>
        <w:ind w:left="560" w:right="728"/>
      </w:pPr>
      <w:r>
        <w:rPr/>
        <w:t>However, Beijing has not demonstrated comparable levels of enthusiasm for </w:t>
      </w:r>
      <w:r>
        <w:rPr/>
        <w:t>all types of ESG safeguards during the late BRI era. Figure 3.8 demonstrates that 37% of the infrastructure project portfolio was subjected to strong de jure environmental safeguards from 2018 to 2021, as compared to 20% during the previous eighteen-year period (2000-2017). Similarly, 40% of the infrastructure project portfolio was subjected to strong de jure governance safeguards from 2018 to 2021, as compared to 20% during the previous eighteen-year period </w:t>
      </w:r>
      <w:r>
        <w:rPr>
          <w:spacing w:val="-2"/>
        </w:rPr>
        <w:t>(2000-2017).</w:t>
      </w:r>
    </w:p>
    <w:p>
      <w:pPr>
        <w:pStyle w:val="BodyText"/>
        <w:spacing w:before="5"/>
        <w:rPr>
          <w:sz w:val="27"/>
        </w:rPr>
      </w:pPr>
    </w:p>
    <w:p>
      <w:pPr>
        <w:pStyle w:val="BodyText"/>
        <w:spacing w:line="333" w:lineRule="auto"/>
        <w:ind w:left="560" w:right="561"/>
      </w:pPr>
      <w:r>
        <w:rPr/>
        <w:t>Yet</w:t>
      </w:r>
      <w:r>
        <w:rPr>
          <w:spacing w:val="-2"/>
        </w:rPr>
        <w:t> </w:t>
      </w:r>
      <w:r>
        <w:rPr/>
        <w:t>Beijing</w:t>
      </w:r>
      <w:r>
        <w:rPr>
          <w:spacing w:val="-2"/>
        </w:rPr>
        <w:t> </w:t>
      </w:r>
      <w:r>
        <w:rPr/>
        <w:t>demonstrated</w:t>
      </w:r>
      <w:r>
        <w:rPr>
          <w:spacing w:val="-2"/>
        </w:rPr>
        <w:t> </w:t>
      </w:r>
      <w:r>
        <w:rPr/>
        <w:t>far</w:t>
      </w:r>
      <w:r>
        <w:rPr>
          <w:spacing w:val="-2"/>
        </w:rPr>
        <w:t> </w:t>
      </w:r>
      <w:r>
        <w:rPr/>
        <w:t>less</w:t>
      </w:r>
      <w:r>
        <w:rPr>
          <w:spacing w:val="-2"/>
        </w:rPr>
        <w:t> </w:t>
      </w:r>
      <w:r>
        <w:rPr/>
        <w:t>interest</w:t>
      </w:r>
      <w:r>
        <w:rPr>
          <w:spacing w:val="-2"/>
        </w:rPr>
        <w:t> </w:t>
      </w:r>
      <w:r>
        <w:rPr/>
        <w:t>in</w:t>
      </w:r>
      <w:r>
        <w:rPr>
          <w:spacing w:val="-2"/>
        </w:rPr>
        <w:t> </w:t>
      </w:r>
      <w:r>
        <w:rPr/>
        <w:t>applying</w:t>
      </w:r>
      <w:r>
        <w:rPr>
          <w:spacing w:val="-2"/>
        </w:rPr>
        <w:t> </w:t>
      </w:r>
      <w:r>
        <w:rPr/>
        <w:t>stringent</w:t>
      </w:r>
      <w:r>
        <w:rPr>
          <w:spacing w:val="-2"/>
        </w:rPr>
        <w:t> </w:t>
      </w:r>
      <w:r>
        <w:rPr/>
        <w:t>social</w:t>
      </w:r>
      <w:r>
        <w:rPr>
          <w:spacing w:val="-2"/>
        </w:rPr>
        <w:t> </w:t>
      </w:r>
      <w:r>
        <w:rPr/>
        <w:t>safeguards to its overseas infrastructure project portfolio during the late BRI era. Between 2018 and 2021, it </w:t>
      </w:r>
      <w:r>
        <w:rPr>
          <w:i/>
        </w:rPr>
        <w:t>shielded </w:t>
      </w:r>
      <w:r>
        <w:rPr/>
        <w:t>an increasing proportion of its grant- and</w:t>
      </w:r>
    </w:p>
    <w:p>
      <w:pPr>
        <w:pStyle w:val="BodyText"/>
        <w:spacing w:line="333" w:lineRule="auto"/>
        <w:ind w:left="560" w:right="561"/>
      </w:pPr>
      <w:r>
        <w:rPr/>
        <w:t>loan-ﬁnanced infrastructure project portfolio from these types of safeguards </w:t>
      </w:r>
      <w:r>
        <w:rPr/>
        <w:t>(see Figure 3.8). While the proximate explanation for this change during the late BRI era was the removal of social safeguard enforcement mechanisms from the loan contracts of China’s state-owned commercial banks (see Table 3.1), the</w:t>
      </w:r>
    </w:p>
    <w:p>
      <w:pPr>
        <w:spacing w:after="0" w:line="333" w:lineRule="auto"/>
        <w:sectPr>
          <w:pgSz w:w="12240" w:h="15840"/>
          <w:pgMar w:header="0" w:footer="720" w:top="1420" w:bottom="920" w:left="1240" w:right="1260"/>
        </w:sectPr>
      </w:pPr>
    </w:p>
    <w:p>
      <w:pPr>
        <w:pStyle w:val="BodyText"/>
        <w:spacing w:line="333" w:lineRule="auto" w:before="27"/>
        <w:ind w:left="560" w:right="561"/>
      </w:pPr>
      <w:r>
        <w:rPr/>
        <w:t>underlying reason why it took place is a mystery. One possibility—potentially deserving</w:t>
      </w:r>
      <w:r>
        <w:rPr>
          <w:spacing w:val="-2"/>
        </w:rPr>
        <w:t> </w:t>
      </w:r>
      <w:r>
        <w:rPr/>
        <w:t>attention</w:t>
      </w:r>
      <w:r>
        <w:rPr>
          <w:spacing w:val="-2"/>
        </w:rPr>
        <w:t> </w:t>
      </w:r>
      <w:r>
        <w:rPr/>
        <w:t>in</w:t>
      </w:r>
      <w:r>
        <w:rPr>
          <w:spacing w:val="-2"/>
        </w:rPr>
        <w:t> </w:t>
      </w:r>
      <w:r>
        <w:rPr/>
        <w:t>future</w:t>
      </w:r>
      <w:r>
        <w:rPr>
          <w:spacing w:val="-2"/>
        </w:rPr>
        <w:t> </w:t>
      </w:r>
      <w:r>
        <w:rPr/>
        <w:t>research—is</w:t>
      </w:r>
      <w:r>
        <w:rPr>
          <w:spacing w:val="-2"/>
        </w:rPr>
        <w:t> </w:t>
      </w:r>
      <w:r>
        <w:rPr/>
        <w:t>that</w:t>
      </w:r>
      <w:r>
        <w:rPr>
          <w:spacing w:val="-2"/>
        </w:rPr>
        <w:t> </w:t>
      </w:r>
      <w:r>
        <w:rPr/>
        <w:t>China’s</w:t>
      </w:r>
      <w:r>
        <w:rPr>
          <w:spacing w:val="-2"/>
        </w:rPr>
        <w:t> </w:t>
      </w:r>
      <w:r>
        <w:rPr/>
        <w:t>aversion</w:t>
      </w:r>
      <w:r>
        <w:rPr>
          <w:spacing w:val="-2"/>
        </w:rPr>
        <w:t> </w:t>
      </w:r>
      <w:r>
        <w:rPr/>
        <w:t>to</w:t>
      </w:r>
      <w:r>
        <w:rPr>
          <w:spacing w:val="-2"/>
        </w:rPr>
        <w:t> </w:t>
      </w:r>
      <w:r>
        <w:rPr/>
        <w:t>strong</w:t>
      </w:r>
      <w:r>
        <w:rPr>
          <w:spacing w:val="-2"/>
        </w:rPr>
        <w:t> </w:t>
      </w:r>
      <w:r>
        <w:rPr/>
        <w:t>de</w:t>
      </w:r>
      <w:r>
        <w:rPr>
          <w:spacing w:val="-2"/>
        </w:rPr>
        <w:t> </w:t>
      </w:r>
      <w:r>
        <w:rPr/>
        <w:t>jure social safeguards is related to its own disconcerting experience with the World Bank’s</w:t>
      </w:r>
      <w:r>
        <w:rPr>
          <w:spacing w:val="-3"/>
        </w:rPr>
        <w:t> </w:t>
      </w:r>
      <w:r>
        <w:rPr/>
        <w:t>social</w:t>
      </w:r>
      <w:r>
        <w:rPr>
          <w:spacing w:val="-3"/>
        </w:rPr>
        <w:t> </w:t>
      </w:r>
      <w:r>
        <w:rPr/>
        <w:t>safeguards</w:t>
      </w:r>
      <w:r>
        <w:rPr>
          <w:spacing w:val="-3"/>
        </w:rPr>
        <w:t> </w:t>
      </w:r>
      <w:r>
        <w:rPr/>
        <w:t>during</w:t>
      </w:r>
      <w:r>
        <w:rPr>
          <w:spacing w:val="-3"/>
        </w:rPr>
        <w:t> </w:t>
      </w:r>
      <w:r>
        <w:rPr/>
        <w:t>the</w:t>
      </w:r>
      <w:r>
        <w:rPr>
          <w:spacing w:val="-3"/>
        </w:rPr>
        <w:t> </w:t>
      </w:r>
      <w:r>
        <w:rPr/>
        <w:t>late</w:t>
      </w:r>
      <w:r>
        <w:rPr>
          <w:spacing w:val="-3"/>
        </w:rPr>
        <w:t> </w:t>
      </w:r>
      <w:r>
        <w:rPr/>
        <w:t>1990s</w:t>
      </w:r>
      <w:r>
        <w:rPr>
          <w:spacing w:val="-3"/>
        </w:rPr>
        <w:t> </w:t>
      </w:r>
      <w:r>
        <w:rPr/>
        <w:t>and</w:t>
      </w:r>
      <w:r>
        <w:rPr>
          <w:spacing w:val="-3"/>
        </w:rPr>
        <w:t> </w:t>
      </w:r>
      <w:r>
        <w:rPr/>
        <w:t>early</w:t>
      </w:r>
      <w:r>
        <w:rPr>
          <w:spacing w:val="-3"/>
        </w:rPr>
        <w:t> </w:t>
      </w:r>
      <w:r>
        <w:rPr/>
        <w:t>2000s</w:t>
      </w:r>
      <w:r>
        <w:rPr>
          <w:spacing w:val="-3"/>
        </w:rPr>
        <w:t> </w:t>
      </w:r>
      <w:r>
        <w:rPr/>
        <w:t>(see</w:t>
      </w:r>
      <w:r>
        <w:rPr>
          <w:spacing w:val="-3"/>
        </w:rPr>
        <w:t> </w:t>
      </w:r>
      <w:r>
        <w:rPr/>
        <w:t>Box</w:t>
      </w:r>
      <w:r>
        <w:rPr>
          <w:spacing w:val="-3"/>
        </w:rPr>
        <w:t> </w:t>
      </w:r>
      <w:r>
        <w:rPr/>
        <w:t>3a).</w:t>
      </w:r>
      <w:r>
        <w:rPr>
          <w:vertAlign w:val="superscript"/>
        </w:rPr>
        <w:t>281</w:t>
      </w:r>
    </w:p>
    <w:p>
      <w:pPr>
        <w:pStyle w:val="BodyText"/>
        <w:rPr>
          <w:sz w:val="38"/>
        </w:rPr>
      </w:pPr>
    </w:p>
    <w:p>
      <w:pPr>
        <w:pStyle w:val="Heading5"/>
        <w:spacing w:line="333" w:lineRule="auto"/>
        <w:ind w:left="560" w:right="561"/>
      </w:pPr>
      <w:r>
        <w:rPr/>
        <w:pict>
          <v:shape style="position:absolute;margin-left:84.000008pt;margin-top:-5.926155pt;width:444pt;height:473.05pt;mso-position-horizontal-relative:page;mso-position-vertical-relative:paragraph;z-index:-16591872" id="docshape38" coordorigin="1680,-119" coordsize="8880,9461" path="m10560,-119l1680,-119,1680,382,1680,401,1680,9342,10560,9342,10560,382,10560,-119xe" filled="true" fillcolor="#f0f2f4" stroked="false">
            <v:path arrowok="t"/>
            <v:fill type="solid"/>
            <w10:wrap type="none"/>
          </v:shape>
        </w:pict>
      </w:r>
      <w:r>
        <w:rPr>
          <w:spacing w:val="-8"/>
        </w:rPr>
        <w:t>Box</w:t>
      </w:r>
      <w:r>
        <w:rPr>
          <w:spacing w:val="-9"/>
        </w:rPr>
        <w:t> </w:t>
      </w:r>
      <w:r>
        <w:rPr>
          <w:spacing w:val="-8"/>
        </w:rPr>
        <w:t>3a:</w:t>
      </w:r>
      <w:r>
        <w:rPr>
          <w:spacing w:val="-9"/>
        </w:rPr>
        <w:t> </w:t>
      </w:r>
      <w:r>
        <w:rPr>
          <w:spacing w:val="-8"/>
        </w:rPr>
        <w:t>China’s experience</w:t>
      </w:r>
      <w:r>
        <w:rPr>
          <w:spacing w:val="-9"/>
        </w:rPr>
        <w:t> </w:t>
      </w:r>
      <w:r>
        <w:rPr>
          <w:spacing w:val="-8"/>
        </w:rPr>
        <w:t>with</w:t>
      </w:r>
      <w:r>
        <w:rPr>
          <w:spacing w:val="-9"/>
        </w:rPr>
        <w:t> </w:t>
      </w:r>
      <w:r>
        <w:rPr>
          <w:spacing w:val="-8"/>
        </w:rPr>
        <w:t>the</w:t>
      </w:r>
      <w:r>
        <w:rPr>
          <w:spacing w:val="-9"/>
        </w:rPr>
        <w:t> </w:t>
      </w:r>
      <w:r>
        <w:rPr>
          <w:spacing w:val="-8"/>
        </w:rPr>
        <w:t>application of</w:t>
      </w:r>
      <w:r>
        <w:rPr>
          <w:spacing w:val="-9"/>
        </w:rPr>
        <w:t> </w:t>
      </w:r>
      <w:r>
        <w:rPr>
          <w:spacing w:val="-8"/>
        </w:rPr>
        <w:t>World</w:t>
      </w:r>
      <w:r>
        <w:rPr>
          <w:spacing w:val="-9"/>
        </w:rPr>
        <w:t> </w:t>
      </w:r>
      <w:r>
        <w:rPr>
          <w:spacing w:val="-8"/>
        </w:rPr>
        <w:t>Bank social</w:t>
      </w:r>
      <w:r>
        <w:rPr>
          <w:spacing w:val="-9"/>
        </w:rPr>
        <w:t> </w:t>
      </w:r>
      <w:r>
        <w:rPr>
          <w:spacing w:val="-8"/>
        </w:rPr>
        <w:t>safeguards </w:t>
      </w:r>
      <w:r>
        <w:rPr>
          <w:spacing w:val="-2"/>
        </w:rPr>
        <w:t>to</w:t>
      </w:r>
      <w:r>
        <w:rPr>
          <w:spacing w:val="-12"/>
        </w:rPr>
        <w:t> </w:t>
      </w:r>
      <w:r>
        <w:rPr>
          <w:spacing w:val="-2"/>
        </w:rPr>
        <w:t>the</w:t>
      </w:r>
      <w:r>
        <w:rPr>
          <w:spacing w:val="-12"/>
        </w:rPr>
        <w:t> </w:t>
      </w:r>
      <w:r>
        <w:rPr>
          <w:spacing w:val="-2"/>
        </w:rPr>
        <w:t>Western</w:t>
      </w:r>
      <w:r>
        <w:rPr>
          <w:spacing w:val="-12"/>
        </w:rPr>
        <w:t> </w:t>
      </w:r>
      <w:r>
        <w:rPr>
          <w:spacing w:val="-2"/>
        </w:rPr>
        <w:t>Poverty</w:t>
      </w:r>
      <w:r>
        <w:rPr>
          <w:spacing w:val="-12"/>
        </w:rPr>
        <w:t> </w:t>
      </w:r>
      <w:r>
        <w:rPr>
          <w:spacing w:val="-2"/>
        </w:rPr>
        <w:t>Reduction</w:t>
      </w:r>
      <w:r>
        <w:rPr>
          <w:spacing w:val="-12"/>
        </w:rPr>
        <w:t> </w:t>
      </w:r>
      <w:r>
        <w:rPr>
          <w:spacing w:val="-2"/>
        </w:rPr>
        <w:t>Project</w:t>
      </w:r>
      <w:r>
        <w:rPr>
          <w:spacing w:val="-12"/>
        </w:rPr>
        <w:t> </w:t>
      </w:r>
      <w:r>
        <w:rPr>
          <w:spacing w:val="-2"/>
        </w:rPr>
        <w:t>in</w:t>
      </w:r>
      <w:r>
        <w:rPr>
          <w:spacing w:val="-12"/>
        </w:rPr>
        <w:t> </w:t>
      </w:r>
      <w:r>
        <w:rPr>
          <w:spacing w:val="-2"/>
        </w:rPr>
        <w:t>Qinghai</w:t>
      </w:r>
    </w:p>
    <w:p>
      <w:pPr>
        <w:pStyle w:val="BodyText"/>
        <w:spacing w:before="8"/>
        <w:rPr>
          <w:b/>
          <w:sz w:val="20"/>
        </w:rPr>
      </w:pPr>
    </w:p>
    <w:p>
      <w:pPr>
        <w:spacing w:line="300" w:lineRule="auto" w:before="0"/>
        <w:ind w:left="560" w:right="620" w:firstLine="0"/>
        <w:jc w:val="left"/>
        <w:rPr>
          <w:sz w:val="20"/>
        </w:rPr>
      </w:pPr>
      <w:r>
        <w:rPr>
          <w:sz w:val="20"/>
        </w:rPr>
        <w:t>In 1997, the World Bank started working with China’s provincial government in Qinghai on the design of a $40-million loan for the Western Poverty Reduction Project. The purpose of the project was to resettle approximately 60,000 poor farmers to a new irrigation tract. The resettlement area was located in central Qinghai, more than 500 kilometers from the border of</w:t>
      </w:r>
      <w:r>
        <w:rPr>
          <w:spacing w:val="40"/>
          <w:sz w:val="20"/>
        </w:rPr>
        <w:t> </w:t>
      </w:r>
      <w:r>
        <w:rPr>
          <w:sz w:val="20"/>
        </w:rPr>
        <w:t>the Tibet Autonomous Region. However, in 1999, a transnational advocacy network—consisting of Tibet NGOs (including the Tibet Information Network and the International</w:t>
      </w:r>
      <w:r>
        <w:rPr>
          <w:spacing w:val="24"/>
          <w:sz w:val="20"/>
        </w:rPr>
        <w:t> </w:t>
      </w:r>
      <w:r>
        <w:rPr>
          <w:sz w:val="20"/>
        </w:rPr>
        <w:t>Campaign for</w:t>
      </w:r>
      <w:r>
        <w:rPr>
          <w:spacing w:val="80"/>
          <w:sz w:val="20"/>
        </w:rPr>
        <w:t> </w:t>
      </w:r>
      <w:r>
        <w:rPr>
          <w:sz w:val="20"/>
        </w:rPr>
        <w:t>Tibet) and multilateral development bank monitors (such as the Bank Information Center and the Center for International Environmental Law)—launched a campaign to prevent the World Bank’s Board of Directors from green-lighting the project. They claimed, with support from the U.S. Congress and U.S. Treasury, that approval of the project would be tantamount to bankrolling genocide (by diluting Tibet’s culture with 60,000 ethnic Chinese). They also claimed that the World Bank had failed to comply with its own social safeguards policy—by classifying a project</w:t>
      </w:r>
      <w:r>
        <w:rPr>
          <w:spacing w:val="40"/>
          <w:sz w:val="20"/>
        </w:rPr>
        <w:t> </w:t>
      </w:r>
      <w:r>
        <w:rPr>
          <w:sz w:val="20"/>
        </w:rPr>
        <w:t>as “Category B” when it should have been classiﬁed as “Category A.”</w:t>
      </w:r>
      <w:r>
        <w:rPr>
          <w:sz w:val="20"/>
          <w:vertAlign w:val="superscript"/>
        </w:rPr>
        <w:t>282</w:t>
      </w:r>
    </w:p>
    <w:p>
      <w:pPr>
        <w:pStyle w:val="BodyText"/>
        <w:spacing w:before="5"/>
        <w:rPr>
          <w:sz w:val="21"/>
        </w:rPr>
      </w:pPr>
    </w:p>
    <w:p>
      <w:pPr>
        <w:spacing w:line="300" w:lineRule="auto" w:before="0"/>
        <w:ind w:left="560" w:right="561" w:firstLine="0"/>
        <w:jc w:val="left"/>
        <w:rPr>
          <w:sz w:val="20"/>
        </w:rPr>
      </w:pPr>
      <w:r>
        <w:rPr>
          <w:spacing w:val="-2"/>
          <w:w w:val="105"/>
          <w:sz w:val="20"/>
        </w:rPr>
        <w:t>When</w:t>
      </w:r>
      <w:r>
        <w:rPr>
          <w:spacing w:val="-8"/>
          <w:w w:val="105"/>
          <w:sz w:val="20"/>
        </w:rPr>
        <w:t> </w:t>
      </w:r>
      <w:r>
        <w:rPr>
          <w:spacing w:val="-2"/>
          <w:w w:val="105"/>
          <w:sz w:val="20"/>
        </w:rPr>
        <w:t>the</w:t>
      </w:r>
      <w:r>
        <w:rPr>
          <w:spacing w:val="-8"/>
          <w:w w:val="105"/>
          <w:sz w:val="20"/>
        </w:rPr>
        <w:t> </w:t>
      </w:r>
      <w:r>
        <w:rPr>
          <w:spacing w:val="-2"/>
          <w:w w:val="105"/>
          <w:sz w:val="20"/>
        </w:rPr>
        <w:t>Board</w:t>
      </w:r>
      <w:r>
        <w:rPr>
          <w:spacing w:val="-8"/>
          <w:w w:val="105"/>
          <w:sz w:val="20"/>
        </w:rPr>
        <w:t> </w:t>
      </w:r>
      <w:r>
        <w:rPr>
          <w:spacing w:val="-2"/>
          <w:w w:val="105"/>
          <w:sz w:val="20"/>
        </w:rPr>
        <w:t>of</w:t>
      </w:r>
      <w:r>
        <w:rPr>
          <w:spacing w:val="-8"/>
          <w:w w:val="105"/>
          <w:sz w:val="20"/>
        </w:rPr>
        <w:t> </w:t>
      </w:r>
      <w:r>
        <w:rPr>
          <w:spacing w:val="-2"/>
          <w:w w:val="105"/>
          <w:sz w:val="20"/>
        </w:rPr>
        <w:t>Directors</w:t>
      </w:r>
      <w:r>
        <w:rPr>
          <w:spacing w:val="-8"/>
          <w:w w:val="105"/>
          <w:sz w:val="20"/>
        </w:rPr>
        <w:t> </w:t>
      </w:r>
      <w:r>
        <w:rPr>
          <w:spacing w:val="-2"/>
          <w:w w:val="105"/>
          <w:sz w:val="20"/>
        </w:rPr>
        <w:t>voted</w:t>
      </w:r>
      <w:r>
        <w:rPr>
          <w:spacing w:val="-8"/>
          <w:w w:val="105"/>
          <w:sz w:val="20"/>
        </w:rPr>
        <w:t> </w:t>
      </w:r>
      <w:r>
        <w:rPr>
          <w:spacing w:val="-2"/>
          <w:w w:val="105"/>
          <w:sz w:val="20"/>
        </w:rPr>
        <w:t>to</w:t>
      </w:r>
      <w:r>
        <w:rPr>
          <w:spacing w:val="-8"/>
          <w:w w:val="105"/>
          <w:sz w:val="20"/>
        </w:rPr>
        <w:t> </w:t>
      </w:r>
      <w:r>
        <w:rPr>
          <w:spacing w:val="-2"/>
          <w:w w:val="105"/>
          <w:sz w:val="20"/>
        </w:rPr>
        <w:t>conditionally</w:t>
      </w:r>
      <w:r>
        <w:rPr>
          <w:spacing w:val="-8"/>
          <w:w w:val="105"/>
          <w:sz w:val="20"/>
        </w:rPr>
        <w:t> </w:t>
      </w:r>
      <w:r>
        <w:rPr>
          <w:spacing w:val="-2"/>
          <w:w w:val="105"/>
          <w:sz w:val="20"/>
        </w:rPr>
        <w:t>approve</w:t>
      </w:r>
      <w:r>
        <w:rPr>
          <w:spacing w:val="-8"/>
          <w:w w:val="105"/>
          <w:sz w:val="20"/>
        </w:rPr>
        <w:t> </w:t>
      </w:r>
      <w:r>
        <w:rPr>
          <w:spacing w:val="-2"/>
          <w:w w:val="105"/>
          <w:sz w:val="20"/>
        </w:rPr>
        <w:t>the</w:t>
      </w:r>
      <w:r>
        <w:rPr>
          <w:spacing w:val="-8"/>
          <w:w w:val="105"/>
          <w:sz w:val="20"/>
        </w:rPr>
        <w:t> </w:t>
      </w:r>
      <w:r>
        <w:rPr>
          <w:spacing w:val="-2"/>
          <w:w w:val="105"/>
          <w:sz w:val="20"/>
        </w:rPr>
        <w:t>project</w:t>
      </w:r>
      <w:r>
        <w:rPr>
          <w:spacing w:val="-8"/>
          <w:w w:val="105"/>
          <w:sz w:val="20"/>
        </w:rPr>
        <w:t> </w:t>
      </w:r>
      <w:r>
        <w:rPr>
          <w:spacing w:val="-2"/>
          <w:w w:val="105"/>
          <w:sz w:val="20"/>
        </w:rPr>
        <w:t>in</w:t>
      </w:r>
      <w:r>
        <w:rPr>
          <w:spacing w:val="-8"/>
          <w:w w:val="105"/>
          <w:sz w:val="20"/>
        </w:rPr>
        <w:t> </w:t>
      </w:r>
      <w:r>
        <w:rPr>
          <w:spacing w:val="-2"/>
          <w:w w:val="105"/>
          <w:sz w:val="20"/>
        </w:rPr>
        <w:t>June</w:t>
      </w:r>
      <w:r>
        <w:rPr>
          <w:spacing w:val="-8"/>
          <w:w w:val="105"/>
          <w:sz w:val="20"/>
        </w:rPr>
        <w:t> </w:t>
      </w:r>
      <w:r>
        <w:rPr>
          <w:spacing w:val="-2"/>
          <w:w w:val="105"/>
          <w:sz w:val="20"/>
        </w:rPr>
        <w:t>1999,</w:t>
      </w:r>
      <w:r>
        <w:rPr>
          <w:spacing w:val="-8"/>
          <w:w w:val="105"/>
          <w:sz w:val="20"/>
        </w:rPr>
        <w:t> </w:t>
      </w:r>
      <w:r>
        <w:rPr>
          <w:spacing w:val="-2"/>
          <w:w w:val="105"/>
          <w:sz w:val="20"/>
        </w:rPr>
        <w:t>a</w:t>
      </w:r>
      <w:r>
        <w:rPr>
          <w:spacing w:val="-8"/>
          <w:w w:val="105"/>
          <w:sz w:val="20"/>
        </w:rPr>
        <w:t> </w:t>
      </w:r>
      <w:r>
        <w:rPr>
          <w:spacing w:val="-2"/>
          <w:w w:val="105"/>
          <w:sz w:val="20"/>
        </w:rPr>
        <w:t>group</w:t>
      </w:r>
      <w:r>
        <w:rPr>
          <w:spacing w:val="-8"/>
          <w:w w:val="105"/>
          <w:sz w:val="20"/>
        </w:rPr>
        <w:t> </w:t>
      </w:r>
      <w:r>
        <w:rPr>
          <w:spacing w:val="-2"/>
          <w:w w:val="105"/>
          <w:sz w:val="20"/>
        </w:rPr>
        <w:t>of </w:t>
      </w:r>
      <w:r>
        <w:rPr>
          <w:w w:val="105"/>
          <w:sz w:val="20"/>
        </w:rPr>
        <w:t>campaigners</w:t>
      </w:r>
      <w:r>
        <w:rPr>
          <w:spacing w:val="-15"/>
          <w:w w:val="105"/>
          <w:sz w:val="20"/>
        </w:rPr>
        <w:t> </w:t>
      </w:r>
      <w:r>
        <w:rPr>
          <w:w w:val="105"/>
          <w:sz w:val="20"/>
        </w:rPr>
        <w:t>hung</w:t>
      </w:r>
      <w:r>
        <w:rPr>
          <w:spacing w:val="-15"/>
          <w:w w:val="105"/>
          <w:sz w:val="20"/>
        </w:rPr>
        <w:t> </w:t>
      </w:r>
      <w:r>
        <w:rPr>
          <w:w w:val="105"/>
          <w:sz w:val="20"/>
        </w:rPr>
        <w:t>a</w:t>
      </w:r>
      <w:r>
        <w:rPr>
          <w:spacing w:val="-14"/>
          <w:w w:val="105"/>
          <w:sz w:val="20"/>
        </w:rPr>
        <w:t> </w:t>
      </w:r>
      <w:r>
        <w:rPr>
          <w:w w:val="105"/>
          <w:sz w:val="20"/>
        </w:rPr>
        <w:t>“World</w:t>
      </w:r>
      <w:r>
        <w:rPr>
          <w:spacing w:val="-15"/>
          <w:w w:val="105"/>
          <w:sz w:val="20"/>
        </w:rPr>
        <w:t> </w:t>
      </w:r>
      <w:r>
        <w:rPr>
          <w:w w:val="105"/>
          <w:sz w:val="20"/>
        </w:rPr>
        <w:t>Bank</w:t>
      </w:r>
      <w:r>
        <w:rPr>
          <w:spacing w:val="-14"/>
          <w:w w:val="105"/>
          <w:sz w:val="20"/>
        </w:rPr>
        <w:t> </w:t>
      </w:r>
      <w:r>
        <w:rPr>
          <w:w w:val="105"/>
          <w:sz w:val="20"/>
        </w:rPr>
        <w:t>Approves</w:t>
      </w:r>
      <w:r>
        <w:rPr>
          <w:spacing w:val="-15"/>
          <w:w w:val="105"/>
          <w:sz w:val="20"/>
        </w:rPr>
        <w:t> </w:t>
      </w:r>
      <w:r>
        <w:rPr>
          <w:w w:val="105"/>
          <w:sz w:val="20"/>
        </w:rPr>
        <w:t>China’s</w:t>
      </w:r>
      <w:r>
        <w:rPr>
          <w:spacing w:val="-15"/>
          <w:w w:val="105"/>
          <w:sz w:val="20"/>
        </w:rPr>
        <w:t> </w:t>
      </w:r>
      <w:r>
        <w:rPr>
          <w:w w:val="105"/>
          <w:sz w:val="20"/>
        </w:rPr>
        <w:t>Genocide</w:t>
      </w:r>
      <w:r>
        <w:rPr>
          <w:spacing w:val="-14"/>
          <w:w w:val="105"/>
          <w:sz w:val="20"/>
        </w:rPr>
        <w:t> </w:t>
      </w:r>
      <w:r>
        <w:rPr>
          <w:w w:val="105"/>
          <w:sz w:val="20"/>
        </w:rPr>
        <w:t>in</w:t>
      </w:r>
      <w:r>
        <w:rPr>
          <w:spacing w:val="-15"/>
          <w:w w:val="105"/>
          <w:sz w:val="20"/>
        </w:rPr>
        <w:t> </w:t>
      </w:r>
      <w:r>
        <w:rPr>
          <w:w w:val="105"/>
          <w:sz w:val="20"/>
        </w:rPr>
        <w:t>Tibet”</w:t>
      </w:r>
      <w:r>
        <w:rPr>
          <w:spacing w:val="-14"/>
          <w:w w:val="105"/>
          <w:sz w:val="20"/>
        </w:rPr>
        <w:t> </w:t>
      </w:r>
      <w:r>
        <w:rPr>
          <w:w w:val="105"/>
          <w:sz w:val="20"/>
        </w:rPr>
        <w:t>banner</w:t>
      </w:r>
      <w:r>
        <w:rPr>
          <w:spacing w:val="-15"/>
          <w:w w:val="105"/>
          <w:sz w:val="20"/>
        </w:rPr>
        <w:t> </w:t>
      </w:r>
      <w:r>
        <w:rPr>
          <w:w w:val="105"/>
          <w:sz w:val="20"/>
        </w:rPr>
        <w:t>outside</w:t>
      </w:r>
      <w:r>
        <w:rPr>
          <w:spacing w:val="-15"/>
          <w:w w:val="105"/>
          <w:sz w:val="20"/>
        </w:rPr>
        <w:t> </w:t>
      </w:r>
      <w:r>
        <w:rPr>
          <w:w w:val="105"/>
          <w:sz w:val="20"/>
        </w:rPr>
        <w:t>World </w:t>
      </w:r>
      <w:r>
        <w:rPr>
          <w:spacing w:val="-2"/>
          <w:w w:val="105"/>
          <w:sz w:val="20"/>
        </w:rPr>
        <w:t>Bank</w:t>
      </w:r>
      <w:r>
        <w:rPr>
          <w:spacing w:val="-6"/>
          <w:w w:val="105"/>
          <w:sz w:val="20"/>
        </w:rPr>
        <w:t> </w:t>
      </w:r>
      <w:r>
        <w:rPr>
          <w:spacing w:val="-2"/>
          <w:w w:val="105"/>
          <w:sz w:val="20"/>
        </w:rPr>
        <w:t>headquarters.</w:t>
      </w:r>
      <w:r>
        <w:rPr>
          <w:spacing w:val="-6"/>
          <w:w w:val="105"/>
          <w:sz w:val="20"/>
        </w:rPr>
        <w:t> </w:t>
      </w:r>
      <w:r>
        <w:rPr>
          <w:spacing w:val="-2"/>
          <w:w w:val="105"/>
          <w:sz w:val="20"/>
        </w:rPr>
        <w:t>Robert</w:t>
      </w:r>
      <w:r>
        <w:rPr>
          <w:spacing w:val="-6"/>
          <w:w w:val="105"/>
          <w:sz w:val="20"/>
        </w:rPr>
        <w:t> </w:t>
      </w:r>
      <w:r>
        <w:rPr>
          <w:spacing w:val="-2"/>
          <w:w w:val="105"/>
          <w:sz w:val="20"/>
        </w:rPr>
        <w:t>Wade,</w:t>
      </w:r>
      <w:r>
        <w:rPr>
          <w:spacing w:val="-6"/>
          <w:w w:val="105"/>
          <w:sz w:val="20"/>
        </w:rPr>
        <w:t> </w:t>
      </w:r>
      <w:r>
        <w:rPr>
          <w:spacing w:val="-2"/>
          <w:w w:val="105"/>
          <w:sz w:val="20"/>
        </w:rPr>
        <w:t>who</w:t>
      </w:r>
      <w:r>
        <w:rPr>
          <w:spacing w:val="-6"/>
          <w:w w:val="105"/>
          <w:sz w:val="20"/>
        </w:rPr>
        <w:t> </w:t>
      </w:r>
      <w:r>
        <w:rPr>
          <w:spacing w:val="-2"/>
          <w:w w:val="105"/>
          <w:sz w:val="20"/>
        </w:rPr>
        <w:t>investigated</w:t>
      </w:r>
      <w:r>
        <w:rPr>
          <w:spacing w:val="-6"/>
          <w:w w:val="105"/>
          <w:sz w:val="20"/>
        </w:rPr>
        <w:t> </w:t>
      </w:r>
      <w:r>
        <w:rPr>
          <w:spacing w:val="-2"/>
          <w:w w:val="105"/>
          <w:sz w:val="20"/>
        </w:rPr>
        <w:t>claims</w:t>
      </w:r>
      <w:r>
        <w:rPr>
          <w:spacing w:val="-6"/>
          <w:w w:val="105"/>
          <w:sz w:val="20"/>
        </w:rPr>
        <w:t> </w:t>
      </w:r>
      <w:r>
        <w:rPr>
          <w:spacing w:val="-2"/>
          <w:w w:val="105"/>
          <w:sz w:val="20"/>
        </w:rPr>
        <w:t>about</w:t>
      </w:r>
      <w:r>
        <w:rPr>
          <w:spacing w:val="-6"/>
          <w:w w:val="105"/>
          <w:sz w:val="20"/>
        </w:rPr>
        <w:t> </w:t>
      </w:r>
      <w:r>
        <w:rPr>
          <w:spacing w:val="-2"/>
          <w:w w:val="105"/>
          <w:sz w:val="20"/>
        </w:rPr>
        <w:t>the</w:t>
      </w:r>
      <w:r>
        <w:rPr>
          <w:spacing w:val="-6"/>
          <w:w w:val="105"/>
          <w:sz w:val="20"/>
        </w:rPr>
        <w:t> </w:t>
      </w:r>
      <w:r>
        <w:rPr>
          <w:spacing w:val="-2"/>
          <w:w w:val="105"/>
          <w:sz w:val="20"/>
        </w:rPr>
        <w:t>project</w:t>
      </w:r>
      <w:r>
        <w:rPr>
          <w:spacing w:val="-6"/>
          <w:w w:val="105"/>
          <w:sz w:val="20"/>
        </w:rPr>
        <w:t> </w:t>
      </w:r>
      <w:r>
        <w:rPr>
          <w:spacing w:val="-2"/>
          <w:w w:val="105"/>
          <w:sz w:val="20"/>
        </w:rPr>
        <w:t>on</w:t>
      </w:r>
      <w:r>
        <w:rPr>
          <w:spacing w:val="-6"/>
          <w:w w:val="105"/>
          <w:sz w:val="20"/>
        </w:rPr>
        <w:t> </w:t>
      </w:r>
      <w:r>
        <w:rPr>
          <w:spacing w:val="-2"/>
          <w:w w:val="105"/>
          <w:sz w:val="20"/>
        </w:rPr>
        <w:t>behalf</w:t>
      </w:r>
      <w:r>
        <w:rPr>
          <w:spacing w:val="-6"/>
          <w:w w:val="105"/>
          <w:sz w:val="20"/>
        </w:rPr>
        <w:t> </w:t>
      </w:r>
      <w:r>
        <w:rPr>
          <w:spacing w:val="-2"/>
          <w:w w:val="105"/>
          <w:sz w:val="20"/>
        </w:rPr>
        <w:t>of</w:t>
      </w:r>
      <w:r>
        <w:rPr>
          <w:spacing w:val="-6"/>
          <w:w w:val="105"/>
          <w:sz w:val="20"/>
        </w:rPr>
        <w:t> </w:t>
      </w:r>
      <w:r>
        <w:rPr>
          <w:spacing w:val="-2"/>
          <w:w w:val="105"/>
          <w:sz w:val="20"/>
        </w:rPr>
        <w:t>the World</w:t>
      </w:r>
      <w:r>
        <w:rPr>
          <w:spacing w:val="-4"/>
          <w:w w:val="105"/>
          <w:sz w:val="20"/>
        </w:rPr>
        <w:t> </w:t>
      </w:r>
      <w:r>
        <w:rPr>
          <w:spacing w:val="-2"/>
          <w:w w:val="105"/>
          <w:sz w:val="20"/>
        </w:rPr>
        <w:t>Bank’s</w:t>
      </w:r>
      <w:r>
        <w:rPr>
          <w:spacing w:val="-4"/>
          <w:w w:val="105"/>
          <w:sz w:val="20"/>
        </w:rPr>
        <w:t> </w:t>
      </w:r>
      <w:r>
        <w:rPr>
          <w:spacing w:val="-2"/>
          <w:w w:val="105"/>
          <w:sz w:val="20"/>
        </w:rPr>
        <w:t>Inspection</w:t>
      </w:r>
      <w:r>
        <w:rPr>
          <w:spacing w:val="-4"/>
          <w:w w:val="105"/>
          <w:sz w:val="20"/>
        </w:rPr>
        <w:t> </w:t>
      </w:r>
      <w:r>
        <w:rPr>
          <w:spacing w:val="-2"/>
          <w:w w:val="105"/>
          <w:sz w:val="20"/>
        </w:rPr>
        <w:t>Panel,</w:t>
      </w:r>
      <w:r>
        <w:rPr>
          <w:spacing w:val="-4"/>
          <w:w w:val="105"/>
          <w:sz w:val="20"/>
        </w:rPr>
        <w:t> </w:t>
      </w:r>
      <w:r>
        <w:rPr>
          <w:spacing w:val="-2"/>
          <w:w w:val="105"/>
          <w:sz w:val="20"/>
        </w:rPr>
        <w:t>recounts</w:t>
      </w:r>
      <w:r>
        <w:rPr>
          <w:spacing w:val="-4"/>
          <w:w w:val="105"/>
          <w:sz w:val="20"/>
        </w:rPr>
        <w:t> </w:t>
      </w:r>
      <w:r>
        <w:rPr>
          <w:spacing w:val="-2"/>
          <w:w w:val="105"/>
          <w:sz w:val="20"/>
        </w:rPr>
        <w:t>that</w:t>
      </w:r>
      <w:r>
        <w:rPr>
          <w:spacing w:val="-4"/>
          <w:w w:val="105"/>
          <w:sz w:val="20"/>
        </w:rPr>
        <w:t> </w:t>
      </w:r>
      <w:r>
        <w:rPr>
          <w:spacing w:val="-2"/>
          <w:w w:val="105"/>
          <w:sz w:val="20"/>
        </w:rPr>
        <w:t>"[t]he</w:t>
      </w:r>
      <w:r>
        <w:rPr>
          <w:spacing w:val="-4"/>
          <w:w w:val="105"/>
          <w:sz w:val="20"/>
        </w:rPr>
        <w:t> </w:t>
      </w:r>
      <w:r>
        <w:rPr>
          <w:spacing w:val="-2"/>
          <w:w w:val="105"/>
          <w:sz w:val="20"/>
        </w:rPr>
        <w:t>NGOs</w:t>
      </w:r>
      <w:r>
        <w:rPr>
          <w:spacing w:val="-4"/>
          <w:w w:val="105"/>
          <w:sz w:val="20"/>
        </w:rPr>
        <w:t> </w:t>
      </w:r>
      <w:r>
        <w:rPr>
          <w:spacing w:val="-2"/>
          <w:w w:val="105"/>
          <w:sz w:val="20"/>
        </w:rPr>
        <w:t>put</w:t>
      </w:r>
      <w:r>
        <w:rPr>
          <w:spacing w:val="-4"/>
          <w:w w:val="105"/>
          <w:sz w:val="20"/>
        </w:rPr>
        <w:t> </w:t>
      </w:r>
      <w:r>
        <w:rPr>
          <w:spacing w:val="-2"/>
          <w:w w:val="105"/>
          <w:sz w:val="20"/>
        </w:rPr>
        <w:t>together</w:t>
      </w:r>
      <w:r>
        <w:rPr>
          <w:spacing w:val="-4"/>
          <w:w w:val="105"/>
          <w:sz w:val="20"/>
        </w:rPr>
        <w:t> </w:t>
      </w:r>
      <w:r>
        <w:rPr>
          <w:spacing w:val="-2"/>
          <w:w w:val="105"/>
          <w:sz w:val="20"/>
        </w:rPr>
        <w:t>a</w:t>
      </w:r>
      <w:r>
        <w:rPr>
          <w:spacing w:val="-4"/>
          <w:w w:val="105"/>
          <w:sz w:val="20"/>
        </w:rPr>
        <w:t> </w:t>
      </w:r>
      <w:r>
        <w:rPr>
          <w:spacing w:val="-2"/>
          <w:w w:val="105"/>
          <w:sz w:val="20"/>
        </w:rPr>
        <w:t>formidably</w:t>
      </w:r>
      <w:r>
        <w:rPr>
          <w:spacing w:val="-4"/>
          <w:w w:val="105"/>
          <w:sz w:val="20"/>
        </w:rPr>
        <w:t> </w:t>
      </w:r>
      <w:r>
        <w:rPr>
          <w:spacing w:val="-2"/>
          <w:w w:val="105"/>
          <w:sz w:val="20"/>
        </w:rPr>
        <w:t>effective campaign</w:t>
      </w:r>
      <w:r>
        <w:rPr>
          <w:spacing w:val="-8"/>
          <w:w w:val="105"/>
          <w:sz w:val="20"/>
        </w:rPr>
        <w:t> </w:t>
      </w:r>
      <w:r>
        <w:rPr>
          <w:spacing w:val="-2"/>
          <w:w w:val="105"/>
          <w:sz w:val="20"/>
        </w:rPr>
        <w:t>network.</w:t>
      </w:r>
      <w:r>
        <w:rPr>
          <w:spacing w:val="-8"/>
          <w:w w:val="105"/>
          <w:sz w:val="20"/>
        </w:rPr>
        <w:t> </w:t>
      </w:r>
      <w:r>
        <w:rPr>
          <w:spacing w:val="-2"/>
          <w:w w:val="105"/>
          <w:sz w:val="20"/>
        </w:rPr>
        <w:t>They</w:t>
      </w:r>
      <w:r>
        <w:rPr>
          <w:spacing w:val="-8"/>
          <w:w w:val="105"/>
          <w:sz w:val="20"/>
        </w:rPr>
        <w:t> </w:t>
      </w:r>
      <w:r>
        <w:rPr>
          <w:spacing w:val="-2"/>
          <w:w w:val="105"/>
          <w:sz w:val="20"/>
        </w:rPr>
        <w:t>established</w:t>
      </w:r>
      <w:r>
        <w:rPr>
          <w:spacing w:val="-8"/>
          <w:w w:val="105"/>
          <w:sz w:val="20"/>
        </w:rPr>
        <w:t> </w:t>
      </w:r>
      <w:r>
        <w:rPr>
          <w:spacing w:val="-2"/>
          <w:w w:val="105"/>
          <w:sz w:val="20"/>
        </w:rPr>
        <w:t>websites</w:t>
      </w:r>
      <w:r>
        <w:rPr>
          <w:spacing w:val="-8"/>
          <w:w w:val="105"/>
          <w:sz w:val="20"/>
        </w:rPr>
        <w:t> </w:t>
      </w:r>
      <w:r>
        <w:rPr>
          <w:spacing w:val="-2"/>
          <w:w w:val="105"/>
          <w:sz w:val="20"/>
        </w:rPr>
        <w:t>to</w:t>
      </w:r>
      <w:r>
        <w:rPr>
          <w:spacing w:val="-8"/>
          <w:w w:val="105"/>
          <w:sz w:val="20"/>
        </w:rPr>
        <w:t> </w:t>
      </w:r>
      <w:r>
        <w:rPr>
          <w:spacing w:val="-2"/>
          <w:w w:val="105"/>
          <w:sz w:val="20"/>
        </w:rPr>
        <w:t>share</w:t>
      </w:r>
      <w:r>
        <w:rPr>
          <w:spacing w:val="-8"/>
          <w:w w:val="105"/>
          <w:sz w:val="20"/>
        </w:rPr>
        <w:t> </w:t>
      </w:r>
      <w:r>
        <w:rPr>
          <w:spacing w:val="-2"/>
          <w:w w:val="105"/>
          <w:sz w:val="20"/>
        </w:rPr>
        <w:t>information</w:t>
      </w:r>
      <w:r>
        <w:rPr>
          <w:spacing w:val="-8"/>
          <w:w w:val="105"/>
          <w:sz w:val="20"/>
        </w:rPr>
        <w:t> </w:t>
      </w:r>
      <w:r>
        <w:rPr>
          <w:spacing w:val="-2"/>
          <w:w w:val="105"/>
          <w:sz w:val="20"/>
        </w:rPr>
        <w:t>and</w:t>
      </w:r>
      <w:r>
        <w:rPr>
          <w:spacing w:val="-8"/>
          <w:w w:val="105"/>
          <w:sz w:val="20"/>
        </w:rPr>
        <w:t> </w:t>
      </w:r>
      <w:r>
        <w:rPr>
          <w:spacing w:val="-2"/>
          <w:w w:val="105"/>
          <w:sz w:val="20"/>
        </w:rPr>
        <w:t>provide</w:t>
      </w:r>
      <w:r>
        <w:rPr>
          <w:spacing w:val="-8"/>
          <w:w w:val="105"/>
          <w:sz w:val="20"/>
        </w:rPr>
        <w:t> </w:t>
      </w:r>
      <w:r>
        <w:rPr>
          <w:spacing w:val="-2"/>
          <w:w w:val="105"/>
          <w:sz w:val="20"/>
        </w:rPr>
        <w:t>sample</w:t>
      </w:r>
      <w:r>
        <w:rPr>
          <w:spacing w:val="-8"/>
          <w:w w:val="105"/>
          <w:sz w:val="20"/>
        </w:rPr>
        <w:t> </w:t>
      </w:r>
      <w:r>
        <w:rPr>
          <w:spacing w:val="-2"/>
          <w:w w:val="105"/>
          <w:sz w:val="20"/>
        </w:rPr>
        <w:t>protest </w:t>
      </w:r>
      <w:r>
        <w:rPr>
          <w:w w:val="105"/>
          <w:sz w:val="20"/>
        </w:rPr>
        <w:t>letters</w:t>
      </w:r>
      <w:r>
        <w:rPr>
          <w:spacing w:val="-10"/>
          <w:w w:val="105"/>
          <w:sz w:val="20"/>
        </w:rPr>
        <w:t> </w:t>
      </w:r>
      <w:r>
        <w:rPr>
          <w:w w:val="105"/>
          <w:sz w:val="20"/>
        </w:rPr>
        <w:t>to</w:t>
      </w:r>
      <w:r>
        <w:rPr>
          <w:spacing w:val="-10"/>
          <w:w w:val="105"/>
          <w:sz w:val="20"/>
        </w:rPr>
        <w:t> </w:t>
      </w:r>
      <w:r>
        <w:rPr>
          <w:w w:val="105"/>
          <w:sz w:val="20"/>
        </w:rPr>
        <w:t>the</w:t>
      </w:r>
      <w:r>
        <w:rPr>
          <w:spacing w:val="-10"/>
          <w:w w:val="105"/>
          <w:sz w:val="20"/>
        </w:rPr>
        <w:t> </w:t>
      </w:r>
      <w:r>
        <w:rPr>
          <w:w w:val="105"/>
          <w:sz w:val="20"/>
        </w:rPr>
        <w:t>Bank</w:t>
      </w:r>
      <w:r>
        <w:rPr>
          <w:spacing w:val="-10"/>
          <w:w w:val="105"/>
          <w:sz w:val="20"/>
        </w:rPr>
        <w:t> </w:t>
      </w:r>
      <w:r>
        <w:rPr>
          <w:w w:val="105"/>
          <w:sz w:val="20"/>
        </w:rPr>
        <w:t>which</w:t>
      </w:r>
      <w:r>
        <w:rPr>
          <w:spacing w:val="-10"/>
          <w:w w:val="105"/>
          <w:sz w:val="20"/>
        </w:rPr>
        <w:t> </w:t>
      </w:r>
      <w:r>
        <w:rPr>
          <w:w w:val="105"/>
          <w:sz w:val="20"/>
        </w:rPr>
        <w:t>could</w:t>
      </w:r>
      <w:r>
        <w:rPr>
          <w:spacing w:val="-10"/>
          <w:w w:val="105"/>
          <w:sz w:val="20"/>
        </w:rPr>
        <w:t> </w:t>
      </w:r>
      <w:r>
        <w:rPr>
          <w:w w:val="105"/>
          <w:sz w:val="20"/>
        </w:rPr>
        <w:t>be</w:t>
      </w:r>
      <w:r>
        <w:rPr>
          <w:spacing w:val="-10"/>
          <w:w w:val="105"/>
          <w:sz w:val="20"/>
        </w:rPr>
        <w:t> </w:t>
      </w:r>
      <w:r>
        <w:rPr>
          <w:w w:val="105"/>
          <w:sz w:val="20"/>
        </w:rPr>
        <w:t>emailed</w:t>
      </w:r>
      <w:r>
        <w:rPr>
          <w:spacing w:val="-10"/>
          <w:w w:val="105"/>
          <w:sz w:val="20"/>
        </w:rPr>
        <w:t> </w:t>
      </w:r>
      <w:r>
        <w:rPr>
          <w:w w:val="105"/>
          <w:sz w:val="20"/>
        </w:rPr>
        <w:t>directly</w:t>
      </w:r>
      <w:r>
        <w:rPr>
          <w:spacing w:val="-10"/>
          <w:w w:val="105"/>
          <w:sz w:val="20"/>
        </w:rPr>
        <w:t> </w:t>
      </w:r>
      <w:r>
        <w:rPr>
          <w:w w:val="105"/>
          <w:sz w:val="20"/>
        </w:rPr>
        <w:t>from</w:t>
      </w:r>
      <w:r>
        <w:rPr>
          <w:spacing w:val="-10"/>
          <w:w w:val="105"/>
          <w:sz w:val="20"/>
        </w:rPr>
        <w:t> </w:t>
      </w:r>
      <w:r>
        <w:rPr>
          <w:w w:val="105"/>
          <w:sz w:val="20"/>
        </w:rPr>
        <w:t>the</w:t>
      </w:r>
      <w:r>
        <w:rPr>
          <w:spacing w:val="-10"/>
          <w:w w:val="105"/>
          <w:sz w:val="20"/>
        </w:rPr>
        <w:t> </w:t>
      </w:r>
      <w:r>
        <w:rPr>
          <w:w w:val="105"/>
          <w:sz w:val="20"/>
        </w:rPr>
        <w:t>site</w:t>
      </w:r>
      <w:r>
        <w:rPr>
          <w:spacing w:val="-10"/>
          <w:w w:val="105"/>
          <w:sz w:val="20"/>
        </w:rPr>
        <w:t> </w:t>
      </w:r>
      <w:r>
        <w:rPr>
          <w:w w:val="105"/>
          <w:sz w:val="20"/>
        </w:rPr>
        <w:t>or</w:t>
      </w:r>
      <w:r>
        <w:rPr>
          <w:spacing w:val="-10"/>
          <w:w w:val="105"/>
          <w:sz w:val="20"/>
        </w:rPr>
        <w:t> </w:t>
      </w:r>
      <w:r>
        <w:rPr>
          <w:w w:val="105"/>
          <w:sz w:val="20"/>
        </w:rPr>
        <w:t>printed</w:t>
      </w:r>
      <w:r>
        <w:rPr>
          <w:spacing w:val="-10"/>
          <w:w w:val="105"/>
          <w:sz w:val="20"/>
        </w:rPr>
        <w:t> </w:t>
      </w:r>
      <w:r>
        <w:rPr>
          <w:w w:val="105"/>
          <w:sz w:val="20"/>
        </w:rPr>
        <w:t>out</w:t>
      </w:r>
      <w:r>
        <w:rPr>
          <w:spacing w:val="-10"/>
          <w:w w:val="105"/>
          <w:sz w:val="20"/>
        </w:rPr>
        <w:t> </w:t>
      </w:r>
      <w:r>
        <w:rPr>
          <w:w w:val="105"/>
          <w:sz w:val="20"/>
        </w:rPr>
        <w:t>and</w:t>
      </w:r>
      <w:r>
        <w:rPr>
          <w:spacing w:val="-10"/>
          <w:w w:val="105"/>
          <w:sz w:val="20"/>
        </w:rPr>
        <w:t> </w:t>
      </w:r>
      <w:r>
        <w:rPr>
          <w:w w:val="105"/>
          <w:sz w:val="20"/>
        </w:rPr>
        <w:t>faxed.</w:t>
      </w:r>
      <w:r>
        <w:rPr>
          <w:spacing w:val="-10"/>
          <w:w w:val="105"/>
          <w:sz w:val="20"/>
        </w:rPr>
        <w:t> </w:t>
      </w:r>
      <w:r>
        <w:rPr>
          <w:w w:val="105"/>
          <w:sz w:val="20"/>
        </w:rPr>
        <w:t>The Tibet</w:t>
      </w:r>
      <w:r>
        <w:rPr>
          <w:spacing w:val="-15"/>
          <w:w w:val="105"/>
          <w:sz w:val="20"/>
        </w:rPr>
        <w:t> </w:t>
      </w:r>
      <w:r>
        <w:rPr>
          <w:w w:val="105"/>
          <w:sz w:val="20"/>
        </w:rPr>
        <w:t>lobby</w:t>
      </w:r>
      <w:r>
        <w:rPr>
          <w:spacing w:val="-15"/>
          <w:w w:val="105"/>
          <w:sz w:val="20"/>
        </w:rPr>
        <w:t> </w:t>
      </w:r>
      <w:r>
        <w:rPr>
          <w:w w:val="105"/>
          <w:sz w:val="20"/>
        </w:rPr>
        <w:t>sponsored</w:t>
      </w:r>
      <w:r>
        <w:rPr>
          <w:spacing w:val="-14"/>
          <w:w w:val="105"/>
          <w:sz w:val="20"/>
        </w:rPr>
        <w:t> </w:t>
      </w:r>
      <w:r>
        <w:rPr>
          <w:w w:val="105"/>
          <w:sz w:val="20"/>
        </w:rPr>
        <w:t>rock</w:t>
      </w:r>
      <w:r>
        <w:rPr>
          <w:spacing w:val="-15"/>
          <w:w w:val="105"/>
          <w:sz w:val="20"/>
        </w:rPr>
        <w:t> </w:t>
      </w:r>
      <w:r>
        <w:rPr>
          <w:w w:val="105"/>
          <w:sz w:val="20"/>
        </w:rPr>
        <w:t>concerts</w:t>
      </w:r>
      <w:r>
        <w:rPr>
          <w:spacing w:val="-14"/>
          <w:w w:val="105"/>
          <w:sz w:val="20"/>
        </w:rPr>
        <w:t> </w:t>
      </w:r>
      <w:r>
        <w:rPr>
          <w:w w:val="105"/>
          <w:sz w:val="20"/>
        </w:rPr>
        <w:t>in</w:t>
      </w:r>
      <w:r>
        <w:rPr>
          <w:spacing w:val="-15"/>
          <w:w w:val="105"/>
          <w:sz w:val="20"/>
        </w:rPr>
        <w:t> </w:t>
      </w:r>
      <w:r>
        <w:rPr>
          <w:w w:val="105"/>
          <w:sz w:val="20"/>
        </w:rPr>
        <w:t>cities</w:t>
      </w:r>
      <w:r>
        <w:rPr>
          <w:spacing w:val="-15"/>
          <w:w w:val="105"/>
          <w:sz w:val="20"/>
        </w:rPr>
        <w:t> </w:t>
      </w:r>
      <w:r>
        <w:rPr>
          <w:w w:val="105"/>
          <w:sz w:val="20"/>
        </w:rPr>
        <w:t>around</w:t>
      </w:r>
      <w:r>
        <w:rPr>
          <w:spacing w:val="-14"/>
          <w:w w:val="105"/>
          <w:sz w:val="20"/>
        </w:rPr>
        <w:t> </w:t>
      </w:r>
      <w:r>
        <w:rPr>
          <w:w w:val="105"/>
          <w:sz w:val="20"/>
        </w:rPr>
        <w:t>the</w:t>
      </w:r>
      <w:r>
        <w:rPr>
          <w:spacing w:val="-15"/>
          <w:w w:val="105"/>
          <w:sz w:val="20"/>
        </w:rPr>
        <w:t> </w:t>
      </w:r>
      <w:r>
        <w:rPr>
          <w:w w:val="105"/>
          <w:sz w:val="20"/>
        </w:rPr>
        <w:t>world,</w:t>
      </w:r>
      <w:r>
        <w:rPr>
          <w:spacing w:val="-14"/>
          <w:w w:val="105"/>
          <w:sz w:val="20"/>
        </w:rPr>
        <w:t> </w:t>
      </w:r>
      <w:r>
        <w:rPr>
          <w:w w:val="105"/>
          <w:sz w:val="20"/>
        </w:rPr>
        <w:t>with</w:t>
      </w:r>
      <w:r>
        <w:rPr>
          <w:spacing w:val="-15"/>
          <w:w w:val="105"/>
          <w:sz w:val="20"/>
        </w:rPr>
        <w:t> </w:t>
      </w:r>
      <w:r>
        <w:rPr>
          <w:w w:val="105"/>
          <w:sz w:val="20"/>
        </w:rPr>
        <w:t>prepared</w:t>
      </w:r>
      <w:r>
        <w:rPr>
          <w:spacing w:val="-15"/>
          <w:w w:val="105"/>
          <w:sz w:val="20"/>
        </w:rPr>
        <w:t> </w:t>
      </w:r>
      <w:r>
        <w:rPr>
          <w:w w:val="105"/>
          <w:sz w:val="20"/>
        </w:rPr>
        <w:t>postcards,</w:t>
      </w:r>
      <w:r>
        <w:rPr>
          <w:spacing w:val="-14"/>
          <w:w w:val="105"/>
          <w:sz w:val="20"/>
        </w:rPr>
        <w:t> </w:t>
      </w:r>
      <w:r>
        <w:rPr>
          <w:w w:val="105"/>
          <w:sz w:val="20"/>
        </w:rPr>
        <w:t>fax </w:t>
      </w:r>
      <w:r>
        <w:rPr>
          <w:sz w:val="20"/>
        </w:rPr>
        <w:t>machines and email facilities on hand. The result was a deluge of letters, postcards, emails and faxes the like of which the Bank had never seen, mainly from the U.S. and Europe. The Western </w:t>
      </w:r>
      <w:r>
        <w:rPr>
          <w:spacing w:val="-2"/>
          <w:w w:val="105"/>
          <w:sz w:val="20"/>
        </w:rPr>
        <w:t>media,</w:t>
      </w:r>
      <w:r>
        <w:rPr>
          <w:spacing w:val="-9"/>
          <w:w w:val="105"/>
          <w:sz w:val="20"/>
        </w:rPr>
        <w:t> </w:t>
      </w:r>
      <w:r>
        <w:rPr>
          <w:spacing w:val="-2"/>
          <w:w w:val="105"/>
          <w:sz w:val="20"/>
        </w:rPr>
        <w:t>both</w:t>
      </w:r>
      <w:r>
        <w:rPr>
          <w:spacing w:val="-9"/>
          <w:w w:val="105"/>
          <w:sz w:val="20"/>
        </w:rPr>
        <w:t> </w:t>
      </w:r>
      <w:r>
        <w:rPr>
          <w:spacing w:val="-2"/>
          <w:w w:val="105"/>
          <w:sz w:val="20"/>
        </w:rPr>
        <w:t>press</w:t>
      </w:r>
      <w:r>
        <w:rPr>
          <w:spacing w:val="-9"/>
          <w:w w:val="105"/>
          <w:sz w:val="20"/>
        </w:rPr>
        <w:t> </w:t>
      </w:r>
      <w:r>
        <w:rPr>
          <w:spacing w:val="-2"/>
          <w:w w:val="105"/>
          <w:sz w:val="20"/>
        </w:rPr>
        <w:t>and</w:t>
      </w:r>
      <w:r>
        <w:rPr>
          <w:spacing w:val="-9"/>
          <w:w w:val="105"/>
          <w:sz w:val="20"/>
        </w:rPr>
        <w:t> </w:t>
      </w:r>
      <w:r>
        <w:rPr>
          <w:spacing w:val="-2"/>
          <w:w w:val="105"/>
          <w:sz w:val="20"/>
        </w:rPr>
        <w:t>TV,</w:t>
      </w:r>
      <w:r>
        <w:rPr>
          <w:spacing w:val="-9"/>
          <w:w w:val="105"/>
          <w:sz w:val="20"/>
        </w:rPr>
        <w:t> </w:t>
      </w:r>
      <w:r>
        <w:rPr>
          <w:spacing w:val="-2"/>
          <w:w w:val="105"/>
          <w:sz w:val="20"/>
        </w:rPr>
        <w:t>lined</w:t>
      </w:r>
      <w:r>
        <w:rPr>
          <w:spacing w:val="-9"/>
          <w:w w:val="105"/>
          <w:sz w:val="20"/>
        </w:rPr>
        <w:t> </w:t>
      </w:r>
      <w:r>
        <w:rPr>
          <w:spacing w:val="-2"/>
          <w:w w:val="105"/>
          <w:sz w:val="20"/>
        </w:rPr>
        <w:t>up</w:t>
      </w:r>
      <w:r>
        <w:rPr>
          <w:spacing w:val="-9"/>
          <w:w w:val="105"/>
          <w:sz w:val="20"/>
        </w:rPr>
        <w:t> </w:t>
      </w:r>
      <w:r>
        <w:rPr>
          <w:spacing w:val="-2"/>
          <w:w w:val="105"/>
          <w:sz w:val="20"/>
        </w:rPr>
        <w:t>behind</w:t>
      </w:r>
      <w:r>
        <w:rPr>
          <w:spacing w:val="-9"/>
          <w:w w:val="105"/>
          <w:sz w:val="20"/>
        </w:rPr>
        <w:t> </w:t>
      </w:r>
      <w:r>
        <w:rPr>
          <w:spacing w:val="-2"/>
          <w:w w:val="105"/>
          <w:sz w:val="20"/>
        </w:rPr>
        <w:t>the</w:t>
      </w:r>
      <w:r>
        <w:rPr>
          <w:spacing w:val="-9"/>
          <w:w w:val="105"/>
          <w:sz w:val="20"/>
        </w:rPr>
        <w:t> </w:t>
      </w:r>
      <w:r>
        <w:rPr>
          <w:spacing w:val="-2"/>
          <w:w w:val="105"/>
          <w:sz w:val="20"/>
        </w:rPr>
        <w:t>critics.</w:t>
      </w:r>
      <w:r>
        <w:rPr>
          <w:spacing w:val="-9"/>
          <w:w w:val="105"/>
          <w:sz w:val="20"/>
        </w:rPr>
        <w:t> </w:t>
      </w:r>
      <w:r>
        <w:rPr>
          <w:spacing w:val="-2"/>
          <w:w w:val="105"/>
          <w:sz w:val="20"/>
        </w:rPr>
        <w:t>Reports</w:t>
      </w:r>
      <w:r>
        <w:rPr>
          <w:spacing w:val="-9"/>
          <w:w w:val="105"/>
          <w:sz w:val="20"/>
        </w:rPr>
        <w:t> </w:t>
      </w:r>
      <w:r>
        <w:rPr>
          <w:spacing w:val="-2"/>
          <w:w w:val="105"/>
          <w:sz w:val="20"/>
        </w:rPr>
        <w:t>in</w:t>
      </w:r>
      <w:r>
        <w:rPr>
          <w:spacing w:val="-9"/>
          <w:w w:val="105"/>
          <w:sz w:val="20"/>
        </w:rPr>
        <w:t> </w:t>
      </w:r>
      <w:r>
        <w:rPr>
          <w:spacing w:val="-2"/>
          <w:w w:val="105"/>
          <w:sz w:val="20"/>
        </w:rPr>
        <w:t>leading</w:t>
      </w:r>
      <w:r>
        <w:rPr>
          <w:spacing w:val="-9"/>
          <w:w w:val="105"/>
          <w:sz w:val="20"/>
        </w:rPr>
        <w:t> </w:t>
      </w:r>
      <w:r>
        <w:rPr>
          <w:spacing w:val="-2"/>
          <w:w w:val="105"/>
          <w:sz w:val="20"/>
        </w:rPr>
        <w:t>newspapers</w:t>
      </w:r>
      <w:r>
        <w:rPr>
          <w:spacing w:val="-9"/>
          <w:w w:val="105"/>
          <w:sz w:val="20"/>
        </w:rPr>
        <w:t> </w:t>
      </w:r>
      <w:r>
        <w:rPr>
          <w:spacing w:val="-2"/>
          <w:w w:val="105"/>
          <w:sz w:val="20"/>
        </w:rPr>
        <w:t>like</w:t>
      </w:r>
      <w:r>
        <w:rPr>
          <w:spacing w:val="-9"/>
          <w:w w:val="105"/>
          <w:sz w:val="20"/>
        </w:rPr>
        <w:t> </w:t>
      </w:r>
      <w:r>
        <w:rPr>
          <w:spacing w:val="-2"/>
          <w:w w:val="105"/>
          <w:sz w:val="20"/>
        </w:rPr>
        <w:t>The </w:t>
      </w:r>
      <w:r>
        <w:rPr>
          <w:sz w:val="20"/>
        </w:rPr>
        <w:t>Financial Times, The New York Times and The Washington Post read as though taken straight </w:t>
      </w:r>
      <w:r>
        <w:rPr>
          <w:w w:val="105"/>
          <w:sz w:val="20"/>
        </w:rPr>
        <w:t>from</w:t>
      </w:r>
      <w:r>
        <w:rPr>
          <w:spacing w:val="-11"/>
          <w:w w:val="105"/>
          <w:sz w:val="20"/>
        </w:rPr>
        <w:t> </w:t>
      </w:r>
      <w:r>
        <w:rPr>
          <w:w w:val="105"/>
          <w:sz w:val="20"/>
        </w:rPr>
        <w:t>NGO</w:t>
      </w:r>
      <w:r>
        <w:rPr>
          <w:spacing w:val="-11"/>
          <w:w w:val="105"/>
          <w:sz w:val="20"/>
        </w:rPr>
        <w:t> </w:t>
      </w:r>
      <w:r>
        <w:rPr>
          <w:w w:val="105"/>
          <w:sz w:val="20"/>
        </w:rPr>
        <w:t>handouts.</w:t>
      </w:r>
      <w:r>
        <w:rPr>
          <w:spacing w:val="-11"/>
          <w:w w:val="105"/>
          <w:sz w:val="20"/>
        </w:rPr>
        <w:t> </w:t>
      </w:r>
      <w:r>
        <w:rPr>
          <w:w w:val="105"/>
          <w:sz w:val="20"/>
        </w:rPr>
        <w:t>They</w:t>
      </w:r>
      <w:r>
        <w:rPr>
          <w:spacing w:val="-11"/>
          <w:w w:val="105"/>
          <w:sz w:val="20"/>
        </w:rPr>
        <w:t> </w:t>
      </w:r>
      <w:r>
        <w:rPr>
          <w:w w:val="105"/>
          <w:sz w:val="20"/>
        </w:rPr>
        <w:t>repeated</w:t>
      </w:r>
      <w:r>
        <w:rPr>
          <w:spacing w:val="-11"/>
          <w:w w:val="105"/>
          <w:sz w:val="20"/>
        </w:rPr>
        <w:t> </w:t>
      </w:r>
      <w:r>
        <w:rPr>
          <w:w w:val="105"/>
          <w:sz w:val="20"/>
        </w:rPr>
        <w:t>the</w:t>
      </w:r>
      <w:r>
        <w:rPr>
          <w:spacing w:val="-11"/>
          <w:w w:val="105"/>
          <w:sz w:val="20"/>
        </w:rPr>
        <w:t> </w:t>
      </w:r>
      <w:r>
        <w:rPr>
          <w:w w:val="105"/>
          <w:sz w:val="20"/>
        </w:rPr>
        <w:t>NGOs’</w:t>
      </w:r>
      <w:r>
        <w:rPr>
          <w:spacing w:val="-10"/>
          <w:w w:val="105"/>
          <w:sz w:val="20"/>
        </w:rPr>
        <w:t> </w:t>
      </w:r>
      <w:r>
        <w:rPr>
          <w:w w:val="105"/>
          <w:sz w:val="20"/>
        </w:rPr>
        <w:t>portrait</w:t>
      </w:r>
      <w:r>
        <w:rPr>
          <w:spacing w:val="-11"/>
          <w:w w:val="105"/>
          <w:sz w:val="20"/>
        </w:rPr>
        <w:t> </w:t>
      </w:r>
      <w:r>
        <w:rPr>
          <w:w w:val="105"/>
          <w:sz w:val="20"/>
        </w:rPr>
        <w:t>of</w:t>
      </w:r>
      <w:r>
        <w:rPr>
          <w:spacing w:val="-11"/>
          <w:w w:val="105"/>
          <w:sz w:val="20"/>
        </w:rPr>
        <w:t> </w:t>
      </w:r>
      <w:r>
        <w:rPr>
          <w:w w:val="105"/>
          <w:sz w:val="20"/>
        </w:rPr>
        <w:t>the</w:t>
      </w:r>
      <w:r>
        <w:rPr>
          <w:spacing w:val="-11"/>
          <w:w w:val="105"/>
          <w:sz w:val="20"/>
        </w:rPr>
        <w:t> </w:t>
      </w:r>
      <w:r>
        <w:rPr>
          <w:w w:val="105"/>
          <w:sz w:val="20"/>
        </w:rPr>
        <w:t>project</w:t>
      </w:r>
      <w:r>
        <w:rPr>
          <w:spacing w:val="-11"/>
          <w:w w:val="105"/>
          <w:sz w:val="20"/>
        </w:rPr>
        <w:t> </w:t>
      </w:r>
      <w:r>
        <w:rPr>
          <w:w w:val="105"/>
          <w:sz w:val="20"/>
        </w:rPr>
        <w:t>in</w:t>
      </w:r>
      <w:r>
        <w:rPr>
          <w:spacing w:val="-11"/>
          <w:w w:val="105"/>
          <w:sz w:val="20"/>
        </w:rPr>
        <w:t> </w:t>
      </w:r>
      <w:r>
        <w:rPr>
          <w:w w:val="105"/>
          <w:sz w:val="20"/>
        </w:rPr>
        <w:t>the</w:t>
      </w:r>
      <w:r>
        <w:rPr>
          <w:spacing w:val="-11"/>
          <w:w w:val="105"/>
          <w:sz w:val="20"/>
        </w:rPr>
        <w:t> </w:t>
      </w:r>
      <w:r>
        <w:rPr>
          <w:w w:val="105"/>
          <w:sz w:val="20"/>
        </w:rPr>
        <w:t>same</w:t>
      </w:r>
      <w:r>
        <w:rPr>
          <w:spacing w:val="-11"/>
          <w:w w:val="105"/>
          <w:sz w:val="20"/>
        </w:rPr>
        <w:t> </w:t>
      </w:r>
      <w:r>
        <w:rPr>
          <w:w w:val="105"/>
          <w:sz w:val="20"/>
        </w:rPr>
        <w:t>language, often</w:t>
      </w:r>
      <w:r>
        <w:rPr>
          <w:spacing w:val="-13"/>
          <w:w w:val="105"/>
          <w:sz w:val="20"/>
        </w:rPr>
        <w:t> </w:t>
      </w:r>
      <w:r>
        <w:rPr>
          <w:w w:val="105"/>
          <w:sz w:val="20"/>
        </w:rPr>
        <w:t>not</w:t>
      </w:r>
      <w:r>
        <w:rPr>
          <w:spacing w:val="-13"/>
          <w:w w:val="105"/>
          <w:sz w:val="20"/>
        </w:rPr>
        <w:t> </w:t>
      </w:r>
      <w:r>
        <w:rPr>
          <w:w w:val="105"/>
          <w:sz w:val="20"/>
        </w:rPr>
        <w:t>distinguishing</w:t>
      </w:r>
      <w:r>
        <w:rPr>
          <w:spacing w:val="-13"/>
          <w:w w:val="105"/>
          <w:sz w:val="20"/>
        </w:rPr>
        <w:t> </w:t>
      </w:r>
      <w:r>
        <w:rPr>
          <w:w w:val="105"/>
          <w:sz w:val="20"/>
        </w:rPr>
        <w:t>between</w:t>
      </w:r>
      <w:r>
        <w:rPr>
          <w:spacing w:val="-13"/>
          <w:w w:val="105"/>
          <w:sz w:val="20"/>
        </w:rPr>
        <w:t> </w:t>
      </w:r>
      <w:r>
        <w:rPr>
          <w:w w:val="105"/>
          <w:sz w:val="20"/>
        </w:rPr>
        <w:t>what</w:t>
      </w:r>
      <w:r>
        <w:rPr>
          <w:spacing w:val="-13"/>
          <w:w w:val="105"/>
          <w:sz w:val="20"/>
        </w:rPr>
        <w:t> </w:t>
      </w:r>
      <w:r>
        <w:rPr>
          <w:w w:val="105"/>
          <w:sz w:val="20"/>
        </w:rPr>
        <w:t>the</w:t>
      </w:r>
      <w:r>
        <w:rPr>
          <w:spacing w:val="-13"/>
          <w:w w:val="105"/>
          <w:sz w:val="20"/>
        </w:rPr>
        <w:t> </w:t>
      </w:r>
      <w:r>
        <w:rPr>
          <w:w w:val="105"/>
          <w:sz w:val="20"/>
        </w:rPr>
        <w:t>NGOs</w:t>
      </w:r>
      <w:r>
        <w:rPr>
          <w:spacing w:val="-13"/>
          <w:w w:val="105"/>
          <w:sz w:val="20"/>
        </w:rPr>
        <w:t> </w:t>
      </w:r>
      <w:r>
        <w:rPr>
          <w:w w:val="105"/>
          <w:sz w:val="20"/>
        </w:rPr>
        <w:t>claimed</w:t>
      </w:r>
      <w:r>
        <w:rPr>
          <w:spacing w:val="-13"/>
          <w:w w:val="105"/>
          <w:sz w:val="20"/>
        </w:rPr>
        <w:t> </w:t>
      </w:r>
      <w:r>
        <w:rPr>
          <w:w w:val="105"/>
          <w:sz w:val="20"/>
        </w:rPr>
        <w:t>and</w:t>
      </w:r>
      <w:r>
        <w:rPr>
          <w:spacing w:val="-13"/>
          <w:w w:val="105"/>
          <w:sz w:val="20"/>
        </w:rPr>
        <w:t> </w:t>
      </w:r>
      <w:r>
        <w:rPr>
          <w:w w:val="105"/>
          <w:sz w:val="20"/>
        </w:rPr>
        <w:t>what</w:t>
      </w:r>
      <w:r>
        <w:rPr>
          <w:spacing w:val="-13"/>
          <w:w w:val="105"/>
          <w:sz w:val="20"/>
        </w:rPr>
        <w:t> </w:t>
      </w:r>
      <w:r>
        <w:rPr>
          <w:w w:val="105"/>
          <w:sz w:val="20"/>
        </w:rPr>
        <w:t>they,</w:t>
      </w:r>
      <w:r>
        <w:rPr>
          <w:spacing w:val="-13"/>
          <w:w w:val="105"/>
          <w:sz w:val="20"/>
        </w:rPr>
        <w:t> </w:t>
      </w:r>
      <w:r>
        <w:rPr>
          <w:w w:val="105"/>
          <w:sz w:val="20"/>
        </w:rPr>
        <w:t>the</w:t>
      </w:r>
      <w:r>
        <w:rPr>
          <w:spacing w:val="-13"/>
          <w:w w:val="105"/>
          <w:sz w:val="20"/>
        </w:rPr>
        <w:t> </w:t>
      </w:r>
      <w:r>
        <w:rPr>
          <w:w w:val="105"/>
          <w:sz w:val="20"/>
        </w:rPr>
        <w:t>journalists, </w:t>
      </w:r>
      <w:r>
        <w:rPr>
          <w:spacing w:val="-2"/>
          <w:w w:val="105"/>
          <w:sz w:val="20"/>
        </w:rPr>
        <w:t>reported</w:t>
      </w:r>
      <w:r>
        <w:rPr>
          <w:spacing w:val="-10"/>
          <w:w w:val="105"/>
          <w:sz w:val="20"/>
        </w:rPr>
        <w:t> </w:t>
      </w:r>
      <w:r>
        <w:rPr>
          <w:spacing w:val="-2"/>
          <w:w w:val="105"/>
          <w:sz w:val="20"/>
        </w:rPr>
        <w:t>as</w:t>
      </w:r>
      <w:r>
        <w:rPr>
          <w:spacing w:val="-10"/>
          <w:w w:val="105"/>
          <w:sz w:val="20"/>
        </w:rPr>
        <w:t> </w:t>
      </w:r>
      <w:r>
        <w:rPr>
          <w:spacing w:val="-2"/>
          <w:w w:val="105"/>
          <w:sz w:val="20"/>
        </w:rPr>
        <w:t>fact.</w:t>
      </w:r>
      <w:r>
        <w:rPr>
          <w:spacing w:val="-10"/>
          <w:w w:val="105"/>
          <w:sz w:val="20"/>
        </w:rPr>
        <w:t> </w:t>
      </w:r>
      <w:r>
        <w:rPr>
          <w:spacing w:val="-2"/>
          <w:w w:val="105"/>
          <w:sz w:val="20"/>
        </w:rPr>
        <w:t>Many</w:t>
      </w:r>
      <w:r>
        <w:rPr>
          <w:spacing w:val="-10"/>
          <w:w w:val="105"/>
          <w:sz w:val="20"/>
        </w:rPr>
        <w:t> </w:t>
      </w:r>
      <w:r>
        <w:rPr>
          <w:spacing w:val="-2"/>
          <w:w w:val="105"/>
          <w:sz w:val="20"/>
        </w:rPr>
        <w:t>reported</w:t>
      </w:r>
      <w:r>
        <w:rPr>
          <w:spacing w:val="-10"/>
          <w:w w:val="105"/>
          <w:sz w:val="20"/>
        </w:rPr>
        <w:t> </w:t>
      </w:r>
      <w:r>
        <w:rPr>
          <w:spacing w:val="-2"/>
          <w:w w:val="105"/>
          <w:sz w:val="20"/>
        </w:rPr>
        <w:t>as</w:t>
      </w:r>
      <w:r>
        <w:rPr>
          <w:spacing w:val="-10"/>
          <w:w w:val="105"/>
          <w:sz w:val="20"/>
        </w:rPr>
        <w:t> </w:t>
      </w:r>
      <w:r>
        <w:rPr>
          <w:spacing w:val="-2"/>
          <w:w w:val="105"/>
          <w:sz w:val="20"/>
        </w:rPr>
        <w:t>fact,</w:t>
      </w:r>
      <w:r>
        <w:rPr>
          <w:spacing w:val="-10"/>
          <w:w w:val="105"/>
          <w:sz w:val="20"/>
        </w:rPr>
        <w:t> </w:t>
      </w:r>
      <w:r>
        <w:rPr>
          <w:spacing w:val="-2"/>
          <w:w w:val="105"/>
          <w:sz w:val="20"/>
        </w:rPr>
        <w:t>for</w:t>
      </w:r>
      <w:r>
        <w:rPr>
          <w:spacing w:val="-10"/>
          <w:w w:val="105"/>
          <w:sz w:val="20"/>
        </w:rPr>
        <w:t> </w:t>
      </w:r>
      <w:r>
        <w:rPr>
          <w:spacing w:val="-2"/>
          <w:w w:val="105"/>
          <w:sz w:val="20"/>
        </w:rPr>
        <w:t>instance,</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move-in</w:t>
      </w:r>
      <w:r>
        <w:rPr>
          <w:spacing w:val="-10"/>
          <w:w w:val="105"/>
          <w:sz w:val="20"/>
        </w:rPr>
        <w:t> </w:t>
      </w:r>
      <w:r>
        <w:rPr>
          <w:spacing w:val="-2"/>
          <w:w w:val="105"/>
          <w:sz w:val="20"/>
        </w:rPr>
        <w:t>area</w:t>
      </w:r>
      <w:r>
        <w:rPr>
          <w:spacing w:val="-10"/>
          <w:w w:val="105"/>
          <w:sz w:val="20"/>
        </w:rPr>
        <w:t> </w:t>
      </w:r>
      <w:r>
        <w:rPr>
          <w:spacing w:val="-2"/>
          <w:w w:val="105"/>
          <w:sz w:val="20"/>
        </w:rPr>
        <w:t>was</w:t>
      </w:r>
      <w:r>
        <w:rPr>
          <w:spacing w:val="-10"/>
          <w:w w:val="105"/>
          <w:sz w:val="20"/>
        </w:rPr>
        <w:t> </w:t>
      </w:r>
      <w:r>
        <w:rPr>
          <w:spacing w:val="-2"/>
          <w:w w:val="105"/>
          <w:sz w:val="20"/>
        </w:rPr>
        <w:t>the</w:t>
      </w:r>
      <w:r>
        <w:rPr>
          <w:spacing w:val="-10"/>
          <w:w w:val="105"/>
          <w:sz w:val="20"/>
        </w:rPr>
        <w:t> </w:t>
      </w:r>
      <w:r>
        <w:rPr>
          <w:spacing w:val="-2"/>
          <w:w w:val="105"/>
          <w:sz w:val="20"/>
        </w:rPr>
        <w:t>birthplace</w:t>
      </w:r>
      <w:r>
        <w:rPr>
          <w:spacing w:val="-10"/>
          <w:w w:val="105"/>
          <w:sz w:val="20"/>
        </w:rPr>
        <w:t> </w:t>
      </w:r>
      <w:r>
        <w:rPr>
          <w:spacing w:val="-2"/>
          <w:w w:val="105"/>
          <w:sz w:val="20"/>
        </w:rPr>
        <w:t>of </w:t>
      </w:r>
      <w:r>
        <w:rPr>
          <w:sz w:val="20"/>
        </w:rPr>
        <w:t>the Dalai Lama, which is simply false […]. Yet for all their claims to speak for Tibetans and for all</w:t>
      </w:r>
    </w:p>
    <w:p>
      <w:pPr>
        <w:pStyle w:val="BodyText"/>
        <w:rPr>
          <w:sz w:val="17"/>
        </w:rPr>
      </w:pPr>
      <w:r>
        <w:rPr/>
        <w:pict>
          <v:shape style="position:absolute;margin-left:90pt;margin-top:11.01206pt;width:144pt;height:.1pt;mso-position-horizontal-relative:page;mso-position-vertical-relative:paragraph;z-index:-15704576;mso-wrap-distance-left:0;mso-wrap-distance-right:0" id="docshape39" coordorigin="1800,220" coordsize="2880,0" path="m1800,220l4680,220e" filled="false" stroked="true" strokeweight=".75pt" strokecolor="#000000">
            <v:path arrowok="t"/>
            <v:stroke dashstyle="solid"/>
            <w10:wrap type="topAndBottom"/>
          </v:shape>
        </w:pict>
      </w:r>
    </w:p>
    <w:p>
      <w:pPr>
        <w:spacing w:line="249" w:lineRule="auto" w:before="107"/>
        <w:ind w:left="560" w:right="561" w:firstLine="0"/>
        <w:jc w:val="left"/>
        <w:rPr>
          <w:sz w:val="18"/>
        </w:rPr>
      </w:pPr>
      <w:r>
        <w:rPr>
          <w:sz w:val="18"/>
          <w:vertAlign w:val="superscript"/>
        </w:rPr>
        <w:t>281</w:t>
      </w:r>
      <w:r>
        <w:rPr>
          <w:spacing w:val="-2"/>
          <w:sz w:val="18"/>
          <w:vertAlign w:val="baseline"/>
        </w:rPr>
        <w:t> </w:t>
      </w:r>
      <w:r>
        <w:rPr>
          <w:sz w:val="18"/>
          <w:vertAlign w:val="baseline"/>
        </w:rPr>
        <w:t>It</w:t>
      </w:r>
      <w:r>
        <w:rPr>
          <w:spacing w:val="-1"/>
          <w:sz w:val="18"/>
          <w:vertAlign w:val="baseline"/>
        </w:rPr>
        <w:t> </w:t>
      </w:r>
      <w:r>
        <w:rPr>
          <w:sz w:val="18"/>
          <w:vertAlign w:val="baseline"/>
        </w:rPr>
        <w:t>is,</w:t>
      </w:r>
      <w:r>
        <w:rPr>
          <w:spacing w:val="-1"/>
          <w:sz w:val="18"/>
          <w:vertAlign w:val="baseline"/>
        </w:rPr>
        <w:t> </w:t>
      </w:r>
      <w:r>
        <w:rPr>
          <w:sz w:val="18"/>
          <w:vertAlign w:val="baseline"/>
        </w:rPr>
        <w:t>however,</w:t>
      </w:r>
      <w:r>
        <w:rPr>
          <w:spacing w:val="-1"/>
          <w:sz w:val="18"/>
          <w:vertAlign w:val="baseline"/>
        </w:rPr>
        <w:t> </w:t>
      </w:r>
      <w:r>
        <w:rPr>
          <w:sz w:val="18"/>
          <w:vertAlign w:val="baseline"/>
        </w:rPr>
        <w:t>worth</w:t>
      </w:r>
      <w:r>
        <w:rPr>
          <w:spacing w:val="-1"/>
          <w:sz w:val="18"/>
          <w:vertAlign w:val="baseline"/>
        </w:rPr>
        <w:t> </w:t>
      </w:r>
      <w:r>
        <w:rPr>
          <w:sz w:val="18"/>
          <w:vertAlign w:val="baseline"/>
        </w:rPr>
        <w:t>noting</w:t>
      </w:r>
      <w:r>
        <w:rPr>
          <w:spacing w:val="-1"/>
          <w:sz w:val="18"/>
          <w:vertAlign w:val="baseline"/>
        </w:rPr>
        <w:t> </w:t>
      </w:r>
      <w:r>
        <w:rPr>
          <w:sz w:val="18"/>
          <w:vertAlign w:val="baseline"/>
        </w:rPr>
        <w:t>that</w:t>
      </w:r>
      <w:r>
        <w:rPr>
          <w:spacing w:val="-1"/>
          <w:sz w:val="18"/>
          <w:vertAlign w:val="baseline"/>
        </w:rPr>
        <w:t> </w:t>
      </w:r>
      <w:r>
        <w:rPr>
          <w:sz w:val="18"/>
          <w:vertAlign w:val="baseline"/>
        </w:rPr>
        <w:t>there</w:t>
      </w:r>
      <w:r>
        <w:rPr>
          <w:spacing w:val="-1"/>
          <w:sz w:val="18"/>
          <w:vertAlign w:val="baseline"/>
        </w:rPr>
        <w:t> </w:t>
      </w:r>
      <w:r>
        <w:rPr>
          <w:sz w:val="18"/>
          <w:vertAlign w:val="baseline"/>
        </w:rPr>
        <w:t>was</w:t>
      </w:r>
      <w:r>
        <w:rPr>
          <w:spacing w:val="-1"/>
          <w:sz w:val="18"/>
          <w:vertAlign w:val="baseline"/>
        </w:rPr>
        <w:t> </w:t>
      </w:r>
      <w:r>
        <w:rPr>
          <w:sz w:val="18"/>
          <w:vertAlign w:val="baseline"/>
        </w:rPr>
        <w:t>never</w:t>
      </w:r>
      <w:r>
        <w:rPr>
          <w:spacing w:val="-1"/>
          <w:sz w:val="18"/>
          <w:vertAlign w:val="baseline"/>
        </w:rPr>
        <w:t> </w:t>
      </w:r>
      <w:r>
        <w:rPr>
          <w:sz w:val="18"/>
          <w:vertAlign w:val="baseline"/>
        </w:rPr>
        <w:t>much</w:t>
      </w:r>
      <w:r>
        <w:rPr>
          <w:spacing w:val="-1"/>
          <w:sz w:val="18"/>
          <w:vertAlign w:val="baseline"/>
        </w:rPr>
        <w:t> </w:t>
      </w:r>
      <w:r>
        <w:rPr>
          <w:sz w:val="18"/>
          <w:vertAlign w:val="baseline"/>
        </w:rPr>
        <w:t>support</w:t>
      </w:r>
      <w:r>
        <w:rPr>
          <w:spacing w:val="-1"/>
          <w:sz w:val="18"/>
          <w:vertAlign w:val="baseline"/>
        </w:rPr>
        <w:t> </w:t>
      </w:r>
      <w:r>
        <w:rPr>
          <w:sz w:val="18"/>
          <w:vertAlign w:val="baseline"/>
        </w:rPr>
        <w:t>in</w:t>
      </w:r>
      <w:r>
        <w:rPr>
          <w:spacing w:val="-1"/>
          <w:sz w:val="18"/>
          <w:vertAlign w:val="baseline"/>
        </w:rPr>
        <w:t> </w:t>
      </w:r>
      <w:r>
        <w:rPr>
          <w:sz w:val="18"/>
          <w:vertAlign w:val="baseline"/>
        </w:rPr>
        <w:t>Beijing</w:t>
      </w:r>
      <w:r>
        <w:rPr>
          <w:spacing w:val="-1"/>
          <w:sz w:val="18"/>
          <w:vertAlign w:val="baseline"/>
        </w:rPr>
        <w:t> </w:t>
      </w:r>
      <w:r>
        <w:rPr>
          <w:sz w:val="18"/>
          <w:vertAlign w:val="baseline"/>
        </w:rPr>
        <w:t>for</w:t>
      </w:r>
      <w:r>
        <w:rPr>
          <w:spacing w:val="-1"/>
          <w:sz w:val="18"/>
          <w:vertAlign w:val="baseline"/>
        </w:rPr>
        <w:t> </w:t>
      </w:r>
      <w:r>
        <w:rPr>
          <w:sz w:val="18"/>
          <w:vertAlign w:val="baseline"/>
        </w:rPr>
        <w:t>strong</w:t>
      </w:r>
      <w:r>
        <w:rPr>
          <w:spacing w:val="-1"/>
          <w:sz w:val="18"/>
          <w:vertAlign w:val="baseline"/>
        </w:rPr>
        <w:t> </w:t>
      </w:r>
      <w:r>
        <w:rPr>
          <w:sz w:val="18"/>
          <w:vertAlign w:val="baseline"/>
        </w:rPr>
        <w:t>social</w:t>
      </w:r>
      <w:r>
        <w:rPr>
          <w:spacing w:val="-1"/>
          <w:sz w:val="18"/>
          <w:vertAlign w:val="baseline"/>
        </w:rPr>
        <w:t> </w:t>
      </w:r>
      <w:r>
        <w:rPr>
          <w:sz w:val="18"/>
          <w:vertAlign w:val="baseline"/>
        </w:rPr>
        <w:t>safeguards across our entire 22-year period of study (2000-2021).</w:t>
      </w:r>
    </w:p>
    <w:p>
      <w:pPr>
        <w:spacing w:line="249" w:lineRule="auto" w:before="1"/>
        <w:ind w:left="560" w:right="561" w:firstLine="0"/>
        <w:jc w:val="left"/>
        <w:rPr>
          <w:sz w:val="18"/>
        </w:rPr>
      </w:pPr>
      <w:r>
        <w:rPr>
          <w:sz w:val="18"/>
          <w:vertAlign w:val="superscript"/>
        </w:rPr>
        <w:t>282</w:t>
      </w:r>
      <w:r>
        <w:rPr>
          <w:sz w:val="18"/>
          <w:vertAlign w:val="baseline"/>
        </w:rPr>
        <w:t> Category A projects pose the most severe environmental and social risks; they often involve large-scale infrastructure, industrial-scale chemical manufacturing, or natural resource extraction activities. The World Bank subjects these projects to its most stringent ESG safeguards, but it also acknowledges that the risks these projects pose can be difﬁcult or impossible to fully mitigate. Category B projects also pose </w:t>
      </w:r>
      <w:r>
        <w:rPr>
          <w:sz w:val="18"/>
          <w:vertAlign w:val="baseline"/>
        </w:rPr>
        <w:t>signiﬁcant environmental and social risks, but the World Bank expects that it can reasonably and readily mitigate all or most of these risks during implementation (Buchanan et al. 2018).</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148pt;mso-position-horizontal-relative:char;mso-position-vertical-relative:line" type="#_x0000_t202" id="docshape40" filled="true" fillcolor="#f0f2f4" stroked="false">
            <w10:anchorlock/>
            <v:textbox inset="0,0,0,0">
              <w:txbxContent>
                <w:p>
                  <w:pPr>
                    <w:spacing w:line="300" w:lineRule="auto" w:before="6"/>
                    <w:ind w:left="120" w:right="0" w:firstLine="0"/>
                    <w:jc w:val="left"/>
                    <w:rPr>
                      <w:color w:val="000000"/>
                      <w:sz w:val="20"/>
                    </w:rPr>
                  </w:pPr>
                  <w:r>
                    <w:rPr>
                      <w:color w:val="000000"/>
                      <w:w w:val="105"/>
                      <w:sz w:val="20"/>
                    </w:rPr>
                    <w:t>their</w:t>
                  </w:r>
                  <w:r>
                    <w:rPr>
                      <w:color w:val="000000"/>
                      <w:spacing w:val="-2"/>
                      <w:w w:val="105"/>
                      <w:sz w:val="20"/>
                    </w:rPr>
                    <w:t> </w:t>
                  </w:r>
                  <w:r>
                    <w:rPr>
                      <w:color w:val="000000"/>
                      <w:w w:val="105"/>
                      <w:sz w:val="20"/>
                    </w:rPr>
                    <w:t>denunciation</w:t>
                  </w:r>
                  <w:r>
                    <w:rPr>
                      <w:color w:val="000000"/>
                      <w:spacing w:val="-2"/>
                      <w:w w:val="105"/>
                      <w:sz w:val="20"/>
                    </w:rPr>
                    <w:t> </w:t>
                  </w:r>
                  <w:r>
                    <w:rPr>
                      <w:color w:val="000000"/>
                      <w:w w:val="105"/>
                      <w:sz w:val="20"/>
                    </w:rPr>
                    <w:t>of</w:t>
                  </w:r>
                  <w:r>
                    <w:rPr>
                      <w:color w:val="000000"/>
                      <w:spacing w:val="-1"/>
                      <w:w w:val="105"/>
                      <w:sz w:val="20"/>
                    </w:rPr>
                    <w:t> </w:t>
                  </w:r>
                  <w:r>
                    <w:rPr>
                      <w:color w:val="000000"/>
                      <w:w w:val="105"/>
                      <w:sz w:val="20"/>
                    </w:rPr>
                    <w:t>the</w:t>
                  </w:r>
                  <w:r>
                    <w:rPr>
                      <w:color w:val="000000"/>
                      <w:spacing w:val="-2"/>
                      <w:w w:val="105"/>
                      <w:sz w:val="20"/>
                    </w:rPr>
                    <w:t> </w:t>
                  </w:r>
                  <w:r>
                    <w:rPr>
                      <w:color w:val="000000"/>
                      <w:w w:val="105"/>
                      <w:sz w:val="20"/>
                    </w:rPr>
                    <w:t>consultation</w:t>
                  </w:r>
                  <w:r>
                    <w:rPr>
                      <w:color w:val="000000"/>
                      <w:spacing w:val="-1"/>
                      <w:w w:val="105"/>
                      <w:sz w:val="20"/>
                    </w:rPr>
                    <w:t> </w:t>
                  </w:r>
                  <w:r>
                    <w:rPr>
                      <w:color w:val="000000"/>
                      <w:w w:val="105"/>
                      <w:sz w:val="20"/>
                    </w:rPr>
                    <w:t>process,</w:t>
                  </w:r>
                  <w:r>
                    <w:rPr>
                      <w:color w:val="000000"/>
                      <w:spacing w:val="-2"/>
                      <w:w w:val="105"/>
                      <w:sz w:val="20"/>
                    </w:rPr>
                    <w:t> </w:t>
                  </w:r>
                  <w:r>
                    <w:rPr>
                      <w:color w:val="000000"/>
                      <w:w w:val="105"/>
                      <w:sz w:val="20"/>
                    </w:rPr>
                    <w:t>the</w:t>
                  </w:r>
                  <w:r>
                    <w:rPr>
                      <w:color w:val="000000"/>
                      <w:spacing w:val="-2"/>
                      <w:w w:val="105"/>
                      <w:sz w:val="20"/>
                    </w:rPr>
                    <w:t> </w:t>
                  </w:r>
                  <w:r>
                    <w:rPr>
                      <w:color w:val="000000"/>
                      <w:w w:val="105"/>
                      <w:sz w:val="20"/>
                    </w:rPr>
                    <w:t>NGOs</w:t>
                  </w:r>
                  <w:r>
                    <w:rPr>
                      <w:color w:val="000000"/>
                      <w:spacing w:val="-1"/>
                      <w:w w:val="105"/>
                      <w:sz w:val="20"/>
                    </w:rPr>
                    <w:t> </w:t>
                  </w:r>
                  <w:r>
                    <w:rPr>
                      <w:color w:val="000000"/>
                      <w:w w:val="105"/>
                      <w:sz w:val="20"/>
                    </w:rPr>
                    <w:t>never</w:t>
                  </w:r>
                  <w:r>
                    <w:rPr>
                      <w:color w:val="000000"/>
                      <w:spacing w:val="-2"/>
                      <w:w w:val="105"/>
                      <w:sz w:val="20"/>
                    </w:rPr>
                    <w:t> </w:t>
                  </w:r>
                  <w:r>
                    <w:rPr>
                      <w:color w:val="000000"/>
                      <w:w w:val="105"/>
                      <w:sz w:val="20"/>
                    </w:rPr>
                    <w:t>produced</w:t>
                  </w:r>
                  <w:r>
                    <w:rPr>
                      <w:color w:val="000000"/>
                      <w:spacing w:val="-1"/>
                      <w:w w:val="105"/>
                      <w:sz w:val="20"/>
                    </w:rPr>
                    <w:t> </w:t>
                  </w:r>
                  <w:r>
                    <w:rPr>
                      <w:color w:val="000000"/>
                      <w:w w:val="105"/>
                      <w:sz w:val="20"/>
                    </w:rPr>
                    <w:t>evidence</w:t>
                  </w:r>
                  <w:r>
                    <w:rPr>
                      <w:color w:val="000000"/>
                      <w:spacing w:val="-2"/>
                      <w:w w:val="105"/>
                      <w:sz w:val="20"/>
                    </w:rPr>
                    <w:t> </w:t>
                  </w:r>
                  <w:r>
                    <w:rPr>
                      <w:color w:val="000000"/>
                      <w:w w:val="105"/>
                      <w:sz w:val="20"/>
                    </w:rPr>
                    <w:t>that</w:t>
                  </w:r>
                  <w:r>
                    <w:rPr>
                      <w:color w:val="000000"/>
                      <w:spacing w:val="-2"/>
                      <w:w w:val="105"/>
                      <w:sz w:val="20"/>
                    </w:rPr>
                    <w:t> </w:t>
                  </w:r>
                  <w:r>
                    <w:rPr>
                      <w:color w:val="000000"/>
                      <w:w w:val="105"/>
                      <w:sz w:val="20"/>
                    </w:rPr>
                    <w:t>local people</w:t>
                  </w:r>
                  <w:r>
                    <w:rPr>
                      <w:color w:val="000000"/>
                      <w:spacing w:val="-15"/>
                      <w:w w:val="105"/>
                      <w:sz w:val="20"/>
                    </w:rPr>
                    <w:t> </w:t>
                  </w:r>
                  <w:r>
                    <w:rPr>
                      <w:color w:val="000000"/>
                      <w:w w:val="105"/>
                      <w:sz w:val="20"/>
                    </w:rPr>
                    <w:t>did</w:t>
                  </w:r>
                  <w:r>
                    <w:rPr>
                      <w:color w:val="000000"/>
                      <w:spacing w:val="-15"/>
                      <w:w w:val="105"/>
                      <w:sz w:val="20"/>
                    </w:rPr>
                    <w:t> </w:t>
                  </w:r>
                  <w:r>
                    <w:rPr>
                      <w:color w:val="000000"/>
                      <w:w w:val="105"/>
                      <w:sz w:val="20"/>
                    </w:rPr>
                    <w:t>not</w:t>
                  </w:r>
                  <w:r>
                    <w:rPr>
                      <w:color w:val="000000"/>
                      <w:spacing w:val="-15"/>
                      <w:w w:val="105"/>
                      <w:sz w:val="20"/>
                    </w:rPr>
                    <w:t> </w:t>
                  </w:r>
                  <w:r>
                    <w:rPr>
                      <w:color w:val="000000"/>
                      <w:w w:val="105"/>
                      <w:sz w:val="20"/>
                    </w:rPr>
                    <w:t>want</w:t>
                  </w:r>
                  <w:r>
                    <w:rPr>
                      <w:color w:val="000000"/>
                      <w:spacing w:val="-15"/>
                      <w:w w:val="105"/>
                      <w:sz w:val="20"/>
                    </w:rPr>
                    <w:t> </w:t>
                  </w:r>
                  <w:r>
                    <w:rPr>
                      <w:color w:val="000000"/>
                      <w:w w:val="105"/>
                      <w:sz w:val="20"/>
                    </w:rPr>
                    <w:t>the</w:t>
                  </w:r>
                  <w:r>
                    <w:rPr>
                      <w:color w:val="000000"/>
                      <w:spacing w:val="-15"/>
                      <w:w w:val="105"/>
                      <w:sz w:val="20"/>
                    </w:rPr>
                    <w:t> </w:t>
                  </w:r>
                  <w:r>
                    <w:rPr>
                      <w:color w:val="000000"/>
                      <w:w w:val="105"/>
                      <w:sz w:val="20"/>
                    </w:rPr>
                    <w:t>project</w:t>
                  </w:r>
                  <w:r>
                    <w:rPr>
                      <w:color w:val="000000"/>
                      <w:spacing w:val="-15"/>
                      <w:w w:val="105"/>
                      <w:sz w:val="20"/>
                    </w:rPr>
                    <w:t> </w:t>
                  </w:r>
                  <w:r>
                    <w:rPr>
                      <w:color w:val="000000"/>
                      <w:w w:val="105"/>
                      <w:sz w:val="20"/>
                    </w:rPr>
                    <w:t>beyond</w:t>
                  </w:r>
                  <w:r>
                    <w:rPr>
                      <w:color w:val="000000"/>
                      <w:spacing w:val="-15"/>
                      <w:w w:val="105"/>
                      <w:sz w:val="20"/>
                    </w:rPr>
                    <w:t> </w:t>
                  </w:r>
                  <w:r>
                    <w:rPr>
                      <w:color w:val="000000"/>
                      <w:w w:val="105"/>
                      <w:sz w:val="20"/>
                    </w:rPr>
                    <w:t>a</w:t>
                  </w:r>
                  <w:r>
                    <w:rPr>
                      <w:color w:val="000000"/>
                      <w:spacing w:val="-14"/>
                      <w:w w:val="105"/>
                      <w:sz w:val="20"/>
                    </w:rPr>
                    <w:t> </w:t>
                  </w:r>
                  <w:r>
                    <w:rPr>
                      <w:color w:val="000000"/>
                      <w:w w:val="105"/>
                      <w:sz w:val="20"/>
                    </w:rPr>
                    <w:t>few</w:t>
                  </w:r>
                  <w:r>
                    <w:rPr>
                      <w:color w:val="000000"/>
                      <w:spacing w:val="-15"/>
                      <w:w w:val="105"/>
                      <w:sz w:val="20"/>
                    </w:rPr>
                    <w:t> </w:t>
                  </w:r>
                  <w:r>
                    <w:rPr>
                      <w:color w:val="000000"/>
                      <w:w w:val="105"/>
                      <w:sz w:val="20"/>
                    </w:rPr>
                    <w:t>very</w:t>
                  </w:r>
                  <w:r>
                    <w:rPr>
                      <w:color w:val="000000"/>
                      <w:spacing w:val="-15"/>
                      <w:w w:val="105"/>
                      <w:sz w:val="20"/>
                    </w:rPr>
                    <w:t> </w:t>
                  </w:r>
                  <w:r>
                    <w:rPr>
                      <w:color w:val="000000"/>
                      <w:w w:val="105"/>
                      <w:sz w:val="20"/>
                    </w:rPr>
                    <w:t>brief</w:t>
                  </w:r>
                  <w:r>
                    <w:rPr>
                      <w:color w:val="000000"/>
                      <w:spacing w:val="-15"/>
                      <w:w w:val="105"/>
                      <w:sz w:val="20"/>
                    </w:rPr>
                    <w:t> </w:t>
                  </w:r>
                  <w:r>
                    <w:rPr>
                      <w:color w:val="000000"/>
                      <w:w w:val="105"/>
                      <w:sz w:val="20"/>
                    </w:rPr>
                    <w:t>and</w:t>
                  </w:r>
                  <w:r>
                    <w:rPr>
                      <w:color w:val="000000"/>
                      <w:spacing w:val="-15"/>
                      <w:w w:val="105"/>
                      <w:sz w:val="20"/>
                    </w:rPr>
                    <w:t> </w:t>
                  </w:r>
                  <w:r>
                    <w:rPr>
                      <w:color w:val="000000"/>
                      <w:w w:val="105"/>
                      <w:sz w:val="20"/>
                    </w:rPr>
                    <w:t>anonymous</w:t>
                  </w:r>
                  <w:r>
                    <w:rPr>
                      <w:color w:val="000000"/>
                      <w:spacing w:val="-14"/>
                      <w:w w:val="105"/>
                      <w:sz w:val="20"/>
                    </w:rPr>
                    <w:t> </w:t>
                  </w:r>
                  <w:r>
                    <w:rPr>
                      <w:color w:val="000000"/>
                      <w:w w:val="105"/>
                      <w:sz w:val="20"/>
                    </w:rPr>
                    <w:t>letters</w:t>
                  </w:r>
                  <w:r>
                    <w:rPr>
                      <w:color w:val="000000"/>
                      <w:spacing w:val="-15"/>
                      <w:w w:val="105"/>
                      <w:sz w:val="20"/>
                    </w:rPr>
                    <w:t> </w:t>
                  </w:r>
                  <w:r>
                    <w:rPr>
                      <w:color w:val="000000"/>
                      <w:w w:val="105"/>
                      <w:sz w:val="20"/>
                    </w:rPr>
                    <w:t>sent</w:t>
                  </w:r>
                  <w:r>
                    <w:rPr>
                      <w:color w:val="000000"/>
                      <w:spacing w:val="-15"/>
                      <w:w w:val="105"/>
                      <w:sz w:val="20"/>
                    </w:rPr>
                    <w:t> </w:t>
                  </w:r>
                  <w:r>
                    <w:rPr>
                      <w:color w:val="000000"/>
                      <w:w w:val="105"/>
                      <w:sz w:val="20"/>
                    </w:rPr>
                    <w:t>to</w:t>
                  </w:r>
                  <w:r>
                    <w:rPr>
                      <w:color w:val="000000"/>
                      <w:spacing w:val="-15"/>
                      <w:w w:val="105"/>
                      <w:sz w:val="20"/>
                    </w:rPr>
                    <w:t> </w:t>
                  </w:r>
                  <w:r>
                    <w:rPr>
                      <w:color w:val="000000"/>
                      <w:w w:val="105"/>
                      <w:sz w:val="20"/>
                    </w:rPr>
                    <w:t>the</w:t>
                  </w:r>
                  <w:r>
                    <w:rPr>
                      <w:color w:val="000000"/>
                      <w:spacing w:val="-15"/>
                      <w:w w:val="105"/>
                      <w:sz w:val="20"/>
                    </w:rPr>
                    <w:t> </w:t>
                  </w:r>
                  <w:r>
                    <w:rPr>
                      <w:color w:val="000000"/>
                      <w:w w:val="105"/>
                      <w:sz w:val="20"/>
                    </w:rPr>
                    <w:t>Tibet NGOs by people claiming to live near the move-in area” (Wade 2009: 32).</w:t>
                  </w:r>
                </w:p>
                <w:p>
                  <w:pPr>
                    <w:pStyle w:val="BodyText"/>
                    <w:rPr>
                      <w:color w:val="000000"/>
                      <w:sz w:val="21"/>
                    </w:rPr>
                  </w:pPr>
                </w:p>
                <w:p>
                  <w:pPr>
                    <w:spacing w:line="300" w:lineRule="auto" w:before="0"/>
                    <w:ind w:left="120" w:right="0" w:firstLine="0"/>
                    <w:jc w:val="left"/>
                    <w:rPr>
                      <w:color w:val="000000"/>
                      <w:sz w:val="20"/>
                    </w:rPr>
                  </w:pPr>
                  <w:r>
                    <w:rPr>
                      <w:color w:val="000000"/>
                      <w:sz w:val="20"/>
                    </w:rPr>
                    <w:t>In July 2000, the World Bank’s Board of Directors convened to decide if it would approve the project. The discussions dragged on for multiple days, with developing country representatives advocating for project approval and certain developed country representatives calling for project cancellation. The issue was ultimately resolved when China’s Executive Director withdrew the project proposal from consideration. Beijing announced that the project would proceed with an alternative source of funding.</w:t>
                  </w:r>
                </w:p>
              </w:txbxContent>
            </v:textbox>
            <v:fill type="solid"/>
          </v:shape>
        </w:pict>
      </w:r>
      <w:r>
        <w:rPr>
          <w:sz w:val="20"/>
        </w:rPr>
      </w:r>
    </w:p>
    <w:p>
      <w:pPr>
        <w:pStyle w:val="BodyText"/>
        <w:spacing w:before="8"/>
        <w:rPr>
          <w:sz w:val="13"/>
        </w:rPr>
      </w:pPr>
    </w:p>
    <w:p>
      <w:pPr>
        <w:pStyle w:val="BodyText"/>
        <w:spacing w:line="333" w:lineRule="auto" w:before="56"/>
        <w:ind w:left="560" w:right="544"/>
      </w:pPr>
      <w:r>
        <w:rPr/>
        <w:t>Of course, Beijing’s critics and rivals might question whether any of the “ﬁne</w:t>
      </w:r>
      <w:r>
        <w:rPr>
          <w:spacing w:val="40"/>
        </w:rPr>
        <w:t> </w:t>
      </w:r>
      <w:r>
        <w:rPr/>
        <w:t>print” in its overseas infrastructure ﬁnancing agreements even matters if ESG safeguards are not put into practice. To gauge whether China’s de facto application of ESG safeguards matches the de jure ESG safeguards in its ﬁnancing agreements, we leverage the detailed qualitative information that AidData has collected about how projects were designed and implemented in practice. The “cradle to grave” narratives in the 3.0 version of the GCDF dataset include detailed descriptions of efforts to mitigate ESG risks before, during, and after project implementation—for example, by adopting environmental management plans (EMPs) that respond to the ﬁndings and recommendations </w:t>
      </w:r>
      <w:r>
        <w:rPr/>
        <w:t>of an environmental impact assessment or by providing ﬁnancial compensation to project-affected persons (PAPs).</w:t>
      </w:r>
    </w:p>
    <w:p>
      <w:pPr>
        <w:pStyle w:val="BodyText"/>
        <w:spacing w:before="3"/>
        <w:rPr>
          <w:sz w:val="27"/>
        </w:rPr>
      </w:pPr>
    </w:p>
    <w:p>
      <w:pPr>
        <w:pStyle w:val="BodyText"/>
        <w:spacing w:line="333" w:lineRule="auto"/>
        <w:ind w:left="560" w:right="594"/>
      </w:pPr>
      <w:r>
        <w:rPr/>
        <w:t>To make effective use of this qualitative information, we use a set of systematic search and categorization procedures (described in Section A-7 in the </w:t>
      </w:r>
      <w:r>
        <w:rPr/>
        <w:t>Appendix) to identify the subset of infrastructure projects for which there is evidence of efforts being undertaken by Chinese ﬁnanciers or implementing agencies to mitigate environmental, social, or governance risks before, during, or after project’s implementation. Between 2000 and 2021, we ﬁnd evidence that de</w:t>
      </w:r>
      <w:r>
        <w:rPr>
          <w:spacing w:val="40"/>
        </w:rPr>
        <w:t> </w:t>
      </w:r>
      <w:r>
        <w:rPr/>
        <w:t>facto ESG risk mitigation efforts were undertaken to support at least 210 infrastructure projects in 66 LICs and MICs supported by grants and loans from China.</w:t>
      </w:r>
      <w:r>
        <w:rPr>
          <w:vertAlign w:val="superscript"/>
        </w:rPr>
        <w:t>283</w:t>
      </w:r>
      <w:r>
        <w:rPr>
          <w:vertAlign w:val="baseline"/>
        </w:rPr>
        <w:t> The estimated cumulative value of China’s grant- and loan-ﬁnanced infrastructure project portfolio supported by de facto ESG risk mitigation efforts increased from $55 million in 2000 to $86 billion in 2021 (see Figure A48).</w:t>
      </w:r>
    </w:p>
    <w:p>
      <w:pPr>
        <w:pStyle w:val="BodyText"/>
        <w:rPr>
          <w:sz w:val="20"/>
        </w:rPr>
      </w:pPr>
    </w:p>
    <w:p>
      <w:pPr>
        <w:pStyle w:val="BodyText"/>
        <w:spacing w:before="6"/>
        <w:rPr>
          <w:sz w:val="17"/>
        </w:rPr>
      </w:pPr>
      <w:r>
        <w:rPr/>
        <w:pict>
          <v:shape style="position:absolute;margin-left:90pt;margin-top:11.281395pt;width:144pt;height:.1pt;mso-position-horizontal-relative:page;mso-position-vertical-relative:paragraph;z-index:-15703040;mso-wrap-distance-left:0;mso-wrap-distance-right:0" id="docshape41" coordorigin="1800,226" coordsize="2880,0" path="m1800,226l4680,226e" filled="false" stroked="true" strokeweight=".75pt" strokecolor="#000000">
            <v:path arrowok="t"/>
            <v:stroke dashstyle="solid"/>
            <w10:wrap type="topAndBottom"/>
          </v:shape>
        </w:pict>
      </w:r>
    </w:p>
    <w:p>
      <w:pPr>
        <w:spacing w:line="249" w:lineRule="auto" w:before="113"/>
        <w:ind w:left="560" w:right="589" w:firstLine="0"/>
        <w:jc w:val="left"/>
        <w:rPr>
          <w:sz w:val="18"/>
        </w:rPr>
      </w:pPr>
      <w:r>
        <w:rPr>
          <w:sz w:val="18"/>
          <w:vertAlign w:val="superscript"/>
        </w:rPr>
        <w:t>283</w:t>
      </w:r>
      <w:r>
        <w:rPr>
          <w:sz w:val="18"/>
          <w:vertAlign w:val="baseline"/>
        </w:rPr>
        <w:t> The “at least” qualiﬁer is important because of our inability to address “false negatives” that may </w:t>
      </w:r>
      <w:r>
        <w:rPr>
          <w:sz w:val="18"/>
          <w:vertAlign w:val="baseline"/>
        </w:rPr>
        <w:t>affect our keyword-search based measures (see Section A-7 in the Appendix).</w:t>
      </w:r>
    </w:p>
    <w:p>
      <w:pPr>
        <w:spacing w:after="0" w:line="249" w:lineRule="auto"/>
        <w:jc w:val="left"/>
        <w:rPr>
          <w:sz w:val="18"/>
        </w:rPr>
        <w:sectPr>
          <w:pgSz w:w="12240" w:h="15840"/>
          <w:pgMar w:header="0" w:footer="720" w:top="1420" w:bottom="920" w:left="1240" w:right="1260"/>
        </w:sectPr>
      </w:pPr>
    </w:p>
    <w:p>
      <w:pPr>
        <w:pStyle w:val="BodyText"/>
        <w:spacing w:line="333" w:lineRule="auto" w:before="27"/>
        <w:ind w:left="560" w:right="649"/>
      </w:pPr>
      <w:r>
        <w:rPr/>
        <w:t>According to Figure 3.9, the percentage of Chinese grant- and loan-ﬁnanced infrastructure projects in the developing world supported by a de facto ESG </w:t>
      </w:r>
      <w:r>
        <w:rPr/>
        <w:t>risk mitigation effort steadily increased from 2% in 2000 to 18% in 2021, which is broadly</w:t>
      </w:r>
      <w:r>
        <w:rPr>
          <w:spacing w:val="-4"/>
        </w:rPr>
        <w:t> </w:t>
      </w:r>
      <w:r>
        <w:rPr/>
        <w:t>consistent</w:t>
      </w:r>
      <w:r>
        <w:rPr>
          <w:spacing w:val="-4"/>
        </w:rPr>
        <w:t> </w:t>
      </w:r>
      <w:r>
        <w:rPr/>
        <w:t>with</w:t>
      </w:r>
      <w:r>
        <w:rPr>
          <w:spacing w:val="-4"/>
        </w:rPr>
        <w:t> </w:t>
      </w:r>
      <w:r>
        <w:rPr/>
        <w:t>China’s</w:t>
      </w:r>
      <w:r>
        <w:rPr>
          <w:spacing w:val="-4"/>
        </w:rPr>
        <w:t> </w:t>
      </w:r>
      <w:r>
        <w:rPr/>
        <w:t>increasing</w:t>
      </w:r>
      <w:r>
        <w:rPr>
          <w:spacing w:val="-4"/>
        </w:rPr>
        <w:t> </w:t>
      </w:r>
      <w:r>
        <w:rPr/>
        <w:t>use</w:t>
      </w:r>
      <w:r>
        <w:rPr>
          <w:spacing w:val="-4"/>
        </w:rPr>
        <w:t> </w:t>
      </w:r>
      <w:r>
        <w:rPr/>
        <w:t>of</w:t>
      </w:r>
      <w:r>
        <w:rPr>
          <w:spacing w:val="-4"/>
        </w:rPr>
        <w:t> </w:t>
      </w:r>
      <w:r>
        <w:rPr/>
        <w:t>strong</w:t>
      </w:r>
      <w:r>
        <w:rPr>
          <w:spacing w:val="-4"/>
        </w:rPr>
        <w:t> </w:t>
      </w:r>
      <w:r>
        <w:rPr/>
        <w:t>de</w:t>
      </w:r>
      <w:r>
        <w:rPr>
          <w:spacing w:val="-4"/>
        </w:rPr>
        <w:t> </w:t>
      </w:r>
      <w:r>
        <w:rPr/>
        <w:t>jure</w:t>
      </w:r>
      <w:r>
        <w:rPr>
          <w:spacing w:val="-4"/>
        </w:rPr>
        <w:t> </w:t>
      </w:r>
      <w:r>
        <w:rPr/>
        <w:t>ESG</w:t>
      </w:r>
      <w:r>
        <w:rPr>
          <w:spacing w:val="-4"/>
        </w:rPr>
        <w:t> </w:t>
      </w:r>
      <w:r>
        <w:rPr/>
        <w:t>safeguards over the same twenty-two year period.</w:t>
      </w:r>
      <w:r>
        <w:rPr>
          <w:vertAlign w:val="superscript"/>
        </w:rPr>
        <w:t>284</w:t>
      </w:r>
      <w:r>
        <w:rPr>
          <w:vertAlign w:val="baseline"/>
        </w:rPr>
        <w:t> However, Figure 3.9 also highlights an important shift that took place over time: although de jure and de facto risk mitigation efforts mostly moved in tandem during the pre-BRI era (2000-2013), the “delta” between de jure and de facto risk mitigation efforts widened during</w:t>
      </w:r>
      <w:r>
        <w:rPr>
          <w:spacing w:val="80"/>
          <w:vertAlign w:val="baseline"/>
        </w:rPr>
        <w:t> </w:t>
      </w:r>
      <w:r>
        <w:rPr>
          <w:vertAlign w:val="baseline"/>
        </w:rPr>
        <w:t>the BRI era (2014-2021).</w:t>
      </w:r>
      <w:r>
        <w:rPr>
          <w:vertAlign w:val="superscript"/>
        </w:rPr>
        <w:t>285</w:t>
      </w:r>
      <w:r>
        <w:rPr>
          <w:spacing w:val="-1"/>
          <w:vertAlign w:val="baseline"/>
        </w:rPr>
        <w:t> </w:t>
      </w:r>
      <w:r>
        <w:rPr>
          <w:vertAlign w:val="baseline"/>
        </w:rPr>
        <w:t>By 2021, the gap between how Beijing applied ESG safeguards in principle and in practice was substantial: 57% of its infrastructure project portfolio in LICs and MICs beneﬁted from strong de jure ESG safeguards, yet there was evidence of de facto ESG risk mitigation efforts being undertaken in only 18% of the portfolio (see also Box 3b).</w:t>
      </w:r>
      <w:r>
        <w:rPr>
          <w:vertAlign w:val="superscript"/>
        </w:rPr>
        <w:t>286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r>
        <w:rPr/>
        <w:pict>
          <v:shape style="position:absolute;margin-left:90pt;margin-top:10.354004pt;width:144pt;height:.1pt;mso-position-horizontal-relative:page;mso-position-vertical-relative:paragraph;z-index:-15702528;mso-wrap-distance-left:0;mso-wrap-distance-right:0" id="docshape42" coordorigin="1800,207" coordsize="2880,0" path="m1800,207l4680,207e" filled="false" stroked="true" strokeweight=".75pt" strokecolor="#000000">
            <v:path arrowok="t"/>
            <v:stroke dashstyle="solid"/>
            <w10:wrap type="topAndBottom"/>
          </v:shape>
        </w:pict>
      </w:r>
    </w:p>
    <w:p>
      <w:pPr>
        <w:spacing w:line="249" w:lineRule="auto" w:before="106"/>
        <w:ind w:left="560" w:right="680" w:firstLine="0"/>
        <w:jc w:val="left"/>
        <w:rPr>
          <w:sz w:val="18"/>
        </w:rPr>
      </w:pPr>
      <w:r>
        <w:rPr>
          <w:sz w:val="18"/>
          <w:vertAlign w:val="superscript"/>
        </w:rPr>
        <w:t>284</w:t>
      </w:r>
      <w:r>
        <w:rPr>
          <w:sz w:val="18"/>
          <w:vertAlign w:val="baseline"/>
        </w:rPr>
        <w:t> In the Appendix, we present a different version of this graph (Figure A50) that measures the annual percentage of</w:t>
      </w:r>
      <w:r>
        <w:rPr>
          <w:spacing w:val="-1"/>
          <w:sz w:val="18"/>
          <w:vertAlign w:val="baseline"/>
        </w:rPr>
        <w:t> </w:t>
      </w:r>
      <w:r>
        <w:rPr>
          <w:sz w:val="18"/>
          <w:vertAlign w:val="baseline"/>
        </w:rPr>
        <w:t>China’s grant-</w:t>
      </w:r>
      <w:r>
        <w:rPr>
          <w:spacing w:val="-1"/>
          <w:sz w:val="18"/>
          <w:vertAlign w:val="baseline"/>
        </w:rPr>
        <w:t> </w:t>
      </w:r>
      <w:r>
        <w:rPr>
          <w:sz w:val="18"/>
          <w:vertAlign w:val="baseline"/>
        </w:rPr>
        <w:t>and loan-ﬁnanced</w:t>
      </w:r>
      <w:r>
        <w:rPr>
          <w:spacing w:val="-1"/>
          <w:sz w:val="18"/>
          <w:vertAlign w:val="baseline"/>
        </w:rPr>
        <w:t> </w:t>
      </w:r>
      <w:r>
        <w:rPr>
          <w:sz w:val="18"/>
          <w:vertAlign w:val="baseline"/>
        </w:rPr>
        <w:t>infrastructure </w:t>
      </w:r>
      <w:r>
        <w:rPr>
          <w:i/>
          <w:sz w:val="18"/>
          <w:vertAlign w:val="baseline"/>
        </w:rPr>
        <w:t>projects</w:t>
      </w:r>
      <w:r>
        <w:rPr>
          <w:i/>
          <w:spacing w:val="-1"/>
          <w:sz w:val="18"/>
          <w:vertAlign w:val="baseline"/>
        </w:rPr>
        <w:t> </w:t>
      </w:r>
      <w:r>
        <w:rPr>
          <w:sz w:val="18"/>
          <w:vertAlign w:val="baseline"/>
        </w:rPr>
        <w:t>in LICs</w:t>
      </w:r>
      <w:r>
        <w:rPr>
          <w:spacing w:val="-1"/>
          <w:sz w:val="18"/>
          <w:vertAlign w:val="baseline"/>
        </w:rPr>
        <w:t> </w:t>
      </w:r>
      <w:r>
        <w:rPr>
          <w:sz w:val="18"/>
          <w:vertAlign w:val="baseline"/>
        </w:rPr>
        <w:t>and MICs</w:t>
      </w:r>
      <w:r>
        <w:rPr>
          <w:spacing w:val="-1"/>
          <w:sz w:val="18"/>
          <w:vertAlign w:val="baseline"/>
        </w:rPr>
        <w:t> </w:t>
      </w:r>
      <w:r>
        <w:rPr>
          <w:sz w:val="18"/>
          <w:vertAlign w:val="baseline"/>
        </w:rPr>
        <w:t>supported by</w:t>
      </w:r>
      <w:r>
        <w:rPr>
          <w:spacing w:val="-1"/>
          <w:sz w:val="18"/>
          <w:vertAlign w:val="baseline"/>
        </w:rPr>
        <w:t> </w:t>
      </w:r>
      <w:r>
        <w:rPr>
          <w:sz w:val="18"/>
          <w:vertAlign w:val="baseline"/>
        </w:rPr>
        <w:t>(a) one</w:t>
      </w:r>
      <w:r>
        <w:rPr>
          <w:spacing w:val="-2"/>
          <w:sz w:val="18"/>
          <w:vertAlign w:val="baseline"/>
        </w:rPr>
        <w:t> </w:t>
      </w:r>
      <w:r>
        <w:rPr>
          <w:sz w:val="18"/>
          <w:vertAlign w:val="baseline"/>
        </w:rPr>
        <w:t>or</w:t>
      </w:r>
      <w:r>
        <w:rPr>
          <w:spacing w:val="-2"/>
          <w:sz w:val="18"/>
          <w:vertAlign w:val="baseline"/>
        </w:rPr>
        <w:t> </w:t>
      </w:r>
      <w:r>
        <w:rPr>
          <w:sz w:val="18"/>
          <w:vertAlign w:val="baseline"/>
        </w:rPr>
        <w:t>more</w:t>
      </w:r>
      <w:r>
        <w:rPr>
          <w:spacing w:val="-2"/>
          <w:sz w:val="18"/>
          <w:vertAlign w:val="baseline"/>
        </w:rPr>
        <w:t> </w:t>
      </w:r>
      <w:r>
        <w:rPr>
          <w:sz w:val="18"/>
          <w:vertAlign w:val="baseline"/>
        </w:rPr>
        <w:t>de</w:t>
      </w:r>
      <w:r>
        <w:rPr>
          <w:spacing w:val="-2"/>
          <w:sz w:val="18"/>
          <w:vertAlign w:val="baseline"/>
        </w:rPr>
        <w:t> </w:t>
      </w:r>
      <w:r>
        <w:rPr>
          <w:sz w:val="18"/>
          <w:vertAlign w:val="baseline"/>
        </w:rPr>
        <w:t>facto</w:t>
      </w:r>
      <w:r>
        <w:rPr>
          <w:spacing w:val="-2"/>
          <w:sz w:val="18"/>
          <w:vertAlign w:val="baseline"/>
        </w:rPr>
        <w:t> </w:t>
      </w:r>
      <w:r>
        <w:rPr>
          <w:sz w:val="18"/>
          <w:vertAlign w:val="baseline"/>
        </w:rPr>
        <w:t>ESG</w:t>
      </w:r>
      <w:r>
        <w:rPr>
          <w:spacing w:val="-2"/>
          <w:sz w:val="18"/>
          <w:vertAlign w:val="baseline"/>
        </w:rPr>
        <w:t> </w:t>
      </w:r>
      <w:r>
        <w:rPr>
          <w:sz w:val="18"/>
          <w:vertAlign w:val="baseline"/>
        </w:rPr>
        <w:t>risk</w:t>
      </w:r>
      <w:r>
        <w:rPr>
          <w:spacing w:val="-2"/>
          <w:sz w:val="18"/>
          <w:vertAlign w:val="baseline"/>
        </w:rPr>
        <w:t> </w:t>
      </w:r>
      <w:r>
        <w:rPr>
          <w:sz w:val="18"/>
          <w:vertAlign w:val="baseline"/>
        </w:rPr>
        <w:t>mitigation</w:t>
      </w:r>
      <w:r>
        <w:rPr>
          <w:spacing w:val="-2"/>
          <w:sz w:val="18"/>
          <w:vertAlign w:val="baseline"/>
        </w:rPr>
        <w:t> </w:t>
      </w:r>
      <w:r>
        <w:rPr>
          <w:sz w:val="18"/>
          <w:vertAlign w:val="baseline"/>
        </w:rPr>
        <w:t>efforts</w:t>
      </w:r>
      <w:r>
        <w:rPr>
          <w:spacing w:val="-2"/>
          <w:sz w:val="18"/>
          <w:vertAlign w:val="baseline"/>
        </w:rPr>
        <w:t> </w:t>
      </w:r>
      <w:r>
        <w:rPr>
          <w:sz w:val="18"/>
          <w:vertAlign w:val="baseline"/>
        </w:rPr>
        <w:t>and</w:t>
      </w:r>
      <w:r>
        <w:rPr>
          <w:spacing w:val="-2"/>
          <w:sz w:val="18"/>
          <w:vertAlign w:val="baseline"/>
        </w:rPr>
        <w:t> </w:t>
      </w:r>
      <w:r>
        <w:rPr>
          <w:sz w:val="18"/>
          <w:vertAlign w:val="baseline"/>
        </w:rPr>
        <w:t>(b)</w:t>
      </w:r>
      <w:r>
        <w:rPr>
          <w:spacing w:val="-2"/>
          <w:sz w:val="18"/>
          <w:vertAlign w:val="baseline"/>
        </w:rPr>
        <w:t> </w:t>
      </w:r>
      <w:r>
        <w:rPr>
          <w:sz w:val="18"/>
          <w:vertAlign w:val="baseline"/>
        </w:rPr>
        <w:t>strong</w:t>
      </w:r>
      <w:r>
        <w:rPr>
          <w:spacing w:val="-2"/>
          <w:sz w:val="18"/>
          <w:vertAlign w:val="baseline"/>
        </w:rPr>
        <w:t> </w:t>
      </w:r>
      <w:r>
        <w:rPr>
          <w:sz w:val="18"/>
          <w:vertAlign w:val="baseline"/>
        </w:rPr>
        <w:t>de</w:t>
      </w:r>
      <w:r>
        <w:rPr>
          <w:spacing w:val="-2"/>
          <w:sz w:val="18"/>
          <w:vertAlign w:val="baseline"/>
        </w:rPr>
        <w:t> </w:t>
      </w:r>
      <w:r>
        <w:rPr>
          <w:sz w:val="18"/>
          <w:vertAlign w:val="baseline"/>
        </w:rPr>
        <w:t>jure</w:t>
      </w:r>
      <w:r>
        <w:rPr>
          <w:spacing w:val="-2"/>
          <w:sz w:val="18"/>
          <w:vertAlign w:val="baseline"/>
        </w:rPr>
        <w:t> </w:t>
      </w:r>
      <w:r>
        <w:rPr>
          <w:sz w:val="18"/>
          <w:vertAlign w:val="baseline"/>
        </w:rPr>
        <w:t>ESG</w:t>
      </w:r>
      <w:r>
        <w:rPr>
          <w:spacing w:val="-2"/>
          <w:sz w:val="18"/>
          <w:vertAlign w:val="baseline"/>
        </w:rPr>
        <w:t> </w:t>
      </w:r>
      <w:r>
        <w:rPr>
          <w:sz w:val="18"/>
          <w:vertAlign w:val="baseline"/>
        </w:rPr>
        <w:t>safeguards.</w:t>
      </w:r>
      <w:r>
        <w:rPr>
          <w:spacing w:val="-2"/>
          <w:sz w:val="18"/>
          <w:vertAlign w:val="baseline"/>
        </w:rPr>
        <w:t> </w:t>
      </w:r>
      <w:r>
        <w:rPr>
          <w:sz w:val="18"/>
          <w:vertAlign w:val="baseline"/>
        </w:rPr>
        <w:t>It</w:t>
      </w:r>
      <w:r>
        <w:rPr>
          <w:spacing w:val="-2"/>
          <w:sz w:val="18"/>
          <w:vertAlign w:val="baseline"/>
        </w:rPr>
        <w:t> </w:t>
      </w:r>
      <w:r>
        <w:rPr>
          <w:sz w:val="18"/>
          <w:vertAlign w:val="baseline"/>
        </w:rPr>
        <w:t>too</w:t>
      </w:r>
      <w:r>
        <w:rPr>
          <w:spacing w:val="-2"/>
          <w:sz w:val="18"/>
          <w:vertAlign w:val="baseline"/>
        </w:rPr>
        <w:t> </w:t>
      </w:r>
      <w:r>
        <w:rPr>
          <w:sz w:val="18"/>
          <w:vertAlign w:val="baseline"/>
        </w:rPr>
        <w:t>shows</w:t>
      </w:r>
      <w:r>
        <w:rPr>
          <w:spacing w:val="-2"/>
          <w:sz w:val="18"/>
          <w:vertAlign w:val="baseline"/>
        </w:rPr>
        <w:t> </w:t>
      </w:r>
      <w:r>
        <w:rPr>
          <w:sz w:val="18"/>
          <w:vertAlign w:val="baseline"/>
        </w:rPr>
        <w:t>that Beijing’s de jure risk mitigation efforts generally outpaced its de facto risk mitigation efforts.</w:t>
      </w:r>
    </w:p>
    <w:p>
      <w:pPr>
        <w:spacing w:line="249" w:lineRule="auto" w:before="4"/>
        <w:ind w:left="560" w:right="589" w:firstLine="0"/>
        <w:jc w:val="left"/>
        <w:rPr>
          <w:sz w:val="18"/>
        </w:rPr>
      </w:pPr>
      <w:r>
        <w:rPr>
          <w:sz w:val="18"/>
          <w:vertAlign w:val="superscript"/>
        </w:rPr>
        <w:t>285</w:t>
      </w:r>
      <w:r>
        <w:rPr>
          <w:sz w:val="18"/>
          <w:vertAlign w:val="baseline"/>
        </w:rPr>
        <w:t> Figure 3.9 treats an infrastructure project’s ﬁnancial commitment year as the year in which ESG risk </w:t>
      </w:r>
      <w:r>
        <w:rPr>
          <w:w w:val="105"/>
          <w:sz w:val="18"/>
          <w:vertAlign w:val="baseline"/>
        </w:rPr>
        <w:t>mitigation</w:t>
      </w:r>
      <w:r>
        <w:rPr>
          <w:spacing w:val="-13"/>
          <w:w w:val="105"/>
          <w:sz w:val="18"/>
          <w:vertAlign w:val="baseline"/>
        </w:rPr>
        <w:t> </w:t>
      </w:r>
      <w:r>
        <w:rPr>
          <w:w w:val="105"/>
          <w:sz w:val="18"/>
          <w:vertAlign w:val="baseline"/>
        </w:rPr>
        <w:t>efforts</w:t>
      </w:r>
      <w:r>
        <w:rPr>
          <w:spacing w:val="-13"/>
          <w:w w:val="105"/>
          <w:sz w:val="18"/>
          <w:vertAlign w:val="baseline"/>
        </w:rPr>
        <w:t> </w:t>
      </w:r>
      <w:r>
        <w:rPr>
          <w:w w:val="105"/>
          <w:sz w:val="18"/>
          <w:vertAlign w:val="baseline"/>
        </w:rPr>
        <w:t>were</w:t>
      </w:r>
      <w:r>
        <w:rPr>
          <w:spacing w:val="-13"/>
          <w:w w:val="105"/>
          <w:sz w:val="18"/>
          <w:vertAlign w:val="baseline"/>
        </w:rPr>
        <w:t> </w:t>
      </w:r>
      <w:r>
        <w:rPr>
          <w:w w:val="105"/>
          <w:sz w:val="18"/>
          <w:vertAlign w:val="baseline"/>
        </w:rPr>
        <w:t>undertaken.</w:t>
      </w:r>
      <w:r>
        <w:rPr>
          <w:spacing w:val="-13"/>
          <w:w w:val="105"/>
          <w:sz w:val="18"/>
          <w:vertAlign w:val="baseline"/>
        </w:rPr>
        <w:t> </w:t>
      </w:r>
      <w:r>
        <w:rPr>
          <w:w w:val="105"/>
          <w:sz w:val="18"/>
          <w:vertAlign w:val="baseline"/>
        </w:rPr>
        <w:t>However,</w:t>
      </w:r>
      <w:r>
        <w:rPr>
          <w:spacing w:val="-13"/>
          <w:w w:val="105"/>
          <w:sz w:val="18"/>
          <w:vertAlign w:val="baseline"/>
        </w:rPr>
        <w:t> </w:t>
      </w:r>
      <w:r>
        <w:rPr>
          <w:w w:val="105"/>
          <w:sz w:val="18"/>
          <w:vertAlign w:val="baseline"/>
        </w:rPr>
        <w:t>given</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probability</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ESG</w:t>
      </w:r>
      <w:r>
        <w:rPr>
          <w:spacing w:val="-13"/>
          <w:w w:val="105"/>
          <w:sz w:val="18"/>
          <w:vertAlign w:val="baseline"/>
        </w:rPr>
        <w:t> </w:t>
      </w:r>
      <w:r>
        <w:rPr>
          <w:w w:val="105"/>
          <w:sz w:val="18"/>
          <w:vertAlign w:val="baseline"/>
        </w:rPr>
        <w:t>risk</w:t>
      </w:r>
      <w:r>
        <w:rPr>
          <w:spacing w:val="-13"/>
          <w:w w:val="105"/>
          <w:sz w:val="18"/>
          <w:vertAlign w:val="baseline"/>
        </w:rPr>
        <w:t> </w:t>
      </w:r>
      <w:r>
        <w:rPr>
          <w:w w:val="105"/>
          <w:sz w:val="18"/>
          <w:vertAlign w:val="baseline"/>
        </w:rPr>
        <w:t>mitigation</w:t>
      </w:r>
      <w:r>
        <w:rPr>
          <w:spacing w:val="-13"/>
          <w:w w:val="105"/>
          <w:sz w:val="18"/>
          <w:vertAlign w:val="baseline"/>
        </w:rPr>
        <w:t> </w:t>
      </w:r>
      <w:r>
        <w:rPr>
          <w:w w:val="105"/>
          <w:sz w:val="18"/>
          <w:vertAlign w:val="baseline"/>
        </w:rPr>
        <w:t>measures </w:t>
      </w:r>
      <w:r>
        <w:rPr>
          <w:sz w:val="18"/>
          <w:vertAlign w:val="baseline"/>
        </w:rPr>
        <w:t>being undertaken and detected increases as a project progresses from the ﬁnancial commitment phase </w:t>
      </w:r>
      <w:r>
        <w:rPr>
          <w:sz w:val="18"/>
          <w:vertAlign w:val="baseline"/>
        </w:rPr>
        <w:t>to </w:t>
      </w:r>
      <w:r>
        <w:rPr>
          <w:w w:val="105"/>
          <w:sz w:val="18"/>
          <w:vertAlign w:val="baseline"/>
        </w:rPr>
        <w:t>the</w:t>
      </w:r>
      <w:r>
        <w:rPr>
          <w:spacing w:val="-11"/>
          <w:w w:val="105"/>
          <w:sz w:val="18"/>
          <w:vertAlign w:val="baseline"/>
        </w:rPr>
        <w:t> </w:t>
      </w:r>
      <w:r>
        <w:rPr>
          <w:w w:val="105"/>
          <w:sz w:val="18"/>
          <w:vertAlign w:val="baseline"/>
        </w:rPr>
        <w:t>implementation</w:t>
      </w:r>
      <w:r>
        <w:rPr>
          <w:spacing w:val="-11"/>
          <w:w w:val="105"/>
          <w:sz w:val="18"/>
          <w:vertAlign w:val="baseline"/>
        </w:rPr>
        <w:t> </w:t>
      </w:r>
      <w:r>
        <w:rPr>
          <w:w w:val="105"/>
          <w:sz w:val="18"/>
          <w:vertAlign w:val="baseline"/>
        </w:rPr>
        <w:t>phase</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completion</w:t>
      </w:r>
      <w:r>
        <w:rPr>
          <w:spacing w:val="-11"/>
          <w:w w:val="105"/>
          <w:sz w:val="18"/>
          <w:vertAlign w:val="baseline"/>
        </w:rPr>
        <w:t> </w:t>
      </w:r>
      <w:r>
        <w:rPr>
          <w:w w:val="105"/>
          <w:sz w:val="18"/>
          <w:vertAlign w:val="baseline"/>
        </w:rPr>
        <w:t>phase),</w:t>
      </w:r>
      <w:r>
        <w:rPr>
          <w:spacing w:val="-11"/>
          <w:w w:val="105"/>
          <w:sz w:val="18"/>
          <w:vertAlign w:val="baseline"/>
        </w:rPr>
        <w:t> </w:t>
      </w:r>
      <w:r>
        <w:rPr>
          <w:w w:val="105"/>
          <w:sz w:val="18"/>
          <w:vertAlign w:val="baseline"/>
        </w:rPr>
        <w:t>it</w:t>
      </w:r>
      <w:r>
        <w:rPr>
          <w:spacing w:val="-11"/>
          <w:w w:val="105"/>
          <w:sz w:val="18"/>
          <w:vertAlign w:val="baseline"/>
        </w:rPr>
        <w:t> </w:t>
      </w:r>
      <w:r>
        <w:rPr>
          <w:w w:val="105"/>
          <w:sz w:val="18"/>
          <w:vertAlign w:val="baseline"/>
        </w:rPr>
        <w:t>may</w:t>
      </w:r>
      <w:r>
        <w:rPr>
          <w:spacing w:val="-11"/>
          <w:w w:val="105"/>
          <w:sz w:val="18"/>
          <w:vertAlign w:val="baseline"/>
        </w:rPr>
        <w:t> </w:t>
      </w:r>
      <w:r>
        <w:rPr>
          <w:w w:val="105"/>
          <w:sz w:val="18"/>
          <w:vertAlign w:val="baseline"/>
        </w:rPr>
        <w:t>also</w:t>
      </w:r>
      <w:r>
        <w:rPr>
          <w:spacing w:val="-11"/>
          <w:w w:val="105"/>
          <w:sz w:val="18"/>
          <w:vertAlign w:val="baseline"/>
        </w:rPr>
        <w:t> </w:t>
      </w:r>
      <w:r>
        <w:rPr>
          <w:w w:val="105"/>
          <w:sz w:val="18"/>
          <w:vertAlign w:val="baseline"/>
        </w:rPr>
        <w:t>be</w:t>
      </w:r>
      <w:r>
        <w:rPr>
          <w:spacing w:val="-11"/>
          <w:w w:val="105"/>
          <w:sz w:val="18"/>
          <w:vertAlign w:val="baseline"/>
        </w:rPr>
        <w:t> </w:t>
      </w:r>
      <w:r>
        <w:rPr>
          <w:w w:val="105"/>
          <w:sz w:val="18"/>
          <w:vertAlign w:val="baseline"/>
        </w:rPr>
        <w:t>useful</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treat</w:t>
      </w:r>
      <w:r>
        <w:rPr>
          <w:spacing w:val="-11"/>
          <w:w w:val="105"/>
          <w:sz w:val="18"/>
          <w:vertAlign w:val="baseline"/>
        </w:rPr>
        <w:t> </w:t>
      </w:r>
      <w:r>
        <w:rPr>
          <w:w w:val="105"/>
          <w:sz w:val="18"/>
          <w:vertAlign w:val="baseline"/>
        </w:rPr>
        <w:t>an</w:t>
      </w:r>
      <w:r>
        <w:rPr>
          <w:spacing w:val="-11"/>
          <w:w w:val="105"/>
          <w:sz w:val="18"/>
          <w:vertAlign w:val="baseline"/>
        </w:rPr>
        <w:t> </w:t>
      </w:r>
      <w:r>
        <w:rPr>
          <w:w w:val="105"/>
          <w:sz w:val="18"/>
          <w:vertAlign w:val="baseline"/>
        </w:rPr>
        <w:t>infrastructure </w:t>
      </w:r>
      <w:r>
        <w:rPr>
          <w:spacing w:val="-2"/>
          <w:w w:val="105"/>
          <w:sz w:val="18"/>
          <w:vertAlign w:val="baseline"/>
        </w:rPr>
        <w:t>project’s commencement (implementation start) year or its completion (implementation end) year as the </w:t>
      </w:r>
      <w:r>
        <w:rPr>
          <w:w w:val="105"/>
          <w:sz w:val="18"/>
          <w:vertAlign w:val="baseline"/>
        </w:rPr>
        <w:t>year</w:t>
      </w:r>
      <w:r>
        <w:rPr>
          <w:spacing w:val="-14"/>
          <w:w w:val="105"/>
          <w:sz w:val="18"/>
          <w:vertAlign w:val="baseline"/>
        </w:rPr>
        <w:t> </w:t>
      </w:r>
      <w:r>
        <w:rPr>
          <w:w w:val="105"/>
          <w:sz w:val="18"/>
          <w:vertAlign w:val="baseline"/>
        </w:rPr>
        <w:t>in</w:t>
      </w:r>
      <w:r>
        <w:rPr>
          <w:spacing w:val="-13"/>
          <w:w w:val="105"/>
          <w:sz w:val="18"/>
          <w:vertAlign w:val="baseline"/>
        </w:rPr>
        <w:t> </w:t>
      </w:r>
      <w:r>
        <w:rPr>
          <w:w w:val="105"/>
          <w:sz w:val="18"/>
          <w:vertAlign w:val="baseline"/>
        </w:rPr>
        <w:t>which</w:t>
      </w:r>
      <w:r>
        <w:rPr>
          <w:spacing w:val="-13"/>
          <w:w w:val="105"/>
          <w:sz w:val="18"/>
          <w:vertAlign w:val="baseline"/>
        </w:rPr>
        <w:t> </w:t>
      </w:r>
      <w:r>
        <w:rPr>
          <w:w w:val="105"/>
          <w:sz w:val="18"/>
          <w:vertAlign w:val="baseline"/>
        </w:rPr>
        <w:t>ESG</w:t>
      </w:r>
      <w:r>
        <w:rPr>
          <w:spacing w:val="-13"/>
          <w:w w:val="105"/>
          <w:sz w:val="18"/>
          <w:vertAlign w:val="baseline"/>
        </w:rPr>
        <w:t> </w:t>
      </w:r>
      <w:r>
        <w:rPr>
          <w:w w:val="105"/>
          <w:sz w:val="18"/>
          <w:vertAlign w:val="baseline"/>
        </w:rPr>
        <w:t>risk</w:t>
      </w:r>
      <w:r>
        <w:rPr>
          <w:spacing w:val="-13"/>
          <w:w w:val="105"/>
          <w:sz w:val="18"/>
          <w:vertAlign w:val="baseline"/>
        </w:rPr>
        <w:t> </w:t>
      </w:r>
      <w:r>
        <w:rPr>
          <w:w w:val="105"/>
          <w:sz w:val="18"/>
          <w:vertAlign w:val="baseline"/>
        </w:rPr>
        <w:t>mitigation</w:t>
      </w:r>
      <w:r>
        <w:rPr>
          <w:spacing w:val="-13"/>
          <w:w w:val="105"/>
          <w:sz w:val="18"/>
          <w:vertAlign w:val="baseline"/>
        </w:rPr>
        <w:t> </w:t>
      </w:r>
      <w:r>
        <w:rPr>
          <w:w w:val="105"/>
          <w:sz w:val="18"/>
          <w:vertAlign w:val="baseline"/>
        </w:rPr>
        <w:t>efforts</w:t>
      </w:r>
      <w:r>
        <w:rPr>
          <w:spacing w:val="-13"/>
          <w:w w:val="105"/>
          <w:sz w:val="18"/>
          <w:vertAlign w:val="baseline"/>
        </w:rPr>
        <w:t> </w:t>
      </w:r>
      <w:r>
        <w:rPr>
          <w:w w:val="105"/>
          <w:sz w:val="18"/>
          <w:vertAlign w:val="baseline"/>
        </w:rPr>
        <w:t>were</w:t>
      </w:r>
      <w:r>
        <w:rPr>
          <w:spacing w:val="-14"/>
          <w:w w:val="105"/>
          <w:sz w:val="18"/>
          <w:vertAlign w:val="baseline"/>
        </w:rPr>
        <w:t> </w:t>
      </w:r>
      <w:r>
        <w:rPr>
          <w:w w:val="105"/>
          <w:sz w:val="18"/>
          <w:vertAlign w:val="baseline"/>
        </w:rPr>
        <w:t>undertaken.</w:t>
      </w:r>
      <w:r>
        <w:rPr>
          <w:spacing w:val="-13"/>
          <w:w w:val="105"/>
          <w:sz w:val="18"/>
          <w:vertAlign w:val="baseline"/>
        </w:rPr>
        <w:t> </w:t>
      </w:r>
      <w:r>
        <w:rPr>
          <w:w w:val="105"/>
          <w:sz w:val="18"/>
          <w:vertAlign w:val="baseline"/>
        </w:rPr>
        <w:t>We</w:t>
      </w:r>
      <w:r>
        <w:rPr>
          <w:spacing w:val="-13"/>
          <w:w w:val="105"/>
          <w:sz w:val="18"/>
          <w:vertAlign w:val="baseline"/>
        </w:rPr>
        <w:t> </w:t>
      </w:r>
      <w:r>
        <w:rPr>
          <w:w w:val="105"/>
          <w:sz w:val="18"/>
          <w:vertAlign w:val="baseline"/>
        </w:rPr>
        <w:t>do</w:t>
      </w:r>
      <w:r>
        <w:rPr>
          <w:spacing w:val="-13"/>
          <w:w w:val="105"/>
          <w:sz w:val="18"/>
          <w:vertAlign w:val="baseline"/>
        </w:rPr>
        <w:t> </w:t>
      </w:r>
      <w:r>
        <w:rPr>
          <w:w w:val="105"/>
          <w:sz w:val="18"/>
          <w:vertAlign w:val="baseline"/>
        </w:rPr>
        <w:t>so</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Figures</w:t>
      </w:r>
      <w:r>
        <w:rPr>
          <w:spacing w:val="-13"/>
          <w:w w:val="105"/>
          <w:sz w:val="18"/>
          <w:vertAlign w:val="baseline"/>
        </w:rPr>
        <w:t> </w:t>
      </w:r>
      <w:r>
        <w:rPr>
          <w:w w:val="105"/>
          <w:sz w:val="18"/>
          <w:vertAlign w:val="baseline"/>
        </w:rPr>
        <w:t>A51</w:t>
      </w:r>
      <w:r>
        <w:rPr>
          <w:spacing w:val="-13"/>
          <w:w w:val="105"/>
          <w:sz w:val="18"/>
          <w:vertAlign w:val="baseline"/>
        </w:rPr>
        <w:t> </w:t>
      </w:r>
      <w:r>
        <w:rPr>
          <w:w w:val="105"/>
          <w:sz w:val="18"/>
          <w:vertAlign w:val="baseline"/>
        </w:rPr>
        <w:t>and</w:t>
      </w:r>
      <w:r>
        <w:rPr>
          <w:spacing w:val="-14"/>
          <w:w w:val="105"/>
          <w:sz w:val="18"/>
          <w:vertAlign w:val="baseline"/>
        </w:rPr>
        <w:t> </w:t>
      </w:r>
      <w:r>
        <w:rPr>
          <w:w w:val="105"/>
          <w:sz w:val="18"/>
          <w:vertAlign w:val="baseline"/>
        </w:rPr>
        <w:t>Figure</w:t>
      </w:r>
      <w:r>
        <w:rPr>
          <w:spacing w:val="-13"/>
          <w:w w:val="105"/>
          <w:sz w:val="18"/>
          <w:vertAlign w:val="baseline"/>
        </w:rPr>
        <w:t> </w:t>
      </w:r>
      <w:r>
        <w:rPr>
          <w:w w:val="105"/>
          <w:sz w:val="18"/>
          <w:vertAlign w:val="baseline"/>
        </w:rPr>
        <w:t>A52.</w:t>
      </w:r>
    </w:p>
    <w:p>
      <w:pPr>
        <w:spacing w:line="249" w:lineRule="auto" w:before="4"/>
        <w:ind w:left="560" w:right="561" w:firstLine="0"/>
        <w:jc w:val="left"/>
        <w:rPr>
          <w:sz w:val="18"/>
        </w:rPr>
      </w:pPr>
      <w:r>
        <w:rPr>
          <w:sz w:val="18"/>
        </w:rPr>
        <w:t>However, these two ﬁgures do not show substantially smaller (or larger) gaps between de jure and de </w:t>
      </w:r>
      <w:r>
        <w:rPr>
          <w:sz w:val="18"/>
        </w:rPr>
        <w:t>facto ESG risk mitigation efforts. In Figure A51, the average annual percentage point difference between infrastructure projects with strong de jure ESG safeguards and infrastructure projects that involved de facto ESG risk mitigation efforts based on the completion year is 10%. In Figure A52, it is 13.2% based on the commencement year. In Figure 3.9, it is 12%.</w:t>
      </w:r>
    </w:p>
    <w:p>
      <w:pPr>
        <w:spacing w:line="249" w:lineRule="auto" w:before="4"/>
        <w:ind w:left="560" w:right="561" w:firstLine="0"/>
        <w:jc w:val="left"/>
        <w:rPr>
          <w:sz w:val="18"/>
        </w:rPr>
      </w:pPr>
      <w:r>
        <w:rPr>
          <w:sz w:val="18"/>
          <w:vertAlign w:val="superscript"/>
        </w:rPr>
        <w:t>286</w:t>
      </w:r>
      <w:r>
        <w:rPr>
          <w:spacing w:val="-3"/>
          <w:sz w:val="18"/>
          <w:vertAlign w:val="baseline"/>
        </w:rPr>
        <w:t> </w:t>
      </w:r>
      <w:r>
        <w:rPr>
          <w:sz w:val="18"/>
          <w:vertAlign w:val="baseline"/>
        </w:rPr>
        <w:t>An</w:t>
      </w:r>
      <w:r>
        <w:rPr>
          <w:spacing w:val="-2"/>
          <w:sz w:val="18"/>
          <w:vertAlign w:val="baseline"/>
        </w:rPr>
        <w:t> </w:t>
      </w:r>
      <w:r>
        <w:rPr>
          <w:sz w:val="18"/>
          <w:vertAlign w:val="baseline"/>
        </w:rPr>
        <w:t>important</w:t>
      </w:r>
      <w:r>
        <w:rPr>
          <w:spacing w:val="-2"/>
          <w:sz w:val="18"/>
          <w:vertAlign w:val="baseline"/>
        </w:rPr>
        <w:t> </w:t>
      </w:r>
      <w:r>
        <w:rPr>
          <w:sz w:val="18"/>
          <w:vertAlign w:val="baseline"/>
        </w:rPr>
        <w:t>caveat</w:t>
      </w:r>
      <w:r>
        <w:rPr>
          <w:spacing w:val="-2"/>
          <w:sz w:val="18"/>
          <w:vertAlign w:val="baseline"/>
        </w:rPr>
        <w:t> </w:t>
      </w:r>
      <w:r>
        <w:rPr>
          <w:sz w:val="18"/>
          <w:vertAlign w:val="baseline"/>
        </w:rPr>
        <w:t>is</w:t>
      </w:r>
      <w:r>
        <w:rPr>
          <w:spacing w:val="-2"/>
          <w:sz w:val="18"/>
          <w:vertAlign w:val="baseline"/>
        </w:rPr>
        <w:t> </w:t>
      </w:r>
      <w:r>
        <w:rPr>
          <w:sz w:val="18"/>
          <w:vertAlign w:val="baseline"/>
        </w:rPr>
        <w:t>that</w:t>
      </w:r>
      <w:r>
        <w:rPr>
          <w:spacing w:val="-2"/>
          <w:sz w:val="18"/>
          <w:vertAlign w:val="baseline"/>
        </w:rPr>
        <w:t> </w:t>
      </w:r>
      <w:r>
        <w:rPr>
          <w:sz w:val="18"/>
          <w:vertAlign w:val="baseline"/>
        </w:rPr>
        <w:t>our</w:t>
      </w:r>
      <w:r>
        <w:rPr>
          <w:spacing w:val="-2"/>
          <w:sz w:val="18"/>
          <w:vertAlign w:val="baseline"/>
        </w:rPr>
        <w:t> </w:t>
      </w:r>
      <w:r>
        <w:rPr>
          <w:sz w:val="18"/>
          <w:vertAlign w:val="baseline"/>
        </w:rPr>
        <w:t>measure</w:t>
      </w:r>
      <w:r>
        <w:rPr>
          <w:spacing w:val="-2"/>
          <w:sz w:val="18"/>
          <w:vertAlign w:val="baseline"/>
        </w:rPr>
        <w:t> </w:t>
      </w:r>
      <w:r>
        <w:rPr>
          <w:sz w:val="18"/>
          <w:vertAlign w:val="baseline"/>
        </w:rPr>
        <w:t>of</w:t>
      </w:r>
      <w:r>
        <w:rPr>
          <w:spacing w:val="-2"/>
          <w:sz w:val="18"/>
          <w:vertAlign w:val="baseline"/>
        </w:rPr>
        <w:t> </w:t>
      </w:r>
      <w:r>
        <w:rPr>
          <w:sz w:val="18"/>
          <w:vertAlign w:val="baseline"/>
        </w:rPr>
        <w:t>whether</w:t>
      </w:r>
      <w:r>
        <w:rPr>
          <w:spacing w:val="-2"/>
          <w:sz w:val="18"/>
          <w:vertAlign w:val="baseline"/>
        </w:rPr>
        <w:t> </w:t>
      </w:r>
      <w:r>
        <w:rPr>
          <w:sz w:val="18"/>
          <w:vertAlign w:val="baseline"/>
        </w:rPr>
        <w:t>any</w:t>
      </w:r>
      <w:r>
        <w:rPr>
          <w:spacing w:val="-2"/>
          <w:sz w:val="18"/>
          <w:vertAlign w:val="baseline"/>
        </w:rPr>
        <w:t> </w:t>
      </w:r>
      <w:r>
        <w:rPr>
          <w:sz w:val="18"/>
          <w:vertAlign w:val="baseline"/>
        </w:rPr>
        <w:t>effort</w:t>
      </w:r>
      <w:r>
        <w:rPr>
          <w:spacing w:val="-2"/>
          <w:sz w:val="18"/>
          <w:vertAlign w:val="baseline"/>
        </w:rPr>
        <w:t> </w:t>
      </w:r>
      <w:r>
        <w:rPr>
          <w:sz w:val="18"/>
          <w:vertAlign w:val="baseline"/>
        </w:rPr>
        <w:t>was</w:t>
      </w:r>
      <w:r>
        <w:rPr>
          <w:spacing w:val="-2"/>
          <w:sz w:val="18"/>
          <w:vertAlign w:val="baseline"/>
        </w:rPr>
        <w:t> </w:t>
      </w:r>
      <w:r>
        <w:rPr>
          <w:sz w:val="18"/>
          <w:vertAlign w:val="baseline"/>
        </w:rPr>
        <w:t>undertaken</w:t>
      </w:r>
      <w:r>
        <w:rPr>
          <w:spacing w:val="-2"/>
          <w:sz w:val="18"/>
          <w:vertAlign w:val="baseline"/>
        </w:rPr>
        <w:t> </w:t>
      </w:r>
      <w:r>
        <w:rPr>
          <w:sz w:val="18"/>
          <w:vertAlign w:val="baseline"/>
        </w:rPr>
        <w:t>to</w:t>
      </w:r>
      <w:r>
        <w:rPr>
          <w:spacing w:val="-2"/>
          <w:sz w:val="18"/>
          <w:vertAlign w:val="baseline"/>
        </w:rPr>
        <w:t> </w:t>
      </w:r>
      <w:r>
        <w:rPr>
          <w:sz w:val="18"/>
          <w:vertAlign w:val="baseline"/>
        </w:rPr>
        <w:t>mitigate</w:t>
      </w:r>
      <w:r>
        <w:rPr>
          <w:spacing w:val="-2"/>
          <w:sz w:val="18"/>
          <w:vertAlign w:val="baseline"/>
        </w:rPr>
        <w:t> </w:t>
      </w:r>
      <w:r>
        <w:rPr>
          <w:sz w:val="18"/>
          <w:vertAlign w:val="baseline"/>
        </w:rPr>
        <w:t>ESG</w:t>
      </w:r>
      <w:r>
        <w:rPr>
          <w:spacing w:val="-2"/>
          <w:sz w:val="18"/>
          <w:vertAlign w:val="baseline"/>
        </w:rPr>
        <w:t> </w:t>
      </w:r>
      <w:r>
        <w:rPr>
          <w:sz w:val="18"/>
          <w:vertAlign w:val="baseline"/>
        </w:rPr>
        <w:t>risks before, during, or after project’s implementation almost certainly underestimates the true level of risk mitigation effort (due to the previously-mentioned “false negative” challenge).</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4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3.9</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53">
            <wp:simplePos x="0" y="0"/>
            <wp:positionH relativeFrom="page">
              <wp:posOffset>1254964</wp:posOffset>
            </wp:positionH>
            <wp:positionV relativeFrom="paragraph">
              <wp:posOffset>116308</wp:posOffset>
            </wp:positionV>
            <wp:extent cx="5286828" cy="323669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5286828" cy="3236690"/>
                    </a:xfrm>
                    <a:prstGeom prst="rect">
                      <a:avLst/>
                    </a:prstGeom>
                  </pic:spPr>
                </pic:pic>
              </a:graphicData>
            </a:graphic>
          </wp:anchor>
        </w:drawing>
      </w:r>
    </w:p>
    <w:p>
      <w:pPr>
        <w:pStyle w:val="BodyText"/>
        <w:rPr>
          <w:sz w:val="20"/>
        </w:rPr>
      </w:pPr>
    </w:p>
    <w:p>
      <w:pPr>
        <w:pStyle w:val="BodyText"/>
        <w:rPr>
          <w:sz w:val="16"/>
        </w:rPr>
      </w:pPr>
    </w:p>
    <w:p>
      <w:pPr>
        <w:spacing w:line="333" w:lineRule="auto" w:before="0"/>
        <w:ind w:left="560" w:right="561" w:firstLine="0"/>
        <w:jc w:val="left"/>
        <w:rPr>
          <w:i/>
          <w:sz w:val="20"/>
        </w:rPr>
      </w:pPr>
      <w:r>
        <w:rPr>
          <w:i/>
          <w:w w:val="105"/>
          <w:sz w:val="20"/>
        </w:rPr>
        <w:t>Notes:</w:t>
      </w:r>
      <w:r>
        <w:rPr>
          <w:i/>
          <w:spacing w:val="-15"/>
          <w:w w:val="105"/>
          <w:sz w:val="20"/>
        </w:rPr>
        <w:t> </w:t>
      </w:r>
      <w:r>
        <w:rPr>
          <w:i/>
          <w:w w:val="105"/>
          <w:sz w:val="20"/>
        </w:rPr>
        <w:t>De</w:t>
      </w:r>
      <w:r>
        <w:rPr>
          <w:i/>
          <w:spacing w:val="-15"/>
          <w:w w:val="105"/>
          <w:sz w:val="20"/>
        </w:rPr>
        <w:t> </w:t>
      </w:r>
      <w:r>
        <w:rPr>
          <w:i/>
          <w:w w:val="105"/>
          <w:sz w:val="20"/>
        </w:rPr>
        <w:t>facto</w:t>
      </w:r>
      <w:r>
        <w:rPr>
          <w:i/>
          <w:spacing w:val="-14"/>
          <w:w w:val="105"/>
          <w:sz w:val="20"/>
        </w:rPr>
        <w:t> </w:t>
      </w:r>
      <w:r>
        <w:rPr>
          <w:i/>
          <w:w w:val="105"/>
          <w:sz w:val="20"/>
        </w:rPr>
        <w:t>ESG</w:t>
      </w:r>
      <w:r>
        <w:rPr>
          <w:i/>
          <w:spacing w:val="-15"/>
          <w:w w:val="105"/>
          <w:sz w:val="20"/>
        </w:rPr>
        <w:t> </w:t>
      </w:r>
      <w:r>
        <w:rPr>
          <w:i/>
          <w:w w:val="105"/>
          <w:sz w:val="20"/>
        </w:rPr>
        <w:t>risk</w:t>
      </w:r>
      <w:r>
        <w:rPr>
          <w:i/>
          <w:spacing w:val="-14"/>
          <w:w w:val="105"/>
          <w:sz w:val="20"/>
        </w:rPr>
        <w:t> </w:t>
      </w:r>
      <w:r>
        <w:rPr>
          <w:i/>
          <w:w w:val="105"/>
          <w:sz w:val="20"/>
        </w:rPr>
        <w:t>mitigation</w:t>
      </w:r>
      <w:r>
        <w:rPr>
          <w:i/>
          <w:spacing w:val="-15"/>
          <w:w w:val="105"/>
          <w:sz w:val="20"/>
        </w:rPr>
        <w:t> </w:t>
      </w:r>
      <w:r>
        <w:rPr>
          <w:i/>
          <w:w w:val="105"/>
          <w:sz w:val="20"/>
        </w:rPr>
        <w:t>efforts</w:t>
      </w:r>
      <w:r>
        <w:rPr>
          <w:i/>
          <w:spacing w:val="-15"/>
          <w:w w:val="105"/>
          <w:sz w:val="20"/>
        </w:rPr>
        <w:t> </w:t>
      </w:r>
      <w:r>
        <w:rPr>
          <w:i/>
          <w:w w:val="105"/>
          <w:sz w:val="20"/>
        </w:rPr>
        <w:t>are</w:t>
      </w:r>
      <w:r>
        <w:rPr>
          <w:i/>
          <w:spacing w:val="-14"/>
          <w:w w:val="105"/>
          <w:sz w:val="20"/>
        </w:rPr>
        <w:t> </w:t>
      </w:r>
      <w:r>
        <w:rPr>
          <w:i/>
          <w:w w:val="105"/>
          <w:sz w:val="20"/>
        </w:rPr>
        <w:t>measured</w:t>
      </w:r>
      <w:r>
        <w:rPr>
          <w:i/>
          <w:spacing w:val="-15"/>
          <w:w w:val="105"/>
          <w:sz w:val="20"/>
        </w:rPr>
        <w:t> </w:t>
      </w:r>
      <w:r>
        <w:rPr>
          <w:i/>
          <w:w w:val="105"/>
          <w:sz w:val="20"/>
        </w:rPr>
        <w:t>using</w:t>
      </w:r>
      <w:r>
        <w:rPr>
          <w:i/>
          <w:spacing w:val="-14"/>
          <w:w w:val="105"/>
          <w:sz w:val="20"/>
        </w:rPr>
        <w:t> </w:t>
      </w:r>
      <w:r>
        <w:rPr>
          <w:i/>
          <w:w w:val="105"/>
          <w:sz w:val="20"/>
        </w:rPr>
        <w:t>the</w:t>
      </w:r>
      <w:r>
        <w:rPr>
          <w:i/>
          <w:spacing w:val="-15"/>
          <w:w w:val="105"/>
          <w:sz w:val="20"/>
        </w:rPr>
        <w:t> </w:t>
      </w:r>
      <w:r>
        <w:rPr>
          <w:i/>
          <w:w w:val="105"/>
          <w:sz w:val="20"/>
        </w:rPr>
        <w:t>methodology</w:t>
      </w:r>
      <w:r>
        <w:rPr>
          <w:i/>
          <w:spacing w:val="-15"/>
          <w:w w:val="105"/>
          <w:sz w:val="20"/>
        </w:rPr>
        <w:t> </w:t>
      </w:r>
      <w:r>
        <w:rPr>
          <w:i/>
          <w:w w:val="105"/>
          <w:sz w:val="20"/>
        </w:rPr>
        <w:t>that</w:t>
      </w:r>
      <w:r>
        <w:rPr>
          <w:i/>
          <w:spacing w:val="-14"/>
          <w:w w:val="105"/>
          <w:sz w:val="20"/>
        </w:rPr>
        <w:t> </w:t>
      </w:r>
      <w:r>
        <w:rPr>
          <w:i/>
          <w:w w:val="105"/>
          <w:sz w:val="20"/>
        </w:rPr>
        <w:t>is</w:t>
      </w:r>
      <w:r>
        <w:rPr>
          <w:i/>
          <w:w w:val="105"/>
          <w:sz w:val="20"/>
        </w:rPr>
        <w:t> </w:t>
      </w:r>
      <w:r>
        <w:rPr>
          <w:i/>
          <w:sz w:val="20"/>
        </w:rPr>
        <w:t>described</w:t>
      </w:r>
      <w:r>
        <w:rPr>
          <w:i/>
          <w:spacing w:val="-2"/>
          <w:sz w:val="20"/>
        </w:rPr>
        <w:t> </w:t>
      </w:r>
      <w:r>
        <w:rPr>
          <w:i/>
          <w:sz w:val="20"/>
        </w:rPr>
        <w:t>in</w:t>
      </w:r>
      <w:r>
        <w:rPr>
          <w:i/>
          <w:spacing w:val="-2"/>
          <w:sz w:val="20"/>
        </w:rPr>
        <w:t> </w:t>
      </w:r>
      <w:r>
        <w:rPr>
          <w:i/>
          <w:sz w:val="20"/>
        </w:rPr>
        <w:t>Section</w:t>
      </w:r>
      <w:r>
        <w:rPr>
          <w:i/>
          <w:spacing w:val="-2"/>
          <w:sz w:val="20"/>
        </w:rPr>
        <w:t> </w:t>
      </w:r>
      <w:r>
        <w:rPr>
          <w:i/>
          <w:sz w:val="20"/>
        </w:rPr>
        <w:t>A-8.</w:t>
      </w:r>
      <w:r>
        <w:rPr>
          <w:i/>
          <w:spacing w:val="-2"/>
          <w:sz w:val="20"/>
        </w:rPr>
        <w:t> </w:t>
      </w:r>
      <w:r>
        <w:rPr>
          <w:i/>
          <w:sz w:val="20"/>
        </w:rPr>
        <w:t>Strong</w:t>
      </w:r>
      <w:r>
        <w:rPr>
          <w:i/>
          <w:spacing w:val="-2"/>
          <w:sz w:val="20"/>
        </w:rPr>
        <w:t> </w:t>
      </w:r>
      <w:r>
        <w:rPr>
          <w:i/>
          <w:sz w:val="20"/>
        </w:rPr>
        <w:t>de</w:t>
      </w:r>
      <w:r>
        <w:rPr>
          <w:i/>
          <w:spacing w:val="-2"/>
          <w:sz w:val="20"/>
        </w:rPr>
        <w:t> </w:t>
      </w:r>
      <w:r>
        <w:rPr>
          <w:i/>
          <w:sz w:val="20"/>
        </w:rPr>
        <w:t>jure</w:t>
      </w:r>
      <w:r>
        <w:rPr>
          <w:i/>
          <w:spacing w:val="-2"/>
          <w:sz w:val="20"/>
        </w:rPr>
        <w:t> </w:t>
      </w:r>
      <w:r>
        <w:rPr>
          <w:i/>
          <w:sz w:val="20"/>
        </w:rPr>
        <w:t>ESG</w:t>
      </w:r>
      <w:r>
        <w:rPr>
          <w:i/>
          <w:spacing w:val="-2"/>
          <w:sz w:val="20"/>
        </w:rPr>
        <w:t> </w:t>
      </w:r>
      <w:r>
        <w:rPr>
          <w:i/>
          <w:sz w:val="20"/>
        </w:rPr>
        <w:t>safeguards</w:t>
      </w:r>
      <w:r>
        <w:rPr>
          <w:i/>
          <w:spacing w:val="-2"/>
          <w:sz w:val="20"/>
        </w:rPr>
        <w:t> </w:t>
      </w:r>
      <w:r>
        <w:rPr>
          <w:i/>
          <w:sz w:val="20"/>
        </w:rPr>
        <w:t>are</w:t>
      </w:r>
      <w:r>
        <w:rPr>
          <w:i/>
          <w:spacing w:val="-2"/>
          <w:sz w:val="20"/>
        </w:rPr>
        <w:t> </w:t>
      </w:r>
      <w:r>
        <w:rPr>
          <w:i/>
          <w:sz w:val="20"/>
        </w:rPr>
        <w:t>deﬁned</w:t>
      </w:r>
      <w:r>
        <w:rPr>
          <w:i/>
          <w:spacing w:val="-2"/>
          <w:sz w:val="20"/>
        </w:rPr>
        <w:t> </w:t>
      </w:r>
      <w:r>
        <w:rPr>
          <w:i/>
          <w:sz w:val="20"/>
        </w:rPr>
        <w:t>in</w:t>
      </w:r>
      <w:r>
        <w:rPr>
          <w:i/>
          <w:spacing w:val="-2"/>
          <w:sz w:val="20"/>
        </w:rPr>
        <w:t> </w:t>
      </w:r>
      <w:r>
        <w:rPr>
          <w:i/>
          <w:sz w:val="20"/>
        </w:rPr>
        <w:t>Section</w:t>
      </w:r>
      <w:r>
        <w:rPr>
          <w:i/>
          <w:spacing w:val="-2"/>
          <w:sz w:val="20"/>
        </w:rPr>
        <w:t> </w:t>
      </w:r>
      <w:r>
        <w:rPr>
          <w:i/>
          <w:sz w:val="20"/>
        </w:rPr>
        <w:t>A-9</w:t>
      </w:r>
      <w:r>
        <w:rPr>
          <w:i/>
          <w:spacing w:val="-2"/>
          <w:sz w:val="20"/>
        </w:rPr>
        <w:t> </w:t>
      </w:r>
      <w:r>
        <w:rPr>
          <w:i/>
          <w:sz w:val="20"/>
        </w:rPr>
        <w:t>of</w:t>
      </w:r>
      <w:r>
        <w:rPr>
          <w:i/>
          <w:spacing w:val="-2"/>
          <w:sz w:val="20"/>
        </w:rPr>
        <w:t> </w:t>
      </w:r>
      <w:r>
        <w:rPr>
          <w:i/>
          <w:sz w:val="20"/>
        </w:rPr>
        <w:t>the </w:t>
      </w:r>
      <w:r>
        <w:rPr>
          <w:i/>
          <w:spacing w:val="-2"/>
          <w:w w:val="105"/>
          <w:sz w:val="20"/>
        </w:rPr>
        <w:t>Appendix.</w:t>
      </w:r>
    </w:p>
    <w:p>
      <w:pPr>
        <w:pStyle w:val="BodyText"/>
        <w:spacing w:before="6"/>
        <w:rPr>
          <w:i/>
        </w:rPr>
      </w:pPr>
      <w:r>
        <w:rPr/>
        <w:pict>
          <v:shape style="position:absolute;margin-left:84pt;margin-top:15.332936pt;width:444pt;height:234pt;mso-position-horizontal-relative:page;mso-position-vertical-relative:paragraph;z-index:-15700992;mso-wrap-distance-left:0;mso-wrap-distance-right:0" type="#_x0000_t202" id="docshape44" filled="true" fillcolor="#f0f2f4" stroked="false">
            <v:textbox inset="0,0,0,0">
              <w:txbxContent>
                <w:p>
                  <w:pPr>
                    <w:spacing w:line="333" w:lineRule="auto" w:before="132"/>
                    <w:ind w:left="120" w:right="0" w:firstLine="0"/>
                    <w:jc w:val="left"/>
                    <w:rPr>
                      <w:b/>
                      <w:color w:val="000000"/>
                      <w:sz w:val="24"/>
                    </w:rPr>
                  </w:pPr>
                  <w:r>
                    <w:rPr>
                      <w:b/>
                      <w:color w:val="000000"/>
                      <w:spacing w:val="-8"/>
                      <w:sz w:val="24"/>
                    </w:rPr>
                    <w:t>Box 3b: De jure versus de facto application of ESG safeguards to the </w:t>
                  </w:r>
                  <w:r>
                    <w:rPr>
                      <w:b/>
                      <w:color w:val="000000"/>
                      <w:spacing w:val="-8"/>
                      <w:sz w:val="24"/>
                    </w:rPr>
                    <w:t>Lahore </w:t>
                  </w:r>
                  <w:r>
                    <w:rPr>
                      <w:b/>
                      <w:color w:val="000000"/>
                      <w:sz w:val="24"/>
                    </w:rPr>
                    <w:t>Orange</w:t>
                  </w:r>
                  <w:r>
                    <w:rPr>
                      <w:b/>
                      <w:color w:val="000000"/>
                      <w:spacing w:val="-9"/>
                      <w:sz w:val="24"/>
                    </w:rPr>
                    <w:t> </w:t>
                  </w:r>
                  <w:r>
                    <w:rPr>
                      <w:b/>
                      <w:color w:val="000000"/>
                      <w:sz w:val="24"/>
                    </w:rPr>
                    <w:t>Line</w:t>
                  </w:r>
                  <w:r>
                    <w:rPr>
                      <w:b/>
                      <w:color w:val="000000"/>
                      <w:spacing w:val="-9"/>
                      <w:sz w:val="24"/>
                    </w:rPr>
                    <w:t> </w:t>
                  </w:r>
                  <w:r>
                    <w:rPr>
                      <w:b/>
                      <w:color w:val="000000"/>
                      <w:sz w:val="24"/>
                    </w:rPr>
                    <w:t>Metro</w:t>
                  </w:r>
                  <w:r>
                    <w:rPr>
                      <w:b/>
                      <w:color w:val="000000"/>
                      <w:spacing w:val="-9"/>
                      <w:sz w:val="24"/>
                    </w:rPr>
                    <w:t> </w:t>
                  </w:r>
                  <w:r>
                    <w:rPr>
                      <w:b/>
                      <w:color w:val="000000"/>
                      <w:sz w:val="24"/>
                    </w:rPr>
                    <w:t>Train</w:t>
                  </w:r>
                  <w:r>
                    <w:rPr>
                      <w:b/>
                      <w:color w:val="000000"/>
                      <w:spacing w:val="-9"/>
                      <w:sz w:val="24"/>
                    </w:rPr>
                    <w:t> </w:t>
                  </w:r>
                  <w:r>
                    <w:rPr>
                      <w:b/>
                      <w:color w:val="000000"/>
                      <w:sz w:val="24"/>
                    </w:rPr>
                    <w:t>Project</w:t>
                  </w:r>
                </w:p>
                <w:p>
                  <w:pPr>
                    <w:spacing w:line="300" w:lineRule="auto" w:before="0"/>
                    <w:ind w:left="120" w:right="153" w:firstLine="0"/>
                    <w:jc w:val="left"/>
                    <w:rPr>
                      <w:color w:val="000000"/>
                      <w:sz w:val="20"/>
                    </w:rPr>
                  </w:pPr>
                  <w:r>
                    <w:rPr>
                      <w:color w:val="000000"/>
                      <w:sz w:val="20"/>
                    </w:rPr>
                    <w:t>The</w:t>
                  </w:r>
                  <w:r>
                    <w:rPr>
                      <w:color w:val="000000"/>
                      <w:spacing w:val="-3"/>
                      <w:sz w:val="20"/>
                    </w:rPr>
                    <w:t> </w:t>
                  </w:r>
                  <w:r>
                    <w:rPr>
                      <w:color w:val="000000"/>
                      <w:sz w:val="20"/>
                    </w:rPr>
                    <w:t>Lahore</w:t>
                  </w:r>
                  <w:r>
                    <w:rPr>
                      <w:color w:val="000000"/>
                      <w:spacing w:val="-3"/>
                      <w:sz w:val="20"/>
                    </w:rPr>
                    <w:t> </w:t>
                  </w:r>
                  <w:r>
                    <w:rPr>
                      <w:color w:val="000000"/>
                      <w:sz w:val="20"/>
                    </w:rPr>
                    <w:t>Orange</w:t>
                  </w:r>
                  <w:r>
                    <w:rPr>
                      <w:color w:val="000000"/>
                      <w:spacing w:val="-3"/>
                      <w:sz w:val="20"/>
                    </w:rPr>
                    <w:t> </w:t>
                  </w:r>
                  <w:r>
                    <w:rPr>
                      <w:color w:val="000000"/>
                      <w:sz w:val="20"/>
                    </w:rPr>
                    <w:t>Line</w:t>
                  </w:r>
                  <w:r>
                    <w:rPr>
                      <w:color w:val="000000"/>
                      <w:spacing w:val="-3"/>
                      <w:sz w:val="20"/>
                    </w:rPr>
                    <w:t> </w:t>
                  </w:r>
                  <w:r>
                    <w:rPr>
                      <w:color w:val="000000"/>
                      <w:sz w:val="20"/>
                    </w:rPr>
                    <w:t>is</w:t>
                  </w:r>
                  <w:r>
                    <w:rPr>
                      <w:color w:val="000000"/>
                      <w:spacing w:val="-3"/>
                      <w:sz w:val="20"/>
                    </w:rPr>
                    <w:t> </w:t>
                  </w:r>
                  <w:r>
                    <w:rPr>
                      <w:color w:val="000000"/>
                      <w:sz w:val="20"/>
                    </w:rPr>
                    <w:t>Pakistan’s</w:t>
                  </w:r>
                  <w:r>
                    <w:rPr>
                      <w:color w:val="000000"/>
                      <w:spacing w:val="-3"/>
                      <w:sz w:val="20"/>
                    </w:rPr>
                    <w:t> </w:t>
                  </w:r>
                  <w:r>
                    <w:rPr>
                      <w:color w:val="000000"/>
                      <w:sz w:val="20"/>
                    </w:rPr>
                    <w:t>ﬁrst-ever</w:t>
                  </w:r>
                  <w:r>
                    <w:rPr>
                      <w:color w:val="000000"/>
                      <w:spacing w:val="-3"/>
                      <w:sz w:val="20"/>
                    </w:rPr>
                    <w:t> </w:t>
                  </w:r>
                  <w:r>
                    <w:rPr>
                      <w:color w:val="000000"/>
                      <w:sz w:val="20"/>
                    </w:rPr>
                    <w:t>urban</w:t>
                  </w:r>
                  <w:r>
                    <w:rPr>
                      <w:color w:val="000000"/>
                      <w:spacing w:val="-3"/>
                      <w:sz w:val="20"/>
                    </w:rPr>
                    <w:t> </w:t>
                  </w:r>
                  <w:r>
                    <w:rPr>
                      <w:color w:val="000000"/>
                      <w:sz w:val="20"/>
                    </w:rPr>
                    <w:t>mass</w:t>
                  </w:r>
                  <w:r>
                    <w:rPr>
                      <w:color w:val="000000"/>
                      <w:spacing w:val="-3"/>
                      <w:sz w:val="20"/>
                    </w:rPr>
                    <w:t> </w:t>
                  </w:r>
                  <w:r>
                    <w:rPr>
                      <w:color w:val="000000"/>
                      <w:sz w:val="20"/>
                    </w:rPr>
                    <w:t>rail</w:t>
                  </w:r>
                  <w:r>
                    <w:rPr>
                      <w:color w:val="000000"/>
                      <w:spacing w:val="-2"/>
                      <w:sz w:val="20"/>
                    </w:rPr>
                    <w:t> </w:t>
                  </w:r>
                  <w:r>
                    <w:rPr>
                      <w:color w:val="000000"/>
                      <w:sz w:val="20"/>
                    </w:rPr>
                    <w:t>transit</w:t>
                  </w:r>
                  <w:r>
                    <w:rPr>
                      <w:color w:val="000000"/>
                      <w:spacing w:val="-3"/>
                      <w:sz w:val="20"/>
                    </w:rPr>
                    <w:t> </w:t>
                  </w:r>
                  <w:r>
                    <w:rPr>
                      <w:color w:val="000000"/>
                      <w:sz w:val="20"/>
                    </w:rPr>
                    <w:t>project.</w:t>
                  </w:r>
                  <w:r>
                    <w:rPr>
                      <w:color w:val="000000"/>
                      <w:spacing w:val="-3"/>
                      <w:sz w:val="20"/>
                    </w:rPr>
                    <w:t> </w:t>
                  </w:r>
                  <w:r>
                    <w:rPr>
                      <w:color w:val="000000"/>
                      <w:sz w:val="20"/>
                    </w:rPr>
                    <w:t>Since</w:t>
                  </w:r>
                  <w:r>
                    <w:rPr>
                      <w:color w:val="000000"/>
                      <w:spacing w:val="-3"/>
                      <w:sz w:val="20"/>
                    </w:rPr>
                    <w:t> </w:t>
                  </w:r>
                  <w:r>
                    <w:rPr>
                      <w:color w:val="000000"/>
                      <w:sz w:val="20"/>
                    </w:rPr>
                    <w:t>its inauguration in October 2020, the average level of daily ridership (178,714) on the 27-km metro line has remained below capacity, but transformed the megacity’s public transport landscape (Hasnain 2023). During President Xi Jinping’s April 2015 visit to Pakistan, the project was grandfathered into the China-Pakistan Economic Corridor (CPEC) as a “gift from China” (Khan 2018). But it was ultimately ﬁnanced by China Eximbank with a mix of concessional and</w:t>
                  </w:r>
                </w:p>
                <w:p>
                  <w:pPr>
                    <w:spacing w:line="300" w:lineRule="auto" w:before="1"/>
                    <w:ind w:left="120" w:right="153" w:firstLine="0"/>
                    <w:jc w:val="left"/>
                    <w:rPr>
                      <w:color w:val="000000"/>
                      <w:sz w:val="20"/>
                    </w:rPr>
                  </w:pPr>
                  <w:r>
                    <w:rPr>
                      <w:color w:val="000000"/>
                      <w:sz w:val="20"/>
                    </w:rPr>
                    <w:t>non-concessional loans, including a $1.2 billion preferential buyer’s credit with a 2% interest rate, an RMB 1.2 billion government concessional loan with a 2% interest rate, and a $203 million buyer’s credit loan with a 5.2% interest rate.</w:t>
                  </w:r>
                  <w:r>
                    <w:rPr>
                      <w:color w:val="000000"/>
                      <w:sz w:val="20"/>
                      <w:vertAlign w:val="superscript"/>
                    </w:rPr>
                    <w:t>287</w:t>
                  </w:r>
                  <w:r>
                    <w:rPr>
                      <w:color w:val="000000"/>
                      <w:sz w:val="20"/>
                      <w:vertAlign w:val="baseline"/>
                    </w:rPr>
                    <w:t> Pakistan’s government used the loan proceeds to partially ﬁnance a $1.63 billion commercial contract between CR-NORINCO—a joint venture of China State Railway Group Co. Ltd. (CR) and China North Industries Corporation (NORINCO)—and</w:t>
                  </w:r>
                  <w:r>
                    <w:rPr>
                      <w:color w:val="000000"/>
                      <w:spacing w:val="-4"/>
                      <w:sz w:val="20"/>
                      <w:vertAlign w:val="baseline"/>
                    </w:rPr>
                    <w:t> </w:t>
                  </w:r>
                  <w:r>
                    <w:rPr>
                      <w:color w:val="000000"/>
                      <w:sz w:val="20"/>
                      <w:vertAlign w:val="baseline"/>
                    </w:rPr>
                    <w:t>Punjab</w:t>
                  </w:r>
                  <w:r>
                    <w:rPr>
                      <w:color w:val="000000"/>
                      <w:spacing w:val="-4"/>
                      <w:sz w:val="20"/>
                      <w:vertAlign w:val="baseline"/>
                    </w:rPr>
                    <w:t> </w:t>
                  </w:r>
                  <w:r>
                    <w:rPr>
                      <w:color w:val="000000"/>
                      <w:sz w:val="20"/>
                      <w:vertAlign w:val="baseline"/>
                    </w:rPr>
                    <w:t>Mass</w:t>
                  </w:r>
                  <w:r>
                    <w:rPr>
                      <w:color w:val="000000"/>
                      <w:spacing w:val="-4"/>
                      <w:sz w:val="20"/>
                      <w:vertAlign w:val="baseline"/>
                    </w:rPr>
                    <w:t> </w:t>
                  </w:r>
                  <w:r>
                    <w:rPr>
                      <w:color w:val="000000"/>
                      <w:sz w:val="20"/>
                      <w:vertAlign w:val="baseline"/>
                    </w:rPr>
                    <w:t>Transit</w:t>
                  </w:r>
                  <w:r>
                    <w:rPr>
                      <w:color w:val="000000"/>
                      <w:spacing w:val="-4"/>
                      <w:sz w:val="20"/>
                      <w:vertAlign w:val="baseline"/>
                    </w:rPr>
                    <w:t> </w:t>
                  </w:r>
                  <w:r>
                    <w:rPr>
                      <w:color w:val="000000"/>
                      <w:sz w:val="20"/>
                      <w:vertAlign w:val="baseline"/>
                    </w:rPr>
                    <w:t>Authority.</w:t>
                  </w:r>
                  <w:r>
                    <w:rPr>
                      <w:color w:val="000000"/>
                      <w:spacing w:val="-4"/>
                      <w:sz w:val="20"/>
                      <w:vertAlign w:val="baseline"/>
                    </w:rPr>
                    <w:t> </w:t>
                  </w:r>
                  <w:r>
                    <w:rPr>
                      <w:color w:val="000000"/>
                      <w:sz w:val="20"/>
                      <w:vertAlign w:val="baseline"/>
                    </w:rPr>
                    <w:t>CR-NORINCO,</w:t>
                  </w:r>
                  <w:r>
                    <w:rPr>
                      <w:color w:val="000000"/>
                      <w:spacing w:val="-4"/>
                      <w:sz w:val="20"/>
                      <w:vertAlign w:val="baseline"/>
                    </w:rPr>
                    <w:t> </w:t>
                  </w:r>
                  <w:r>
                    <w:rPr>
                      <w:color w:val="000000"/>
                      <w:sz w:val="20"/>
                      <w:vertAlign w:val="baseline"/>
                    </w:rPr>
                    <w:t>in</w:t>
                  </w:r>
                  <w:r>
                    <w:rPr>
                      <w:color w:val="000000"/>
                      <w:spacing w:val="-4"/>
                      <w:sz w:val="20"/>
                      <w:vertAlign w:val="baseline"/>
                    </w:rPr>
                    <w:t> </w:t>
                  </w:r>
                  <w:r>
                    <w:rPr>
                      <w:color w:val="000000"/>
                      <w:sz w:val="20"/>
                      <w:vertAlign w:val="baseline"/>
                    </w:rPr>
                    <w:t>turn,</w:t>
                  </w:r>
                  <w:r>
                    <w:rPr>
                      <w:color w:val="000000"/>
                      <w:spacing w:val="-4"/>
                      <w:sz w:val="20"/>
                      <w:vertAlign w:val="baseline"/>
                    </w:rPr>
                    <w:t> </w:t>
                  </w:r>
                  <w:r>
                    <w:rPr>
                      <w:color w:val="000000"/>
                      <w:sz w:val="20"/>
                      <w:vertAlign w:val="baseline"/>
                    </w:rPr>
                    <w:t>hired</w:t>
                  </w:r>
                  <w:r>
                    <w:rPr>
                      <w:color w:val="000000"/>
                      <w:spacing w:val="-4"/>
                      <w:sz w:val="20"/>
                      <w:vertAlign w:val="baseline"/>
                    </w:rPr>
                    <w:t> </w:t>
                  </w:r>
                  <w:r>
                    <w:rPr>
                      <w:color w:val="000000"/>
                      <w:sz w:val="20"/>
                      <w:vertAlign w:val="baseline"/>
                    </w:rPr>
                    <w:t>local</w:t>
                  </w:r>
                  <w:r>
                    <w:rPr>
                      <w:color w:val="000000"/>
                      <w:spacing w:val="-3"/>
                      <w:sz w:val="20"/>
                      <w:vertAlign w:val="baseline"/>
                    </w:rPr>
                    <w:t> </w:t>
                  </w:r>
                  <w:r>
                    <w:rPr>
                      <w:color w:val="000000"/>
                      <w:sz w:val="20"/>
                      <w:vertAlign w:val="baseline"/>
                    </w:rPr>
                    <w:t>contractors</w:t>
                  </w:r>
                  <w:r>
                    <w:rPr>
                      <w:color w:val="000000"/>
                      <w:spacing w:val="35"/>
                      <w:sz w:val="20"/>
                      <w:vertAlign w:val="baseline"/>
                    </w:rPr>
                    <w:t> </w:t>
                  </w:r>
                  <w:r>
                    <w:rPr>
                      <w:color w:val="000000"/>
                      <w:sz w:val="20"/>
                      <w:vertAlign w:val="baseline"/>
                    </w:rPr>
                    <w:t>to</w:t>
                  </w:r>
                  <w:r>
                    <w:rPr>
                      <w:color w:val="000000"/>
                      <w:spacing w:val="-4"/>
                      <w:sz w:val="20"/>
                      <w:vertAlign w:val="baseline"/>
                    </w:rPr>
                    <w:t> </w:t>
                  </w:r>
                  <w:r>
                    <w:rPr>
                      <w:color w:val="000000"/>
                      <w:sz w:val="20"/>
                      <w:vertAlign w:val="baseline"/>
                    </w:rPr>
                    <w:t>assist</w:t>
                  </w:r>
                  <w:r>
                    <w:rPr>
                      <w:color w:val="000000"/>
                      <w:spacing w:val="-4"/>
                      <w:sz w:val="20"/>
                      <w:vertAlign w:val="baseline"/>
                    </w:rPr>
                    <w:t> </w:t>
                  </w:r>
                  <w:r>
                    <w:rPr>
                      <w:color w:val="000000"/>
                      <w:sz w:val="20"/>
                      <w:vertAlign w:val="baseline"/>
                    </w:rPr>
                    <w:t>with</w:t>
                  </w:r>
                  <w:r>
                    <w:rPr>
                      <w:color w:val="000000"/>
                      <w:spacing w:val="-4"/>
                      <w:sz w:val="20"/>
                      <w:vertAlign w:val="baseline"/>
                    </w:rPr>
                    <w:t> </w:t>
                  </w:r>
                  <w:r>
                    <w:rPr>
                      <w:color w:val="000000"/>
                      <w:sz w:val="20"/>
                      <w:vertAlign w:val="baseline"/>
                    </w:rPr>
                    <w:t>a variety of activities, including the project's environmental impact assessment</w:t>
                  </w:r>
                </w:p>
              </w:txbxContent>
            </v:textbox>
            <v:fill type="solid"/>
            <w10:wrap type="topAndBottom"/>
          </v:shape>
        </w:pict>
      </w:r>
    </w:p>
    <w:p>
      <w:pPr>
        <w:pStyle w:val="BodyText"/>
        <w:rPr>
          <w:i/>
          <w:sz w:val="20"/>
        </w:rPr>
      </w:pPr>
    </w:p>
    <w:p>
      <w:pPr>
        <w:pStyle w:val="BodyText"/>
        <w:spacing w:before="6"/>
        <w:rPr>
          <w:i/>
          <w:sz w:val="17"/>
        </w:rPr>
      </w:pPr>
      <w:r>
        <w:rPr/>
        <w:pict>
          <v:shape style="position:absolute;margin-left:90pt;margin-top:11.285349pt;width:144pt;height:.1pt;mso-position-horizontal-relative:page;mso-position-vertical-relative:paragraph;z-index:-15700480;mso-wrap-distance-left:0;mso-wrap-distance-right:0" id="docshape45" coordorigin="1800,226" coordsize="2880,0" path="m1800,226l4680,226e" filled="false" stroked="true" strokeweight=".75pt" strokecolor="#000000">
            <v:path arrowok="t"/>
            <v:stroke dashstyle="solid"/>
            <w10:wrap type="topAndBottom"/>
          </v:shape>
        </w:pict>
      </w:r>
    </w:p>
    <w:p>
      <w:pPr>
        <w:spacing w:before="104"/>
        <w:ind w:left="560" w:right="0" w:firstLine="0"/>
        <w:jc w:val="left"/>
        <w:rPr>
          <w:sz w:val="18"/>
        </w:rPr>
      </w:pPr>
      <w:r>
        <w:rPr>
          <w:sz w:val="18"/>
          <w:vertAlign w:val="superscript"/>
        </w:rPr>
        <w:t>287</w:t>
      </w:r>
      <w:r>
        <w:rPr>
          <w:spacing w:val="-5"/>
          <w:sz w:val="18"/>
          <w:vertAlign w:val="baseline"/>
        </w:rPr>
        <w:t> </w:t>
      </w:r>
      <w:r>
        <w:rPr>
          <w:sz w:val="18"/>
          <w:vertAlign w:val="baseline"/>
        </w:rPr>
        <w:t>For</w:t>
      </w:r>
      <w:r>
        <w:rPr>
          <w:spacing w:val="-4"/>
          <w:sz w:val="18"/>
          <w:vertAlign w:val="baseline"/>
        </w:rPr>
        <w:t> </w:t>
      </w:r>
      <w:r>
        <w:rPr>
          <w:sz w:val="18"/>
          <w:vertAlign w:val="baseline"/>
        </w:rPr>
        <w:t>more</w:t>
      </w:r>
      <w:r>
        <w:rPr>
          <w:spacing w:val="-4"/>
          <w:sz w:val="18"/>
          <w:vertAlign w:val="baseline"/>
        </w:rPr>
        <w:t> </w:t>
      </w:r>
      <w:r>
        <w:rPr>
          <w:sz w:val="18"/>
          <w:vertAlign w:val="baseline"/>
        </w:rPr>
        <w:t>details,</w:t>
      </w:r>
      <w:r>
        <w:rPr>
          <w:spacing w:val="-4"/>
          <w:sz w:val="18"/>
          <w:vertAlign w:val="baseline"/>
        </w:rPr>
        <w:t> </w:t>
      </w:r>
      <w:r>
        <w:rPr>
          <w:sz w:val="18"/>
          <w:vertAlign w:val="baseline"/>
        </w:rPr>
        <w:t>see</w:t>
      </w:r>
      <w:r>
        <w:rPr>
          <w:spacing w:val="-4"/>
          <w:sz w:val="18"/>
          <w:vertAlign w:val="baseline"/>
        </w:rPr>
        <w:t> </w:t>
      </w:r>
      <w:r>
        <w:rPr>
          <w:sz w:val="18"/>
          <w:vertAlign w:val="baseline"/>
        </w:rPr>
        <w:t>Project</w:t>
      </w:r>
      <w:r>
        <w:rPr>
          <w:spacing w:val="-4"/>
          <w:sz w:val="18"/>
          <w:vertAlign w:val="baseline"/>
        </w:rPr>
        <w:t> </w:t>
      </w:r>
      <w:r>
        <w:rPr>
          <w:sz w:val="18"/>
          <w:vertAlign w:val="baseline"/>
        </w:rPr>
        <w:t>ID#54420,</w:t>
      </w:r>
      <w:r>
        <w:rPr>
          <w:spacing w:val="-4"/>
          <w:sz w:val="18"/>
          <w:vertAlign w:val="baseline"/>
        </w:rPr>
        <w:t> </w:t>
      </w:r>
      <w:r>
        <w:rPr>
          <w:sz w:val="18"/>
          <w:vertAlign w:val="baseline"/>
        </w:rPr>
        <w:t>53820,</w:t>
      </w:r>
      <w:r>
        <w:rPr>
          <w:spacing w:val="-4"/>
          <w:sz w:val="18"/>
          <w:vertAlign w:val="baseline"/>
        </w:rPr>
        <w:t> </w:t>
      </w:r>
      <w:r>
        <w:rPr>
          <w:sz w:val="18"/>
          <w:vertAlign w:val="baseline"/>
        </w:rPr>
        <w:t>37280</w:t>
      </w:r>
      <w:r>
        <w:rPr>
          <w:spacing w:val="-4"/>
          <w:sz w:val="18"/>
          <w:vertAlign w:val="baseline"/>
        </w:rPr>
        <w:t> </w:t>
      </w:r>
      <w:r>
        <w:rPr>
          <w:sz w:val="18"/>
          <w:vertAlign w:val="baseline"/>
        </w:rPr>
        <w:t>in</w:t>
      </w:r>
      <w:r>
        <w:rPr>
          <w:spacing w:val="-4"/>
          <w:sz w:val="18"/>
          <w:vertAlign w:val="baseline"/>
        </w:rPr>
        <w:t> </w:t>
      </w:r>
      <w:r>
        <w:rPr>
          <w:sz w:val="18"/>
          <w:vertAlign w:val="baseline"/>
        </w:rPr>
        <w:t>the</w:t>
      </w:r>
      <w:r>
        <w:rPr>
          <w:spacing w:val="-4"/>
          <w:sz w:val="18"/>
          <w:vertAlign w:val="baseline"/>
        </w:rPr>
        <w:t> </w:t>
      </w:r>
      <w:r>
        <w:rPr>
          <w:sz w:val="18"/>
          <w:vertAlign w:val="baseline"/>
        </w:rPr>
        <w:t>3.0</w:t>
      </w:r>
      <w:r>
        <w:rPr>
          <w:spacing w:val="-4"/>
          <w:sz w:val="18"/>
          <w:vertAlign w:val="baseline"/>
        </w:rPr>
        <w:t> </w:t>
      </w:r>
      <w:r>
        <w:rPr>
          <w:sz w:val="18"/>
          <w:vertAlign w:val="baseline"/>
        </w:rPr>
        <w:t>version</w:t>
      </w:r>
      <w:r>
        <w:rPr>
          <w:spacing w:val="-4"/>
          <w:sz w:val="18"/>
          <w:vertAlign w:val="baseline"/>
        </w:rPr>
        <w:t> </w:t>
      </w:r>
      <w:r>
        <w:rPr>
          <w:sz w:val="18"/>
          <w:vertAlign w:val="baseline"/>
        </w:rPr>
        <w:t>of</w:t>
      </w:r>
      <w:r>
        <w:rPr>
          <w:spacing w:val="-4"/>
          <w:sz w:val="18"/>
          <w:vertAlign w:val="baseline"/>
        </w:rPr>
        <w:t> </w:t>
      </w:r>
      <w:r>
        <w:rPr>
          <w:sz w:val="18"/>
          <w:vertAlign w:val="baseline"/>
        </w:rPr>
        <w:t>AidData’s</w:t>
      </w:r>
      <w:r>
        <w:rPr>
          <w:spacing w:val="-4"/>
          <w:sz w:val="18"/>
          <w:vertAlign w:val="baseline"/>
        </w:rPr>
        <w:t> </w:t>
      </w:r>
      <w:r>
        <w:rPr>
          <w:sz w:val="18"/>
          <w:vertAlign w:val="baseline"/>
        </w:rPr>
        <w:t>GCDF</w:t>
      </w:r>
      <w:r>
        <w:rPr>
          <w:spacing w:val="-4"/>
          <w:sz w:val="18"/>
          <w:vertAlign w:val="baseline"/>
        </w:rPr>
        <w:t> </w:t>
      </w:r>
      <w:r>
        <w:rPr>
          <w:spacing w:val="-2"/>
          <w:sz w:val="18"/>
          <w:vertAlign w:val="baseline"/>
        </w:rPr>
        <w:t>dataset.</w:t>
      </w:r>
    </w:p>
    <w:p>
      <w:pPr>
        <w:spacing w:after="0"/>
        <w:jc w:val="left"/>
        <w:rPr>
          <w:sz w:val="18"/>
        </w:rPr>
        <w:sectPr>
          <w:pgSz w:w="12240" w:h="15840"/>
          <w:pgMar w:header="0" w:footer="720" w:top="1560" w:bottom="920" w:left="1240" w:right="1260"/>
        </w:sectPr>
      </w:pPr>
    </w:p>
    <w:p>
      <w:pPr>
        <w:spacing w:line="300" w:lineRule="auto" w:before="46"/>
        <w:ind w:left="560" w:right="680" w:firstLine="0"/>
        <w:jc w:val="left"/>
        <w:rPr>
          <w:sz w:val="20"/>
        </w:rPr>
      </w:pPr>
      <w:r>
        <w:rPr/>
        <w:pict>
          <v:group style="position:absolute;margin-left:84pt;margin-top:71.00425pt;width:444pt;height:664.05pt;mso-position-horizontal-relative:page;mso-position-vertical-relative:page;z-index:-16587776" id="docshapegroup46" coordorigin="1680,1420" coordsize="8880,13281">
            <v:shape style="position:absolute;left:1680;top:1420;width:8880;height:13281" id="docshape47" coordorigin="1680,1420" coordsize="8880,13281" path="m10560,1420l1680,1420,1680,1720,1680,1740,1680,14700,10560,14700,10560,1720,10560,1420xe" filled="true" fillcolor="#f0f2f4" stroked="false">
              <v:path arrowok="t"/>
              <v:fill type="solid"/>
            </v:shape>
            <v:shape style="position:absolute;left:1830;top:6540;width:8640;height:5760" type="#_x0000_t75" id="docshape48" stroked="false">
              <v:imagedata r:id="rId19" o:title=""/>
            </v:shape>
            <w10:wrap type="none"/>
          </v:group>
        </w:pict>
      </w:r>
      <w:r>
        <w:rPr>
          <w:sz w:val="20"/>
        </w:rPr>
        <w:t>(EIA),</w:t>
      </w:r>
      <w:r>
        <w:rPr>
          <w:spacing w:val="-13"/>
          <w:sz w:val="20"/>
        </w:rPr>
        <w:t> </w:t>
      </w:r>
      <w:r>
        <w:rPr>
          <w:sz w:val="20"/>
        </w:rPr>
        <w:t>which</w:t>
      </w:r>
      <w:r>
        <w:rPr>
          <w:spacing w:val="-13"/>
          <w:sz w:val="20"/>
        </w:rPr>
        <w:t> </w:t>
      </w:r>
      <w:r>
        <w:rPr>
          <w:sz w:val="20"/>
        </w:rPr>
        <w:t>was</w:t>
      </w:r>
      <w:r>
        <w:rPr>
          <w:spacing w:val="-13"/>
          <w:sz w:val="20"/>
        </w:rPr>
        <w:t> </w:t>
      </w:r>
      <w:r>
        <w:rPr>
          <w:sz w:val="20"/>
        </w:rPr>
        <w:t>conducted</w:t>
      </w:r>
      <w:r>
        <w:rPr>
          <w:spacing w:val="-13"/>
          <w:sz w:val="20"/>
        </w:rPr>
        <w:t> </w:t>
      </w:r>
      <w:r>
        <w:rPr>
          <w:sz w:val="20"/>
        </w:rPr>
        <w:t>by</w:t>
      </w:r>
      <w:r>
        <w:rPr>
          <w:spacing w:val="-13"/>
          <w:sz w:val="20"/>
        </w:rPr>
        <w:t> </w:t>
      </w:r>
      <w:r>
        <w:rPr>
          <w:sz w:val="20"/>
        </w:rPr>
        <w:t>a</w:t>
      </w:r>
      <w:r>
        <w:rPr>
          <w:spacing w:val="-13"/>
          <w:sz w:val="20"/>
        </w:rPr>
        <w:t> </w:t>
      </w:r>
      <w:r>
        <w:rPr>
          <w:sz w:val="20"/>
        </w:rPr>
        <w:t>local</w:t>
      </w:r>
      <w:r>
        <w:rPr>
          <w:spacing w:val="-13"/>
          <w:sz w:val="20"/>
        </w:rPr>
        <w:t> </w:t>
      </w:r>
      <w:r>
        <w:rPr>
          <w:sz w:val="20"/>
        </w:rPr>
        <w:t>state-owned</w:t>
      </w:r>
      <w:r>
        <w:rPr>
          <w:spacing w:val="-13"/>
          <w:sz w:val="20"/>
        </w:rPr>
        <w:t> </w:t>
      </w:r>
      <w:r>
        <w:rPr>
          <w:sz w:val="20"/>
        </w:rPr>
        <w:t>engineering</w:t>
      </w:r>
      <w:r>
        <w:rPr>
          <w:spacing w:val="-13"/>
          <w:sz w:val="20"/>
        </w:rPr>
        <w:t> </w:t>
      </w:r>
      <w:r>
        <w:rPr>
          <w:sz w:val="20"/>
        </w:rPr>
        <w:t>services</w:t>
      </w:r>
      <w:r>
        <w:rPr>
          <w:spacing w:val="-13"/>
          <w:sz w:val="20"/>
        </w:rPr>
        <w:t> </w:t>
      </w:r>
      <w:r>
        <w:rPr>
          <w:sz w:val="20"/>
        </w:rPr>
        <w:t>company</w:t>
      </w:r>
      <w:r>
        <w:rPr>
          <w:spacing w:val="-13"/>
          <w:sz w:val="20"/>
        </w:rPr>
        <w:t> </w:t>
      </w:r>
      <w:r>
        <w:rPr>
          <w:sz w:val="20"/>
        </w:rPr>
        <w:t>(NESPAK) prior to commencement of construction in August 2015 (NESPAK 2015b).</w:t>
      </w:r>
    </w:p>
    <w:p>
      <w:pPr>
        <w:pStyle w:val="BodyText"/>
        <w:rPr>
          <w:sz w:val="21"/>
        </w:rPr>
      </w:pPr>
    </w:p>
    <w:p>
      <w:pPr>
        <w:spacing w:line="300" w:lineRule="auto" w:before="0"/>
        <w:ind w:left="560" w:right="550" w:firstLine="0"/>
        <w:jc w:val="left"/>
        <w:rPr>
          <w:sz w:val="20"/>
        </w:rPr>
      </w:pPr>
      <w:r>
        <w:rPr>
          <w:spacing w:val="-2"/>
          <w:w w:val="105"/>
          <w:sz w:val="20"/>
        </w:rPr>
        <w:t>NESPAK’s</w:t>
      </w:r>
      <w:r>
        <w:rPr>
          <w:spacing w:val="-11"/>
          <w:w w:val="105"/>
          <w:sz w:val="20"/>
        </w:rPr>
        <w:t> </w:t>
      </w:r>
      <w:r>
        <w:rPr>
          <w:spacing w:val="-2"/>
          <w:w w:val="105"/>
          <w:sz w:val="20"/>
        </w:rPr>
        <w:t>“comprehensive</w:t>
      </w:r>
      <w:r>
        <w:rPr>
          <w:spacing w:val="-11"/>
          <w:w w:val="105"/>
          <w:sz w:val="20"/>
        </w:rPr>
        <w:t> </w:t>
      </w:r>
      <w:r>
        <w:rPr>
          <w:spacing w:val="-2"/>
          <w:w w:val="105"/>
          <w:sz w:val="20"/>
        </w:rPr>
        <w:t>and</w:t>
      </w:r>
      <w:r>
        <w:rPr>
          <w:spacing w:val="-11"/>
          <w:w w:val="105"/>
          <w:sz w:val="20"/>
        </w:rPr>
        <w:t> </w:t>
      </w:r>
      <w:r>
        <w:rPr>
          <w:spacing w:val="-2"/>
          <w:w w:val="105"/>
          <w:sz w:val="20"/>
        </w:rPr>
        <w:t>complete”</w:t>
      </w:r>
      <w:r>
        <w:rPr>
          <w:spacing w:val="-11"/>
          <w:w w:val="105"/>
          <w:sz w:val="20"/>
        </w:rPr>
        <w:t> </w:t>
      </w:r>
      <w:r>
        <w:rPr>
          <w:spacing w:val="-2"/>
          <w:w w:val="105"/>
          <w:sz w:val="20"/>
        </w:rPr>
        <w:t>studies,</w:t>
      </w:r>
      <w:r>
        <w:rPr>
          <w:spacing w:val="-11"/>
          <w:w w:val="105"/>
          <w:sz w:val="20"/>
        </w:rPr>
        <w:t> </w:t>
      </w:r>
      <w:r>
        <w:rPr>
          <w:spacing w:val="-2"/>
          <w:w w:val="105"/>
          <w:sz w:val="20"/>
        </w:rPr>
        <w:t>which</w:t>
      </w:r>
      <w:r>
        <w:rPr>
          <w:spacing w:val="-11"/>
          <w:w w:val="105"/>
          <w:sz w:val="20"/>
        </w:rPr>
        <w:t> </w:t>
      </w:r>
      <w:r>
        <w:rPr>
          <w:spacing w:val="-2"/>
          <w:w w:val="105"/>
          <w:sz w:val="20"/>
        </w:rPr>
        <w:t>included</w:t>
      </w:r>
      <w:r>
        <w:rPr>
          <w:spacing w:val="-11"/>
          <w:w w:val="105"/>
          <w:sz w:val="20"/>
        </w:rPr>
        <w:t> </w:t>
      </w:r>
      <w:r>
        <w:rPr>
          <w:spacing w:val="-2"/>
          <w:w w:val="105"/>
          <w:sz w:val="20"/>
        </w:rPr>
        <w:t>the</w:t>
      </w:r>
      <w:r>
        <w:rPr>
          <w:spacing w:val="-11"/>
          <w:w w:val="105"/>
          <w:sz w:val="20"/>
        </w:rPr>
        <w:t> </w:t>
      </w:r>
      <w:r>
        <w:rPr>
          <w:spacing w:val="-2"/>
          <w:w w:val="105"/>
          <w:sz w:val="20"/>
        </w:rPr>
        <w:t>EIA</w:t>
      </w:r>
      <w:r>
        <w:rPr>
          <w:spacing w:val="-11"/>
          <w:w w:val="105"/>
          <w:sz w:val="20"/>
        </w:rPr>
        <w:t> </w:t>
      </w:r>
      <w:r>
        <w:rPr>
          <w:spacing w:val="-2"/>
          <w:w w:val="105"/>
          <w:sz w:val="20"/>
        </w:rPr>
        <w:t>and</w:t>
      </w:r>
      <w:r>
        <w:rPr>
          <w:spacing w:val="-11"/>
          <w:w w:val="105"/>
          <w:sz w:val="20"/>
        </w:rPr>
        <w:t> </w:t>
      </w:r>
      <w:r>
        <w:rPr>
          <w:spacing w:val="-2"/>
          <w:w w:val="105"/>
          <w:sz w:val="20"/>
        </w:rPr>
        <w:t>a</w:t>
      </w:r>
      <w:r>
        <w:rPr>
          <w:spacing w:val="-11"/>
          <w:w w:val="105"/>
          <w:sz w:val="20"/>
        </w:rPr>
        <w:t> </w:t>
      </w:r>
      <w:r>
        <w:rPr>
          <w:spacing w:val="-2"/>
          <w:w w:val="105"/>
          <w:sz w:val="20"/>
        </w:rPr>
        <w:t>37-page environmental</w:t>
      </w:r>
      <w:r>
        <w:rPr>
          <w:spacing w:val="-8"/>
          <w:w w:val="105"/>
          <w:sz w:val="20"/>
        </w:rPr>
        <w:t> </w:t>
      </w:r>
      <w:r>
        <w:rPr>
          <w:spacing w:val="-2"/>
          <w:w w:val="105"/>
          <w:sz w:val="20"/>
        </w:rPr>
        <w:t>management</w:t>
      </w:r>
      <w:r>
        <w:rPr>
          <w:spacing w:val="-9"/>
          <w:w w:val="105"/>
          <w:sz w:val="20"/>
        </w:rPr>
        <w:t> </w:t>
      </w:r>
      <w:r>
        <w:rPr>
          <w:spacing w:val="-2"/>
          <w:w w:val="105"/>
          <w:sz w:val="20"/>
        </w:rPr>
        <w:t>plan</w:t>
      </w:r>
      <w:r>
        <w:rPr>
          <w:spacing w:val="-9"/>
          <w:w w:val="105"/>
          <w:sz w:val="20"/>
        </w:rPr>
        <w:t> </w:t>
      </w:r>
      <w:r>
        <w:rPr>
          <w:spacing w:val="-2"/>
          <w:w w:val="105"/>
          <w:sz w:val="20"/>
        </w:rPr>
        <w:t>(EMP),</w:t>
      </w:r>
      <w:r>
        <w:rPr>
          <w:spacing w:val="-9"/>
          <w:w w:val="105"/>
          <w:sz w:val="20"/>
        </w:rPr>
        <w:t> </w:t>
      </w:r>
      <w:r>
        <w:rPr>
          <w:spacing w:val="-2"/>
          <w:w w:val="105"/>
          <w:sz w:val="20"/>
        </w:rPr>
        <w:t>were</w:t>
      </w:r>
      <w:r>
        <w:rPr>
          <w:spacing w:val="-9"/>
          <w:w w:val="105"/>
          <w:sz w:val="20"/>
        </w:rPr>
        <w:t> </w:t>
      </w:r>
      <w:r>
        <w:rPr>
          <w:spacing w:val="-2"/>
          <w:w w:val="105"/>
          <w:sz w:val="20"/>
        </w:rPr>
        <w:t>deemed</w:t>
      </w:r>
      <w:r>
        <w:rPr>
          <w:spacing w:val="-9"/>
          <w:w w:val="105"/>
          <w:sz w:val="20"/>
        </w:rPr>
        <w:t> </w:t>
      </w:r>
      <w:r>
        <w:rPr>
          <w:spacing w:val="-2"/>
          <w:w w:val="105"/>
          <w:sz w:val="20"/>
        </w:rPr>
        <w:t>by</w:t>
      </w:r>
      <w:r>
        <w:rPr>
          <w:spacing w:val="-9"/>
          <w:w w:val="105"/>
          <w:sz w:val="20"/>
        </w:rPr>
        <w:t> </w:t>
      </w:r>
      <w:r>
        <w:rPr>
          <w:spacing w:val="-2"/>
          <w:w w:val="105"/>
          <w:sz w:val="20"/>
        </w:rPr>
        <w:t>third-party</w:t>
      </w:r>
      <w:r>
        <w:rPr>
          <w:spacing w:val="-9"/>
          <w:w w:val="105"/>
          <w:sz w:val="20"/>
        </w:rPr>
        <w:t> </w:t>
      </w:r>
      <w:r>
        <w:rPr>
          <w:spacing w:val="-2"/>
          <w:w w:val="105"/>
          <w:sz w:val="20"/>
        </w:rPr>
        <w:t>evaluators</w:t>
      </w:r>
      <w:r>
        <w:rPr>
          <w:spacing w:val="-9"/>
          <w:w w:val="105"/>
          <w:sz w:val="20"/>
        </w:rPr>
        <w:t> </w:t>
      </w:r>
      <w:r>
        <w:rPr>
          <w:spacing w:val="-2"/>
          <w:w w:val="105"/>
          <w:sz w:val="20"/>
        </w:rPr>
        <w:t>to</w:t>
      </w:r>
      <w:r>
        <w:rPr>
          <w:spacing w:val="-9"/>
          <w:w w:val="105"/>
          <w:sz w:val="20"/>
        </w:rPr>
        <w:t> </w:t>
      </w:r>
      <w:r>
        <w:rPr>
          <w:spacing w:val="-2"/>
          <w:w w:val="105"/>
          <w:sz w:val="20"/>
        </w:rPr>
        <w:t>be</w:t>
      </w:r>
      <w:r>
        <w:rPr>
          <w:spacing w:val="-2"/>
          <w:w w:val="105"/>
          <w:sz w:val="20"/>
        </w:rPr>
        <w:t> </w:t>
      </w:r>
      <w:r>
        <w:rPr>
          <w:sz w:val="20"/>
        </w:rPr>
        <w:t>“compliant with international codes and standards” (NESPAK v. Mumtaz 2017). The EMP identiﬁed—and suggested corrective measures for—a series of risks related to land acquisition and resettlement, ﬂora and fauna, air quality and noise level, public utilities, seismic hazard, and the</w:t>
      </w:r>
      <w:r>
        <w:rPr>
          <w:spacing w:val="-10"/>
          <w:sz w:val="20"/>
        </w:rPr>
        <w:t> </w:t>
      </w:r>
      <w:r>
        <w:rPr>
          <w:sz w:val="20"/>
        </w:rPr>
        <w:t>health</w:t>
      </w:r>
      <w:r>
        <w:rPr>
          <w:spacing w:val="-10"/>
          <w:sz w:val="20"/>
        </w:rPr>
        <w:t> </w:t>
      </w:r>
      <w:r>
        <w:rPr>
          <w:sz w:val="20"/>
        </w:rPr>
        <w:t>and</w:t>
      </w:r>
      <w:r>
        <w:rPr>
          <w:spacing w:val="-10"/>
          <w:sz w:val="20"/>
        </w:rPr>
        <w:t> </w:t>
      </w:r>
      <w:r>
        <w:rPr>
          <w:sz w:val="20"/>
        </w:rPr>
        <w:t>safety</w:t>
      </w:r>
      <w:r>
        <w:rPr>
          <w:spacing w:val="-10"/>
          <w:sz w:val="20"/>
        </w:rPr>
        <w:t> </w:t>
      </w:r>
      <w:r>
        <w:rPr>
          <w:sz w:val="20"/>
        </w:rPr>
        <w:t>of</w:t>
      </w:r>
      <w:r>
        <w:rPr>
          <w:spacing w:val="-10"/>
          <w:sz w:val="20"/>
        </w:rPr>
        <w:t> </w:t>
      </w:r>
      <w:r>
        <w:rPr>
          <w:sz w:val="20"/>
        </w:rPr>
        <w:t>workers</w:t>
      </w:r>
      <w:r>
        <w:rPr>
          <w:spacing w:val="-10"/>
          <w:sz w:val="20"/>
        </w:rPr>
        <w:t> </w:t>
      </w:r>
      <w:r>
        <w:rPr>
          <w:sz w:val="20"/>
        </w:rPr>
        <w:t>(NESPAK</w:t>
      </w:r>
      <w:r>
        <w:rPr>
          <w:spacing w:val="-10"/>
          <w:sz w:val="20"/>
        </w:rPr>
        <w:t> </w:t>
      </w:r>
      <w:r>
        <w:rPr>
          <w:sz w:val="20"/>
        </w:rPr>
        <w:t>2015a).</w:t>
      </w:r>
      <w:r>
        <w:rPr>
          <w:spacing w:val="-10"/>
          <w:sz w:val="20"/>
        </w:rPr>
        <w:t> </w:t>
      </w:r>
      <w:r>
        <w:rPr>
          <w:sz w:val="20"/>
        </w:rPr>
        <w:t>After</w:t>
      </w:r>
      <w:r>
        <w:rPr>
          <w:spacing w:val="-10"/>
          <w:sz w:val="20"/>
        </w:rPr>
        <w:t> </w:t>
      </w:r>
      <w:r>
        <w:rPr>
          <w:sz w:val="20"/>
        </w:rPr>
        <w:t>recognizing</w:t>
      </w:r>
      <w:r>
        <w:rPr>
          <w:spacing w:val="-10"/>
          <w:sz w:val="20"/>
        </w:rPr>
        <w:t> </w:t>
      </w:r>
      <w:r>
        <w:rPr>
          <w:sz w:val="20"/>
        </w:rPr>
        <w:t>that</w:t>
      </w:r>
      <w:r>
        <w:rPr>
          <w:spacing w:val="-10"/>
          <w:sz w:val="20"/>
        </w:rPr>
        <w:t> </w:t>
      </w:r>
      <w:r>
        <w:rPr>
          <w:sz w:val="20"/>
        </w:rPr>
        <w:t>several</w:t>
      </w:r>
      <w:r>
        <w:rPr>
          <w:spacing w:val="-9"/>
          <w:sz w:val="20"/>
        </w:rPr>
        <w:t> </w:t>
      </w:r>
      <w:r>
        <w:rPr>
          <w:sz w:val="20"/>
        </w:rPr>
        <w:t>heritage</w:t>
      </w:r>
      <w:r>
        <w:rPr>
          <w:spacing w:val="-10"/>
          <w:sz w:val="20"/>
        </w:rPr>
        <w:t> </w:t>
      </w:r>
      <w:r>
        <w:rPr>
          <w:sz w:val="20"/>
        </w:rPr>
        <w:t>sites,</w:t>
      </w:r>
      <w:r>
        <w:rPr>
          <w:spacing w:val="-10"/>
          <w:sz w:val="20"/>
        </w:rPr>
        <w:t> </w:t>
      </w:r>
      <w:r>
        <w:rPr>
          <w:sz w:val="20"/>
        </w:rPr>
        <w:t>as </w:t>
      </w:r>
      <w:r>
        <w:rPr>
          <w:w w:val="105"/>
          <w:sz w:val="20"/>
        </w:rPr>
        <w:t>deﬁned</w:t>
      </w:r>
      <w:r>
        <w:rPr>
          <w:spacing w:val="-11"/>
          <w:w w:val="105"/>
          <w:sz w:val="20"/>
        </w:rPr>
        <w:t> </w:t>
      </w:r>
      <w:r>
        <w:rPr>
          <w:w w:val="105"/>
          <w:sz w:val="20"/>
        </w:rPr>
        <w:t>by</w:t>
      </w:r>
      <w:r>
        <w:rPr>
          <w:spacing w:val="-11"/>
          <w:w w:val="105"/>
          <w:sz w:val="20"/>
        </w:rPr>
        <w:t> </w:t>
      </w:r>
      <w:r>
        <w:rPr>
          <w:w w:val="105"/>
          <w:sz w:val="20"/>
        </w:rPr>
        <w:t>the</w:t>
      </w:r>
      <w:r>
        <w:rPr>
          <w:spacing w:val="-11"/>
          <w:w w:val="105"/>
          <w:sz w:val="20"/>
        </w:rPr>
        <w:t> </w:t>
      </w:r>
      <w:r>
        <w:rPr>
          <w:w w:val="105"/>
          <w:sz w:val="20"/>
        </w:rPr>
        <w:t>Antiquities</w:t>
      </w:r>
      <w:r>
        <w:rPr>
          <w:spacing w:val="-11"/>
          <w:w w:val="105"/>
          <w:sz w:val="20"/>
        </w:rPr>
        <w:t> </w:t>
      </w:r>
      <w:r>
        <w:rPr>
          <w:w w:val="105"/>
          <w:sz w:val="20"/>
        </w:rPr>
        <w:t>Act</w:t>
      </w:r>
      <w:r>
        <w:rPr>
          <w:spacing w:val="-11"/>
          <w:w w:val="105"/>
          <w:sz w:val="20"/>
        </w:rPr>
        <w:t> </w:t>
      </w:r>
      <w:r>
        <w:rPr>
          <w:w w:val="105"/>
          <w:sz w:val="20"/>
        </w:rPr>
        <w:t>of</w:t>
      </w:r>
      <w:r>
        <w:rPr>
          <w:spacing w:val="-11"/>
          <w:w w:val="105"/>
          <w:sz w:val="20"/>
        </w:rPr>
        <w:t> </w:t>
      </w:r>
      <w:r>
        <w:rPr>
          <w:w w:val="105"/>
          <w:sz w:val="20"/>
        </w:rPr>
        <w:t>1975</w:t>
      </w:r>
      <w:r>
        <w:rPr>
          <w:spacing w:val="-11"/>
          <w:w w:val="105"/>
          <w:sz w:val="20"/>
        </w:rPr>
        <w:t> </w:t>
      </w:r>
      <w:r>
        <w:rPr>
          <w:w w:val="105"/>
          <w:sz w:val="20"/>
        </w:rPr>
        <w:t>(“Act”),</w:t>
      </w:r>
      <w:r>
        <w:rPr>
          <w:spacing w:val="-11"/>
          <w:w w:val="105"/>
          <w:sz w:val="20"/>
        </w:rPr>
        <w:t> </w:t>
      </w:r>
      <w:r>
        <w:rPr>
          <w:w w:val="105"/>
          <w:sz w:val="20"/>
        </w:rPr>
        <w:t>would</w:t>
      </w:r>
      <w:r>
        <w:rPr>
          <w:spacing w:val="-11"/>
          <w:w w:val="105"/>
          <w:sz w:val="20"/>
        </w:rPr>
        <w:t> </w:t>
      </w:r>
      <w:r>
        <w:rPr>
          <w:w w:val="105"/>
          <w:sz w:val="20"/>
        </w:rPr>
        <w:t>be</w:t>
      </w:r>
      <w:r>
        <w:rPr>
          <w:spacing w:val="-11"/>
          <w:w w:val="105"/>
          <w:sz w:val="20"/>
        </w:rPr>
        <w:t> </w:t>
      </w:r>
      <w:r>
        <w:rPr>
          <w:w w:val="105"/>
          <w:sz w:val="20"/>
        </w:rPr>
        <w:t>affected</w:t>
      </w:r>
      <w:r>
        <w:rPr>
          <w:spacing w:val="-11"/>
          <w:w w:val="105"/>
          <w:sz w:val="20"/>
        </w:rPr>
        <w:t> </w:t>
      </w:r>
      <w:r>
        <w:rPr>
          <w:w w:val="105"/>
          <w:sz w:val="20"/>
        </w:rPr>
        <w:t>by</w:t>
      </w:r>
      <w:r>
        <w:rPr>
          <w:spacing w:val="-11"/>
          <w:w w:val="105"/>
          <w:sz w:val="20"/>
        </w:rPr>
        <w:t> </w:t>
      </w:r>
      <w:r>
        <w:rPr>
          <w:w w:val="105"/>
          <w:sz w:val="20"/>
        </w:rPr>
        <w:t>construction,</w:t>
      </w:r>
      <w:r>
        <w:rPr>
          <w:spacing w:val="-10"/>
          <w:w w:val="105"/>
          <w:sz w:val="20"/>
        </w:rPr>
        <w:t> </w:t>
      </w:r>
      <w:r>
        <w:rPr>
          <w:w w:val="105"/>
          <w:sz w:val="20"/>
        </w:rPr>
        <w:t>NESPAK afﬁrmed</w:t>
      </w:r>
      <w:r>
        <w:rPr>
          <w:spacing w:val="-15"/>
          <w:w w:val="105"/>
          <w:sz w:val="20"/>
        </w:rPr>
        <w:t> </w:t>
      </w:r>
      <w:r>
        <w:rPr>
          <w:w w:val="105"/>
          <w:sz w:val="20"/>
        </w:rPr>
        <w:t>the</w:t>
      </w:r>
      <w:r>
        <w:rPr>
          <w:spacing w:val="-15"/>
          <w:w w:val="105"/>
          <w:sz w:val="20"/>
        </w:rPr>
        <w:t> </w:t>
      </w:r>
      <w:r>
        <w:rPr>
          <w:w w:val="105"/>
          <w:sz w:val="20"/>
        </w:rPr>
        <w:t>need</w:t>
      </w:r>
      <w:r>
        <w:rPr>
          <w:spacing w:val="-14"/>
          <w:w w:val="105"/>
          <w:sz w:val="20"/>
        </w:rPr>
        <w:t> </w:t>
      </w:r>
      <w:r>
        <w:rPr>
          <w:w w:val="105"/>
          <w:sz w:val="20"/>
        </w:rPr>
        <w:t>“to</w:t>
      </w:r>
      <w:r>
        <w:rPr>
          <w:spacing w:val="-15"/>
          <w:w w:val="105"/>
          <w:sz w:val="20"/>
        </w:rPr>
        <w:t> </w:t>
      </w:r>
      <w:r>
        <w:rPr>
          <w:w w:val="105"/>
          <w:sz w:val="20"/>
        </w:rPr>
        <w:t>avoid</w:t>
      </w:r>
      <w:r>
        <w:rPr>
          <w:spacing w:val="-14"/>
          <w:w w:val="105"/>
          <w:sz w:val="20"/>
        </w:rPr>
        <w:t> </w:t>
      </w:r>
      <w:r>
        <w:rPr>
          <w:w w:val="105"/>
          <w:sz w:val="20"/>
        </w:rPr>
        <w:t>any</w:t>
      </w:r>
      <w:r>
        <w:rPr>
          <w:spacing w:val="-15"/>
          <w:w w:val="105"/>
          <w:sz w:val="20"/>
        </w:rPr>
        <w:t> </w:t>
      </w:r>
      <w:r>
        <w:rPr>
          <w:w w:val="105"/>
          <w:sz w:val="20"/>
        </w:rPr>
        <w:t>interference</w:t>
      </w:r>
      <w:r>
        <w:rPr>
          <w:spacing w:val="-15"/>
          <w:w w:val="105"/>
          <w:sz w:val="20"/>
        </w:rPr>
        <w:t> </w:t>
      </w:r>
      <w:r>
        <w:rPr>
          <w:w w:val="105"/>
          <w:sz w:val="20"/>
        </w:rPr>
        <w:t>with</w:t>
      </w:r>
      <w:r>
        <w:rPr>
          <w:spacing w:val="-14"/>
          <w:w w:val="105"/>
          <w:sz w:val="20"/>
        </w:rPr>
        <w:t> </w:t>
      </w:r>
      <w:r>
        <w:rPr>
          <w:w w:val="105"/>
          <w:sz w:val="20"/>
        </w:rPr>
        <w:t>cultural</w:t>
      </w:r>
      <w:r>
        <w:rPr>
          <w:spacing w:val="-15"/>
          <w:w w:val="105"/>
          <w:sz w:val="20"/>
        </w:rPr>
        <w:t> </w:t>
      </w:r>
      <w:r>
        <w:rPr>
          <w:w w:val="105"/>
          <w:sz w:val="20"/>
        </w:rPr>
        <w:t>heritage</w:t>
      </w:r>
      <w:r>
        <w:rPr>
          <w:spacing w:val="-14"/>
          <w:w w:val="105"/>
          <w:sz w:val="20"/>
        </w:rPr>
        <w:t> </w:t>
      </w:r>
      <w:r>
        <w:rPr>
          <w:w w:val="105"/>
          <w:sz w:val="20"/>
        </w:rPr>
        <w:t>site(s)</w:t>
      </w:r>
      <w:r>
        <w:rPr>
          <w:spacing w:val="-15"/>
          <w:w w:val="105"/>
          <w:sz w:val="20"/>
        </w:rPr>
        <w:t> </w:t>
      </w:r>
      <w:r>
        <w:rPr>
          <w:w w:val="105"/>
          <w:sz w:val="20"/>
        </w:rPr>
        <w:t>and</w:t>
      </w:r>
      <w:r>
        <w:rPr>
          <w:spacing w:val="-15"/>
          <w:w w:val="105"/>
          <w:sz w:val="20"/>
        </w:rPr>
        <w:t> </w:t>
      </w:r>
      <w:r>
        <w:rPr>
          <w:w w:val="105"/>
          <w:sz w:val="20"/>
        </w:rPr>
        <w:t>public</w:t>
      </w:r>
      <w:r>
        <w:rPr>
          <w:spacing w:val="-14"/>
          <w:w w:val="105"/>
          <w:sz w:val="20"/>
        </w:rPr>
        <w:t> </w:t>
      </w:r>
      <w:r>
        <w:rPr>
          <w:w w:val="105"/>
          <w:sz w:val="20"/>
        </w:rPr>
        <w:t>property</w:t>
      </w:r>
      <w:r>
        <w:rPr>
          <w:spacing w:val="-15"/>
          <w:w w:val="105"/>
          <w:sz w:val="20"/>
        </w:rPr>
        <w:t> </w:t>
      </w:r>
      <w:r>
        <w:rPr>
          <w:w w:val="105"/>
          <w:sz w:val="20"/>
        </w:rPr>
        <w:t>as </w:t>
      </w:r>
      <w:r>
        <w:rPr>
          <w:sz w:val="20"/>
        </w:rPr>
        <w:t>far as possible” (NESPAK 2015b). Noting that heightened noise levels could affect the structural </w:t>
      </w:r>
      <w:r>
        <w:rPr>
          <w:w w:val="105"/>
          <w:sz w:val="20"/>
        </w:rPr>
        <w:t>integrity</w:t>
      </w:r>
      <w:r>
        <w:rPr>
          <w:spacing w:val="-11"/>
          <w:w w:val="105"/>
          <w:sz w:val="20"/>
        </w:rPr>
        <w:t> </w:t>
      </w:r>
      <w:r>
        <w:rPr>
          <w:w w:val="105"/>
          <w:sz w:val="20"/>
        </w:rPr>
        <w:t>of</w:t>
      </w:r>
      <w:r>
        <w:rPr>
          <w:spacing w:val="-11"/>
          <w:w w:val="105"/>
          <w:sz w:val="20"/>
        </w:rPr>
        <w:t> </w:t>
      </w:r>
      <w:r>
        <w:rPr>
          <w:w w:val="105"/>
          <w:sz w:val="20"/>
        </w:rPr>
        <w:t>cultural</w:t>
      </w:r>
      <w:r>
        <w:rPr>
          <w:spacing w:val="-10"/>
          <w:w w:val="105"/>
          <w:sz w:val="20"/>
        </w:rPr>
        <w:t> </w:t>
      </w:r>
      <w:r>
        <w:rPr>
          <w:w w:val="105"/>
          <w:sz w:val="20"/>
        </w:rPr>
        <w:t>heritage</w:t>
      </w:r>
      <w:r>
        <w:rPr>
          <w:spacing w:val="-11"/>
          <w:w w:val="105"/>
          <w:sz w:val="20"/>
        </w:rPr>
        <w:t> </w:t>
      </w:r>
      <w:r>
        <w:rPr>
          <w:w w:val="105"/>
          <w:sz w:val="20"/>
        </w:rPr>
        <w:t>sites,</w:t>
      </w:r>
      <w:r>
        <w:rPr>
          <w:spacing w:val="-11"/>
          <w:w w:val="105"/>
          <w:sz w:val="20"/>
        </w:rPr>
        <w:t> </w:t>
      </w:r>
      <w:r>
        <w:rPr>
          <w:w w:val="105"/>
          <w:sz w:val="20"/>
        </w:rPr>
        <w:t>it</w:t>
      </w:r>
      <w:r>
        <w:rPr>
          <w:spacing w:val="-11"/>
          <w:w w:val="105"/>
          <w:sz w:val="20"/>
        </w:rPr>
        <w:t> </w:t>
      </w:r>
      <w:r>
        <w:rPr>
          <w:w w:val="105"/>
          <w:sz w:val="20"/>
        </w:rPr>
        <w:t>called</w:t>
      </w:r>
      <w:r>
        <w:rPr>
          <w:spacing w:val="-11"/>
          <w:w w:val="105"/>
          <w:sz w:val="20"/>
        </w:rPr>
        <w:t> </w:t>
      </w:r>
      <w:r>
        <w:rPr>
          <w:w w:val="105"/>
          <w:sz w:val="20"/>
        </w:rPr>
        <w:t>upon</w:t>
      </w:r>
      <w:r>
        <w:rPr>
          <w:spacing w:val="-11"/>
          <w:w w:val="105"/>
          <w:sz w:val="20"/>
        </w:rPr>
        <w:t> </w:t>
      </w:r>
      <w:r>
        <w:rPr>
          <w:w w:val="105"/>
          <w:sz w:val="20"/>
        </w:rPr>
        <w:t>contractors</w:t>
      </w:r>
      <w:r>
        <w:rPr>
          <w:spacing w:val="-11"/>
          <w:w w:val="105"/>
          <w:sz w:val="20"/>
        </w:rPr>
        <w:t> </w:t>
      </w:r>
      <w:r>
        <w:rPr>
          <w:w w:val="105"/>
          <w:sz w:val="20"/>
        </w:rPr>
        <w:t>to</w:t>
      </w:r>
      <w:r>
        <w:rPr>
          <w:spacing w:val="-11"/>
          <w:w w:val="105"/>
          <w:sz w:val="20"/>
        </w:rPr>
        <w:t> </w:t>
      </w:r>
      <w:r>
        <w:rPr>
          <w:w w:val="105"/>
          <w:sz w:val="20"/>
        </w:rPr>
        <w:t>employ</w:t>
      </w:r>
      <w:r>
        <w:rPr>
          <w:spacing w:val="-11"/>
          <w:w w:val="105"/>
          <w:sz w:val="20"/>
        </w:rPr>
        <w:t> </w:t>
      </w:r>
      <w:r>
        <w:rPr>
          <w:w w:val="105"/>
          <w:sz w:val="20"/>
        </w:rPr>
        <w:t>“noise</w:t>
      </w:r>
      <w:r>
        <w:rPr>
          <w:spacing w:val="-11"/>
          <w:w w:val="105"/>
          <w:sz w:val="20"/>
        </w:rPr>
        <w:t> </w:t>
      </w:r>
      <w:r>
        <w:rPr>
          <w:w w:val="105"/>
          <w:sz w:val="20"/>
        </w:rPr>
        <w:t>barriers</w:t>
      </w:r>
      <w:r>
        <w:rPr>
          <w:spacing w:val="-11"/>
          <w:w w:val="105"/>
          <w:sz w:val="20"/>
        </w:rPr>
        <w:t> </w:t>
      </w:r>
      <w:r>
        <w:rPr>
          <w:w w:val="105"/>
          <w:sz w:val="20"/>
        </w:rPr>
        <w:t>during </w:t>
      </w:r>
      <w:r>
        <w:rPr>
          <w:spacing w:val="-2"/>
          <w:w w:val="105"/>
          <w:sz w:val="20"/>
        </w:rPr>
        <w:t>construction”</w:t>
      </w:r>
      <w:r>
        <w:rPr>
          <w:spacing w:val="-10"/>
          <w:w w:val="105"/>
          <w:sz w:val="20"/>
        </w:rPr>
        <w:t> </w:t>
      </w:r>
      <w:r>
        <w:rPr>
          <w:spacing w:val="-2"/>
          <w:w w:val="105"/>
          <w:sz w:val="20"/>
        </w:rPr>
        <w:t>(NESPAK</w:t>
      </w:r>
      <w:r>
        <w:rPr>
          <w:spacing w:val="-10"/>
          <w:w w:val="105"/>
          <w:sz w:val="20"/>
        </w:rPr>
        <w:t> </w:t>
      </w:r>
      <w:r>
        <w:rPr>
          <w:spacing w:val="-2"/>
          <w:w w:val="105"/>
          <w:sz w:val="20"/>
        </w:rPr>
        <w:t>2015a).</w:t>
      </w:r>
      <w:r>
        <w:rPr>
          <w:spacing w:val="-10"/>
          <w:w w:val="105"/>
          <w:sz w:val="20"/>
        </w:rPr>
        <w:t> </w:t>
      </w:r>
      <w:r>
        <w:rPr>
          <w:spacing w:val="-2"/>
          <w:w w:val="105"/>
          <w:sz w:val="20"/>
        </w:rPr>
        <w:t>Even</w:t>
      </w:r>
      <w:r>
        <w:rPr>
          <w:spacing w:val="-10"/>
          <w:w w:val="105"/>
          <w:sz w:val="20"/>
        </w:rPr>
        <w:t> </w:t>
      </w:r>
      <w:r>
        <w:rPr>
          <w:spacing w:val="-2"/>
          <w:w w:val="105"/>
          <w:sz w:val="20"/>
        </w:rPr>
        <w:t>though</w:t>
      </w:r>
      <w:r>
        <w:rPr>
          <w:spacing w:val="-10"/>
          <w:w w:val="105"/>
          <w:sz w:val="20"/>
        </w:rPr>
        <w:t> </w:t>
      </w:r>
      <w:r>
        <w:rPr>
          <w:spacing w:val="-2"/>
          <w:w w:val="105"/>
          <w:sz w:val="20"/>
        </w:rPr>
        <w:t>the</w:t>
      </w:r>
      <w:r>
        <w:rPr>
          <w:spacing w:val="-10"/>
          <w:w w:val="105"/>
          <w:sz w:val="20"/>
        </w:rPr>
        <w:t> </w:t>
      </w:r>
      <w:r>
        <w:rPr>
          <w:spacing w:val="-2"/>
          <w:w w:val="105"/>
          <w:sz w:val="20"/>
        </w:rPr>
        <w:t>Act</w:t>
      </w:r>
      <w:r>
        <w:rPr>
          <w:spacing w:val="-10"/>
          <w:w w:val="105"/>
          <w:sz w:val="20"/>
        </w:rPr>
        <w:t> </w:t>
      </w:r>
      <w:r>
        <w:rPr>
          <w:spacing w:val="-2"/>
          <w:w w:val="105"/>
          <w:sz w:val="20"/>
        </w:rPr>
        <w:t>prohibits</w:t>
      </w:r>
      <w:r>
        <w:rPr>
          <w:spacing w:val="-10"/>
          <w:w w:val="105"/>
          <w:sz w:val="20"/>
        </w:rPr>
        <w:t> </w:t>
      </w:r>
      <w:r>
        <w:rPr>
          <w:spacing w:val="-2"/>
          <w:w w:val="105"/>
          <w:sz w:val="20"/>
        </w:rPr>
        <w:t>construction</w:t>
      </w:r>
      <w:r>
        <w:rPr>
          <w:spacing w:val="-10"/>
          <w:w w:val="105"/>
          <w:sz w:val="20"/>
        </w:rPr>
        <w:t> </w:t>
      </w:r>
      <w:r>
        <w:rPr>
          <w:spacing w:val="-2"/>
          <w:w w:val="105"/>
          <w:sz w:val="20"/>
        </w:rPr>
        <w:t>activity</w:t>
      </w:r>
      <w:r>
        <w:rPr>
          <w:spacing w:val="-10"/>
          <w:w w:val="105"/>
          <w:sz w:val="20"/>
        </w:rPr>
        <w:t> </w:t>
      </w:r>
      <w:r>
        <w:rPr>
          <w:spacing w:val="-2"/>
          <w:w w:val="105"/>
          <w:sz w:val="20"/>
        </w:rPr>
        <w:t>within</w:t>
      </w:r>
      <w:r>
        <w:rPr>
          <w:spacing w:val="-10"/>
          <w:w w:val="105"/>
          <w:sz w:val="20"/>
        </w:rPr>
        <w:t> </w:t>
      </w:r>
      <w:r>
        <w:rPr>
          <w:spacing w:val="-2"/>
          <w:w w:val="105"/>
          <w:sz w:val="20"/>
        </w:rPr>
        <w:t>200 feet</w:t>
      </w:r>
      <w:r>
        <w:rPr>
          <w:spacing w:val="-10"/>
          <w:w w:val="105"/>
          <w:sz w:val="20"/>
        </w:rPr>
        <w:t> </w:t>
      </w:r>
      <w:r>
        <w:rPr>
          <w:spacing w:val="-2"/>
          <w:w w:val="105"/>
          <w:sz w:val="20"/>
        </w:rPr>
        <w:t>of</w:t>
      </w:r>
      <w:r>
        <w:rPr>
          <w:spacing w:val="-10"/>
          <w:w w:val="105"/>
          <w:sz w:val="20"/>
        </w:rPr>
        <w:t> </w:t>
      </w:r>
      <w:r>
        <w:rPr>
          <w:spacing w:val="-2"/>
          <w:w w:val="105"/>
          <w:sz w:val="20"/>
        </w:rPr>
        <w:t>heritage</w:t>
      </w:r>
      <w:r>
        <w:rPr>
          <w:spacing w:val="-10"/>
          <w:w w:val="105"/>
          <w:sz w:val="20"/>
        </w:rPr>
        <w:t> </w:t>
      </w:r>
      <w:r>
        <w:rPr>
          <w:spacing w:val="-2"/>
          <w:w w:val="105"/>
          <w:sz w:val="20"/>
        </w:rPr>
        <w:t>sites,</w:t>
      </w:r>
      <w:r>
        <w:rPr>
          <w:spacing w:val="-10"/>
          <w:w w:val="105"/>
          <w:sz w:val="20"/>
        </w:rPr>
        <w:t> </w:t>
      </w:r>
      <w:r>
        <w:rPr>
          <w:spacing w:val="-2"/>
          <w:w w:val="105"/>
          <w:sz w:val="20"/>
        </w:rPr>
        <w:t>based</w:t>
      </w:r>
      <w:r>
        <w:rPr>
          <w:spacing w:val="-10"/>
          <w:w w:val="105"/>
          <w:sz w:val="20"/>
        </w:rPr>
        <w:t> </w:t>
      </w:r>
      <w:r>
        <w:rPr>
          <w:spacing w:val="-2"/>
          <w:w w:val="105"/>
          <w:sz w:val="20"/>
        </w:rPr>
        <w:t>on</w:t>
      </w:r>
      <w:r>
        <w:rPr>
          <w:spacing w:val="-10"/>
          <w:w w:val="105"/>
          <w:sz w:val="20"/>
        </w:rPr>
        <w:t> </w:t>
      </w:r>
      <w:r>
        <w:rPr>
          <w:spacing w:val="-2"/>
          <w:w w:val="105"/>
          <w:sz w:val="20"/>
        </w:rPr>
        <w:t>these</w:t>
      </w:r>
      <w:r>
        <w:rPr>
          <w:spacing w:val="-10"/>
          <w:w w:val="105"/>
          <w:sz w:val="20"/>
        </w:rPr>
        <w:t> </w:t>
      </w:r>
      <w:r>
        <w:rPr>
          <w:spacing w:val="-2"/>
          <w:w w:val="105"/>
          <w:sz w:val="20"/>
        </w:rPr>
        <w:t>plans,</w:t>
      </w:r>
      <w:r>
        <w:rPr>
          <w:spacing w:val="-10"/>
          <w:w w:val="105"/>
          <w:sz w:val="20"/>
        </w:rPr>
        <w:t> </w:t>
      </w:r>
      <w:r>
        <w:rPr>
          <w:spacing w:val="-2"/>
          <w:w w:val="105"/>
          <w:sz w:val="20"/>
        </w:rPr>
        <w:t>the</w:t>
      </w:r>
      <w:r>
        <w:rPr>
          <w:spacing w:val="-10"/>
          <w:w w:val="105"/>
          <w:sz w:val="20"/>
        </w:rPr>
        <w:t> </w:t>
      </w:r>
      <w:r>
        <w:rPr>
          <w:spacing w:val="-2"/>
          <w:w w:val="105"/>
          <w:sz w:val="20"/>
        </w:rPr>
        <w:t>Director</w:t>
      </w:r>
      <w:r>
        <w:rPr>
          <w:spacing w:val="-10"/>
          <w:w w:val="105"/>
          <w:sz w:val="20"/>
        </w:rPr>
        <w:t> </w:t>
      </w:r>
      <w:r>
        <w:rPr>
          <w:spacing w:val="-2"/>
          <w:w w:val="105"/>
          <w:sz w:val="20"/>
        </w:rPr>
        <w:t>General</w:t>
      </w:r>
      <w:r>
        <w:rPr>
          <w:spacing w:val="-9"/>
          <w:w w:val="105"/>
          <w:sz w:val="20"/>
        </w:rPr>
        <w:t> </w:t>
      </w:r>
      <w:r>
        <w:rPr>
          <w:spacing w:val="-2"/>
          <w:w w:val="105"/>
          <w:sz w:val="20"/>
        </w:rPr>
        <w:t>(DG)</w:t>
      </w:r>
      <w:r>
        <w:rPr>
          <w:spacing w:val="-9"/>
          <w:w w:val="105"/>
          <w:sz w:val="20"/>
        </w:rPr>
        <w:t> </w:t>
      </w:r>
      <w:r>
        <w:rPr>
          <w:spacing w:val="-2"/>
          <w:w w:val="105"/>
          <w:sz w:val="20"/>
        </w:rPr>
        <w:t>of</w:t>
      </w:r>
      <w:r>
        <w:rPr>
          <w:spacing w:val="-10"/>
          <w:w w:val="105"/>
          <w:sz w:val="20"/>
        </w:rPr>
        <w:t> </w:t>
      </w:r>
      <w:r>
        <w:rPr>
          <w:spacing w:val="-2"/>
          <w:w w:val="105"/>
          <w:sz w:val="20"/>
        </w:rPr>
        <w:t>Archeology</w:t>
      </w:r>
      <w:r>
        <w:rPr>
          <w:spacing w:val="-10"/>
          <w:w w:val="105"/>
          <w:sz w:val="20"/>
        </w:rPr>
        <w:t> </w:t>
      </w:r>
      <w:r>
        <w:rPr>
          <w:spacing w:val="-2"/>
          <w:w w:val="105"/>
          <w:sz w:val="20"/>
        </w:rPr>
        <w:t>issued</w:t>
      </w:r>
      <w:r>
        <w:rPr>
          <w:spacing w:val="-10"/>
          <w:w w:val="105"/>
          <w:sz w:val="20"/>
        </w:rPr>
        <w:t> </w:t>
      </w:r>
      <w:r>
        <w:rPr>
          <w:spacing w:val="-2"/>
          <w:w w:val="105"/>
          <w:sz w:val="20"/>
        </w:rPr>
        <w:t>a </w:t>
      </w:r>
      <w:r>
        <w:rPr>
          <w:w w:val="105"/>
          <w:sz w:val="20"/>
        </w:rPr>
        <w:t>No</w:t>
      </w:r>
      <w:r>
        <w:rPr>
          <w:spacing w:val="-12"/>
          <w:w w:val="105"/>
          <w:sz w:val="20"/>
        </w:rPr>
        <w:t> </w:t>
      </w:r>
      <w:r>
        <w:rPr>
          <w:w w:val="105"/>
          <w:sz w:val="20"/>
        </w:rPr>
        <w:t>Objection</w:t>
      </w:r>
      <w:r>
        <w:rPr>
          <w:spacing w:val="-12"/>
          <w:w w:val="105"/>
          <w:sz w:val="20"/>
        </w:rPr>
        <w:t> </w:t>
      </w:r>
      <w:r>
        <w:rPr>
          <w:w w:val="105"/>
          <w:sz w:val="20"/>
        </w:rPr>
        <w:t>Certiﬁcate</w:t>
      </w:r>
      <w:r>
        <w:rPr>
          <w:spacing w:val="-12"/>
          <w:w w:val="105"/>
          <w:sz w:val="20"/>
        </w:rPr>
        <w:t> </w:t>
      </w:r>
      <w:r>
        <w:rPr>
          <w:w w:val="105"/>
          <w:sz w:val="20"/>
        </w:rPr>
        <w:t>(NOC)</w:t>
      </w:r>
      <w:r>
        <w:rPr>
          <w:spacing w:val="-11"/>
          <w:w w:val="105"/>
          <w:sz w:val="20"/>
        </w:rPr>
        <w:t> </w:t>
      </w:r>
      <w:r>
        <w:rPr>
          <w:w w:val="105"/>
          <w:sz w:val="20"/>
        </w:rPr>
        <w:t>in</w:t>
      </w:r>
      <w:r>
        <w:rPr>
          <w:spacing w:val="-12"/>
          <w:w w:val="105"/>
          <w:sz w:val="20"/>
        </w:rPr>
        <w:t> </w:t>
      </w:r>
      <w:r>
        <w:rPr>
          <w:w w:val="105"/>
          <w:sz w:val="20"/>
        </w:rPr>
        <w:t>November</w:t>
      </w:r>
      <w:r>
        <w:rPr>
          <w:spacing w:val="-12"/>
          <w:w w:val="105"/>
          <w:sz w:val="20"/>
        </w:rPr>
        <w:t> </w:t>
      </w:r>
      <w:r>
        <w:rPr>
          <w:w w:val="105"/>
          <w:sz w:val="20"/>
        </w:rPr>
        <w:t>2015,</w:t>
      </w:r>
      <w:r>
        <w:rPr>
          <w:spacing w:val="-12"/>
          <w:w w:val="105"/>
          <w:sz w:val="20"/>
        </w:rPr>
        <w:t> </w:t>
      </w:r>
      <w:r>
        <w:rPr>
          <w:w w:val="105"/>
          <w:sz w:val="20"/>
        </w:rPr>
        <w:t>“giving</w:t>
      </w:r>
      <w:r>
        <w:rPr>
          <w:spacing w:val="-12"/>
          <w:w w:val="105"/>
          <w:sz w:val="20"/>
        </w:rPr>
        <w:t> </w:t>
      </w:r>
      <w:r>
        <w:rPr>
          <w:w w:val="105"/>
          <w:sz w:val="20"/>
        </w:rPr>
        <w:t>permission</w:t>
      </w:r>
      <w:r>
        <w:rPr>
          <w:spacing w:val="-12"/>
          <w:w w:val="105"/>
          <w:sz w:val="20"/>
        </w:rPr>
        <w:t> </w:t>
      </w:r>
      <w:r>
        <w:rPr>
          <w:w w:val="105"/>
          <w:sz w:val="20"/>
        </w:rPr>
        <w:t>to</w:t>
      </w:r>
      <w:r>
        <w:rPr>
          <w:spacing w:val="-12"/>
          <w:w w:val="105"/>
          <w:sz w:val="20"/>
        </w:rPr>
        <w:t> </w:t>
      </w:r>
      <w:r>
        <w:rPr>
          <w:w w:val="105"/>
          <w:sz w:val="20"/>
        </w:rPr>
        <w:t>carry</w:t>
      </w:r>
      <w:r>
        <w:rPr>
          <w:spacing w:val="-12"/>
          <w:w w:val="105"/>
          <w:sz w:val="20"/>
        </w:rPr>
        <w:t> </w:t>
      </w:r>
      <w:r>
        <w:rPr>
          <w:w w:val="105"/>
          <w:sz w:val="20"/>
        </w:rPr>
        <w:t>on</w:t>
      </w:r>
      <w:r>
        <w:rPr>
          <w:spacing w:val="-12"/>
          <w:w w:val="105"/>
          <w:sz w:val="20"/>
        </w:rPr>
        <w:t> </w:t>
      </w:r>
      <w:r>
        <w:rPr>
          <w:w w:val="105"/>
          <w:sz w:val="20"/>
        </w:rPr>
        <w:t>construction within</w:t>
      </w:r>
      <w:r>
        <w:rPr>
          <w:spacing w:val="-10"/>
          <w:w w:val="105"/>
          <w:sz w:val="20"/>
        </w:rPr>
        <w:t> </w:t>
      </w:r>
      <w:r>
        <w:rPr>
          <w:w w:val="105"/>
          <w:sz w:val="20"/>
        </w:rPr>
        <w:t>prohibited</w:t>
      </w:r>
      <w:r>
        <w:rPr>
          <w:spacing w:val="-10"/>
          <w:w w:val="105"/>
          <w:sz w:val="20"/>
        </w:rPr>
        <w:t> </w:t>
      </w:r>
      <w:r>
        <w:rPr>
          <w:w w:val="105"/>
          <w:sz w:val="20"/>
        </w:rPr>
        <w:t>limits</w:t>
      </w:r>
      <w:r>
        <w:rPr>
          <w:spacing w:val="-10"/>
          <w:w w:val="105"/>
          <w:sz w:val="20"/>
        </w:rPr>
        <w:t> </w:t>
      </w:r>
      <w:r>
        <w:rPr>
          <w:w w:val="105"/>
          <w:sz w:val="20"/>
        </w:rPr>
        <w:t>of</w:t>
      </w:r>
      <w:r>
        <w:rPr>
          <w:spacing w:val="-10"/>
          <w:w w:val="105"/>
          <w:sz w:val="20"/>
        </w:rPr>
        <w:t> </w:t>
      </w:r>
      <w:r>
        <w:rPr>
          <w:w w:val="105"/>
          <w:sz w:val="20"/>
        </w:rPr>
        <w:t>200</w:t>
      </w:r>
      <w:r>
        <w:rPr>
          <w:spacing w:val="-10"/>
          <w:w w:val="105"/>
          <w:sz w:val="20"/>
        </w:rPr>
        <w:t> </w:t>
      </w:r>
      <w:r>
        <w:rPr>
          <w:w w:val="105"/>
          <w:sz w:val="20"/>
        </w:rPr>
        <w:t>feet</w:t>
      </w:r>
      <w:r>
        <w:rPr>
          <w:spacing w:val="-10"/>
          <w:w w:val="105"/>
          <w:sz w:val="20"/>
        </w:rPr>
        <w:t> </w:t>
      </w:r>
      <w:r>
        <w:rPr>
          <w:w w:val="105"/>
          <w:sz w:val="20"/>
        </w:rPr>
        <w:t>of</w:t>
      </w:r>
      <w:r>
        <w:rPr>
          <w:spacing w:val="-10"/>
          <w:w w:val="105"/>
          <w:sz w:val="20"/>
        </w:rPr>
        <w:t> </w:t>
      </w:r>
      <w:r>
        <w:rPr>
          <w:w w:val="105"/>
          <w:sz w:val="20"/>
        </w:rPr>
        <w:t>protected</w:t>
      </w:r>
      <w:r>
        <w:rPr>
          <w:spacing w:val="-10"/>
          <w:w w:val="105"/>
          <w:sz w:val="20"/>
        </w:rPr>
        <w:t> </w:t>
      </w:r>
      <w:r>
        <w:rPr>
          <w:w w:val="105"/>
          <w:sz w:val="20"/>
        </w:rPr>
        <w:t>antiquities”</w:t>
      </w:r>
      <w:r>
        <w:rPr>
          <w:spacing w:val="-10"/>
          <w:w w:val="105"/>
          <w:sz w:val="20"/>
        </w:rPr>
        <w:t> </w:t>
      </w:r>
      <w:r>
        <w:rPr>
          <w:w w:val="105"/>
          <w:sz w:val="20"/>
        </w:rPr>
        <w:t>(Mumtaz</w:t>
      </w:r>
      <w:r>
        <w:rPr>
          <w:spacing w:val="-10"/>
          <w:w w:val="105"/>
          <w:sz w:val="20"/>
        </w:rPr>
        <w:t> </w:t>
      </w:r>
      <w:r>
        <w:rPr>
          <w:w w:val="105"/>
          <w:sz w:val="20"/>
        </w:rPr>
        <w:t>v.</w:t>
      </w:r>
      <w:r>
        <w:rPr>
          <w:spacing w:val="-9"/>
          <w:w w:val="105"/>
          <w:sz w:val="20"/>
        </w:rPr>
        <w:t> </w:t>
      </w:r>
      <w:r>
        <w:rPr>
          <w:w w:val="105"/>
          <w:sz w:val="20"/>
        </w:rPr>
        <w:t>Punjab</w:t>
      </w:r>
      <w:r>
        <w:rPr>
          <w:spacing w:val="-10"/>
          <w:w w:val="105"/>
          <w:sz w:val="20"/>
        </w:rPr>
        <w:t> </w:t>
      </w:r>
      <w:r>
        <w:rPr>
          <w:w w:val="105"/>
          <w:sz w:val="20"/>
        </w:rPr>
        <w:t>2016).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spacing w:line="333" w:lineRule="auto" w:before="0"/>
        <w:ind w:left="560" w:right="549" w:firstLine="0"/>
        <w:jc w:val="both"/>
        <w:rPr>
          <w:i/>
          <w:sz w:val="18"/>
        </w:rPr>
      </w:pPr>
      <w:r>
        <w:rPr>
          <w:i/>
          <w:sz w:val="18"/>
        </w:rPr>
        <w:t>Lahore’s iconic 17th-century monument, Chauburji, was built by Mughal Emperor Shahjehan for his beloved</w:t>
      </w:r>
      <w:r>
        <w:rPr>
          <w:i/>
          <w:sz w:val="18"/>
        </w:rPr>
        <w:t> daughter</w:t>
      </w:r>
      <w:r>
        <w:rPr>
          <w:i/>
          <w:spacing w:val="-3"/>
          <w:sz w:val="18"/>
        </w:rPr>
        <w:t> </w:t>
      </w:r>
      <w:r>
        <w:rPr>
          <w:i/>
          <w:sz w:val="18"/>
        </w:rPr>
        <w:t>Jahanara</w:t>
      </w:r>
      <w:r>
        <w:rPr>
          <w:i/>
          <w:spacing w:val="-3"/>
          <w:sz w:val="18"/>
        </w:rPr>
        <w:t> </w:t>
      </w:r>
      <w:r>
        <w:rPr>
          <w:i/>
          <w:sz w:val="18"/>
        </w:rPr>
        <w:t>Begum</w:t>
      </w:r>
      <w:r>
        <w:rPr>
          <w:i/>
          <w:spacing w:val="-3"/>
          <w:sz w:val="18"/>
        </w:rPr>
        <w:t> </w:t>
      </w:r>
      <w:r>
        <w:rPr>
          <w:i/>
          <w:sz w:val="18"/>
        </w:rPr>
        <w:t>and</w:t>
      </w:r>
      <w:r>
        <w:rPr>
          <w:i/>
          <w:spacing w:val="-3"/>
          <w:sz w:val="18"/>
        </w:rPr>
        <w:t> </w:t>
      </w:r>
      <w:r>
        <w:rPr>
          <w:i/>
          <w:sz w:val="18"/>
        </w:rPr>
        <w:t>served</w:t>
      </w:r>
      <w:r>
        <w:rPr>
          <w:i/>
          <w:spacing w:val="-3"/>
          <w:sz w:val="18"/>
        </w:rPr>
        <w:t> </w:t>
      </w:r>
      <w:r>
        <w:rPr>
          <w:i/>
          <w:sz w:val="18"/>
        </w:rPr>
        <w:t>as</w:t>
      </w:r>
      <w:r>
        <w:rPr>
          <w:i/>
          <w:spacing w:val="-3"/>
          <w:sz w:val="18"/>
        </w:rPr>
        <w:t> </w:t>
      </w:r>
      <w:r>
        <w:rPr>
          <w:i/>
          <w:sz w:val="18"/>
        </w:rPr>
        <w:t>an</w:t>
      </w:r>
      <w:r>
        <w:rPr>
          <w:i/>
          <w:spacing w:val="-3"/>
          <w:sz w:val="18"/>
        </w:rPr>
        <w:t> </w:t>
      </w:r>
      <w:r>
        <w:rPr>
          <w:i/>
          <w:sz w:val="18"/>
        </w:rPr>
        <w:t>entrance</w:t>
      </w:r>
      <w:r>
        <w:rPr>
          <w:i/>
          <w:spacing w:val="-3"/>
          <w:sz w:val="18"/>
        </w:rPr>
        <w:t> </w:t>
      </w:r>
      <w:r>
        <w:rPr>
          <w:i/>
          <w:sz w:val="18"/>
        </w:rPr>
        <w:t>to</w:t>
      </w:r>
      <w:r>
        <w:rPr>
          <w:i/>
          <w:spacing w:val="-3"/>
          <w:sz w:val="18"/>
        </w:rPr>
        <w:t> </w:t>
      </w:r>
      <w:r>
        <w:rPr>
          <w:i/>
          <w:sz w:val="18"/>
        </w:rPr>
        <w:t>a</w:t>
      </w:r>
      <w:r>
        <w:rPr>
          <w:i/>
          <w:spacing w:val="-3"/>
          <w:sz w:val="18"/>
        </w:rPr>
        <w:t> </w:t>
      </w:r>
      <w:r>
        <w:rPr>
          <w:i/>
          <w:sz w:val="18"/>
        </w:rPr>
        <w:t>royal</w:t>
      </w:r>
      <w:r>
        <w:rPr>
          <w:i/>
          <w:spacing w:val="-3"/>
          <w:sz w:val="18"/>
        </w:rPr>
        <w:t> </w:t>
      </w:r>
      <w:r>
        <w:rPr>
          <w:i/>
          <w:sz w:val="18"/>
        </w:rPr>
        <w:t>garden,</w:t>
      </w:r>
      <w:r>
        <w:rPr>
          <w:i/>
          <w:spacing w:val="-3"/>
          <w:sz w:val="18"/>
        </w:rPr>
        <w:t> </w:t>
      </w:r>
      <w:r>
        <w:rPr>
          <w:i/>
          <w:sz w:val="18"/>
        </w:rPr>
        <w:t>is</w:t>
      </w:r>
      <w:r>
        <w:rPr>
          <w:i/>
          <w:spacing w:val="-3"/>
          <w:sz w:val="18"/>
        </w:rPr>
        <w:t> </w:t>
      </w:r>
      <w:r>
        <w:rPr>
          <w:i/>
          <w:sz w:val="18"/>
        </w:rPr>
        <w:t>shown</w:t>
      </w:r>
      <w:r>
        <w:rPr>
          <w:i/>
          <w:spacing w:val="-3"/>
          <w:sz w:val="18"/>
        </w:rPr>
        <w:t> </w:t>
      </w:r>
      <w:r>
        <w:rPr>
          <w:i/>
          <w:sz w:val="18"/>
        </w:rPr>
        <w:t>here</w:t>
      </w:r>
      <w:r>
        <w:rPr>
          <w:i/>
          <w:spacing w:val="-3"/>
          <w:sz w:val="18"/>
        </w:rPr>
        <w:t> </w:t>
      </w:r>
      <w:r>
        <w:rPr>
          <w:i/>
          <w:sz w:val="18"/>
        </w:rPr>
        <w:t>with</w:t>
      </w:r>
      <w:r>
        <w:rPr>
          <w:i/>
          <w:spacing w:val="-3"/>
          <w:sz w:val="18"/>
        </w:rPr>
        <w:t> </w:t>
      </w:r>
      <w:r>
        <w:rPr>
          <w:i/>
          <w:sz w:val="18"/>
        </w:rPr>
        <w:t>the</w:t>
      </w:r>
      <w:r>
        <w:rPr>
          <w:i/>
          <w:spacing w:val="-3"/>
          <w:sz w:val="18"/>
        </w:rPr>
        <w:t> </w:t>
      </w:r>
      <w:r>
        <w:rPr>
          <w:i/>
          <w:sz w:val="18"/>
        </w:rPr>
        <w:t>Orange</w:t>
      </w:r>
      <w:r>
        <w:rPr>
          <w:i/>
          <w:spacing w:val="-3"/>
          <w:sz w:val="18"/>
        </w:rPr>
        <w:t> </w:t>
      </w:r>
      <w:r>
        <w:rPr>
          <w:i/>
          <w:sz w:val="18"/>
        </w:rPr>
        <w:t>Line in the background. It is one of 11 heritage sites affected by the project’s construction activities.</w:t>
      </w:r>
    </w:p>
    <w:p>
      <w:pPr>
        <w:spacing w:line="206" w:lineRule="exact" w:before="0"/>
        <w:ind w:left="560" w:right="0" w:firstLine="0"/>
        <w:jc w:val="both"/>
        <w:rPr>
          <w:i/>
          <w:sz w:val="18"/>
        </w:rPr>
      </w:pPr>
      <w:r>
        <w:rPr>
          <w:b/>
          <w:i/>
          <w:spacing w:val="-2"/>
          <w:sz w:val="18"/>
        </w:rPr>
        <w:t>Photo</w:t>
      </w:r>
      <w:r>
        <w:rPr>
          <w:b/>
          <w:i/>
          <w:spacing w:val="-10"/>
          <w:sz w:val="18"/>
        </w:rPr>
        <w:t> </w:t>
      </w:r>
      <w:r>
        <w:rPr>
          <w:b/>
          <w:i/>
          <w:spacing w:val="-2"/>
          <w:sz w:val="18"/>
        </w:rPr>
        <w:t>Credit:</w:t>
      </w:r>
      <w:r>
        <w:rPr>
          <w:b/>
          <w:i/>
          <w:spacing w:val="-10"/>
          <w:sz w:val="18"/>
        </w:rPr>
        <w:t> </w:t>
      </w:r>
      <w:r>
        <w:rPr>
          <w:i/>
          <w:spacing w:val="-2"/>
          <w:sz w:val="18"/>
        </w:rPr>
        <w:t>Anam</w:t>
      </w:r>
      <w:r>
        <w:rPr>
          <w:i/>
          <w:spacing w:val="-9"/>
          <w:sz w:val="18"/>
        </w:rPr>
        <w:t> </w:t>
      </w:r>
      <w:r>
        <w:rPr>
          <w:i/>
          <w:spacing w:val="-2"/>
          <w:sz w:val="18"/>
        </w:rPr>
        <w:t>Hussain/AlJazeera</w:t>
      </w:r>
    </w:p>
    <w:p>
      <w:pPr>
        <w:pStyle w:val="BodyText"/>
        <w:spacing w:before="3"/>
        <w:rPr>
          <w:i/>
        </w:rPr>
      </w:pPr>
    </w:p>
    <w:p>
      <w:pPr>
        <w:spacing w:line="300" w:lineRule="auto" w:before="1"/>
        <w:ind w:left="560" w:right="561" w:firstLine="0"/>
        <w:jc w:val="left"/>
        <w:rPr>
          <w:sz w:val="20"/>
        </w:rPr>
      </w:pPr>
      <w:r>
        <w:rPr>
          <w:sz w:val="20"/>
        </w:rPr>
        <w:t>At the time, all environmental and social requirements under local laws appeared to have been </w:t>
      </w:r>
      <w:r>
        <w:rPr>
          <w:w w:val="105"/>
          <w:sz w:val="20"/>
        </w:rPr>
        <w:t>met,</w:t>
      </w:r>
      <w:r>
        <w:rPr>
          <w:spacing w:val="-15"/>
          <w:w w:val="105"/>
          <w:sz w:val="20"/>
        </w:rPr>
        <w:t> </w:t>
      </w:r>
      <w:r>
        <w:rPr>
          <w:w w:val="105"/>
          <w:sz w:val="20"/>
        </w:rPr>
        <w:t>giving</w:t>
      </w:r>
      <w:r>
        <w:rPr>
          <w:spacing w:val="-15"/>
          <w:w w:val="105"/>
          <w:sz w:val="20"/>
        </w:rPr>
        <w:t> </w:t>
      </w:r>
      <w:r>
        <w:rPr>
          <w:w w:val="105"/>
          <w:sz w:val="20"/>
        </w:rPr>
        <w:t>CR-NORINCO</w:t>
      </w:r>
      <w:r>
        <w:rPr>
          <w:spacing w:val="-14"/>
          <w:w w:val="105"/>
          <w:sz w:val="20"/>
        </w:rPr>
        <w:t> </w:t>
      </w:r>
      <w:r>
        <w:rPr>
          <w:w w:val="105"/>
          <w:sz w:val="20"/>
        </w:rPr>
        <w:t>and</w:t>
      </w:r>
      <w:r>
        <w:rPr>
          <w:spacing w:val="-15"/>
          <w:w w:val="105"/>
          <w:sz w:val="20"/>
        </w:rPr>
        <w:t> </w:t>
      </w:r>
      <w:r>
        <w:rPr>
          <w:w w:val="105"/>
          <w:sz w:val="20"/>
        </w:rPr>
        <w:t>its</w:t>
      </w:r>
      <w:r>
        <w:rPr>
          <w:spacing w:val="-14"/>
          <w:w w:val="105"/>
          <w:sz w:val="20"/>
        </w:rPr>
        <w:t> </w:t>
      </w:r>
      <w:r>
        <w:rPr>
          <w:w w:val="105"/>
          <w:sz w:val="20"/>
        </w:rPr>
        <w:t>local</w:t>
      </w:r>
      <w:r>
        <w:rPr>
          <w:spacing w:val="-15"/>
          <w:w w:val="105"/>
          <w:sz w:val="20"/>
        </w:rPr>
        <w:t> </w:t>
      </w:r>
      <w:r>
        <w:rPr>
          <w:w w:val="105"/>
          <w:sz w:val="20"/>
        </w:rPr>
        <w:t>subcontractors</w:t>
      </w:r>
      <w:r>
        <w:rPr>
          <w:spacing w:val="-15"/>
          <w:w w:val="105"/>
          <w:sz w:val="20"/>
        </w:rPr>
        <w:t> </w:t>
      </w:r>
      <w:r>
        <w:rPr>
          <w:w w:val="105"/>
          <w:sz w:val="20"/>
        </w:rPr>
        <w:t>the</w:t>
      </w:r>
      <w:r>
        <w:rPr>
          <w:spacing w:val="-14"/>
          <w:w w:val="105"/>
          <w:sz w:val="20"/>
        </w:rPr>
        <w:t> </w:t>
      </w:r>
      <w:r>
        <w:rPr>
          <w:w w:val="105"/>
          <w:sz w:val="20"/>
        </w:rPr>
        <w:t>go-ahead</w:t>
      </w:r>
      <w:r>
        <w:rPr>
          <w:spacing w:val="-15"/>
          <w:w w:val="105"/>
          <w:sz w:val="20"/>
        </w:rPr>
        <w:t> </w:t>
      </w:r>
      <w:r>
        <w:rPr>
          <w:w w:val="105"/>
          <w:sz w:val="20"/>
        </w:rPr>
        <w:t>to</w:t>
      </w:r>
      <w:r>
        <w:rPr>
          <w:spacing w:val="-14"/>
          <w:w w:val="105"/>
          <w:sz w:val="20"/>
        </w:rPr>
        <w:t> </w:t>
      </w:r>
      <w:r>
        <w:rPr>
          <w:w w:val="105"/>
          <w:sz w:val="20"/>
        </w:rPr>
        <w:t>proceed</w:t>
      </w:r>
      <w:r>
        <w:rPr>
          <w:spacing w:val="-15"/>
          <w:w w:val="105"/>
          <w:sz w:val="20"/>
        </w:rPr>
        <w:t> </w:t>
      </w:r>
      <w:r>
        <w:rPr>
          <w:w w:val="105"/>
          <w:sz w:val="20"/>
        </w:rPr>
        <w:t>with </w:t>
      </w:r>
      <w:r>
        <w:rPr>
          <w:spacing w:val="-2"/>
          <w:w w:val="105"/>
          <w:sz w:val="20"/>
        </w:rPr>
        <w:t>implementation.</w:t>
      </w:r>
      <w:r>
        <w:rPr>
          <w:spacing w:val="-6"/>
          <w:w w:val="105"/>
          <w:sz w:val="20"/>
        </w:rPr>
        <w:t> </w:t>
      </w:r>
      <w:r>
        <w:rPr>
          <w:spacing w:val="-2"/>
          <w:w w:val="105"/>
          <w:sz w:val="20"/>
        </w:rPr>
        <w:t>However,</w:t>
      </w:r>
      <w:r>
        <w:rPr>
          <w:spacing w:val="-6"/>
          <w:w w:val="105"/>
          <w:sz w:val="20"/>
        </w:rPr>
        <w:t> </w:t>
      </w:r>
      <w:r>
        <w:rPr>
          <w:spacing w:val="-2"/>
          <w:w w:val="105"/>
          <w:sz w:val="20"/>
        </w:rPr>
        <w:t>when</w:t>
      </w:r>
      <w:r>
        <w:rPr>
          <w:spacing w:val="-6"/>
          <w:w w:val="105"/>
          <w:sz w:val="20"/>
        </w:rPr>
        <w:t> </w:t>
      </w:r>
      <w:r>
        <w:rPr>
          <w:spacing w:val="-2"/>
          <w:w w:val="105"/>
          <w:sz w:val="20"/>
        </w:rPr>
        <w:t>construction</w:t>
      </w:r>
      <w:r>
        <w:rPr>
          <w:spacing w:val="-6"/>
          <w:w w:val="105"/>
          <w:sz w:val="20"/>
        </w:rPr>
        <w:t> </w:t>
      </w:r>
      <w:r>
        <w:rPr>
          <w:spacing w:val="-2"/>
          <w:w w:val="105"/>
          <w:sz w:val="20"/>
        </w:rPr>
        <w:t>crews</w:t>
      </w:r>
      <w:r>
        <w:rPr>
          <w:spacing w:val="-6"/>
          <w:w w:val="105"/>
          <w:sz w:val="20"/>
        </w:rPr>
        <w:t> </w:t>
      </w:r>
      <w:r>
        <w:rPr>
          <w:spacing w:val="-2"/>
          <w:w w:val="105"/>
          <w:sz w:val="20"/>
        </w:rPr>
        <w:t>began</w:t>
      </w:r>
      <w:r>
        <w:rPr>
          <w:spacing w:val="-6"/>
          <w:w w:val="105"/>
          <w:sz w:val="20"/>
        </w:rPr>
        <w:t> </w:t>
      </w:r>
      <w:r>
        <w:rPr>
          <w:spacing w:val="-2"/>
          <w:w w:val="105"/>
          <w:sz w:val="20"/>
        </w:rPr>
        <w:t>marking</w:t>
      </w:r>
      <w:r>
        <w:rPr>
          <w:spacing w:val="-6"/>
          <w:w w:val="105"/>
          <w:sz w:val="20"/>
        </w:rPr>
        <w:t> </w:t>
      </w:r>
      <w:r>
        <w:rPr>
          <w:spacing w:val="-2"/>
          <w:w w:val="105"/>
          <w:sz w:val="20"/>
        </w:rPr>
        <w:t>sites</w:t>
      </w:r>
      <w:r>
        <w:rPr>
          <w:spacing w:val="-6"/>
          <w:w w:val="105"/>
          <w:sz w:val="20"/>
        </w:rPr>
        <w:t> </w:t>
      </w:r>
      <w:r>
        <w:rPr>
          <w:spacing w:val="-2"/>
          <w:w w:val="105"/>
          <w:sz w:val="20"/>
        </w:rPr>
        <w:t>for</w:t>
      </w:r>
      <w:r>
        <w:rPr>
          <w:spacing w:val="-6"/>
          <w:w w:val="105"/>
          <w:sz w:val="20"/>
        </w:rPr>
        <w:t> </w:t>
      </w:r>
      <w:r>
        <w:rPr>
          <w:spacing w:val="-2"/>
          <w:w w:val="105"/>
          <w:sz w:val="20"/>
        </w:rPr>
        <w:t>demolition</w:t>
      </w:r>
      <w:r>
        <w:rPr>
          <w:spacing w:val="-6"/>
          <w:w w:val="105"/>
          <w:sz w:val="20"/>
        </w:rPr>
        <w:t> </w:t>
      </w:r>
      <w:r>
        <w:rPr>
          <w:spacing w:val="-2"/>
          <w:w w:val="105"/>
          <w:sz w:val="20"/>
        </w:rPr>
        <w:t>and</w:t>
      </w:r>
    </w:p>
    <w:p>
      <w:pPr>
        <w:spacing w:after="0" w:line="300" w:lineRule="auto"/>
        <w:jc w:val="left"/>
        <w:rPr>
          <w:sz w:val="20"/>
        </w:rPr>
        <w:sectPr>
          <w:pgSz w:w="12240" w:h="15840"/>
          <w:pgMar w:header="0" w:footer="720" w:top="1380" w:bottom="920" w:left="1240" w:right="1260"/>
        </w:sectPr>
      </w:pPr>
    </w:p>
    <w:p>
      <w:pPr>
        <w:spacing w:line="300" w:lineRule="auto" w:before="46"/>
        <w:ind w:left="560" w:right="628" w:firstLine="0"/>
        <w:jc w:val="left"/>
        <w:rPr>
          <w:sz w:val="20"/>
        </w:rPr>
      </w:pPr>
      <w:r>
        <w:rPr/>
        <w:pict>
          <v:shape style="position:absolute;margin-left:84.000008pt;margin-top:1.968601pt;width:444pt;height:532pt;mso-position-horizontal-relative:page;mso-position-vertical-relative:paragraph;z-index:-16586752" id="docshape49" coordorigin="1680,39" coordsize="8880,10640" path="m10560,39l1680,39,1680,339,1680,359,1680,10679,10560,10679,10560,339,10560,39xe" filled="true" fillcolor="#f0f2f4" stroked="false">
            <v:path arrowok="t"/>
            <v:fill type="solid"/>
            <w10:wrap type="none"/>
          </v:shape>
        </w:pict>
      </w:r>
      <w:r>
        <w:rPr>
          <w:w w:val="105"/>
          <w:sz w:val="20"/>
        </w:rPr>
        <w:t>earthworks</w:t>
      </w:r>
      <w:r>
        <w:rPr>
          <w:spacing w:val="-15"/>
          <w:w w:val="105"/>
          <w:sz w:val="20"/>
        </w:rPr>
        <w:t> </w:t>
      </w:r>
      <w:r>
        <w:rPr>
          <w:w w:val="105"/>
          <w:sz w:val="20"/>
        </w:rPr>
        <w:t>in</w:t>
      </w:r>
      <w:r>
        <w:rPr>
          <w:spacing w:val="-15"/>
          <w:w w:val="105"/>
          <w:sz w:val="20"/>
        </w:rPr>
        <w:t> </w:t>
      </w:r>
      <w:r>
        <w:rPr>
          <w:w w:val="105"/>
          <w:sz w:val="20"/>
        </w:rPr>
        <w:t>October</w:t>
      </w:r>
      <w:r>
        <w:rPr>
          <w:spacing w:val="-14"/>
          <w:w w:val="105"/>
          <w:sz w:val="20"/>
        </w:rPr>
        <w:t> </w:t>
      </w:r>
      <w:r>
        <w:rPr>
          <w:w w:val="105"/>
          <w:sz w:val="20"/>
        </w:rPr>
        <w:t>2015,</w:t>
      </w:r>
      <w:r>
        <w:rPr>
          <w:spacing w:val="-15"/>
          <w:w w:val="105"/>
          <w:sz w:val="20"/>
        </w:rPr>
        <w:t> </w:t>
      </w:r>
      <w:r>
        <w:rPr>
          <w:w w:val="105"/>
          <w:sz w:val="20"/>
        </w:rPr>
        <w:t>it</w:t>
      </w:r>
      <w:r>
        <w:rPr>
          <w:spacing w:val="-14"/>
          <w:w w:val="105"/>
          <w:sz w:val="20"/>
        </w:rPr>
        <w:t> </w:t>
      </w:r>
      <w:r>
        <w:rPr>
          <w:w w:val="105"/>
          <w:sz w:val="20"/>
        </w:rPr>
        <w:t>became</w:t>
      </w:r>
      <w:r>
        <w:rPr>
          <w:spacing w:val="-15"/>
          <w:w w:val="105"/>
          <w:sz w:val="20"/>
        </w:rPr>
        <w:t> </w:t>
      </w:r>
      <w:r>
        <w:rPr>
          <w:w w:val="105"/>
          <w:sz w:val="20"/>
        </w:rPr>
        <w:t>apparent</w:t>
      </w:r>
      <w:r>
        <w:rPr>
          <w:spacing w:val="-15"/>
          <w:w w:val="105"/>
          <w:sz w:val="20"/>
        </w:rPr>
        <w:t> </w:t>
      </w:r>
      <w:r>
        <w:rPr>
          <w:w w:val="105"/>
          <w:sz w:val="20"/>
        </w:rPr>
        <w:t>to</w:t>
      </w:r>
      <w:r>
        <w:rPr>
          <w:spacing w:val="-14"/>
          <w:w w:val="105"/>
          <w:sz w:val="20"/>
        </w:rPr>
        <w:t> </w:t>
      </w:r>
      <w:r>
        <w:rPr>
          <w:w w:val="105"/>
          <w:sz w:val="20"/>
        </w:rPr>
        <w:t>local</w:t>
      </w:r>
      <w:r>
        <w:rPr>
          <w:spacing w:val="-15"/>
          <w:w w:val="105"/>
          <w:sz w:val="20"/>
        </w:rPr>
        <w:t> </w:t>
      </w:r>
      <w:r>
        <w:rPr>
          <w:w w:val="105"/>
          <w:sz w:val="20"/>
        </w:rPr>
        <w:t>communities</w:t>
      </w:r>
      <w:r>
        <w:rPr>
          <w:spacing w:val="-14"/>
          <w:w w:val="105"/>
          <w:sz w:val="20"/>
        </w:rPr>
        <w:t> </w:t>
      </w:r>
      <w:r>
        <w:rPr>
          <w:w w:val="105"/>
          <w:sz w:val="20"/>
        </w:rPr>
        <w:t>and</w:t>
      </w:r>
      <w:r>
        <w:rPr>
          <w:spacing w:val="-15"/>
          <w:w w:val="105"/>
          <w:sz w:val="20"/>
        </w:rPr>
        <w:t> </w:t>
      </w:r>
      <w:r>
        <w:rPr>
          <w:w w:val="105"/>
          <w:sz w:val="20"/>
        </w:rPr>
        <w:t>civil</w:t>
      </w:r>
      <w:r>
        <w:rPr>
          <w:spacing w:val="-15"/>
          <w:w w:val="105"/>
          <w:sz w:val="20"/>
        </w:rPr>
        <w:t> </w:t>
      </w:r>
      <w:r>
        <w:rPr>
          <w:w w:val="105"/>
          <w:sz w:val="20"/>
        </w:rPr>
        <w:t>society</w:t>
      </w:r>
      <w:r>
        <w:rPr>
          <w:spacing w:val="-14"/>
          <w:w w:val="105"/>
          <w:sz w:val="20"/>
        </w:rPr>
        <w:t> </w:t>
      </w:r>
      <w:r>
        <w:rPr>
          <w:w w:val="105"/>
          <w:sz w:val="20"/>
        </w:rPr>
        <w:t>groups that</w:t>
      </w:r>
      <w:r>
        <w:rPr>
          <w:spacing w:val="-14"/>
          <w:w w:val="105"/>
          <w:sz w:val="20"/>
        </w:rPr>
        <w:t> </w:t>
      </w:r>
      <w:r>
        <w:rPr>
          <w:w w:val="105"/>
          <w:sz w:val="20"/>
        </w:rPr>
        <w:t>“construction</w:t>
      </w:r>
      <w:r>
        <w:rPr>
          <w:spacing w:val="-14"/>
          <w:w w:val="105"/>
          <w:sz w:val="20"/>
        </w:rPr>
        <w:t> </w:t>
      </w:r>
      <w:r>
        <w:rPr>
          <w:w w:val="105"/>
          <w:sz w:val="20"/>
        </w:rPr>
        <w:t>work</w:t>
      </w:r>
      <w:r>
        <w:rPr>
          <w:spacing w:val="-14"/>
          <w:w w:val="105"/>
          <w:sz w:val="20"/>
        </w:rPr>
        <w:t> </w:t>
      </w:r>
      <w:r>
        <w:rPr>
          <w:w w:val="105"/>
          <w:sz w:val="20"/>
        </w:rPr>
        <w:t>[would]</w:t>
      </w:r>
      <w:r>
        <w:rPr>
          <w:spacing w:val="-13"/>
          <w:w w:val="105"/>
          <w:sz w:val="20"/>
        </w:rPr>
        <w:t> </w:t>
      </w:r>
      <w:r>
        <w:rPr>
          <w:w w:val="105"/>
          <w:sz w:val="20"/>
        </w:rPr>
        <w:t>be</w:t>
      </w:r>
      <w:r>
        <w:rPr>
          <w:spacing w:val="-14"/>
          <w:w w:val="105"/>
          <w:sz w:val="20"/>
        </w:rPr>
        <w:t> </w:t>
      </w:r>
      <w:r>
        <w:rPr>
          <w:w w:val="105"/>
          <w:sz w:val="20"/>
        </w:rPr>
        <w:t>carried</w:t>
      </w:r>
      <w:r>
        <w:rPr>
          <w:spacing w:val="-14"/>
          <w:w w:val="105"/>
          <w:sz w:val="20"/>
        </w:rPr>
        <w:t> </w:t>
      </w:r>
      <w:r>
        <w:rPr>
          <w:w w:val="105"/>
          <w:sz w:val="20"/>
        </w:rPr>
        <w:t>out</w:t>
      </w:r>
      <w:r>
        <w:rPr>
          <w:spacing w:val="-14"/>
          <w:w w:val="105"/>
          <w:sz w:val="20"/>
        </w:rPr>
        <w:t> </w:t>
      </w:r>
      <w:r>
        <w:rPr>
          <w:w w:val="105"/>
          <w:sz w:val="20"/>
        </w:rPr>
        <w:t>within</w:t>
      </w:r>
      <w:r>
        <w:rPr>
          <w:spacing w:val="-14"/>
          <w:w w:val="105"/>
          <w:sz w:val="20"/>
        </w:rPr>
        <w:t> </w:t>
      </w:r>
      <w:r>
        <w:rPr>
          <w:w w:val="105"/>
          <w:sz w:val="20"/>
        </w:rPr>
        <w:t>95</w:t>
      </w:r>
      <w:r>
        <w:rPr>
          <w:spacing w:val="-14"/>
          <w:w w:val="105"/>
          <w:sz w:val="20"/>
        </w:rPr>
        <w:t> </w:t>
      </w:r>
      <w:r>
        <w:rPr>
          <w:w w:val="105"/>
          <w:sz w:val="20"/>
        </w:rPr>
        <w:t>feet</w:t>
      </w:r>
      <w:r>
        <w:rPr>
          <w:spacing w:val="-14"/>
          <w:w w:val="105"/>
          <w:sz w:val="20"/>
        </w:rPr>
        <w:t> </w:t>
      </w:r>
      <w:r>
        <w:rPr>
          <w:w w:val="105"/>
          <w:sz w:val="20"/>
        </w:rPr>
        <w:t>of</w:t>
      </w:r>
      <w:r>
        <w:rPr>
          <w:spacing w:val="-14"/>
          <w:w w:val="105"/>
          <w:sz w:val="20"/>
        </w:rPr>
        <w:t> </w:t>
      </w:r>
      <w:r>
        <w:rPr>
          <w:w w:val="105"/>
          <w:sz w:val="20"/>
        </w:rPr>
        <w:t>Shalimar</w:t>
      </w:r>
      <w:r>
        <w:rPr>
          <w:spacing w:val="-14"/>
          <w:w w:val="105"/>
          <w:sz w:val="20"/>
        </w:rPr>
        <w:t> </w:t>
      </w:r>
      <w:r>
        <w:rPr>
          <w:w w:val="105"/>
          <w:sz w:val="20"/>
        </w:rPr>
        <w:t>Gardens”</w:t>
      </w:r>
      <w:r>
        <w:rPr>
          <w:spacing w:val="-14"/>
          <w:w w:val="105"/>
          <w:sz w:val="20"/>
        </w:rPr>
        <w:t> </w:t>
      </w:r>
      <w:r>
        <w:rPr>
          <w:w w:val="105"/>
          <w:sz w:val="20"/>
        </w:rPr>
        <w:t>and</w:t>
      </w:r>
      <w:r>
        <w:rPr>
          <w:spacing w:val="-14"/>
          <w:w w:val="105"/>
          <w:sz w:val="20"/>
        </w:rPr>
        <w:t> </w:t>
      </w:r>
      <w:r>
        <w:rPr>
          <w:w w:val="105"/>
          <w:sz w:val="20"/>
        </w:rPr>
        <w:t>several </w:t>
      </w:r>
      <w:r>
        <w:rPr>
          <w:spacing w:val="-2"/>
          <w:w w:val="105"/>
          <w:sz w:val="20"/>
        </w:rPr>
        <w:t>other</w:t>
      </w:r>
      <w:r>
        <w:rPr>
          <w:spacing w:val="-5"/>
          <w:w w:val="105"/>
          <w:sz w:val="20"/>
        </w:rPr>
        <w:t> </w:t>
      </w:r>
      <w:r>
        <w:rPr>
          <w:spacing w:val="-2"/>
          <w:w w:val="105"/>
          <w:sz w:val="20"/>
        </w:rPr>
        <w:t>heritage</w:t>
      </w:r>
      <w:r>
        <w:rPr>
          <w:spacing w:val="-5"/>
          <w:w w:val="105"/>
          <w:sz w:val="20"/>
        </w:rPr>
        <w:t> </w:t>
      </w:r>
      <w:r>
        <w:rPr>
          <w:spacing w:val="-2"/>
          <w:w w:val="105"/>
          <w:sz w:val="20"/>
        </w:rPr>
        <w:t>sites</w:t>
      </w:r>
      <w:r>
        <w:rPr>
          <w:spacing w:val="-5"/>
          <w:w w:val="105"/>
          <w:sz w:val="20"/>
        </w:rPr>
        <w:t> </w:t>
      </w:r>
      <w:r>
        <w:rPr>
          <w:spacing w:val="-2"/>
          <w:w w:val="105"/>
          <w:sz w:val="20"/>
        </w:rPr>
        <w:t>(Ghani</w:t>
      </w:r>
      <w:r>
        <w:rPr>
          <w:spacing w:val="-4"/>
          <w:w w:val="105"/>
          <w:sz w:val="20"/>
        </w:rPr>
        <w:t> </w:t>
      </w:r>
      <w:r>
        <w:rPr>
          <w:spacing w:val="-2"/>
          <w:w w:val="105"/>
          <w:sz w:val="20"/>
        </w:rPr>
        <w:t>2015).</w:t>
      </w:r>
      <w:r>
        <w:rPr>
          <w:spacing w:val="-5"/>
          <w:w w:val="105"/>
          <w:sz w:val="20"/>
        </w:rPr>
        <w:t> </w:t>
      </w:r>
      <w:r>
        <w:rPr>
          <w:spacing w:val="-2"/>
          <w:w w:val="105"/>
          <w:sz w:val="20"/>
        </w:rPr>
        <w:t>Almost</w:t>
      </w:r>
      <w:r>
        <w:rPr>
          <w:spacing w:val="-5"/>
          <w:w w:val="105"/>
          <w:sz w:val="20"/>
        </w:rPr>
        <w:t> </w:t>
      </w:r>
      <w:r>
        <w:rPr>
          <w:spacing w:val="-2"/>
          <w:w w:val="105"/>
          <w:sz w:val="20"/>
        </w:rPr>
        <w:t>immediately,</w:t>
      </w:r>
      <w:r>
        <w:rPr>
          <w:spacing w:val="-5"/>
          <w:w w:val="105"/>
          <w:sz w:val="20"/>
        </w:rPr>
        <w:t> </w:t>
      </w:r>
      <w:r>
        <w:rPr>
          <w:spacing w:val="-2"/>
          <w:w w:val="105"/>
          <w:sz w:val="20"/>
        </w:rPr>
        <w:t>a</w:t>
      </w:r>
      <w:r>
        <w:rPr>
          <w:spacing w:val="-5"/>
          <w:w w:val="105"/>
          <w:sz w:val="20"/>
        </w:rPr>
        <w:t> </w:t>
      </w:r>
      <w:r>
        <w:rPr>
          <w:spacing w:val="-2"/>
          <w:w w:val="105"/>
          <w:sz w:val="20"/>
        </w:rPr>
        <w:t>group</w:t>
      </w:r>
      <w:r>
        <w:rPr>
          <w:spacing w:val="-5"/>
          <w:w w:val="105"/>
          <w:sz w:val="20"/>
        </w:rPr>
        <w:t> </w:t>
      </w:r>
      <w:r>
        <w:rPr>
          <w:spacing w:val="-2"/>
          <w:w w:val="105"/>
          <w:sz w:val="20"/>
        </w:rPr>
        <w:t>of</w:t>
      </w:r>
      <w:r>
        <w:rPr>
          <w:spacing w:val="-5"/>
          <w:w w:val="105"/>
          <w:sz w:val="20"/>
        </w:rPr>
        <w:t> </w:t>
      </w:r>
      <w:r>
        <w:rPr>
          <w:spacing w:val="-2"/>
          <w:w w:val="105"/>
          <w:sz w:val="20"/>
        </w:rPr>
        <w:t>prominent</w:t>
      </w:r>
      <w:r>
        <w:rPr>
          <w:spacing w:val="-5"/>
          <w:w w:val="105"/>
          <w:sz w:val="20"/>
        </w:rPr>
        <w:t> </w:t>
      </w:r>
      <w:r>
        <w:rPr>
          <w:spacing w:val="-2"/>
          <w:w w:val="105"/>
          <w:sz w:val="20"/>
        </w:rPr>
        <w:t>environmental </w:t>
      </w:r>
      <w:r>
        <w:rPr>
          <w:sz w:val="20"/>
        </w:rPr>
        <w:t>lawyers, urbanists, and rights advocates petitioned the Lahore High Court (LHC), arguing that</w:t>
      </w:r>
      <w:r>
        <w:rPr>
          <w:spacing w:val="80"/>
          <w:w w:val="105"/>
          <w:sz w:val="20"/>
        </w:rPr>
        <w:t> </w:t>
      </w:r>
      <w:r>
        <w:rPr>
          <w:w w:val="105"/>
          <w:sz w:val="20"/>
        </w:rPr>
        <w:t>the</w:t>
      </w:r>
      <w:r>
        <w:rPr>
          <w:spacing w:val="-12"/>
          <w:w w:val="105"/>
          <w:sz w:val="20"/>
        </w:rPr>
        <w:t> </w:t>
      </w:r>
      <w:r>
        <w:rPr>
          <w:w w:val="105"/>
          <w:sz w:val="20"/>
        </w:rPr>
        <w:t>issuance</w:t>
      </w:r>
      <w:r>
        <w:rPr>
          <w:spacing w:val="-12"/>
          <w:w w:val="105"/>
          <w:sz w:val="20"/>
        </w:rPr>
        <w:t> </w:t>
      </w:r>
      <w:r>
        <w:rPr>
          <w:w w:val="105"/>
          <w:sz w:val="20"/>
        </w:rPr>
        <w:t>of</w:t>
      </w:r>
      <w:r>
        <w:rPr>
          <w:spacing w:val="-12"/>
          <w:w w:val="105"/>
          <w:sz w:val="20"/>
        </w:rPr>
        <w:t> </w:t>
      </w:r>
      <w:r>
        <w:rPr>
          <w:w w:val="105"/>
          <w:sz w:val="20"/>
        </w:rPr>
        <w:t>the</w:t>
      </w:r>
      <w:r>
        <w:rPr>
          <w:spacing w:val="-12"/>
          <w:w w:val="105"/>
          <w:sz w:val="20"/>
        </w:rPr>
        <w:t> </w:t>
      </w:r>
      <w:r>
        <w:rPr>
          <w:w w:val="105"/>
          <w:sz w:val="20"/>
        </w:rPr>
        <w:t>NOC</w:t>
      </w:r>
      <w:r>
        <w:rPr>
          <w:spacing w:val="-12"/>
          <w:w w:val="105"/>
          <w:sz w:val="20"/>
        </w:rPr>
        <w:t> </w:t>
      </w:r>
      <w:r>
        <w:rPr>
          <w:w w:val="105"/>
          <w:sz w:val="20"/>
        </w:rPr>
        <w:t>was</w:t>
      </w:r>
      <w:r>
        <w:rPr>
          <w:spacing w:val="-12"/>
          <w:w w:val="105"/>
          <w:sz w:val="20"/>
        </w:rPr>
        <w:t> </w:t>
      </w:r>
      <w:r>
        <w:rPr>
          <w:w w:val="105"/>
          <w:sz w:val="20"/>
        </w:rPr>
        <w:t>“not</w:t>
      </w:r>
      <w:r>
        <w:rPr>
          <w:spacing w:val="-12"/>
          <w:w w:val="105"/>
          <w:sz w:val="20"/>
        </w:rPr>
        <w:t> </w:t>
      </w:r>
      <w:r>
        <w:rPr>
          <w:w w:val="105"/>
          <w:sz w:val="20"/>
        </w:rPr>
        <w:t>only</w:t>
      </w:r>
      <w:r>
        <w:rPr>
          <w:spacing w:val="-12"/>
          <w:w w:val="105"/>
          <w:sz w:val="20"/>
        </w:rPr>
        <w:t> </w:t>
      </w:r>
      <w:r>
        <w:rPr>
          <w:w w:val="105"/>
          <w:sz w:val="20"/>
        </w:rPr>
        <w:t>arbitrary,</w:t>
      </w:r>
      <w:r>
        <w:rPr>
          <w:spacing w:val="-12"/>
          <w:w w:val="105"/>
          <w:sz w:val="20"/>
        </w:rPr>
        <w:t> </w:t>
      </w:r>
      <w:r>
        <w:rPr>
          <w:w w:val="105"/>
          <w:sz w:val="20"/>
        </w:rPr>
        <w:t>malaﬁde,</w:t>
      </w:r>
      <w:r>
        <w:rPr>
          <w:spacing w:val="-12"/>
          <w:w w:val="105"/>
          <w:sz w:val="20"/>
        </w:rPr>
        <w:t> </w:t>
      </w:r>
      <w:r>
        <w:rPr>
          <w:w w:val="105"/>
          <w:sz w:val="20"/>
        </w:rPr>
        <w:t>patently</w:t>
      </w:r>
      <w:r>
        <w:rPr>
          <w:spacing w:val="-12"/>
          <w:w w:val="105"/>
          <w:sz w:val="20"/>
        </w:rPr>
        <w:t> </w:t>
      </w:r>
      <w:r>
        <w:rPr>
          <w:w w:val="105"/>
          <w:sz w:val="20"/>
        </w:rPr>
        <w:t>illegal,</w:t>
      </w:r>
      <w:r>
        <w:rPr>
          <w:spacing w:val="-12"/>
          <w:w w:val="105"/>
          <w:sz w:val="20"/>
        </w:rPr>
        <w:t> </w:t>
      </w:r>
      <w:r>
        <w:rPr>
          <w:w w:val="105"/>
          <w:sz w:val="20"/>
        </w:rPr>
        <w:t>without</w:t>
      </w:r>
      <w:r>
        <w:rPr>
          <w:spacing w:val="-12"/>
          <w:w w:val="105"/>
          <w:sz w:val="20"/>
        </w:rPr>
        <w:t> </w:t>
      </w:r>
      <w:r>
        <w:rPr>
          <w:w w:val="105"/>
          <w:sz w:val="20"/>
        </w:rPr>
        <w:t>lawful authority</w:t>
      </w:r>
      <w:r>
        <w:rPr>
          <w:spacing w:val="-14"/>
          <w:w w:val="105"/>
          <w:sz w:val="20"/>
        </w:rPr>
        <w:t> </w:t>
      </w:r>
      <w:r>
        <w:rPr>
          <w:w w:val="105"/>
          <w:sz w:val="20"/>
        </w:rPr>
        <w:t>but</w:t>
      </w:r>
      <w:r>
        <w:rPr>
          <w:spacing w:val="-14"/>
          <w:w w:val="105"/>
          <w:sz w:val="20"/>
        </w:rPr>
        <w:t> </w:t>
      </w:r>
      <w:r>
        <w:rPr>
          <w:w w:val="105"/>
          <w:sz w:val="20"/>
        </w:rPr>
        <w:t>also</w:t>
      </w:r>
      <w:r>
        <w:rPr>
          <w:spacing w:val="-14"/>
          <w:w w:val="105"/>
          <w:sz w:val="20"/>
        </w:rPr>
        <w:t> </w:t>
      </w:r>
      <w:r>
        <w:rPr>
          <w:w w:val="105"/>
          <w:sz w:val="20"/>
        </w:rPr>
        <w:t>without</w:t>
      </w:r>
      <w:r>
        <w:rPr>
          <w:spacing w:val="-14"/>
          <w:w w:val="105"/>
          <w:sz w:val="20"/>
        </w:rPr>
        <w:t> </w:t>
      </w:r>
      <w:r>
        <w:rPr>
          <w:w w:val="105"/>
          <w:sz w:val="20"/>
        </w:rPr>
        <w:t>application</w:t>
      </w:r>
      <w:r>
        <w:rPr>
          <w:spacing w:val="-14"/>
          <w:w w:val="105"/>
          <w:sz w:val="20"/>
        </w:rPr>
        <w:t> </w:t>
      </w:r>
      <w:r>
        <w:rPr>
          <w:w w:val="105"/>
          <w:sz w:val="20"/>
        </w:rPr>
        <w:t>of</w:t>
      </w:r>
      <w:r>
        <w:rPr>
          <w:spacing w:val="-14"/>
          <w:w w:val="105"/>
          <w:sz w:val="20"/>
        </w:rPr>
        <w:t> </w:t>
      </w:r>
      <w:r>
        <w:rPr>
          <w:w w:val="105"/>
          <w:sz w:val="20"/>
        </w:rPr>
        <w:t>independent</w:t>
      </w:r>
      <w:r>
        <w:rPr>
          <w:spacing w:val="-14"/>
          <w:w w:val="105"/>
          <w:sz w:val="20"/>
        </w:rPr>
        <w:t> </w:t>
      </w:r>
      <w:r>
        <w:rPr>
          <w:w w:val="105"/>
          <w:sz w:val="20"/>
        </w:rPr>
        <w:t>mind”</w:t>
      </w:r>
      <w:r>
        <w:rPr>
          <w:spacing w:val="-14"/>
          <w:w w:val="105"/>
          <w:sz w:val="20"/>
        </w:rPr>
        <w:t> </w:t>
      </w:r>
      <w:r>
        <w:rPr>
          <w:w w:val="105"/>
          <w:sz w:val="20"/>
        </w:rPr>
        <w:t>(Mumtaz</w:t>
      </w:r>
      <w:r>
        <w:rPr>
          <w:spacing w:val="-14"/>
          <w:w w:val="105"/>
          <w:sz w:val="20"/>
        </w:rPr>
        <w:t> </w:t>
      </w:r>
      <w:r>
        <w:rPr>
          <w:w w:val="105"/>
          <w:sz w:val="20"/>
        </w:rPr>
        <w:t>v.</w:t>
      </w:r>
      <w:r>
        <w:rPr>
          <w:spacing w:val="-14"/>
          <w:w w:val="105"/>
          <w:sz w:val="20"/>
        </w:rPr>
        <w:t> </w:t>
      </w:r>
      <w:r>
        <w:rPr>
          <w:w w:val="105"/>
          <w:sz w:val="20"/>
        </w:rPr>
        <w:t>Punjab</w:t>
      </w:r>
      <w:r>
        <w:rPr>
          <w:spacing w:val="-14"/>
          <w:w w:val="105"/>
          <w:sz w:val="20"/>
        </w:rPr>
        <w:t> </w:t>
      </w:r>
      <w:r>
        <w:rPr>
          <w:w w:val="105"/>
          <w:sz w:val="20"/>
        </w:rPr>
        <w:t>2016).</w:t>
      </w:r>
      <w:r>
        <w:rPr>
          <w:spacing w:val="-14"/>
          <w:w w:val="105"/>
          <w:sz w:val="20"/>
        </w:rPr>
        <w:t> </w:t>
      </w:r>
      <w:r>
        <w:rPr>
          <w:w w:val="105"/>
          <w:sz w:val="20"/>
        </w:rPr>
        <w:t>Before issuing</w:t>
      </w:r>
      <w:r>
        <w:rPr>
          <w:spacing w:val="-15"/>
          <w:w w:val="105"/>
          <w:sz w:val="20"/>
        </w:rPr>
        <w:t> </w:t>
      </w:r>
      <w:r>
        <w:rPr>
          <w:w w:val="105"/>
          <w:sz w:val="20"/>
        </w:rPr>
        <w:t>the</w:t>
      </w:r>
      <w:r>
        <w:rPr>
          <w:spacing w:val="-15"/>
          <w:w w:val="105"/>
          <w:sz w:val="20"/>
        </w:rPr>
        <w:t> </w:t>
      </w:r>
      <w:r>
        <w:rPr>
          <w:w w:val="105"/>
          <w:sz w:val="20"/>
        </w:rPr>
        <w:t>NOC,</w:t>
      </w:r>
      <w:r>
        <w:rPr>
          <w:spacing w:val="-14"/>
          <w:w w:val="105"/>
          <w:sz w:val="20"/>
        </w:rPr>
        <w:t> </w:t>
      </w:r>
      <w:r>
        <w:rPr>
          <w:w w:val="105"/>
          <w:sz w:val="20"/>
        </w:rPr>
        <w:t>the</w:t>
      </w:r>
      <w:r>
        <w:rPr>
          <w:spacing w:val="-15"/>
          <w:w w:val="105"/>
          <w:sz w:val="20"/>
        </w:rPr>
        <w:t> </w:t>
      </w:r>
      <w:r>
        <w:rPr>
          <w:w w:val="105"/>
          <w:sz w:val="20"/>
        </w:rPr>
        <w:t>DG</w:t>
      </w:r>
      <w:r>
        <w:rPr>
          <w:spacing w:val="-14"/>
          <w:w w:val="105"/>
          <w:sz w:val="20"/>
        </w:rPr>
        <w:t> </w:t>
      </w:r>
      <w:r>
        <w:rPr>
          <w:w w:val="105"/>
          <w:sz w:val="20"/>
        </w:rPr>
        <w:t>of</w:t>
      </w:r>
      <w:r>
        <w:rPr>
          <w:spacing w:val="-15"/>
          <w:w w:val="105"/>
          <w:sz w:val="20"/>
        </w:rPr>
        <w:t> </w:t>
      </w:r>
      <w:r>
        <w:rPr>
          <w:w w:val="105"/>
          <w:sz w:val="20"/>
        </w:rPr>
        <w:t>Archeology</w:t>
      </w:r>
      <w:r>
        <w:rPr>
          <w:spacing w:val="-15"/>
          <w:w w:val="105"/>
          <w:sz w:val="20"/>
        </w:rPr>
        <w:t> </w:t>
      </w:r>
      <w:r>
        <w:rPr>
          <w:w w:val="105"/>
          <w:sz w:val="20"/>
        </w:rPr>
        <w:t>allegedly</w:t>
      </w:r>
      <w:r>
        <w:rPr>
          <w:spacing w:val="-14"/>
          <w:w w:val="105"/>
          <w:sz w:val="20"/>
        </w:rPr>
        <w:t> </w:t>
      </w:r>
      <w:r>
        <w:rPr>
          <w:w w:val="105"/>
          <w:sz w:val="20"/>
        </w:rPr>
        <w:t>did</w:t>
      </w:r>
      <w:r>
        <w:rPr>
          <w:spacing w:val="-15"/>
          <w:w w:val="105"/>
          <w:sz w:val="20"/>
        </w:rPr>
        <w:t> </w:t>
      </w:r>
      <w:r>
        <w:rPr>
          <w:w w:val="105"/>
          <w:sz w:val="20"/>
        </w:rPr>
        <w:t>not</w:t>
      </w:r>
      <w:r>
        <w:rPr>
          <w:spacing w:val="-14"/>
          <w:w w:val="105"/>
          <w:sz w:val="20"/>
        </w:rPr>
        <w:t> </w:t>
      </w:r>
      <w:r>
        <w:rPr>
          <w:w w:val="105"/>
          <w:sz w:val="20"/>
        </w:rPr>
        <w:t>consider</w:t>
      </w:r>
      <w:r>
        <w:rPr>
          <w:spacing w:val="-15"/>
          <w:w w:val="105"/>
          <w:sz w:val="20"/>
        </w:rPr>
        <w:t> </w:t>
      </w:r>
      <w:r>
        <w:rPr>
          <w:w w:val="105"/>
          <w:sz w:val="20"/>
        </w:rPr>
        <w:t>Pakistan’s</w:t>
      </w:r>
      <w:r>
        <w:rPr>
          <w:spacing w:val="-15"/>
          <w:w w:val="105"/>
          <w:sz w:val="20"/>
        </w:rPr>
        <w:t> </w:t>
      </w:r>
      <w:r>
        <w:rPr>
          <w:w w:val="105"/>
          <w:sz w:val="20"/>
        </w:rPr>
        <w:t>commitments</w:t>
      </w:r>
      <w:r>
        <w:rPr>
          <w:spacing w:val="-14"/>
          <w:w w:val="105"/>
          <w:sz w:val="20"/>
        </w:rPr>
        <w:t> </w:t>
      </w:r>
      <w:r>
        <w:rPr>
          <w:w w:val="105"/>
          <w:sz w:val="20"/>
        </w:rPr>
        <w:t>to international</w:t>
      </w:r>
      <w:r>
        <w:rPr>
          <w:spacing w:val="-15"/>
          <w:w w:val="105"/>
          <w:sz w:val="20"/>
        </w:rPr>
        <w:t> </w:t>
      </w:r>
      <w:r>
        <w:rPr>
          <w:w w:val="105"/>
          <w:sz w:val="20"/>
        </w:rPr>
        <w:t>conventions</w:t>
      </w:r>
      <w:r>
        <w:rPr>
          <w:spacing w:val="-15"/>
          <w:w w:val="105"/>
          <w:sz w:val="20"/>
        </w:rPr>
        <w:t> </w:t>
      </w:r>
      <w:r>
        <w:rPr>
          <w:w w:val="105"/>
          <w:sz w:val="20"/>
        </w:rPr>
        <w:t>for</w:t>
      </w:r>
      <w:r>
        <w:rPr>
          <w:spacing w:val="-14"/>
          <w:w w:val="105"/>
          <w:sz w:val="20"/>
        </w:rPr>
        <w:t> </w:t>
      </w:r>
      <w:r>
        <w:rPr>
          <w:w w:val="105"/>
          <w:sz w:val="20"/>
        </w:rPr>
        <w:t>heritage</w:t>
      </w:r>
      <w:r>
        <w:rPr>
          <w:spacing w:val="-15"/>
          <w:w w:val="105"/>
          <w:sz w:val="20"/>
        </w:rPr>
        <w:t> </w:t>
      </w:r>
      <w:r>
        <w:rPr>
          <w:w w:val="105"/>
          <w:sz w:val="20"/>
        </w:rPr>
        <w:t>conservation</w:t>
      </w:r>
      <w:r>
        <w:rPr>
          <w:spacing w:val="-14"/>
          <w:w w:val="105"/>
          <w:sz w:val="20"/>
        </w:rPr>
        <w:t> </w:t>
      </w:r>
      <w:r>
        <w:rPr>
          <w:w w:val="105"/>
          <w:sz w:val="20"/>
        </w:rPr>
        <w:t>and</w:t>
      </w:r>
      <w:r>
        <w:rPr>
          <w:spacing w:val="-15"/>
          <w:w w:val="105"/>
          <w:sz w:val="20"/>
        </w:rPr>
        <w:t> </w:t>
      </w:r>
      <w:r>
        <w:rPr>
          <w:w w:val="105"/>
          <w:sz w:val="20"/>
        </w:rPr>
        <w:t>was</w:t>
      </w:r>
      <w:r>
        <w:rPr>
          <w:spacing w:val="-15"/>
          <w:w w:val="105"/>
          <w:sz w:val="20"/>
        </w:rPr>
        <w:t> </w:t>
      </w:r>
      <w:r>
        <w:rPr>
          <w:w w:val="105"/>
          <w:sz w:val="20"/>
        </w:rPr>
        <w:t>pressured</w:t>
      </w:r>
      <w:r>
        <w:rPr>
          <w:spacing w:val="-14"/>
          <w:w w:val="105"/>
          <w:sz w:val="20"/>
        </w:rPr>
        <w:t> </w:t>
      </w:r>
      <w:r>
        <w:rPr>
          <w:w w:val="105"/>
          <w:sz w:val="20"/>
        </w:rPr>
        <w:t>by</w:t>
      </w:r>
      <w:r>
        <w:rPr>
          <w:spacing w:val="-15"/>
          <w:w w:val="105"/>
          <w:sz w:val="20"/>
        </w:rPr>
        <w:t> </w:t>
      </w:r>
      <w:r>
        <w:rPr>
          <w:w w:val="105"/>
          <w:sz w:val="20"/>
        </w:rPr>
        <w:t>the</w:t>
      </w:r>
      <w:r>
        <w:rPr>
          <w:spacing w:val="-14"/>
          <w:w w:val="105"/>
          <w:sz w:val="20"/>
        </w:rPr>
        <w:t> </w:t>
      </w:r>
      <w:r>
        <w:rPr>
          <w:w w:val="105"/>
          <w:sz w:val="20"/>
        </w:rPr>
        <w:t>government</w:t>
      </w:r>
      <w:r>
        <w:rPr>
          <w:spacing w:val="-15"/>
          <w:w w:val="105"/>
          <w:sz w:val="20"/>
        </w:rPr>
        <w:t> </w:t>
      </w:r>
      <w:r>
        <w:rPr>
          <w:w w:val="105"/>
          <w:sz w:val="20"/>
        </w:rPr>
        <w:t>“to </w:t>
      </w:r>
      <w:r>
        <w:rPr>
          <w:sz w:val="20"/>
        </w:rPr>
        <w:t>issue NOC within two days time without consulting any independent experts” (Mumtaz v. Punjab </w:t>
      </w:r>
      <w:r>
        <w:rPr>
          <w:spacing w:val="-2"/>
          <w:w w:val="105"/>
          <w:sz w:val="20"/>
        </w:rPr>
        <w:t>2016).</w:t>
      </w:r>
    </w:p>
    <w:p>
      <w:pPr>
        <w:pStyle w:val="BodyText"/>
        <w:spacing w:before="4"/>
        <w:rPr>
          <w:sz w:val="21"/>
        </w:rPr>
      </w:pPr>
    </w:p>
    <w:p>
      <w:pPr>
        <w:spacing w:line="300" w:lineRule="auto" w:before="0"/>
        <w:ind w:left="560" w:right="540" w:firstLine="0"/>
        <w:jc w:val="left"/>
        <w:rPr>
          <w:sz w:val="20"/>
        </w:rPr>
      </w:pPr>
      <w:r>
        <w:rPr>
          <w:spacing w:val="-2"/>
          <w:w w:val="105"/>
          <w:sz w:val="20"/>
        </w:rPr>
        <w:t>After</w:t>
      </w:r>
      <w:r>
        <w:rPr>
          <w:spacing w:val="-9"/>
          <w:w w:val="105"/>
          <w:sz w:val="20"/>
        </w:rPr>
        <w:t> </w:t>
      </w:r>
      <w:r>
        <w:rPr>
          <w:spacing w:val="-2"/>
          <w:w w:val="105"/>
          <w:sz w:val="20"/>
        </w:rPr>
        <w:t>the</w:t>
      </w:r>
      <w:r>
        <w:rPr>
          <w:spacing w:val="-9"/>
          <w:w w:val="105"/>
          <w:sz w:val="20"/>
        </w:rPr>
        <w:t> </w:t>
      </w:r>
      <w:r>
        <w:rPr>
          <w:spacing w:val="-2"/>
          <w:w w:val="105"/>
          <w:sz w:val="20"/>
        </w:rPr>
        <w:t>government</w:t>
      </w:r>
      <w:r>
        <w:rPr>
          <w:spacing w:val="-9"/>
          <w:w w:val="105"/>
          <w:sz w:val="20"/>
        </w:rPr>
        <w:t> </w:t>
      </w:r>
      <w:r>
        <w:rPr>
          <w:spacing w:val="-2"/>
          <w:w w:val="105"/>
          <w:sz w:val="20"/>
        </w:rPr>
        <w:t>failed</w:t>
      </w:r>
      <w:r>
        <w:rPr>
          <w:spacing w:val="-9"/>
          <w:w w:val="105"/>
          <w:sz w:val="20"/>
        </w:rPr>
        <w:t> </w:t>
      </w:r>
      <w:r>
        <w:rPr>
          <w:spacing w:val="-2"/>
          <w:w w:val="105"/>
          <w:sz w:val="20"/>
        </w:rPr>
        <w:t>to</w:t>
      </w:r>
      <w:r>
        <w:rPr>
          <w:spacing w:val="-9"/>
          <w:w w:val="105"/>
          <w:sz w:val="20"/>
        </w:rPr>
        <w:t> </w:t>
      </w:r>
      <w:r>
        <w:rPr>
          <w:spacing w:val="-2"/>
          <w:w w:val="105"/>
          <w:sz w:val="20"/>
        </w:rPr>
        <w:t>provide</w:t>
      </w:r>
      <w:r>
        <w:rPr>
          <w:spacing w:val="-9"/>
          <w:w w:val="105"/>
          <w:sz w:val="20"/>
        </w:rPr>
        <w:t> </w:t>
      </w:r>
      <w:r>
        <w:rPr>
          <w:spacing w:val="-2"/>
          <w:w w:val="105"/>
          <w:sz w:val="20"/>
        </w:rPr>
        <w:t>satisfactory</w:t>
      </w:r>
      <w:r>
        <w:rPr>
          <w:spacing w:val="-9"/>
          <w:w w:val="105"/>
          <w:sz w:val="20"/>
        </w:rPr>
        <w:t> </w:t>
      </w:r>
      <w:r>
        <w:rPr>
          <w:spacing w:val="-2"/>
          <w:w w:val="105"/>
          <w:sz w:val="20"/>
        </w:rPr>
        <w:t>responses</w:t>
      </w:r>
      <w:r>
        <w:rPr>
          <w:spacing w:val="-9"/>
          <w:w w:val="105"/>
          <w:sz w:val="20"/>
        </w:rPr>
        <w:t> </w:t>
      </w:r>
      <w:r>
        <w:rPr>
          <w:spacing w:val="-2"/>
          <w:w w:val="105"/>
          <w:sz w:val="20"/>
        </w:rPr>
        <w:t>to</w:t>
      </w:r>
      <w:r>
        <w:rPr>
          <w:spacing w:val="-9"/>
          <w:w w:val="105"/>
          <w:sz w:val="20"/>
        </w:rPr>
        <w:t> </w:t>
      </w:r>
      <w:r>
        <w:rPr>
          <w:spacing w:val="-2"/>
          <w:w w:val="105"/>
          <w:sz w:val="20"/>
        </w:rPr>
        <w:t>these</w:t>
      </w:r>
      <w:r>
        <w:rPr>
          <w:spacing w:val="-9"/>
          <w:w w:val="105"/>
          <w:sz w:val="20"/>
        </w:rPr>
        <w:t> </w:t>
      </w:r>
      <w:r>
        <w:rPr>
          <w:spacing w:val="-2"/>
          <w:w w:val="105"/>
          <w:sz w:val="20"/>
        </w:rPr>
        <w:t>concerns,</w:t>
      </w:r>
      <w:r>
        <w:rPr>
          <w:spacing w:val="-9"/>
          <w:w w:val="105"/>
          <w:sz w:val="20"/>
        </w:rPr>
        <w:t> </w:t>
      </w:r>
      <w:r>
        <w:rPr>
          <w:spacing w:val="-2"/>
          <w:w w:val="105"/>
          <w:sz w:val="20"/>
        </w:rPr>
        <w:t>in</w:t>
      </w:r>
      <w:r>
        <w:rPr>
          <w:spacing w:val="-9"/>
          <w:w w:val="105"/>
          <w:sz w:val="20"/>
        </w:rPr>
        <w:t> </w:t>
      </w:r>
      <w:r>
        <w:rPr>
          <w:spacing w:val="-2"/>
          <w:w w:val="105"/>
          <w:sz w:val="20"/>
        </w:rPr>
        <w:t>January</w:t>
      </w:r>
      <w:r>
        <w:rPr>
          <w:spacing w:val="-2"/>
          <w:w w:val="105"/>
          <w:sz w:val="20"/>
        </w:rPr>
        <w:t> 2016,</w:t>
      </w:r>
      <w:r>
        <w:rPr>
          <w:spacing w:val="-8"/>
          <w:w w:val="105"/>
          <w:sz w:val="20"/>
        </w:rPr>
        <w:t> </w:t>
      </w:r>
      <w:r>
        <w:rPr>
          <w:spacing w:val="-2"/>
          <w:w w:val="105"/>
          <w:sz w:val="20"/>
        </w:rPr>
        <w:t>the</w:t>
      </w:r>
      <w:r>
        <w:rPr>
          <w:spacing w:val="-8"/>
          <w:w w:val="105"/>
          <w:sz w:val="20"/>
        </w:rPr>
        <w:t> </w:t>
      </w:r>
      <w:r>
        <w:rPr>
          <w:spacing w:val="-2"/>
          <w:w w:val="105"/>
          <w:sz w:val="20"/>
        </w:rPr>
        <w:t>LHC</w:t>
      </w:r>
      <w:r>
        <w:rPr>
          <w:spacing w:val="-8"/>
          <w:w w:val="105"/>
          <w:sz w:val="20"/>
        </w:rPr>
        <w:t> </w:t>
      </w:r>
      <w:r>
        <w:rPr>
          <w:spacing w:val="-2"/>
          <w:w w:val="105"/>
          <w:sz w:val="20"/>
        </w:rPr>
        <w:t>ordered</w:t>
      </w:r>
      <w:r>
        <w:rPr>
          <w:spacing w:val="-8"/>
          <w:w w:val="105"/>
          <w:sz w:val="20"/>
        </w:rPr>
        <w:t> </w:t>
      </w:r>
      <w:r>
        <w:rPr>
          <w:spacing w:val="-2"/>
          <w:w w:val="105"/>
          <w:sz w:val="20"/>
        </w:rPr>
        <w:t>an</w:t>
      </w:r>
      <w:r>
        <w:rPr>
          <w:spacing w:val="-8"/>
          <w:w w:val="105"/>
          <w:sz w:val="20"/>
        </w:rPr>
        <w:t> </w:t>
      </w:r>
      <w:r>
        <w:rPr>
          <w:spacing w:val="-2"/>
          <w:w w:val="105"/>
          <w:sz w:val="20"/>
        </w:rPr>
        <w:t>immediate</w:t>
      </w:r>
      <w:r>
        <w:rPr>
          <w:spacing w:val="-8"/>
          <w:w w:val="105"/>
          <w:sz w:val="20"/>
        </w:rPr>
        <w:t> </w:t>
      </w:r>
      <w:r>
        <w:rPr>
          <w:spacing w:val="-2"/>
          <w:w w:val="105"/>
          <w:sz w:val="20"/>
        </w:rPr>
        <w:t>suspension</w:t>
      </w:r>
      <w:r>
        <w:rPr>
          <w:spacing w:val="-8"/>
          <w:w w:val="105"/>
          <w:sz w:val="20"/>
        </w:rPr>
        <w:t> </w:t>
      </w:r>
      <w:r>
        <w:rPr>
          <w:spacing w:val="-2"/>
          <w:w w:val="105"/>
          <w:sz w:val="20"/>
        </w:rPr>
        <w:t>of</w:t>
      </w:r>
      <w:r>
        <w:rPr>
          <w:spacing w:val="-8"/>
          <w:w w:val="105"/>
          <w:sz w:val="20"/>
        </w:rPr>
        <w:t> </w:t>
      </w:r>
      <w:r>
        <w:rPr>
          <w:spacing w:val="-2"/>
          <w:w w:val="105"/>
          <w:sz w:val="20"/>
        </w:rPr>
        <w:t>project</w:t>
      </w:r>
      <w:r>
        <w:rPr>
          <w:spacing w:val="-8"/>
          <w:w w:val="105"/>
          <w:sz w:val="20"/>
        </w:rPr>
        <w:t> </w:t>
      </w:r>
      <w:r>
        <w:rPr>
          <w:spacing w:val="-2"/>
          <w:w w:val="105"/>
          <w:sz w:val="20"/>
        </w:rPr>
        <w:t>activities</w:t>
      </w:r>
      <w:r>
        <w:rPr>
          <w:spacing w:val="-8"/>
          <w:w w:val="105"/>
          <w:sz w:val="20"/>
        </w:rPr>
        <w:t> </w:t>
      </w:r>
      <w:r>
        <w:rPr>
          <w:spacing w:val="-2"/>
          <w:w w:val="105"/>
          <w:sz w:val="20"/>
        </w:rPr>
        <w:t>near</w:t>
      </w:r>
      <w:r>
        <w:rPr>
          <w:spacing w:val="-8"/>
          <w:w w:val="105"/>
          <w:sz w:val="20"/>
        </w:rPr>
        <w:t> </w:t>
      </w:r>
      <w:r>
        <w:rPr>
          <w:spacing w:val="-2"/>
          <w:w w:val="105"/>
          <w:sz w:val="20"/>
        </w:rPr>
        <w:t>11</w:t>
      </w:r>
      <w:r>
        <w:rPr>
          <w:spacing w:val="-8"/>
          <w:w w:val="105"/>
          <w:sz w:val="20"/>
        </w:rPr>
        <w:t> </w:t>
      </w:r>
      <w:r>
        <w:rPr>
          <w:spacing w:val="-2"/>
          <w:w w:val="105"/>
          <w:sz w:val="20"/>
        </w:rPr>
        <w:t>heritage</w:t>
      </w:r>
      <w:r>
        <w:rPr>
          <w:spacing w:val="-8"/>
          <w:w w:val="105"/>
          <w:sz w:val="20"/>
        </w:rPr>
        <w:t> </w:t>
      </w:r>
      <w:r>
        <w:rPr>
          <w:spacing w:val="-2"/>
          <w:w w:val="105"/>
          <w:sz w:val="20"/>
        </w:rPr>
        <w:t>sites.</w:t>
      </w:r>
      <w:r>
        <w:rPr>
          <w:spacing w:val="-7"/>
          <w:w w:val="105"/>
          <w:sz w:val="20"/>
        </w:rPr>
        <w:t> </w:t>
      </w:r>
      <w:r>
        <w:rPr>
          <w:spacing w:val="-2"/>
          <w:w w:val="105"/>
          <w:sz w:val="20"/>
        </w:rPr>
        <w:t>It also</w:t>
      </w:r>
      <w:r>
        <w:rPr>
          <w:spacing w:val="-9"/>
          <w:w w:val="105"/>
          <w:sz w:val="20"/>
        </w:rPr>
        <w:t> </w:t>
      </w:r>
      <w:r>
        <w:rPr>
          <w:spacing w:val="-2"/>
          <w:w w:val="105"/>
          <w:sz w:val="20"/>
        </w:rPr>
        <w:t>asked</w:t>
      </w:r>
      <w:r>
        <w:rPr>
          <w:spacing w:val="-9"/>
          <w:w w:val="105"/>
          <w:sz w:val="20"/>
        </w:rPr>
        <w:t> </w:t>
      </w:r>
      <w:r>
        <w:rPr>
          <w:spacing w:val="-2"/>
          <w:w w:val="105"/>
          <w:sz w:val="20"/>
        </w:rPr>
        <w:t>the</w:t>
      </w:r>
      <w:r>
        <w:rPr>
          <w:spacing w:val="-9"/>
          <w:w w:val="105"/>
          <w:sz w:val="20"/>
        </w:rPr>
        <w:t> </w:t>
      </w:r>
      <w:r>
        <w:rPr>
          <w:spacing w:val="-2"/>
          <w:w w:val="105"/>
          <w:sz w:val="20"/>
        </w:rPr>
        <w:t>authorities</w:t>
      </w:r>
      <w:r>
        <w:rPr>
          <w:spacing w:val="-9"/>
          <w:w w:val="105"/>
          <w:sz w:val="20"/>
        </w:rPr>
        <w:t> </w:t>
      </w:r>
      <w:r>
        <w:rPr>
          <w:spacing w:val="-2"/>
          <w:w w:val="105"/>
          <w:sz w:val="20"/>
        </w:rPr>
        <w:t>to</w:t>
      </w:r>
      <w:r>
        <w:rPr>
          <w:spacing w:val="-9"/>
          <w:w w:val="105"/>
          <w:sz w:val="20"/>
        </w:rPr>
        <w:t> </w:t>
      </w:r>
      <w:r>
        <w:rPr>
          <w:spacing w:val="-2"/>
          <w:w w:val="105"/>
          <w:sz w:val="20"/>
        </w:rPr>
        <w:t>report</w:t>
      </w:r>
      <w:r>
        <w:rPr>
          <w:spacing w:val="-9"/>
          <w:w w:val="105"/>
          <w:sz w:val="20"/>
        </w:rPr>
        <w:t> </w:t>
      </w:r>
      <w:r>
        <w:rPr>
          <w:spacing w:val="-2"/>
          <w:w w:val="105"/>
          <w:sz w:val="20"/>
        </w:rPr>
        <w:t>on</w:t>
      </w:r>
      <w:r>
        <w:rPr>
          <w:spacing w:val="-9"/>
          <w:w w:val="105"/>
          <w:sz w:val="20"/>
        </w:rPr>
        <w:t> </w:t>
      </w:r>
      <w:r>
        <w:rPr>
          <w:spacing w:val="-2"/>
          <w:w w:val="105"/>
          <w:sz w:val="20"/>
        </w:rPr>
        <w:t>their</w:t>
      </w:r>
      <w:r>
        <w:rPr>
          <w:spacing w:val="-9"/>
          <w:w w:val="105"/>
          <w:sz w:val="20"/>
        </w:rPr>
        <w:t> </w:t>
      </w:r>
      <w:r>
        <w:rPr>
          <w:spacing w:val="-2"/>
          <w:w w:val="105"/>
          <w:sz w:val="20"/>
        </w:rPr>
        <w:t>adherence</w:t>
      </w:r>
      <w:r>
        <w:rPr>
          <w:spacing w:val="-9"/>
          <w:w w:val="105"/>
          <w:sz w:val="20"/>
        </w:rPr>
        <w:t> </w:t>
      </w:r>
      <w:r>
        <w:rPr>
          <w:spacing w:val="-2"/>
          <w:w w:val="105"/>
          <w:sz w:val="20"/>
        </w:rPr>
        <w:t>to</w:t>
      </w:r>
      <w:r>
        <w:rPr>
          <w:spacing w:val="-9"/>
          <w:w w:val="105"/>
          <w:sz w:val="20"/>
        </w:rPr>
        <w:t> </w:t>
      </w:r>
      <w:r>
        <w:rPr>
          <w:spacing w:val="-2"/>
          <w:w w:val="105"/>
          <w:sz w:val="20"/>
        </w:rPr>
        <w:t>all</w:t>
      </w:r>
      <w:r>
        <w:rPr>
          <w:spacing w:val="-9"/>
          <w:w w:val="105"/>
          <w:sz w:val="20"/>
        </w:rPr>
        <w:t> </w:t>
      </w:r>
      <w:r>
        <w:rPr>
          <w:spacing w:val="-2"/>
          <w:w w:val="105"/>
          <w:sz w:val="20"/>
        </w:rPr>
        <w:t>de</w:t>
      </w:r>
      <w:r>
        <w:rPr>
          <w:spacing w:val="-9"/>
          <w:w w:val="105"/>
          <w:sz w:val="20"/>
        </w:rPr>
        <w:t> </w:t>
      </w:r>
      <w:r>
        <w:rPr>
          <w:spacing w:val="-2"/>
          <w:w w:val="105"/>
          <w:sz w:val="20"/>
        </w:rPr>
        <w:t>jure</w:t>
      </w:r>
      <w:r>
        <w:rPr>
          <w:spacing w:val="-9"/>
          <w:w w:val="105"/>
          <w:sz w:val="20"/>
        </w:rPr>
        <w:t> </w:t>
      </w:r>
      <w:r>
        <w:rPr>
          <w:spacing w:val="-2"/>
          <w:w w:val="105"/>
          <w:sz w:val="20"/>
        </w:rPr>
        <w:t>requirements</w:t>
      </w:r>
      <w:r>
        <w:rPr>
          <w:spacing w:val="-9"/>
          <w:w w:val="105"/>
          <w:sz w:val="20"/>
        </w:rPr>
        <w:t> </w:t>
      </w:r>
      <w:r>
        <w:rPr>
          <w:spacing w:val="-2"/>
          <w:w w:val="105"/>
          <w:sz w:val="20"/>
        </w:rPr>
        <w:t>related</w:t>
      </w:r>
      <w:r>
        <w:rPr>
          <w:spacing w:val="-9"/>
          <w:w w:val="105"/>
          <w:sz w:val="20"/>
        </w:rPr>
        <w:t> </w:t>
      </w:r>
      <w:r>
        <w:rPr>
          <w:spacing w:val="-2"/>
          <w:w w:val="105"/>
          <w:sz w:val="20"/>
        </w:rPr>
        <w:t>to</w:t>
      </w:r>
      <w:r>
        <w:rPr>
          <w:spacing w:val="-9"/>
          <w:w w:val="105"/>
          <w:sz w:val="20"/>
        </w:rPr>
        <w:t> </w:t>
      </w:r>
      <w:r>
        <w:rPr>
          <w:spacing w:val="-2"/>
          <w:w w:val="105"/>
          <w:sz w:val="20"/>
        </w:rPr>
        <w:t>land </w:t>
      </w:r>
      <w:r>
        <w:rPr>
          <w:sz w:val="20"/>
        </w:rPr>
        <w:t>acquisition, noise levels, and solid waste management (Shaukat and Tanveer 2016). The court order threw the provincial government into a frenzy, as it anticipated long implementation delays </w:t>
      </w:r>
      <w:r>
        <w:rPr>
          <w:w w:val="105"/>
          <w:sz w:val="20"/>
        </w:rPr>
        <w:t>that</w:t>
      </w:r>
      <w:r>
        <w:rPr>
          <w:spacing w:val="-9"/>
          <w:w w:val="105"/>
          <w:sz w:val="20"/>
        </w:rPr>
        <w:t> </w:t>
      </w:r>
      <w:r>
        <w:rPr>
          <w:w w:val="105"/>
          <w:sz w:val="20"/>
        </w:rPr>
        <w:t>could</w:t>
      </w:r>
      <w:r>
        <w:rPr>
          <w:spacing w:val="-9"/>
          <w:w w:val="105"/>
          <w:sz w:val="20"/>
        </w:rPr>
        <w:t> </w:t>
      </w:r>
      <w:r>
        <w:rPr>
          <w:w w:val="105"/>
          <w:sz w:val="20"/>
        </w:rPr>
        <w:t>prevent</w:t>
      </w:r>
      <w:r>
        <w:rPr>
          <w:spacing w:val="-9"/>
          <w:w w:val="105"/>
          <w:sz w:val="20"/>
        </w:rPr>
        <w:t> </w:t>
      </w:r>
      <w:r>
        <w:rPr>
          <w:w w:val="105"/>
          <w:sz w:val="20"/>
        </w:rPr>
        <w:t>the</w:t>
      </w:r>
      <w:r>
        <w:rPr>
          <w:spacing w:val="-9"/>
          <w:w w:val="105"/>
          <w:sz w:val="20"/>
        </w:rPr>
        <w:t> </w:t>
      </w:r>
      <w:r>
        <w:rPr>
          <w:w w:val="105"/>
          <w:sz w:val="20"/>
        </w:rPr>
        <w:t>project</w:t>
      </w:r>
      <w:r>
        <w:rPr>
          <w:spacing w:val="-9"/>
          <w:w w:val="105"/>
          <w:sz w:val="20"/>
        </w:rPr>
        <w:t> </w:t>
      </w:r>
      <w:r>
        <w:rPr>
          <w:w w:val="105"/>
          <w:sz w:val="20"/>
        </w:rPr>
        <w:t>from</w:t>
      </w:r>
      <w:r>
        <w:rPr>
          <w:spacing w:val="-9"/>
          <w:w w:val="105"/>
          <w:sz w:val="20"/>
        </w:rPr>
        <w:t> </w:t>
      </w:r>
      <w:r>
        <w:rPr>
          <w:w w:val="105"/>
          <w:sz w:val="20"/>
        </w:rPr>
        <w:t>reaching</w:t>
      </w:r>
      <w:r>
        <w:rPr>
          <w:spacing w:val="-9"/>
          <w:w w:val="105"/>
          <w:sz w:val="20"/>
        </w:rPr>
        <w:t> </w:t>
      </w:r>
      <w:r>
        <w:rPr>
          <w:w w:val="105"/>
          <w:sz w:val="20"/>
        </w:rPr>
        <w:t>completion</w:t>
      </w:r>
      <w:r>
        <w:rPr>
          <w:spacing w:val="-9"/>
          <w:w w:val="105"/>
          <w:sz w:val="20"/>
        </w:rPr>
        <w:t> </w:t>
      </w:r>
      <w:r>
        <w:rPr>
          <w:w w:val="105"/>
          <w:sz w:val="20"/>
        </w:rPr>
        <w:t>ahead</w:t>
      </w:r>
      <w:r>
        <w:rPr>
          <w:spacing w:val="-9"/>
          <w:w w:val="105"/>
          <w:sz w:val="20"/>
        </w:rPr>
        <w:t> </w:t>
      </w:r>
      <w:r>
        <w:rPr>
          <w:w w:val="105"/>
          <w:sz w:val="20"/>
        </w:rPr>
        <w:t>of</w:t>
      </w:r>
      <w:r>
        <w:rPr>
          <w:spacing w:val="-9"/>
          <w:w w:val="105"/>
          <w:sz w:val="20"/>
        </w:rPr>
        <w:t> </w:t>
      </w:r>
      <w:r>
        <w:rPr>
          <w:w w:val="105"/>
          <w:sz w:val="20"/>
        </w:rPr>
        <w:t>the</w:t>
      </w:r>
      <w:r>
        <w:rPr>
          <w:spacing w:val="-9"/>
          <w:w w:val="105"/>
          <w:sz w:val="20"/>
        </w:rPr>
        <w:t> </w:t>
      </w:r>
      <w:r>
        <w:rPr>
          <w:w w:val="105"/>
          <w:sz w:val="20"/>
        </w:rPr>
        <w:t>July</w:t>
      </w:r>
      <w:r>
        <w:rPr>
          <w:spacing w:val="-9"/>
          <w:w w:val="105"/>
          <w:sz w:val="20"/>
        </w:rPr>
        <w:t> </w:t>
      </w:r>
      <w:r>
        <w:rPr>
          <w:w w:val="105"/>
          <w:sz w:val="20"/>
        </w:rPr>
        <w:t>2018</w:t>
      </w:r>
      <w:r>
        <w:rPr>
          <w:spacing w:val="-9"/>
          <w:w w:val="105"/>
          <w:sz w:val="20"/>
        </w:rPr>
        <w:t> </w:t>
      </w:r>
      <w:r>
        <w:rPr>
          <w:w w:val="105"/>
          <w:sz w:val="20"/>
        </w:rPr>
        <w:t>election.</w:t>
      </w:r>
      <w:r>
        <w:rPr>
          <w:spacing w:val="-9"/>
          <w:w w:val="105"/>
          <w:sz w:val="20"/>
        </w:rPr>
        <w:t> </w:t>
      </w:r>
      <w:r>
        <w:rPr>
          <w:w w:val="105"/>
          <w:sz w:val="20"/>
        </w:rPr>
        <w:t>It </w:t>
      </w:r>
      <w:r>
        <w:rPr>
          <w:sz w:val="20"/>
        </w:rPr>
        <w:t>immediately engaged experts to conduct separate Structural and Heritage Impact Assessments </w:t>
      </w:r>
      <w:r>
        <w:rPr>
          <w:spacing w:val="-2"/>
          <w:w w:val="105"/>
          <w:sz w:val="20"/>
        </w:rPr>
        <w:t>(SIA</w:t>
      </w:r>
      <w:r>
        <w:rPr>
          <w:spacing w:val="-11"/>
          <w:w w:val="105"/>
          <w:sz w:val="20"/>
        </w:rPr>
        <w:t> </w:t>
      </w:r>
      <w:r>
        <w:rPr>
          <w:spacing w:val="-2"/>
          <w:w w:val="105"/>
          <w:sz w:val="20"/>
        </w:rPr>
        <w:t>and</w:t>
      </w:r>
      <w:r>
        <w:rPr>
          <w:spacing w:val="-11"/>
          <w:w w:val="105"/>
          <w:sz w:val="20"/>
        </w:rPr>
        <w:t> </w:t>
      </w:r>
      <w:r>
        <w:rPr>
          <w:spacing w:val="-2"/>
          <w:w w:val="105"/>
          <w:sz w:val="20"/>
        </w:rPr>
        <w:t>HIA)</w:t>
      </w:r>
      <w:r>
        <w:rPr>
          <w:spacing w:val="-10"/>
          <w:w w:val="105"/>
          <w:sz w:val="20"/>
        </w:rPr>
        <w:t> </w:t>
      </w:r>
      <w:r>
        <w:rPr>
          <w:spacing w:val="-2"/>
          <w:w w:val="105"/>
          <w:sz w:val="20"/>
        </w:rPr>
        <w:t>and</w:t>
      </w:r>
      <w:r>
        <w:rPr>
          <w:spacing w:val="-11"/>
          <w:w w:val="105"/>
          <w:sz w:val="20"/>
        </w:rPr>
        <w:t> </w:t>
      </w:r>
      <w:r>
        <w:rPr>
          <w:spacing w:val="-2"/>
          <w:w w:val="105"/>
          <w:sz w:val="20"/>
        </w:rPr>
        <w:t>re-issued</w:t>
      </w:r>
      <w:r>
        <w:rPr>
          <w:spacing w:val="-11"/>
          <w:w w:val="105"/>
          <w:sz w:val="20"/>
        </w:rPr>
        <w:t> </w:t>
      </w:r>
      <w:r>
        <w:rPr>
          <w:spacing w:val="-2"/>
          <w:w w:val="105"/>
          <w:sz w:val="20"/>
        </w:rPr>
        <w:t>the</w:t>
      </w:r>
      <w:r>
        <w:rPr>
          <w:spacing w:val="-11"/>
          <w:w w:val="105"/>
          <w:sz w:val="20"/>
        </w:rPr>
        <w:t> </w:t>
      </w:r>
      <w:r>
        <w:rPr>
          <w:spacing w:val="-2"/>
          <w:w w:val="105"/>
          <w:sz w:val="20"/>
        </w:rPr>
        <w:t>NOC</w:t>
      </w:r>
      <w:r>
        <w:rPr>
          <w:spacing w:val="-11"/>
          <w:w w:val="105"/>
          <w:sz w:val="20"/>
        </w:rPr>
        <w:t> </w:t>
      </w:r>
      <w:r>
        <w:rPr>
          <w:spacing w:val="-2"/>
          <w:w w:val="105"/>
          <w:sz w:val="20"/>
        </w:rPr>
        <w:t>in</w:t>
      </w:r>
      <w:r>
        <w:rPr>
          <w:spacing w:val="-11"/>
          <w:w w:val="105"/>
          <w:sz w:val="20"/>
        </w:rPr>
        <w:t> </w:t>
      </w:r>
      <w:r>
        <w:rPr>
          <w:spacing w:val="-2"/>
          <w:w w:val="105"/>
          <w:sz w:val="20"/>
        </w:rPr>
        <w:t>July</w:t>
      </w:r>
      <w:r>
        <w:rPr>
          <w:spacing w:val="-11"/>
          <w:w w:val="105"/>
          <w:sz w:val="20"/>
        </w:rPr>
        <w:t> </w:t>
      </w:r>
      <w:r>
        <w:rPr>
          <w:spacing w:val="-2"/>
          <w:w w:val="105"/>
          <w:sz w:val="20"/>
        </w:rPr>
        <w:t>2016—before</w:t>
      </w:r>
      <w:r>
        <w:rPr>
          <w:spacing w:val="-11"/>
          <w:w w:val="105"/>
          <w:sz w:val="20"/>
        </w:rPr>
        <w:t> </w:t>
      </w:r>
      <w:r>
        <w:rPr>
          <w:spacing w:val="-2"/>
          <w:w w:val="105"/>
          <w:sz w:val="20"/>
        </w:rPr>
        <w:t>the</w:t>
      </w:r>
      <w:r>
        <w:rPr>
          <w:spacing w:val="-11"/>
          <w:w w:val="105"/>
          <w:sz w:val="20"/>
        </w:rPr>
        <w:t> </w:t>
      </w:r>
      <w:r>
        <w:rPr>
          <w:spacing w:val="-2"/>
          <w:w w:val="105"/>
          <w:sz w:val="20"/>
        </w:rPr>
        <w:t>LHC</w:t>
      </w:r>
      <w:r>
        <w:rPr>
          <w:spacing w:val="-11"/>
          <w:w w:val="105"/>
          <w:sz w:val="20"/>
        </w:rPr>
        <w:t> </w:t>
      </w:r>
      <w:r>
        <w:rPr>
          <w:spacing w:val="-2"/>
          <w:w w:val="105"/>
          <w:sz w:val="20"/>
        </w:rPr>
        <w:t>issued</w:t>
      </w:r>
      <w:r>
        <w:rPr>
          <w:spacing w:val="-11"/>
          <w:w w:val="105"/>
          <w:sz w:val="20"/>
        </w:rPr>
        <w:t> </w:t>
      </w:r>
      <w:r>
        <w:rPr>
          <w:spacing w:val="-2"/>
          <w:w w:val="105"/>
          <w:sz w:val="20"/>
        </w:rPr>
        <w:t>its</w:t>
      </w:r>
      <w:r>
        <w:rPr>
          <w:spacing w:val="-11"/>
          <w:w w:val="105"/>
          <w:sz w:val="20"/>
        </w:rPr>
        <w:t> </w:t>
      </w:r>
      <w:r>
        <w:rPr>
          <w:spacing w:val="-2"/>
          <w:w w:val="105"/>
          <w:sz w:val="20"/>
        </w:rPr>
        <w:t>full</w:t>
      </w:r>
      <w:r>
        <w:rPr>
          <w:spacing w:val="-10"/>
          <w:w w:val="105"/>
          <w:sz w:val="20"/>
        </w:rPr>
        <w:t> </w:t>
      </w:r>
      <w:r>
        <w:rPr>
          <w:spacing w:val="-2"/>
          <w:w w:val="105"/>
          <w:sz w:val="20"/>
        </w:rPr>
        <w:t>verdict</w:t>
      </w:r>
      <w:r>
        <w:rPr>
          <w:spacing w:val="-11"/>
          <w:w w:val="105"/>
          <w:sz w:val="20"/>
        </w:rPr>
        <w:t> </w:t>
      </w:r>
      <w:r>
        <w:rPr>
          <w:spacing w:val="-2"/>
          <w:w w:val="105"/>
          <w:sz w:val="20"/>
        </w:rPr>
        <w:t>the </w:t>
      </w:r>
      <w:r>
        <w:rPr>
          <w:sz w:val="20"/>
        </w:rPr>
        <w:t>following month. The matter was ﬁnally settled by the Supreme Court of Pakistan (SCP) when it </w:t>
      </w:r>
      <w:r>
        <w:rPr>
          <w:w w:val="105"/>
          <w:sz w:val="20"/>
        </w:rPr>
        <w:t>rejected</w:t>
      </w:r>
      <w:r>
        <w:rPr>
          <w:spacing w:val="-13"/>
          <w:w w:val="105"/>
          <w:sz w:val="20"/>
        </w:rPr>
        <w:t> </w:t>
      </w:r>
      <w:r>
        <w:rPr>
          <w:w w:val="105"/>
          <w:sz w:val="20"/>
        </w:rPr>
        <w:t>the</w:t>
      </w:r>
      <w:r>
        <w:rPr>
          <w:spacing w:val="-13"/>
          <w:w w:val="105"/>
          <w:sz w:val="20"/>
        </w:rPr>
        <w:t> </w:t>
      </w:r>
      <w:r>
        <w:rPr>
          <w:w w:val="105"/>
          <w:sz w:val="20"/>
        </w:rPr>
        <w:t>government’s</w:t>
      </w:r>
      <w:r>
        <w:rPr>
          <w:spacing w:val="-13"/>
          <w:w w:val="105"/>
          <w:sz w:val="20"/>
        </w:rPr>
        <w:t> </w:t>
      </w:r>
      <w:r>
        <w:rPr>
          <w:w w:val="105"/>
          <w:sz w:val="20"/>
        </w:rPr>
        <w:t>revised</w:t>
      </w:r>
      <w:r>
        <w:rPr>
          <w:spacing w:val="-13"/>
          <w:w w:val="105"/>
          <w:sz w:val="20"/>
        </w:rPr>
        <w:t> </w:t>
      </w:r>
      <w:r>
        <w:rPr>
          <w:w w:val="105"/>
          <w:sz w:val="20"/>
        </w:rPr>
        <w:t>NOC</w:t>
      </w:r>
      <w:r>
        <w:rPr>
          <w:spacing w:val="-13"/>
          <w:w w:val="105"/>
          <w:sz w:val="20"/>
        </w:rPr>
        <w:t> </w:t>
      </w:r>
      <w:r>
        <w:rPr>
          <w:w w:val="105"/>
          <w:sz w:val="20"/>
        </w:rPr>
        <w:t>on</w:t>
      </w:r>
      <w:r>
        <w:rPr>
          <w:spacing w:val="-13"/>
          <w:w w:val="105"/>
          <w:sz w:val="20"/>
        </w:rPr>
        <w:t> </w:t>
      </w:r>
      <w:r>
        <w:rPr>
          <w:w w:val="105"/>
          <w:sz w:val="20"/>
        </w:rPr>
        <w:t>the</w:t>
      </w:r>
      <w:r>
        <w:rPr>
          <w:spacing w:val="-13"/>
          <w:w w:val="105"/>
          <w:sz w:val="20"/>
        </w:rPr>
        <w:t> </w:t>
      </w:r>
      <w:r>
        <w:rPr>
          <w:w w:val="105"/>
          <w:sz w:val="20"/>
        </w:rPr>
        <w:t>same</w:t>
      </w:r>
      <w:r>
        <w:rPr>
          <w:spacing w:val="-13"/>
          <w:w w:val="105"/>
          <w:sz w:val="20"/>
        </w:rPr>
        <w:t> </w:t>
      </w:r>
      <w:r>
        <w:rPr>
          <w:w w:val="105"/>
          <w:sz w:val="20"/>
        </w:rPr>
        <w:t>grounds,</w:t>
      </w:r>
      <w:r>
        <w:rPr>
          <w:spacing w:val="-13"/>
          <w:w w:val="105"/>
          <w:sz w:val="20"/>
        </w:rPr>
        <w:t> </w:t>
      </w:r>
      <w:r>
        <w:rPr>
          <w:w w:val="105"/>
          <w:sz w:val="20"/>
        </w:rPr>
        <w:t>questioning</w:t>
      </w:r>
      <w:r>
        <w:rPr>
          <w:spacing w:val="-13"/>
          <w:w w:val="105"/>
          <w:sz w:val="20"/>
        </w:rPr>
        <w:t> </w:t>
      </w:r>
      <w:r>
        <w:rPr>
          <w:w w:val="105"/>
          <w:sz w:val="20"/>
        </w:rPr>
        <w:t>the</w:t>
      </w:r>
      <w:r>
        <w:rPr>
          <w:spacing w:val="-13"/>
          <w:w w:val="105"/>
          <w:sz w:val="20"/>
        </w:rPr>
        <w:t> </w:t>
      </w:r>
      <w:r>
        <w:rPr>
          <w:w w:val="105"/>
          <w:sz w:val="20"/>
        </w:rPr>
        <w:t>integrity</w:t>
      </w:r>
      <w:r>
        <w:rPr>
          <w:spacing w:val="-13"/>
          <w:w w:val="105"/>
          <w:sz w:val="20"/>
        </w:rPr>
        <w:t> </w:t>
      </w:r>
      <w:r>
        <w:rPr>
          <w:w w:val="105"/>
          <w:sz w:val="20"/>
        </w:rPr>
        <w:t>of</w:t>
      </w:r>
      <w:r>
        <w:rPr>
          <w:spacing w:val="-13"/>
          <w:w w:val="105"/>
          <w:sz w:val="20"/>
        </w:rPr>
        <w:t> </w:t>
      </w:r>
      <w:r>
        <w:rPr>
          <w:w w:val="105"/>
          <w:sz w:val="20"/>
        </w:rPr>
        <w:t>the government’s</w:t>
      </w:r>
      <w:r>
        <w:rPr>
          <w:spacing w:val="-15"/>
          <w:w w:val="105"/>
          <w:sz w:val="20"/>
        </w:rPr>
        <w:t> </w:t>
      </w:r>
      <w:r>
        <w:rPr>
          <w:w w:val="105"/>
          <w:sz w:val="20"/>
        </w:rPr>
        <w:t>actions</w:t>
      </w:r>
      <w:r>
        <w:rPr>
          <w:spacing w:val="-15"/>
          <w:w w:val="105"/>
          <w:sz w:val="20"/>
        </w:rPr>
        <w:t> </w:t>
      </w:r>
      <w:r>
        <w:rPr>
          <w:w w:val="105"/>
          <w:sz w:val="20"/>
        </w:rPr>
        <w:t>that</w:t>
      </w:r>
      <w:r>
        <w:rPr>
          <w:spacing w:val="-14"/>
          <w:w w:val="105"/>
          <w:sz w:val="20"/>
        </w:rPr>
        <w:t> </w:t>
      </w:r>
      <w:r>
        <w:rPr>
          <w:w w:val="105"/>
          <w:sz w:val="20"/>
        </w:rPr>
        <w:t>clearly</w:t>
      </w:r>
      <w:r>
        <w:rPr>
          <w:spacing w:val="-15"/>
          <w:w w:val="105"/>
          <w:sz w:val="20"/>
        </w:rPr>
        <w:t> </w:t>
      </w:r>
      <w:r>
        <w:rPr>
          <w:w w:val="105"/>
          <w:sz w:val="20"/>
        </w:rPr>
        <w:t>sought</w:t>
      </w:r>
      <w:r>
        <w:rPr>
          <w:spacing w:val="-14"/>
          <w:w w:val="105"/>
          <w:sz w:val="20"/>
        </w:rPr>
        <w:t> </w:t>
      </w:r>
      <w:r>
        <w:rPr>
          <w:w w:val="105"/>
          <w:sz w:val="20"/>
        </w:rPr>
        <w:t>to</w:t>
      </w:r>
      <w:r>
        <w:rPr>
          <w:spacing w:val="-15"/>
          <w:w w:val="105"/>
          <w:sz w:val="20"/>
        </w:rPr>
        <w:t> </w:t>
      </w:r>
      <w:r>
        <w:rPr>
          <w:w w:val="105"/>
          <w:sz w:val="20"/>
        </w:rPr>
        <w:t>remove</w:t>
      </w:r>
      <w:r>
        <w:rPr>
          <w:spacing w:val="-15"/>
          <w:w w:val="105"/>
          <w:sz w:val="20"/>
        </w:rPr>
        <w:t> </w:t>
      </w:r>
      <w:r>
        <w:rPr>
          <w:w w:val="105"/>
          <w:sz w:val="20"/>
        </w:rPr>
        <w:t>this</w:t>
      </w:r>
      <w:r>
        <w:rPr>
          <w:spacing w:val="-14"/>
          <w:w w:val="105"/>
          <w:sz w:val="20"/>
        </w:rPr>
        <w:t> </w:t>
      </w:r>
      <w:r>
        <w:rPr>
          <w:w w:val="105"/>
          <w:sz w:val="20"/>
        </w:rPr>
        <w:t>roadblock.</w:t>
      </w:r>
    </w:p>
    <w:p>
      <w:pPr>
        <w:pStyle w:val="BodyText"/>
        <w:spacing w:before="4"/>
        <w:rPr>
          <w:sz w:val="21"/>
        </w:rPr>
      </w:pPr>
    </w:p>
    <w:p>
      <w:pPr>
        <w:spacing w:line="300" w:lineRule="auto" w:before="0"/>
        <w:ind w:left="560" w:right="561" w:firstLine="0"/>
        <w:jc w:val="left"/>
        <w:rPr>
          <w:sz w:val="20"/>
        </w:rPr>
      </w:pPr>
      <w:r>
        <w:rPr>
          <w:spacing w:val="-2"/>
          <w:w w:val="105"/>
          <w:sz w:val="20"/>
        </w:rPr>
        <w:t>After</w:t>
      </w:r>
      <w:r>
        <w:rPr>
          <w:spacing w:val="-6"/>
          <w:w w:val="105"/>
          <w:sz w:val="20"/>
        </w:rPr>
        <w:t> </w:t>
      </w:r>
      <w:r>
        <w:rPr>
          <w:spacing w:val="-2"/>
          <w:w w:val="105"/>
          <w:sz w:val="20"/>
        </w:rPr>
        <w:t>several</w:t>
      </w:r>
      <w:r>
        <w:rPr>
          <w:spacing w:val="-5"/>
          <w:w w:val="105"/>
          <w:sz w:val="20"/>
        </w:rPr>
        <w:t> </w:t>
      </w:r>
      <w:r>
        <w:rPr>
          <w:spacing w:val="-2"/>
          <w:w w:val="105"/>
          <w:sz w:val="20"/>
        </w:rPr>
        <w:t>additional</w:t>
      </w:r>
      <w:r>
        <w:rPr>
          <w:spacing w:val="-5"/>
          <w:w w:val="105"/>
          <w:sz w:val="20"/>
        </w:rPr>
        <w:t> </w:t>
      </w:r>
      <w:r>
        <w:rPr>
          <w:spacing w:val="-2"/>
          <w:w w:val="105"/>
          <w:sz w:val="20"/>
        </w:rPr>
        <w:t>hearings</w:t>
      </w:r>
      <w:r>
        <w:rPr>
          <w:spacing w:val="-6"/>
          <w:w w:val="105"/>
          <w:sz w:val="20"/>
        </w:rPr>
        <w:t> </w:t>
      </w:r>
      <w:r>
        <w:rPr>
          <w:spacing w:val="-2"/>
          <w:w w:val="105"/>
          <w:sz w:val="20"/>
        </w:rPr>
        <w:t>and</w:t>
      </w:r>
      <w:r>
        <w:rPr>
          <w:spacing w:val="-6"/>
          <w:w w:val="105"/>
          <w:sz w:val="20"/>
        </w:rPr>
        <w:t> </w:t>
      </w:r>
      <w:r>
        <w:rPr>
          <w:spacing w:val="-2"/>
          <w:w w:val="105"/>
          <w:sz w:val="20"/>
        </w:rPr>
        <w:t>engagements</w:t>
      </w:r>
      <w:r>
        <w:rPr>
          <w:spacing w:val="-6"/>
          <w:w w:val="105"/>
          <w:sz w:val="20"/>
        </w:rPr>
        <w:t> </w:t>
      </w:r>
      <w:r>
        <w:rPr>
          <w:spacing w:val="-2"/>
          <w:w w:val="105"/>
          <w:sz w:val="20"/>
        </w:rPr>
        <w:t>with</w:t>
      </w:r>
      <w:r>
        <w:rPr>
          <w:spacing w:val="-6"/>
          <w:w w:val="105"/>
          <w:sz w:val="20"/>
        </w:rPr>
        <w:t> </w:t>
      </w:r>
      <w:r>
        <w:rPr>
          <w:spacing w:val="-2"/>
          <w:w w:val="105"/>
          <w:sz w:val="20"/>
        </w:rPr>
        <w:t>international</w:t>
      </w:r>
      <w:r>
        <w:rPr>
          <w:spacing w:val="-5"/>
          <w:w w:val="105"/>
          <w:sz w:val="20"/>
        </w:rPr>
        <w:t> </w:t>
      </w:r>
      <w:r>
        <w:rPr>
          <w:spacing w:val="-2"/>
          <w:w w:val="105"/>
          <w:sz w:val="20"/>
        </w:rPr>
        <w:t>experts</w:t>
      </w:r>
      <w:r>
        <w:rPr>
          <w:spacing w:val="-6"/>
          <w:w w:val="105"/>
          <w:sz w:val="20"/>
        </w:rPr>
        <w:t> </w:t>
      </w:r>
      <w:r>
        <w:rPr>
          <w:spacing w:val="-2"/>
          <w:w w:val="105"/>
          <w:sz w:val="20"/>
        </w:rPr>
        <w:t>to</w:t>
      </w:r>
      <w:r>
        <w:rPr>
          <w:spacing w:val="-6"/>
          <w:w w:val="105"/>
          <w:sz w:val="20"/>
        </w:rPr>
        <w:t> </w:t>
      </w:r>
      <w:r>
        <w:rPr>
          <w:spacing w:val="-2"/>
          <w:w w:val="105"/>
          <w:sz w:val="20"/>
        </w:rPr>
        <w:t>ascertain</w:t>
      </w:r>
      <w:r>
        <w:rPr>
          <w:spacing w:val="-6"/>
          <w:w w:val="105"/>
          <w:sz w:val="20"/>
        </w:rPr>
        <w:t> </w:t>
      </w:r>
      <w:r>
        <w:rPr>
          <w:spacing w:val="-2"/>
          <w:w w:val="105"/>
          <w:sz w:val="20"/>
        </w:rPr>
        <w:t>the true</w:t>
      </w:r>
      <w:r>
        <w:rPr>
          <w:spacing w:val="-6"/>
          <w:w w:val="105"/>
          <w:sz w:val="20"/>
        </w:rPr>
        <w:t> </w:t>
      </w:r>
      <w:r>
        <w:rPr>
          <w:spacing w:val="-2"/>
          <w:w w:val="105"/>
          <w:sz w:val="20"/>
        </w:rPr>
        <w:t>dangers</w:t>
      </w:r>
      <w:r>
        <w:rPr>
          <w:spacing w:val="-6"/>
          <w:w w:val="105"/>
          <w:sz w:val="20"/>
        </w:rPr>
        <w:t> </w:t>
      </w:r>
      <w:r>
        <w:rPr>
          <w:spacing w:val="-2"/>
          <w:w w:val="105"/>
          <w:sz w:val="20"/>
        </w:rPr>
        <w:t>from</w:t>
      </w:r>
      <w:r>
        <w:rPr>
          <w:spacing w:val="-6"/>
          <w:w w:val="105"/>
          <w:sz w:val="20"/>
        </w:rPr>
        <w:t> </w:t>
      </w:r>
      <w:r>
        <w:rPr>
          <w:spacing w:val="-2"/>
          <w:w w:val="105"/>
          <w:sz w:val="20"/>
        </w:rPr>
        <w:t>vibrations</w:t>
      </w:r>
      <w:r>
        <w:rPr>
          <w:spacing w:val="-6"/>
          <w:w w:val="105"/>
          <w:sz w:val="20"/>
        </w:rPr>
        <w:t> </w:t>
      </w:r>
      <w:r>
        <w:rPr>
          <w:spacing w:val="-2"/>
          <w:w w:val="105"/>
          <w:sz w:val="20"/>
        </w:rPr>
        <w:t>to</w:t>
      </w:r>
      <w:r>
        <w:rPr>
          <w:spacing w:val="-6"/>
          <w:w w:val="105"/>
          <w:sz w:val="20"/>
        </w:rPr>
        <w:t> </w:t>
      </w:r>
      <w:r>
        <w:rPr>
          <w:spacing w:val="-2"/>
          <w:w w:val="105"/>
          <w:sz w:val="20"/>
        </w:rPr>
        <w:t>the</w:t>
      </w:r>
      <w:r>
        <w:rPr>
          <w:spacing w:val="-6"/>
          <w:w w:val="105"/>
          <w:sz w:val="20"/>
        </w:rPr>
        <w:t> </w:t>
      </w:r>
      <w:r>
        <w:rPr>
          <w:spacing w:val="-2"/>
          <w:w w:val="105"/>
          <w:sz w:val="20"/>
        </w:rPr>
        <w:t>integrity</w:t>
      </w:r>
      <w:r>
        <w:rPr>
          <w:spacing w:val="-6"/>
          <w:w w:val="105"/>
          <w:sz w:val="20"/>
        </w:rPr>
        <w:t> </w:t>
      </w:r>
      <w:r>
        <w:rPr>
          <w:spacing w:val="-2"/>
          <w:w w:val="105"/>
          <w:sz w:val="20"/>
        </w:rPr>
        <w:t>of</w:t>
      </w:r>
      <w:r>
        <w:rPr>
          <w:spacing w:val="-6"/>
          <w:w w:val="105"/>
          <w:sz w:val="20"/>
        </w:rPr>
        <w:t> </w:t>
      </w:r>
      <w:r>
        <w:rPr>
          <w:spacing w:val="-2"/>
          <w:w w:val="105"/>
          <w:sz w:val="20"/>
        </w:rPr>
        <w:t>historic</w:t>
      </w:r>
      <w:r>
        <w:rPr>
          <w:spacing w:val="-6"/>
          <w:w w:val="105"/>
          <w:sz w:val="20"/>
        </w:rPr>
        <w:t> </w:t>
      </w:r>
      <w:r>
        <w:rPr>
          <w:spacing w:val="-2"/>
          <w:w w:val="105"/>
          <w:sz w:val="20"/>
        </w:rPr>
        <w:t>buildings,</w:t>
      </w:r>
      <w:r>
        <w:rPr>
          <w:spacing w:val="-6"/>
          <w:w w:val="105"/>
          <w:sz w:val="20"/>
        </w:rPr>
        <w:t> </w:t>
      </w:r>
      <w:r>
        <w:rPr>
          <w:spacing w:val="-2"/>
          <w:w w:val="105"/>
          <w:sz w:val="20"/>
        </w:rPr>
        <w:t>the</w:t>
      </w:r>
      <w:r>
        <w:rPr>
          <w:spacing w:val="-6"/>
          <w:w w:val="105"/>
          <w:sz w:val="20"/>
        </w:rPr>
        <w:t> </w:t>
      </w:r>
      <w:r>
        <w:rPr>
          <w:spacing w:val="-2"/>
          <w:w w:val="105"/>
          <w:sz w:val="20"/>
        </w:rPr>
        <w:t>SCP</w:t>
      </w:r>
      <w:r>
        <w:rPr>
          <w:spacing w:val="-6"/>
          <w:w w:val="105"/>
          <w:sz w:val="20"/>
        </w:rPr>
        <w:t> </w:t>
      </w:r>
      <w:r>
        <w:rPr>
          <w:spacing w:val="-2"/>
          <w:w w:val="105"/>
          <w:sz w:val="20"/>
        </w:rPr>
        <w:t>ﬁnally</w:t>
      </w:r>
      <w:r>
        <w:rPr>
          <w:spacing w:val="-6"/>
          <w:w w:val="105"/>
          <w:sz w:val="20"/>
        </w:rPr>
        <w:t> </w:t>
      </w:r>
      <w:r>
        <w:rPr>
          <w:spacing w:val="-2"/>
          <w:w w:val="105"/>
          <w:sz w:val="20"/>
        </w:rPr>
        <w:t>authorized</w:t>
      </w:r>
      <w:r>
        <w:rPr>
          <w:spacing w:val="-6"/>
          <w:w w:val="105"/>
          <w:sz w:val="20"/>
        </w:rPr>
        <w:t> </w:t>
      </w:r>
      <w:r>
        <w:rPr>
          <w:spacing w:val="-2"/>
          <w:w w:val="105"/>
          <w:sz w:val="20"/>
        </w:rPr>
        <w:t>the </w:t>
      </w:r>
      <w:r>
        <w:rPr>
          <w:w w:val="105"/>
          <w:sz w:val="20"/>
        </w:rPr>
        <w:t>project’s</w:t>
      </w:r>
      <w:r>
        <w:rPr>
          <w:spacing w:val="-10"/>
          <w:w w:val="105"/>
          <w:sz w:val="20"/>
        </w:rPr>
        <w:t> </w:t>
      </w:r>
      <w:r>
        <w:rPr>
          <w:w w:val="105"/>
          <w:sz w:val="20"/>
        </w:rPr>
        <w:t>resumption</w:t>
      </w:r>
      <w:r>
        <w:rPr>
          <w:spacing w:val="-11"/>
          <w:w w:val="105"/>
          <w:sz w:val="20"/>
        </w:rPr>
        <w:t> </w:t>
      </w:r>
      <w:r>
        <w:rPr>
          <w:w w:val="105"/>
          <w:sz w:val="20"/>
        </w:rPr>
        <w:t>in</w:t>
      </w:r>
      <w:r>
        <w:rPr>
          <w:spacing w:val="-10"/>
          <w:w w:val="105"/>
          <w:sz w:val="20"/>
        </w:rPr>
        <w:t> </w:t>
      </w:r>
      <w:r>
        <w:rPr>
          <w:w w:val="105"/>
          <w:sz w:val="20"/>
        </w:rPr>
        <w:t>December</w:t>
      </w:r>
      <w:r>
        <w:rPr>
          <w:spacing w:val="-11"/>
          <w:w w:val="105"/>
          <w:sz w:val="20"/>
        </w:rPr>
        <w:t> </w:t>
      </w:r>
      <w:r>
        <w:rPr>
          <w:w w:val="105"/>
          <w:sz w:val="20"/>
        </w:rPr>
        <w:t>2017</w:t>
      </w:r>
      <w:r>
        <w:rPr>
          <w:spacing w:val="-10"/>
          <w:w w:val="105"/>
          <w:sz w:val="20"/>
        </w:rPr>
        <w:t> </w:t>
      </w:r>
      <w:r>
        <w:rPr>
          <w:w w:val="105"/>
          <w:sz w:val="20"/>
        </w:rPr>
        <w:t>on</w:t>
      </w:r>
      <w:r>
        <w:rPr>
          <w:spacing w:val="-11"/>
          <w:w w:val="105"/>
          <w:sz w:val="20"/>
        </w:rPr>
        <w:t> </w:t>
      </w:r>
      <w:r>
        <w:rPr>
          <w:w w:val="105"/>
          <w:sz w:val="20"/>
        </w:rPr>
        <w:t>the</w:t>
      </w:r>
      <w:r>
        <w:rPr>
          <w:spacing w:val="-10"/>
          <w:w w:val="105"/>
          <w:sz w:val="20"/>
        </w:rPr>
        <w:t> </w:t>
      </w:r>
      <w:r>
        <w:rPr>
          <w:w w:val="105"/>
          <w:sz w:val="20"/>
        </w:rPr>
        <w:t>condition</w:t>
      </w:r>
      <w:r>
        <w:rPr>
          <w:spacing w:val="-11"/>
          <w:w w:val="105"/>
          <w:sz w:val="20"/>
        </w:rPr>
        <w:t> </w:t>
      </w:r>
      <w:r>
        <w:rPr>
          <w:w w:val="105"/>
          <w:sz w:val="20"/>
        </w:rPr>
        <w:t>that</w:t>
      </w:r>
      <w:r>
        <w:rPr>
          <w:spacing w:val="-10"/>
          <w:w w:val="105"/>
          <w:sz w:val="20"/>
        </w:rPr>
        <w:t> </w:t>
      </w:r>
      <w:r>
        <w:rPr>
          <w:w w:val="105"/>
          <w:sz w:val="20"/>
        </w:rPr>
        <w:t>its</w:t>
      </w:r>
      <w:r>
        <w:rPr>
          <w:spacing w:val="-11"/>
          <w:w w:val="105"/>
          <w:sz w:val="20"/>
        </w:rPr>
        <w:t> </w:t>
      </w:r>
      <w:r>
        <w:rPr>
          <w:w w:val="105"/>
          <w:sz w:val="20"/>
        </w:rPr>
        <w:t>31-item</w:t>
      </w:r>
      <w:r>
        <w:rPr>
          <w:spacing w:val="-10"/>
          <w:w w:val="105"/>
          <w:sz w:val="20"/>
        </w:rPr>
        <w:t> </w:t>
      </w:r>
      <w:r>
        <w:rPr>
          <w:w w:val="105"/>
          <w:sz w:val="20"/>
        </w:rPr>
        <w:t>strong</w:t>
      </w:r>
      <w:r>
        <w:rPr>
          <w:spacing w:val="-11"/>
          <w:w w:val="105"/>
          <w:sz w:val="20"/>
        </w:rPr>
        <w:t> </w:t>
      </w:r>
      <w:r>
        <w:rPr>
          <w:w w:val="105"/>
          <w:sz w:val="20"/>
        </w:rPr>
        <w:t>list</w:t>
      </w:r>
      <w:r>
        <w:rPr>
          <w:spacing w:val="-10"/>
          <w:w w:val="105"/>
          <w:sz w:val="20"/>
        </w:rPr>
        <w:t> </w:t>
      </w:r>
      <w:r>
        <w:rPr>
          <w:w w:val="105"/>
          <w:sz w:val="20"/>
        </w:rPr>
        <w:t>of </w:t>
      </w:r>
      <w:r>
        <w:rPr>
          <w:sz w:val="20"/>
        </w:rPr>
        <w:t>requirements</w:t>
      </w:r>
      <w:r>
        <w:rPr>
          <w:spacing w:val="-1"/>
          <w:sz w:val="20"/>
        </w:rPr>
        <w:t> </w:t>
      </w:r>
      <w:r>
        <w:rPr>
          <w:sz w:val="20"/>
        </w:rPr>
        <w:t>would</w:t>
      </w:r>
      <w:r>
        <w:rPr>
          <w:spacing w:val="-1"/>
          <w:sz w:val="20"/>
        </w:rPr>
        <w:t> </w:t>
      </w:r>
      <w:r>
        <w:rPr>
          <w:sz w:val="20"/>
        </w:rPr>
        <w:t>be</w:t>
      </w:r>
      <w:r>
        <w:rPr>
          <w:spacing w:val="-1"/>
          <w:sz w:val="20"/>
        </w:rPr>
        <w:t> </w:t>
      </w:r>
      <w:r>
        <w:rPr>
          <w:sz w:val="20"/>
        </w:rPr>
        <w:t>implemented</w:t>
      </w:r>
      <w:r>
        <w:rPr>
          <w:spacing w:val="-1"/>
          <w:sz w:val="20"/>
        </w:rPr>
        <w:t> </w:t>
      </w:r>
      <w:r>
        <w:rPr>
          <w:sz w:val="20"/>
        </w:rPr>
        <w:t>(NESPAK</w:t>
      </w:r>
      <w:r>
        <w:rPr>
          <w:spacing w:val="-1"/>
          <w:sz w:val="20"/>
        </w:rPr>
        <w:t> </w:t>
      </w:r>
      <w:r>
        <w:rPr>
          <w:sz w:val="20"/>
        </w:rPr>
        <w:t>v.</w:t>
      </w:r>
      <w:r>
        <w:rPr>
          <w:spacing w:val="-1"/>
          <w:sz w:val="20"/>
        </w:rPr>
        <w:t> </w:t>
      </w:r>
      <w:r>
        <w:rPr>
          <w:sz w:val="20"/>
        </w:rPr>
        <w:t>Mumtaz</w:t>
      </w:r>
      <w:r>
        <w:rPr>
          <w:spacing w:val="-1"/>
          <w:sz w:val="20"/>
        </w:rPr>
        <w:t> </w:t>
      </w:r>
      <w:r>
        <w:rPr>
          <w:sz w:val="20"/>
        </w:rPr>
        <w:t>2017).</w:t>
      </w:r>
      <w:r>
        <w:rPr>
          <w:spacing w:val="-1"/>
          <w:sz w:val="20"/>
        </w:rPr>
        <w:t> </w:t>
      </w:r>
      <w:r>
        <w:rPr>
          <w:sz w:val="20"/>
        </w:rPr>
        <w:t>Within</w:t>
      </w:r>
      <w:r>
        <w:rPr>
          <w:spacing w:val="-1"/>
          <w:sz w:val="20"/>
        </w:rPr>
        <w:t> </w:t>
      </w:r>
      <w:r>
        <w:rPr>
          <w:sz w:val="20"/>
        </w:rPr>
        <w:t>days,</w:t>
      </w:r>
      <w:r>
        <w:rPr>
          <w:spacing w:val="-1"/>
          <w:sz w:val="20"/>
        </w:rPr>
        <w:t> </w:t>
      </w:r>
      <w:r>
        <w:rPr>
          <w:sz w:val="20"/>
        </w:rPr>
        <w:t>“Shehbaz</w:t>
      </w:r>
      <w:r>
        <w:rPr>
          <w:spacing w:val="-1"/>
          <w:sz w:val="20"/>
        </w:rPr>
        <w:t> </w:t>
      </w:r>
      <w:r>
        <w:rPr>
          <w:sz w:val="20"/>
        </w:rPr>
        <w:t>speed” </w:t>
      </w:r>
      <w:r>
        <w:rPr>
          <w:spacing w:val="-2"/>
          <w:w w:val="105"/>
          <w:sz w:val="20"/>
        </w:rPr>
        <w:t>was</w:t>
      </w:r>
      <w:r>
        <w:rPr>
          <w:spacing w:val="-11"/>
          <w:w w:val="105"/>
          <w:sz w:val="20"/>
        </w:rPr>
        <w:t> </w:t>
      </w:r>
      <w:r>
        <w:rPr>
          <w:spacing w:val="-2"/>
          <w:w w:val="105"/>
          <w:sz w:val="20"/>
        </w:rPr>
        <w:t>on</w:t>
      </w:r>
      <w:r>
        <w:rPr>
          <w:spacing w:val="-11"/>
          <w:w w:val="105"/>
          <w:sz w:val="20"/>
        </w:rPr>
        <w:t> </w:t>
      </w:r>
      <w:r>
        <w:rPr>
          <w:spacing w:val="-2"/>
          <w:w w:val="105"/>
          <w:sz w:val="20"/>
        </w:rPr>
        <w:t>full</w:t>
      </w:r>
      <w:r>
        <w:rPr>
          <w:spacing w:val="-10"/>
          <w:w w:val="105"/>
          <w:sz w:val="20"/>
        </w:rPr>
        <w:t> </w:t>
      </w:r>
      <w:r>
        <w:rPr>
          <w:spacing w:val="-2"/>
          <w:w w:val="105"/>
          <w:sz w:val="20"/>
        </w:rPr>
        <w:t>display,</w:t>
      </w:r>
      <w:r>
        <w:rPr>
          <w:spacing w:val="-11"/>
          <w:w w:val="105"/>
          <w:sz w:val="20"/>
        </w:rPr>
        <w:t> </w:t>
      </w:r>
      <w:r>
        <w:rPr>
          <w:spacing w:val="-2"/>
          <w:w w:val="105"/>
          <w:sz w:val="20"/>
        </w:rPr>
        <w:t>as</w:t>
      </w:r>
      <w:r>
        <w:rPr>
          <w:spacing w:val="-11"/>
          <w:w w:val="105"/>
          <w:sz w:val="20"/>
        </w:rPr>
        <w:t> </w:t>
      </w:r>
      <w:r>
        <w:rPr>
          <w:spacing w:val="-2"/>
          <w:w w:val="105"/>
          <w:sz w:val="20"/>
        </w:rPr>
        <w:t>construction</w:t>
      </w:r>
      <w:r>
        <w:rPr>
          <w:spacing w:val="-11"/>
          <w:w w:val="105"/>
          <w:sz w:val="20"/>
        </w:rPr>
        <w:t> </w:t>
      </w:r>
      <w:r>
        <w:rPr>
          <w:spacing w:val="-2"/>
          <w:w w:val="105"/>
          <w:sz w:val="20"/>
        </w:rPr>
        <w:t>around</w:t>
      </w:r>
      <w:r>
        <w:rPr>
          <w:spacing w:val="-11"/>
          <w:w w:val="105"/>
          <w:sz w:val="20"/>
        </w:rPr>
        <w:t> </w:t>
      </w:r>
      <w:r>
        <w:rPr>
          <w:spacing w:val="-2"/>
          <w:w w:val="105"/>
          <w:sz w:val="20"/>
        </w:rPr>
        <w:t>these</w:t>
      </w:r>
      <w:r>
        <w:rPr>
          <w:spacing w:val="-11"/>
          <w:w w:val="105"/>
          <w:sz w:val="20"/>
        </w:rPr>
        <w:t> </w:t>
      </w:r>
      <w:r>
        <w:rPr>
          <w:spacing w:val="-2"/>
          <w:w w:val="105"/>
          <w:sz w:val="20"/>
        </w:rPr>
        <w:t>sites</w:t>
      </w:r>
      <w:r>
        <w:rPr>
          <w:spacing w:val="-11"/>
          <w:w w:val="105"/>
          <w:sz w:val="20"/>
        </w:rPr>
        <w:t> </w:t>
      </w:r>
      <w:r>
        <w:rPr>
          <w:spacing w:val="-2"/>
          <w:w w:val="105"/>
          <w:sz w:val="20"/>
        </w:rPr>
        <w:t>resumed</w:t>
      </w:r>
      <w:r>
        <w:rPr>
          <w:spacing w:val="-11"/>
          <w:w w:val="105"/>
          <w:sz w:val="20"/>
        </w:rPr>
        <w:t> </w:t>
      </w:r>
      <w:r>
        <w:rPr>
          <w:spacing w:val="-2"/>
          <w:w w:val="105"/>
          <w:sz w:val="20"/>
        </w:rPr>
        <w:t>after</w:t>
      </w:r>
      <w:r>
        <w:rPr>
          <w:spacing w:val="-11"/>
          <w:w w:val="105"/>
          <w:sz w:val="20"/>
        </w:rPr>
        <w:t> </w:t>
      </w:r>
      <w:r>
        <w:rPr>
          <w:spacing w:val="-2"/>
          <w:w w:val="105"/>
          <w:sz w:val="20"/>
        </w:rPr>
        <w:t>a</w:t>
      </w:r>
      <w:r>
        <w:rPr>
          <w:spacing w:val="-11"/>
          <w:w w:val="105"/>
          <w:sz w:val="20"/>
        </w:rPr>
        <w:t> </w:t>
      </w:r>
      <w:r>
        <w:rPr>
          <w:spacing w:val="-2"/>
          <w:w w:val="105"/>
          <w:sz w:val="20"/>
        </w:rPr>
        <w:t>delay</w:t>
      </w:r>
      <w:r>
        <w:rPr>
          <w:spacing w:val="-11"/>
          <w:w w:val="105"/>
          <w:sz w:val="20"/>
        </w:rPr>
        <w:t> </w:t>
      </w:r>
      <w:r>
        <w:rPr>
          <w:spacing w:val="-2"/>
          <w:w w:val="105"/>
          <w:sz w:val="20"/>
        </w:rPr>
        <w:t>of</w:t>
      </w:r>
      <w:r>
        <w:rPr>
          <w:spacing w:val="-11"/>
          <w:w w:val="105"/>
          <w:sz w:val="20"/>
        </w:rPr>
        <w:t> </w:t>
      </w:r>
      <w:r>
        <w:rPr>
          <w:spacing w:val="-2"/>
          <w:w w:val="105"/>
          <w:sz w:val="20"/>
        </w:rPr>
        <w:t>nearly</w:t>
      </w:r>
      <w:r>
        <w:rPr>
          <w:spacing w:val="-11"/>
          <w:w w:val="105"/>
          <w:sz w:val="20"/>
        </w:rPr>
        <w:t> </w:t>
      </w:r>
      <w:r>
        <w:rPr>
          <w:spacing w:val="-2"/>
          <w:w w:val="105"/>
          <w:sz w:val="20"/>
        </w:rPr>
        <w:t>two years.</w:t>
      </w:r>
      <w:r>
        <w:rPr>
          <w:spacing w:val="-2"/>
          <w:w w:val="105"/>
          <w:sz w:val="20"/>
          <w:vertAlign w:val="superscript"/>
        </w:rPr>
        <w:t>288</w:t>
      </w:r>
      <w:r>
        <w:rPr>
          <w:spacing w:val="-7"/>
          <w:w w:val="105"/>
          <w:sz w:val="20"/>
          <w:vertAlign w:val="baseline"/>
        </w:rPr>
        <w:t> </w:t>
      </w:r>
      <w:r>
        <w:rPr>
          <w:spacing w:val="-2"/>
          <w:w w:val="105"/>
          <w:sz w:val="20"/>
          <w:vertAlign w:val="baseline"/>
        </w:rPr>
        <w:t>Notwithstanding</w:t>
      </w:r>
      <w:r>
        <w:rPr>
          <w:spacing w:val="-8"/>
          <w:w w:val="105"/>
          <w:sz w:val="20"/>
          <w:vertAlign w:val="baseline"/>
        </w:rPr>
        <w:t> </w:t>
      </w:r>
      <w:r>
        <w:rPr>
          <w:spacing w:val="-2"/>
          <w:w w:val="105"/>
          <w:sz w:val="20"/>
          <w:vertAlign w:val="baseline"/>
        </w:rPr>
        <w:t>these</w:t>
      </w:r>
      <w:r>
        <w:rPr>
          <w:spacing w:val="-8"/>
          <w:w w:val="105"/>
          <w:sz w:val="20"/>
          <w:vertAlign w:val="baseline"/>
        </w:rPr>
        <w:t> </w:t>
      </w:r>
      <w:r>
        <w:rPr>
          <w:spacing w:val="-2"/>
          <w:w w:val="105"/>
          <w:sz w:val="20"/>
          <w:vertAlign w:val="baseline"/>
        </w:rPr>
        <w:t>efforts,</w:t>
      </w:r>
      <w:r>
        <w:rPr>
          <w:spacing w:val="-8"/>
          <w:w w:val="105"/>
          <w:sz w:val="20"/>
          <w:vertAlign w:val="baseline"/>
        </w:rPr>
        <w:t> </w:t>
      </w:r>
      <w:r>
        <w:rPr>
          <w:spacing w:val="-2"/>
          <w:w w:val="105"/>
          <w:sz w:val="20"/>
          <w:vertAlign w:val="baseline"/>
        </w:rPr>
        <w:t>the</w:t>
      </w:r>
      <w:r>
        <w:rPr>
          <w:spacing w:val="-8"/>
          <w:w w:val="105"/>
          <w:sz w:val="20"/>
          <w:vertAlign w:val="baseline"/>
        </w:rPr>
        <w:t> </w:t>
      </w:r>
      <w:r>
        <w:rPr>
          <w:spacing w:val="-2"/>
          <w:w w:val="105"/>
          <w:sz w:val="20"/>
          <w:vertAlign w:val="baseline"/>
        </w:rPr>
        <w:t>Sharif</w:t>
      </w:r>
      <w:r>
        <w:rPr>
          <w:spacing w:val="-8"/>
          <w:w w:val="105"/>
          <w:sz w:val="20"/>
          <w:vertAlign w:val="baseline"/>
        </w:rPr>
        <w:t> </w:t>
      </w:r>
      <w:r>
        <w:rPr>
          <w:spacing w:val="-2"/>
          <w:w w:val="105"/>
          <w:sz w:val="20"/>
          <w:vertAlign w:val="baseline"/>
        </w:rPr>
        <w:t>administration</w:t>
      </w:r>
      <w:r>
        <w:rPr>
          <w:spacing w:val="-8"/>
          <w:w w:val="105"/>
          <w:sz w:val="20"/>
          <w:vertAlign w:val="baseline"/>
        </w:rPr>
        <w:t> </w:t>
      </w:r>
      <w:r>
        <w:rPr>
          <w:spacing w:val="-2"/>
          <w:w w:val="105"/>
          <w:sz w:val="20"/>
          <w:vertAlign w:val="baseline"/>
        </w:rPr>
        <w:t>was</w:t>
      </w:r>
      <w:r>
        <w:rPr>
          <w:spacing w:val="-8"/>
          <w:w w:val="105"/>
          <w:sz w:val="20"/>
          <w:vertAlign w:val="baseline"/>
        </w:rPr>
        <w:t> </w:t>
      </w:r>
      <w:r>
        <w:rPr>
          <w:spacing w:val="-2"/>
          <w:w w:val="105"/>
          <w:sz w:val="20"/>
          <w:vertAlign w:val="baseline"/>
        </w:rPr>
        <w:t>unable</w:t>
      </w:r>
      <w:r>
        <w:rPr>
          <w:spacing w:val="-8"/>
          <w:w w:val="105"/>
          <w:sz w:val="20"/>
          <w:vertAlign w:val="baseline"/>
        </w:rPr>
        <w:t> </w:t>
      </w:r>
      <w:r>
        <w:rPr>
          <w:spacing w:val="-2"/>
          <w:w w:val="105"/>
          <w:sz w:val="20"/>
          <w:vertAlign w:val="baseline"/>
        </w:rPr>
        <w:t>to</w:t>
      </w:r>
      <w:r>
        <w:rPr>
          <w:spacing w:val="-8"/>
          <w:w w:val="105"/>
          <w:sz w:val="20"/>
          <w:vertAlign w:val="baseline"/>
        </w:rPr>
        <w:t> </w:t>
      </w:r>
      <w:r>
        <w:rPr>
          <w:spacing w:val="-2"/>
          <w:w w:val="105"/>
          <w:sz w:val="20"/>
          <w:vertAlign w:val="baseline"/>
        </w:rPr>
        <w:t>complete</w:t>
      </w:r>
      <w:r>
        <w:rPr>
          <w:spacing w:val="-8"/>
          <w:w w:val="105"/>
          <w:sz w:val="20"/>
          <w:vertAlign w:val="baseline"/>
        </w:rPr>
        <w:t> </w:t>
      </w:r>
      <w:r>
        <w:rPr>
          <w:spacing w:val="-2"/>
          <w:w w:val="105"/>
          <w:sz w:val="20"/>
          <w:vertAlign w:val="baseline"/>
        </w:rPr>
        <w:t>the </w:t>
      </w:r>
      <w:r>
        <w:rPr>
          <w:w w:val="105"/>
          <w:sz w:val="20"/>
          <w:vertAlign w:val="baseline"/>
        </w:rPr>
        <w:t>project</w:t>
      </w:r>
      <w:r>
        <w:rPr>
          <w:spacing w:val="-12"/>
          <w:w w:val="105"/>
          <w:sz w:val="20"/>
          <w:vertAlign w:val="baseline"/>
        </w:rPr>
        <w:t> </w:t>
      </w:r>
      <w:r>
        <w:rPr>
          <w:w w:val="105"/>
          <w:sz w:val="20"/>
          <w:vertAlign w:val="baseline"/>
        </w:rPr>
        <w:t>by</w:t>
      </w:r>
      <w:r>
        <w:rPr>
          <w:spacing w:val="-12"/>
          <w:w w:val="105"/>
          <w:sz w:val="20"/>
          <w:vertAlign w:val="baseline"/>
        </w:rPr>
        <w:t> </w:t>
      </w:r>
      <w:r>
        <w:rPr>
          <w:w w:val="105"/>
          <w:sz w:val="20"/>
          <w:vertAlign w:val="baseline"/>
        </w:rPr>
        <w:t>the</w:t>
      </w:r>
      <w:r>
        <w:rPr>
          <w:spacing w:val="-12"/>
          <w:w w:val="105"/>
          <w:sz w:val="20"/>
          <w:vertAlign w:val="baseline"/>
        </w:rPr>
        <w:t> </w:t>
      </w:r>
      <w:r>
        <w:rPr>
          <w:w w:val="105"/>
          <w:sz w:val="20"/>
          <w:vertAlign w:val="baseline"/>
        </w:rPr>
        <w:t>end</w:t>
      </w:r>
      <w:r>
        <w:rPr>
          <w:spacing w:val="-12"/>
          <w:w w:val="105"/>
          <w:sz w:val="20"/>
          <w:vertAlign w:val="baseline"/>
        </w:rPr>
        <w:t> </w:t>
      </w:r>
      <w:r>
        <w:rPr>
          <w:w w:val="105"/>
          <w:sz w:val="20"/>
          <w:vertAlign w:val="baseline"/>
        </w:rPr>
        <w:t>of</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term,</w:t>
      </w:r>
      <w:r>
        <w:rPr>
          <w:spacing w:val="-12"/>
          <w:w w:val="105"/>
          <w:sz w:val="20"/>
          <w:vertAlign w:val="baseline"/>
        </w:rPr>
        <w:t> </w:t>
      </w:r>
      <w:r>
        <w:rPr>
          <w:w w:val="105"/>
          <w:sz w:val="20"/>
          <w:vertAlign w:val="baseline"/>
        </w:rPr>
        <w:t>ultimately</w:t>
      </w:r>
      <w:r>
        <w:rPr>
          <w:spacing w:val="-12"/>
          <w:w w:val="105"/>
          <w:sz w:val="20"/>
          <w:vertAlign w:val="baseline"/>
        </w:rPr>
        <w:t> </w:t>
      </w:r>
      <w:r>
        <w:rPr>
          <w:w w:val="105"/>
          <w:sz w:val="20"/>
          <w:vertAlign w:val="baseline"/>
        </w:rPr>
        <w:t>allowing</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chief</w:t>
      </w:r>
      <w:r>
        <w:rPr>
          <w:spacing w:val="-12"/>
          <w:w w:val="105"/>
          <w:sz w:val="20"/>
          <w:vertAlign w:val="baseline"/>
        </w:rPr>
        <w:t> </w:t>
      </w:r>
      <w:r>
        <w:rPr>
          <w:w w:val="105"/>
          <w:sz w:val="20"/>
          <w:vertAlign w:val="baseline"/>
        </w:rPr>
        <w:t>political</w:t>
      </w:r>
      <w:r>
        <w:rPr>
          <w:spacing w:val="-11"/>
          <w:w w:val="105"/>
          <w:sz w:val="20"/>
          <w:vertAlign w:val="baseline"/>
        </w:rPr>
        <w:t> </w:t>
      </w:r>
      <w:r>
        <w:rPr>
          <w:w w:val="105"/>
          <w:sz w:val="20"/>
          <w:vertAlign w:val="baseline"/>
        </w:rPr>
        <w:t>rivals</w:t>
      </w:r>
      <w:r>
        <w:rPr>
          <w:spacing w:val="-12"/>
          <w:w w:val="105"/>
          <w:sz w:val="20"/>
          <w:vertAlign w:val="baseline"/>
        </w:rPr>
        <w:t> </w:t>
      </w:r>
      <w:r>
        <w:rPr>
          <w:w w:val="105"/>
          <w:sz w:val="20"/>
          <w:vertAlign w:val="baseline"/>
        </w:rPr>
        <w:t>from</w:t>
      </w:r>
      <w:r>
        <w:rPr>
          <w:spacing w:val="-12"/>
          <w:w w:val="105"/>
          <w:sz w:val="20"/>
          <w:vertAlign w:val="baseline"/>
        </w:rPr>
        <w:t> </w:t>
      </w:r>
      <w:r>
        <w:rPr>
          <w:w w:val="105"/>
          <w:sz w:val="20"/>
          <w:vertAlign w:val="baseline"/>
        </w:rPr>
        <w:t>the</w:t>
      </w:r>
      <w:r>
        <w:rPr>
          <w:spacing w:val="-12"/>
          <w:w w:val="105"/>
          <w:sz w:val="20"/>
          <w:vertAlign w:val="baseline"/>
        </w:rPr>
        <w:t> </w:t>
      </w:r>
      <w:r>
        <w:rPr>
          <w:w w:val="105"/>
          <w:sz w:val="20"/>
          <w:vertAlign w:val="baseline"/>
        </w:rPr>
        <w:t>Pakistan Movement</w:t>
      </w:r>
      <w:r>
        <w:rPr>
          <w:spacing w:val="-2"/>
          <w:w w:val="105"/>
          <w:sz w:val="20"/>
          <w:vertAlign w:val="baseline"/>
        </w:rPr>
        <w:t> </w:t>
      </w:r>
      <w:r>
        <w:rPr>
          <w:w w:val="105"/>
          <w:sz w:val="20"/>
          <w:vertAlign w:val="baseline"/>
        </w:rPr>
        <w:t>for</w:t>
      </w:r>
      <w:r>
        <w:rPr>
          <w:spacing w:val="-2"/>
          <w:w w:val="105"/>
          <w:sz w:val="20"/>
          <w:vertAlign w:val="baseline"/>
        </w:rPr>
        <w:t> </w:t>
      </w:r>
      <w:r>
        <w:rPr>
          <w:w w:val="105"/>
          <w:sz w:val="20"/>
          <w:vertAlign w:val="baseline"/>
        </w:rPr>
        <w:t>Justice</w:t>
      </w:r>
      <w:r>
        <w:rPr>
          <w:spacing w:val="-2"/>
          <w:w w:val="105"/>
          <w:sz w:val="20"/>
          <w:vertAlign w:val="baseline"/>
        </w:rPr>
        <w:t> </w:t>
      </w:r>
      <w:r>
        <w:rPr>
          <w:w w:val="105"/>
          <w:sz w:val="20"/>
          <w:vertAlign w:val="baseline"/>
        </w:rPr>
        <w:t>party</w:t>
      </w:r>
      <w:r>
        <w:rPr>
          <w:spacing w:val="-2"/>
          <w:w w:val="105"/>
          <w:sz w:val="20"/>
          <w:vertAlign w:val="baseline"/>
        </w:rPr>
        <w:t> </w:t>
      </w:r>
      <w:r>
        <w:rPr>
          <w:w w:val="105"/>
          <w:sz w:val="20"/>
          <w:vertAlign w:val="baseline"/>
        </w:rPr>
        <w:t>to</w:t>
      </w:r>
      <w:r>
        <w:rPr>
          <w:spacing w:val="-2"/>
          <w:w w:val="105"/>
          <w:sz w:val="20"/>
          <w:vertAlign w:val="baseline"/>
        </w:rPr>
        <w:t> </w:t>
      </w:r>
      <w:r>
        <w:rPr>
          <w:w w:val="105"/>
          <w:sz w:val="20"/>
          <w:vertAlign w:val="baseline"/>
        </w:rPr>
        <w:t>cut</w:t>
      </w:r>
      <w:r>
        <w:rPr>
          <w:spacing w:val="-2"/>
          <w:w w:val="105"/>
          <w:sz w:val="20"/>
          <w:vertAlign w:val="baseline"/>
        </w:rPr>
        <w:t> </w:t>
      </w:r>
      <w:r>
        <w:rPr>
          <w:w w:val="105"/>
          <w:sz w:val="20"/>
          <w:vertAlign w:val="baseline"/>
        </w:rPr>
        <w:t>the</w:t>
      </w:r>
      <w:r>
        <w:rPr>
          <w:spacing w:val="-2"/>
          <w:w w:val="105"/>
          <w:sz w:val="20"/>
          <w:vertAlign w:val="baseline"/>
        </w:rPr>
        <w:t> </w:t>
      </w:r>
      <w:r>
        <w:rPr>
          <w:w w:val="105"/>
          <w:sz w:val="20"/>
          <w:vertAlign w:val="baseline"/>
        </w:rPr>
        <w:t>red</w:t>
      </w:r>
      <w:r>
        <w:rPr>
          <w:spacing w:val="-2"/>
          <w:w w:val="105"/>
          <w:sz w:val="20"/>
          <w:vertAlign w:val="baseline"/>
        </w:rPr>
        <w:t> </w:t>
      </w:r>
      <w:r>
        <w:rPr>
          <w:w w:val="105"/>
          <w:sz w:val="20"/>
          <w:vertAlign w:val="baseline"/>
        </w:rPr>
        <w:t>ribbon</w:t>
      </w:r>
      <w:r>
        <w:rPr>
          <w:spacing w:val="-2"/>
          <w:w w:val="105"/>
          <w:sz w:val="20"/>
          <w:vertAlign w:val="baseline"/>
        </w:rPr>
        <w:t> </w:t>
      </w:r>
      <w:r>
        <w:rPr>
          <w:w w:val="105"/>
          <w:sz w:val="20"/>
          <w:vertAlign w:val="baseline"/>
        </w:rPr>
        <w:t>in</w:t>
      </w:r>
      <w:r>
        <w:rPr>
          <w:spacing w:val="-2"/>
          <w:w w:val="105"/>
          <w:sz w:val="20"/>
          <w:vertAlign w:val="baseline"/>
        </w:rPr>
        <w:t> </w:t>
      </w:r>
      <w:r>
        <w:rPr>
          <w:w w:val="105"/>
          <w:sz w:val="20"/>
          <w:vertAlign w:val="baseline"/>
        </w:rPr>
        <w:t>October</w:t>
      </w:r>
      <w:r>
        <w:rPr>
          <w:spacing w:val="-2"/>
          <w:w w:val="105"/>
          <w:sz w:val="20"/>
          <w:vertAlign w:val="baseline"/>
        </w:rPr>
        <w:t> </w:t>
      </w:r>
      <w:r>
        <w:rPr>
          <w:w w:val="105"/>
          <w:sz w:val="20"/>
          <w:vertAlign w:val="baseline"/>
        </w:rPr>
        <w:t>2020.</w:t>
      </w:r>
    </w:p>
    <w:p>
      <w:pPr>
        <w:pStyle w:val="BodyText"/>
        <w:spacing w:before="3"/>
        <w:rPr>
          <w:sz w:val="21"/>
        </w:rPr>
      </w:pPr>
    </w:p>
    <w:p>
      <w:pPr>
        <w:spacing w:line="300" w:lineRule="auto" w:before="0"/>
        <w:ind w:left="560" w:right="568" w:firstLine="0"/>
        <w:jc w:val="left"/>
        <w:rPr>
          <w:sz w:val="20"/>
        </w:rPr>
      </w:pPr>
      <w:r>
        <w:rPr>
          <w:sz w:val="20"/>
        </w:rPr>
        <w:t>The saga of this project during the early BRI period demonstrates that even when strong de jure ESG</w:t>
      </w:r>
      <w:r>
        <w:rPr>
          <w:spacing w:val="-2"/>
          <w:sz w:val="20"/>
        </w:rPr>
        <w:t> </w:t>
      </w:r>
      <w:r>
        <w:rPr>
          <w:sz w:val="20"/>
        </w:rPr>
        <w:t>safeguards</w:t>
      </w:r>
      <w:r>
        <w:rPr>
          <w:spacing w:val="-2"/>
          <w:sz w:val="20"/>
        </w:rPr>
        <w:t> </w:t>
      </w:r>
      <w:r>
        <w:rPr>
          <w:sz w:val="20"/>
        </w:rPr>
        <w:t>are</w:t>
      </w:r>
      <w:r>
        <w:rPr>
          <w:spacing w:val="-2"/>
          <w:sz w:val="20"/>
        </w:rPr>
        <w:t> </w:t>
      </w:r>
      <w:r>
        <w:rPr>
          <w:sz w:val="20"/>
        </w:rPr>
        <w:t>in</w:t>
      </w:r>
      <w:r>
        <w:rPr>
          <w:spacing w:val="-2"/>
          <w:sz w:val="20"/>
        </w:rPr>
        <w:t> </w:t>
      </w:r>
      <w:r>
        <w:rPr>
          <w:sz w:val="20"/>
        </w:rPr>
        <w:t>place,</w:t>
      </w:r>
      <w:r>
        <w:rPr>
          <w:spacing w:val="-2"/>
          <w:sz w:val="20"/>
        </w:rPr>
        <w:t> </w:t>
      </w:r>
      <w:r>
        <w:rPr>
          <w:sz w:val="20"/>
        </w:rPr>
        <w:t>the</w:t>
      </w:r>
      <w:r>
        <w:rPr>
          <w:spacing w:val="-2"/>
          <w:sz w:val="20"/>
        </w:rPr>
        <w:t> </w:t>
      </w:r>
      <w:r>
        <w:rPr>
          <w:sz w:val="20"/>
        </w:rPr>
        <w:t>de</w:t>
      </w:r>
      <w:r>
        <w:rPr>
          <w:spacing w:val="-2"/>
          <w:sz w:val="20"/>
        </w:rPr>
        <w:t> </w:t>
      </w:r>
      <w:r>
        <w:rPr>
          <w:sz w:val="20"/>
        </w:rPr>
        <w:t>facto</w:t>
      </w:r>
      <w:r>
        <w:rPr>
          <w:spacing w:val="-2"/>
          <w:sz w:val="20"/>
        </w:rPr>
        <w:t> </w:t>
      </w:r>
      <w:r>
        <w:rPr>
          <w:sz w:val="20"/>
        </w:rPr>
        <w:t>implementation</w:t>
      </w:r>
      <w:r>
        <w:rPr>
          <w:spacing w:val="-2"/>
          <w:sz w:val="20"/>
        </w:rPr>
        <w:t> </w:t>
      </w:r>
      <w:r>
        <w:rPr>
          <w:sz w:val="20"/>
        </w:rPr>
        <w:t>of</w:t>
      </w:r>
      <w:r>
        <w:rPr>
          <w:spacing w:val="-2"/>
          <w:sz w:val="20"/>
        </w:rPr>
        <w:t> </w:t>
      </w:r>
      <w:r>
        <w:rPr>
          <w:sz w:val="20"/>
        </w:rPr>
        <w:t>such</w:t>
      </w:r>
      <w:r>
        <w:rPr>
          <w:spacing w:val="-2"/>
          <w:sz w:val="20"/>
        </w:rPr>
        <w:t> </w:t>
      </w:r>
      <w:r>
        <w:rPr>
          <w:sz w:val="20"/>
        </w:rPr>
        <w:t>safeguards</w:t>
      </w:r>
      <w:r>
        <w:rPr>
          <w:spacing w:val="-2"/>
          <w:sz w:val="20"/>
        </w:rPr>
        <w:t> </w:t>
      </w:r>
      <w:r>
        <w:rPr>
          <w:sz w:val="20"/>
        </w:rPr>
        <w:t>can</w:t>
      </w:r>
      <w:r>
        <w:rPr>
          <w:spacing w:val="-2"/>
          <w:sz w:val="20"/>
        </w:rPr>
        <w:t> </w:t>
      </w:r>
      <w:r>
        <w:rPr>
          <w:sz w:val="20"/>
        </w:rPr>
        <w:t>falter</w:t>
      </w:r>
      <w:r>
        <w:rPr>
          <w:spacing w:val="-2"/>
          <w:sz w:val="20"/>
        </w:rPr>
        <w:t> </w:t>
      </w:r>
      <w:r>
        <w:rPr>
          <w:sz w:val="20"/>
        </w:rPr>
        <w:t>or</w:t>
      </w:r>
      <w:r>
        <w:rPr>
          <w:spacing w:val="-2"/>
          <w:sz w:val="20"/>
        </w:rPr>
        <w:t> </w:t>
      </w:r>
      <w:r>
        <w:rPr>
          <w:sz w:val="20"/>
        </w:rPr>
        <w:t>fail</w:t>
      </w:r>
      <w:r>
        <w:rPr>
          <w:spacing w:val="-1"/>
          <w:sz w:val="20"/>
        </w:rPr>
        <w:t> </w:t>
      </w:r>
      <w:r>
        <w:rPr>
          <w:sz w:val="20"/>
        </w:rPr>
        <w:t>for a wide variety of reasons. In some cases, local ofﬁcials may be incentivized to prioritize speed over safety. In other cases, they may lack technical knowhow to enforce standards or may not fear penalties for non-compliance.</w:t>
      </w:r>
    </w:p>
    <w:p>
      <w:pPr>
        <w:pStyle w:val="BodyText"/>
        <w:rPr>
          <w:sz w:val="20"/>
        </w:rPr>
      </w:pPr>
    </w:p>
    <w:p>
      <w:pPr>
        <w:pStyle w:val="BodyText"/>
        <w:rPr>
          <w:sz w:val="20"/>
        </w:rPr>
      </w:pPr>
    </w:p>
    <w:p>
      <w:pPr>
        <w:pStyle w:val="BodyText"/>
        <w:rPr>
          <w:sz w:val="20"/>
        </w:rPr>
      </w:pPr>
    </w:p>
    <w:p>
      <w:pPr>
        <w:pStyle w:val="BodyText"/>
        <w:spacing w:before="6"/>
        <w:rPr>
          <w:sz w:val="23"/>
        </w:rPr>
      </w:pPr>
      <w:r>
        <w:rPr/>
        <w:pict>
          <v:shape style="position:absolute;margin-left:90pt;margin-top:14.753759pt;width:144pt;height:.1pt;mso-position-horizontal-relative:page;mso-position-vertical-relative:paragraph;z-index:-15699456;mso-wrap-distance-left:0;mso-wrap-distance-right:0" id="docshape50" coordorigin="1800,295" coordsize="2880,0" path="m1800,295l4680,295e" filled="false" stroked="true" strokeweight=".75pt" strokecolor="#000000">
            <v:path arrowok="t"/>
            <v:stroke dashstyle="solid"/>
            <w10:wrap type="topAndBottom"/>
          </v:shape>
        </w:pict>
      </w:r>
    </w:p>
    <w:p>
      <w:pPr>
        <w:spacing w:line="249" w:lineRule="auto" w:before="107"/>
        <w:ind w:left="560" w:right="600" w:firstLine="0"/>
        <w:jc w:val="left"/>
        <w:rPr>
          <w:sz w:val="18"/>
        </w:rPr>
      </w:pPr>
      <w:r>
        <w:rPr>
          <w:sz w:val="18"/>
          <w:vertAlign w:val="superscript"/>
        </w:rPr>
        <w:t>288</w:t>
      </w:r>
      <w:r>
        <w:rPr>
          <w:sz w:val="18"/>
          <w:vertAlign w:val="baseline"/>
        </w:rPr>
        <w:t> Lahore is the capital of the Punjab province and the political power base of the then-incumbent </w:t>
      </w:r>
      <w:r>
        <w:rPr>
          <w:sz w:val="18"/>
          <w:vertAlign w:val="baseline"/>
        </w:rPr>
        <w:t>Pakistan Muslim League party. Its leadership, including then-Prime Minister Nawaz Sharif and his younger brother, Punjab Chief Minister Shehbaz Sharif, belong to the city’s business elite. Since ﬁrst coming to power in the mid-1980s, the Sharifs’ political strategy has hinged on ﬂagship infrastructure projects, such as major new international airports and inter-city motorways. During his ﬁrst tenure in ofﬁce after returning from exile in 2008, the younger Sharif delivered the Lahore Bus Rapid Transit (BRT) at “Shehbaz speed” within 10 months (Majid et al. 2018; Express Tribune 2016). His party was rewarded with a resounding electoral victory in the 2013 elections, which it attributed to the BRT.</w:t>
      </w:r>
    </w:p>
    <w:p>
      <w:pPr>
        <w:spacing w:after="0" w:line="249" w:lineRule="auto"/>
        <w:jc w:val="left"/>
        <w:rPr>
          <w:sz w:val="18"/>
        </w:rPr>
        <w:sectPr>
          <w:pgSz w:w="12240" w:h="15840"/>
          <w:pgMar w:header="0" w:footer="720" w:top="1380" w:bottom="920" w:left="1240" w:right="1260"/>
        </w:sectPr>
      </w:pPr>
    </w:p>
    <w:p>
      <w:pPr>
        <w:pStyle w:val="BodyText"/>
        <w:spacing w:line="333" w:lineRule="auto" w:before="27"/>
        <w:ind w:left="560" w:right="575"/>
      </w:pPr>
      <w:r>
        <w:rPr/>
        <w:t>What then can we conclude based upon the available evidence? First, it is increasingly common for Chinese donors and lenders to include ESG safeguard provisions</w:t>
      </w:r>
      <w:r>
        <w:rPr>
          <w:spacing w:val="-6"/>
        </w:rPr>
        <w:t> </w:t>
      </w:r>
      <w:r>
        <w:rPr/>
        <w:t>in</w:t>
      </w:r>
      <w:r>
        <w:rPr>
          <w:spacing w:val="-6"/>
        </w:rPr>
        <w:t> </w:t>
      </w:r>
      <w:r>
        <w:rPr/>
        <w:t>their</w:t>
      </w:r>
      <w:r>
        <w:rPr>
          <w:spacing w:val="-6"/>
        </w:rPr>
        <w:t> </w:t>
      </w:r>
      <w:r>
        <w:rPr/>
        <w:t>infrastructure</w:t>
      </w:r>
      <w:r>
        <w:rPr>
          <w:spacing w:val="-6"/>
        </w:rPr>
        <w:t> </w:t>
      </w:r>
      <w:r>
        <w:rPr/>
        <w:t>ﬁnancing</w:t>
      </w:r>
      <w:r>
        <w:rPr>
          <w:spacing w:val="-6"/>
        </w:rPr>
        <w:t> </w:t>
      </w:r>
      <w:r>
        <w:rPr/>
        <w:t>agreements</w:t>
      </w:r>
      <w:r>
        <w:rPr>
          <w:spacing w:val="-6"/>
        </w:rPr>
        <w:t> </w:t>
      </w:r>
      <w:r>
        <w:rPr/>
        <w:t>with</w:t>
      </w:r>
      <w:r>
        <w:rPr>
          <w:spacing w:val="-6"/>
        </w:rPr>
        <w:t> </w:t>
      </w:r>
      <w:r>
        <w:rPr/>
        <w:t>LICs</w:t>
      </w:r>
      <w:r>
        <w:rPr>
          <w:spacing w:val="-6"/>
        </w:rPr>
        <w:t> </w:t>
      </w:r>
      <w:r>
        <w:rPr/>
        <w:t>and</w:t>
      </w:r>
      <w:r>
        <w:rPr>
          <w:spacing w:val="-6"/>
        </w:rPr>
        <w:t> </w:t>
      </w:r>
      <w:r>
        <w:rPr/>
        <w:t>MICs.</w:t>
      </w:r>
      <w:r>
        <w:rPr>
          <w:spacing w:val="-6"/>
        </w:rPr>
        <w:t> </w:t>
      </w:r>
      <w:r>
        <w:rPr/>
        <w:t>These provisions</w:t>
      </w:r>
      <w:r>
        <w:rPr>
          <w:spacing w:val="-5"/>
        </w:rPr>
        <w:t> </w:t>
      </w:r>
      <w:r>
        <w:rPr/>
        <w:t>are</w:t>
      </w:r>
      <w:r>
        <w:rPr>
          <w:spacing w:val="-5"/>
        </w:rPr>
        <w:t> </w:t>
      </w:r>
      <w:r>
        <w:rPr/>
        <w:t>broadly</w:t>
      </w:r>
      <w:r>
        <w:rPr>
          <w:spacing w:val="-5"/>
        </w:rPr>
        <w:t> </w:t>
      </w:r>
      <w:r>
        <w:rPr/>
        <w:t>compatible</w:t>
      </w:r>
      <w:r>
        <w:rPr>
          <w:spacing w:val="-5"/>
        </w:rPr>
        <w:t> </w:t>
      </w:r>
      <w:r>
        <w:rPr/>
        <w:t>with</w:t>
      </w:r>
      <w:r>
        <w:rPr>
          <w:spacing w:val="-5"/>
        </w:rPr>
        <w:t> </w:t>
      </w:r>
      <w:r>
        <w:rPr/>
        <w:t>international</w:t>
      </w:r>
      <w:r>
        <w:rPr>
          <w:spacing w:val="-5"/>
        </w:rPr>
        <w:t> </w:t>
      </w:r>
      <w:r>
        <w:rPr/>
        <w:t>ESG</w:t>
      </w:r>
      <w:r>
        <w:rPr>
          <w:spacing w:val="-5"/>
        </w:rPr>
        <w:t> </w:t>
      </w:r>
      <w:r>
        <w:rPr/>
        <w:t>safeguards,</w:t>
      </w:r>
      <w:r>
        <w:rPr>
          <w:spacing w:val="-5"/>
        </w:rPr>
        <w:t> </w:t>
      </w:r>
      <w:r>
        <w:rPr/>
        <w:t>such</w:t>
      </w:r>
      <w:r>
        <w:rPr>
          <w:spacing w:val="-5"/>
        </w:rPr>
        <w:t> </w:t>
      </w:r>
      <w:r>
        <w:rPr/>
        <w:t>as</w:t>
      </w:r>
      <w:r>
        <w:rPr>
          <w:spacing w:val="-5"/>
        </w:rPr>
        <w:t> </w:t>
      </w:r>
      <w:r>
        <w:rPr/>
        <w:t>the OECD Council Recommendation on Common Approaches for Ofﬁcially Supported</w:t>
      </w:r>
      <w:r>
        <w:rPr>
          <w:spacing w:val="-2"/>
        </w:rPr>
        <w:t> </w:t>
      </w:r>
      <w:r>
        <w:rPr/>
        <w:t>Export</w:t>
      </w:r>
      <w:r>
        <w:rPr>
          <w:spacing w:val="-2"/>
        </w:rPr>
        <w:t> </w:t>
      </w:r>
      <w:r>
        <w:rPr/>
        <w:t>Credits</w:t>
      </w:r>
      <w:r>
        <w:rPr>
          <w:spacing w:val="-2"/>
        </w:rPr>
        <w:t> </w:t>
      </w:r>
      <w:r>
        <w:rPr/>
        <w:t>and</w:t>
      </w:r>
      <w:r>
        <w:rPr>
          <w:spacing w:val="-2"/>
        </w:rPr>
        <w:t> </w:t>
      </w:r>
      <w:r>
        <w:rPr/>
        <w:t>Environmental</w:t>
      </w:r>
      <w:r>
        <w:rPr>
          <w:spacing w:val="-2"/>
        </w:rPr>
        <w:t> </w:t>
      </w:r>
      <w:r>
        <w:rPr/>
        <w:t>and</w:t>
      </w:r>
      <w:r>
        <w:rPr>
          <w:spacing w:val="-2"/>
        </w:rPr>
        <w:t> </w:t>
      </w:r>
      <w:r>
        <w:rPr/>
        <w:t>Social</w:t>
      </w:r>
      <w:r>
        <w:rPr>
          <w:spacing w:val="-2"/>
        </w:rPr>
        <w:t> </w:t>
      </w:r>
      <w:r>
        <w:rPr/>
        <w:t>Due</w:t>
      </w:r>
      <w:r>
        <w:rPr>
          <w:spacing w:val="-2"/>
        </w:rPr>
        <w:t> </w:t>
      </w:r>
      <w:r>
        <w:rPr/>
        <w:t>Diligence,</w:t>
      </w:r>
      <w:r>
        <w:rPr>
          <w:spacing w:val="-2"/>
        </w:rPr>
        <w:t> </w:t>
      </w:r>
      <w:r>
        <w:rPr/>
        <w:t>the</w:t>
      </w:r>
      <w:r>
        <w:rPr>
          <w:spacing w:val="-2"/>
        </w:rPr>
        <w:t> </w:t>
      </w:r>
      <w:r>
        <w:rPr/>
        <w:t>IFC’s Performance Standards on Environmental and Social Sustainability, the Uniform Framework for Preventing and Combating Fraud and Corruption, the OECD Council Recommendation on Bribery and Ofﬁcially Supported Export Credits,</w:t>
      </w:r>
      <w:r>
        <w:rPr>
          <w:spacing w:val="40"/>
        </w:rPr>
        <w:t> </w:t>
      </w:r>
      <w:r>
        <w:rPr/>
        <w:t>and the OECD Council Recommendation on Public Procurement. Second, many of these de jure provisions go far beyond identifying rules and standards related to ESG risk management; a rapidly expanding percentage of China’s overseas infrastructure project portfolio is underpinned by ﬁnancing agreements that include mechanisms for monitoring compliance and/or sanctioning noncompliance with those ESG rules and standards. Third, China’s de facto risk mitigation efforts are on the rise. Fourth, there is a growing gap between how ESG safeguards are applied to China’s overseas infrastructure projects in principle (de jure) and in practice (de facto), which is not unexpected given that ESG risk mitigation only recently became a priority for Beijing.</w:t>
      </w:r>
    </w:p>
    <w:p>
      <w:pPr>
        <w:pStyle w:val="BodyText"/>
        <w:rPr>
          <w:sz w:val="27"/>
        </w:rPr>
      </w:pPr>
    </w:p>
    <w:p>
      <w:pPr>
        <w:pStyle w:val="Heading3"/>
        <w:spacing w:line="312" w:lineRule="auto"/>
        <w:ind w:right="561"/>
      </w:pPr>
      <w:r>
        <w:rPr/>
        <w:t>Section</w:t>
      </w:r>
      <w:r>
        <w:rPr>
          <w:spacing w:val="-9"/>
        </w:rPr>
        <w:t> </w:t>
      </w:r>
      <w:r>
        <w:rPr/>
        <w:t>4:</w:t>
      </w:r>
      <w:r>
        <w:rPr>
          <w:spacing w:val="-9"/>
        </w:rPr>
        <w:t> </w:t>
      </w:r>
      <w:r>
        <w:rPr/>
        <w:t>Do</w:t>
      </w:r>
      <w:r>
        <w:rPr>
          <w:spacing w:val="-9"/>
        </w:rPr>
        <w:t> </w:t>
      </w:r>
      <w:r>
        <w:rPr/>
        <w:t>ESG</w:t>
      </w:r>
      <w:r>
        <w:rPr>
          <w:spacing w:val="-9"/>
        </w:rPr>
        <w:t> </w:t>
      </w:r>
      <w:r>
        <w:rPr/>
        <w:t>safeguards</w:t>
      </w:r>
      <w:r>
        <w:rPr>
          <w:spacing w:val="-9"/>
        </w:rPr>
        <w:t> </w:t>
      </w:r>
      <w:r>
        <w:rPr/>
        <w:t>produce</w:t>
      </w:r>
      <w:r>
        <w:rPr>
          <w:spacing w:val="-9"/>
        </w:rPr>
        <w:t> </w:t>
      </w:r>
      <w:r>
        <w:rPr/>
        <w:t>a</w:t>
      </w:r>
      <w:r>
        <w:rPr>
          <w:spacing w:val="-9"/>
        </w:rPr>
        <w:t> </w:t>
      </w:r>
      <w:r>
        <w:rPr/>
        <w:t>project performance payoff or penalty?</w:t>
      </w:r>
    </w:p>
    <w:p>
      <w:pPr>
        <w:pStyle w:val="BodyText"/>
        <w:spacing w:line="333" w:lineRule="auto" w:before="162"/>
        <w:ind w:left="560" w:right="710"/>
      </w:pPr>
      <w:r>
        <w:rPr/>
        <w:t>Given</w:t>
      </w:r>
      <w:r>
        <w:rPr>
          <w:spacing w:val="-3"/>
        </w:rPr>
        <w:t> </w:t>
      </w:r>
      <w:r>
        <w:rPr/>
        <w:t>that</w:t>
      </w:r>
      <w:r>
        <w:rPr>
          <w:spacing w:val="-3"/>
        </w:rPr>
        <w:t> </w:t>
      </w:r>
      <w:r>
        <w:rPr/>
        <w:t>Beijing</w:t>
      </w:r>
      <w:r>
        <w:rPr>
          <w:spacing w:val="-3"/>
        </w:rPr>
        <w:t> </w:t>
      </w:r>
      <w:r>
        <w:rPr/>
        <w:t>has</w:t>
      </w:r>
      <w:r>
        <w:rPr>
          <w:spacing w:val="-3"/>
        </w:rPr>
        <w:t> </w:t>
      </w:r>
      <w:r>
        <w:rPr/>
        <w:t>recently</w:t>
      </w:r>
      <w:r>
        <w:rPr>
          <w:spacing w:val="-3"/>
        </w:rPr>
        <w:t> </w:t>
      </w:r>
      <w:r>
        <w:rPr/>
        <w:t>taken</w:t>
      </w:r>
      <w:r>
        <w:rPr>
          <w:spacing w:val="-3"/>
        </w:rPr>
        <w:t> </w:t>
      </w:r>
      <w:r>
        <w:rPr/>
        <w:t>signiﬁcant</w:t>
      </w:r>
      <w:r>
        <w:rPr>
          <w:spacing w:val="-3"/>
        </w:rPr>
        <w:t> </w:t>
      </w:r>
      <w:r>
        <w:rPr/>
        <w:t>measures</w:t>
      </w:r>
      <w:r>
        <w:rPr>
          <w:spacing w:val="-3"/>
        </w:rPr>
        <w:t> </w:t>
      </w:r>
      <w:r>
        <w:rPr/>
        <w:t>to</w:t>
      </w:r>
      <w:r>
        <w:rPr>
          <w:spacing w:val="-3"/>
        </w:rPr>
        <w:t> </w:t>
      </w:r>
      <w:r>
        <w:rPr/>
        <w:t>mitigate</w:t>
      </w:r>
      <w:r>
        <w:rPr>
          <w:spacing w:val="-3"/>
        </w:rPr>
        <w:t> </w:t>
      </w:r>
      <w:r>
        <w:rPr/>
        <w:t>ESG</w:t>
      </w:r>
      <w:r>
        <w:rPr>
          <w:spacing w:val="-3"/>
        </w:rPr>
        <w:t> </w:t>
      </w:r>
      <w:r>
        <w:rPr/>
        <w:t>risks in its overseas infrastructure project portfolio, an important question is whether these course corrections are compatible with the country’s reputation for </w:t>
      </w:r>
      <w:r>
        <w:rPr/>
        <w:t>speed and convenience. China did not become the Global South’s go-to banker for big-ticket infrastructure because of a happy accident. It earned the position by addressing</w:t>
      </w:r>
      <w:r>
        <w:rPr>
          <w:spacing w:val="-1"/>
        </w:rPr>
        <w:t> </w:t>
      </w:r>
      <w:r>
        <w:rPr/>
        <w:t>a</w:t>
      </w:r>
      <w:r>
        <w:rPr>
          <w:spacing w:val="-1"/>
        </w:rPr>
        <w:t> </w:t>
      </w:r>
      <w:r>
        <w:rPr/>
        <w:t>key</w:t>
      </w:r>
      <w:r>
        <w:rPr>
          <w:spacing w:val="-1"/>
        </w:rPr>
        <w:t> </w:t>
      </w:r>
      <w:r>
        <w:rPr/>
        <w:t>source</w:t>
      </w:r>
      <w:r>
        <w:rPr>
          <w:spacing w:val="-1"/>
        </w:rPr>
        <w:t> </w:t>
      </w:r>
      <w:r>
        <w:rPr/>
        <w:t>of</w:t>
      </w:r>
      <w:r>
        <w:rPr>
          <w:spacing w:val="-1"/>
        </w:rPr>
        <w:t> </w:t>
      </w:r>
      <w:r>
        <w:rPr/>
        <w:t>unmet</w:t>
      </w:r>
      <w:r>
        <w:rPr>
          <w:spacing w:val="-1"/>
        </w:rPr>
        <w:t> </w:t>
      </w:r>
      <w:r>
        <w:rPr/>
        <w:t>demand</w:t>
      </w:r>
      <w:r>
        <w:rPr>
          <w:spacing w:val="-1"/>
        </w:rPr>
        <w:t> </w:t>
      </w:r>
      <w:r>
        <w:rPr/>
        <w:t>among</w:t>
      </w:r>
      <w:r>
        <w:rPr>
          <w:spacing w:val="-1"/>
        </w:rPr>
        <w:t> </w:t>
      </w:r>
      <w:r>
        <w:rPr/>
        <w:t>LICs</w:t>
      </w:r>
      <w:r>
        <w:rPr>
          <w:spacing w:val="-1"/>
        </w:rPr>
        <w:t> </w:t>
      </w:r>
      <w:r>
        <w:rPr/>
        <w:t>and</w:t>
      </w:r>
      <w:r>
        <w:rPr>
          <w:spacing w:val="-1"/>
        </w:rPr>
        <w:t> </w:t>
      </w:r>
      <w:r>
        <w:rPr/>
        <w:t>MICs:</w:t>
      </w:r>
      <w:r>
        <w:rPr>
          <w:spacing w:val="-1"/>
        </w:rPr>
        <w:t> </w:t>
      </w:r>
      <w:r>
        <w:rPr/>
        <w:t>ﬁnancing</w:t>
      </w:r>
      <w:r>
        <w:rPr>
          <w:spacing w:val="-1"/>
        </w:rPr>
        <w:t> </w:t>
      </w:r>
      <w:r>
        <w:rPr/>
        <w:t>for infrastructure</w:t>
      </w:r>
      <w:r>
        <w:rPr>
          <w:spacing w:val="-3"/>
        </w:rPr>
        <w:t> </w:t>
      </w:r>
      <w:r>
        <w:rPr/>
        <w:t>without</w:t>
      </w:r>
      <w:r>
        <w:rPr>
          <w:spacing w:val="-3"/>
        </w:rPr>
        <w:t> </w:t>
      </w:r>
      <w:r>
        <w:rPr/>
        <w:t>overly</w:t>
      </w:r>
      <w:r>
        <w:rPr>
          <w:spacing w:val="-3"/>
        </w:rPr>
        <w:t> </w:t>
      </w:r>
      <w:r>
        <w:rPr/>
        <w:t>complex</w:t>
      </w:r>
      <w:r>
        <w:rPr>
          <w:spacing w:val="-2"/>
        </w:rPr>
        <w:t> </w:t>
      </w:r>
      <w:r>
        <w:rPr/>
        <w:t>and</w:t>
      </w:r>
      <w:r>
        <w:rPr>
          <w:spacing w:val="-3"/>
        </w:rPr>
        <w:t> </w:t>
      </w:r>
      <w:r>
        <w:rPr/>
        <w:t>cumbersome</w:t>
      </w:r>
      <w:r>
        <w:rPr>
          <w:spacing w:val="-3"/>
        </w:rPr>
        <w:t> </w:t>
      </w:r>
      <w:r>
        <w:rPr/>
        <w:t>ESG</w:t>
      </w:r>
      <w:r>
        <w:rPr>
          <w:spacing w:val="-3"/>
        </w:rPr>
        <w:t> </w:t>
      </w:r>
      <w:r>
        <w:rPr/>
        <w:t>safeguard</w:t>
      </w:r>
      <w:r>
        <w:rPr>
          <w:spacing w:val="-2"/>
        </w:rPr>
        <w:t> policies</w:t>
      </w:r>
    </w:p>
    <w:p>
      <w:pPr>
        <w:spacing w:after="0" w:line="333" w:lineRule="auto"/>
        <w:sectPr>
          <w:pgSz w:w="12240" w:h="15840"/>
          <w:pgMar w:header="0" w:footer="720" w:top="1400" w:bottom="920" w:left="1240" w:right="1260"/>
        </w:sectPr>
      </w:pPr>
    </w:p>
    <w:p>
      <w:pPr>
        <w:pStyle w:val="BodyText"/>
        <w:spacing w:line="333" w:lineRule="auto" w:before="27"/>
        <w:ind w:left="560" w:right="561"/>
      </w:pPr>
      <w:r>
        <w:rPr/>
        <w:t>and</w:t>
      </w:r>
      <w:r>
        <w:rPr>
          <w:spacing w:val="-8"/>
        </w:rPr>
        <w:t> </w:t>
      </w:r>
      <w:r>
        <w:rPr/>
        <w:t>procedures</w:t>
      </w:r>
      <w:r>
        <w:rPr>
          <w:spacing w:val="-8"/>
        </w:rPr>
        <w:t> </w:t>
      </w:r>
      <w:r>
        <w:rPr/>
        <w:t>(Dollar</w:t>
      </w:r>
      <w:r>
        <w:rPr>
          <w:spacing w:val="-8"/>
        </w:rPr>
        <w:t> </w:t>
      </w:r>
      <w:r>
        <w:rPr/>
        <w:t>2016;</w:t>
      </w:r>
      <w:r>
        <w:rPr>
          <w:spacing w:val="-8"/>
        </w:rPr>
        <w:t> </w:t>
      </w:r>
      <w:r>
        <w:rPr/>
        <w:t>Swedlund</w:t>
      </w:r>
      <w:r>
        <w:rPr>
          <w:spacing w:val="-8"/>
        </w:rPr>
        <w:t> </w:t>
      </w:r>
      <w:r>
        <w:rPr/>
        <w:t>2017;</w:t>
      </w:r>
      <w:r>
        <w:rPr>
          <w:spacing w:val="-8"/>
        </w:rPr>
        <w:t> </w:t>
      </w:r>
      <w:r>
        <w:rPr/>
        <w:t>Parks</w:t>
      </w:r>
      <w:r>
        <w:rPr>
          <w:spacing w:val="-8"/>
        </w:rPr>
        <w:t> </w:t>
      </w:r>
      <w:r>
        <w:rPr/>
        <w:t>2019;</w:t>
      </w:r>
      <w:r>
        <w:rPr>
          <w:spacing w:val="-8"/>
        </w:rPr>
        <w:t> </w:t>
      </w:r>
      <w:r>
        <w:rPr/>
        <w:t>Humphrey</w:t>
      </w:r>
      <w:r>
        <w:rPr>
          <w:spacing w:val="-8"/>
        </w:rPr>
        <w:t> </w:t>
      </w:r>
      <w:r>
        <w:rPr/>
        <w:t>and Michaelowa 2019; Zeitz 2021; Horigoshi et al. 2022).</w:t>
      </w:r>
      <w:r>
        <w:rPr>
          <w:vertAlign w:val="superscript"/>
        </w:rPr>
        <w:t>289</w:t>
      </w:r>
    </w:p>
    <w:p>
      <w:pPr>
        <w:pStyle w:val="BodyText"/>
        <w:spacing w:before="9"/>
        <w:rPr>
          <w:sz w:val="27"/>
        </w:rPr>
      </w:pPr>
    </w:p>
    <w:p>
      <w:pPr>
        <w:pStyle w:val="BodyText"/>
        <w:spacing w:line="333" w:lineRule="auto"/>
        <w:ind w:left="560" w:right="561"/>
        <w:rPr>
          <w:i/>
        </w:rPr>
      </w:pPr>
      <w:r>
        <w:rPr/>
        <w:t>In 2015, the G-24—a group of countries that work together to coordinate </w:t>
      </w:r>
      <w:r>
        <w:rPr/>
        <w:t>the positions of developing countries on international monetary and ﬁnancial issues—gave voice to the frustrations of LICs and MICs in a report entitled </w:t>
      </w:r>
      <w:r>
        <w:rPr>
          <w:i/>
        </w:rPr>
        <w:t>Infrastructure Finance in the Developing World:</w:t>
      </w:r>
    </w:p>
    <w:p>
      <w:pPr>
        <w:pStyle w:val="BodyText"/>
        <w:spacing w:before="7"/>
        <w:rPr>
          <w:i/>
          <w:sz w:val="27"/>
        </w:rPr>
      </w:pPr>
    </w:p>
    <w:p>
      <w:pPr>
        <w:spacing w:line="333" w:lineRule="auto" w:before="1"/>
        <w:ind w:left="1100" w:right="1230" w:firstLine="0"/>
        <w:jc w:val="left"/>
        <w:rPr>
          <w:i/>
          <w:sz w:val="24"/>
        </w:rPr>
      </w:pPr>
      <w:r>
        <w:rPr>
          <w:i/>
          <w:w w:val="105"/>
          <w:sz w:val="24"/>
        </w:rPr>
        <w:t>"One</w:t>
      </w:r>
      <w:r>
        <w:rPr>
          <w:i/>
          <w:spacing w:val="-12"/>
          <w:w w:val="105"/>
          <w:sz w:val="24"/>
        </w:rPr>
        <w:t> </w:t>
      </w:r>
      <w:r>
        <w:rPr>
          <w:i/>
          <w:w w:val="105"/>
          <w:sz w:val="24"/>
        </w:rPr>
        <w:t>aspect</w:t>
      </w:r>
      <w:r>
        <w:rPr>
          <w:i/>
          <w:spacing w:val="-12"/>
          <w:w w:val="105"/>
          <w:sz w:val="24"/>
        </w:rPr>
        <w:t> </w:t>
      </w:r>
      <w:r>
        <w:rPr>
          <w:i/>
          <w:w w:val="105"/>
          <w:sz w:val="24"/>
        </w:rPr>
        <w:t>of</w:t>
      </w:r>
      <w:r>
        <w:rPr>
          <w:i/>
          <w:spacing w:val="-12"/>
          <w:w w:val="105"/>
          <w:sz w:val="24"/>
        </w:rPr>
        <w:t> </w:t>
      </w:r>
      <w:r>
        <w:rPr>
          <w:i/>
          <w:w w:val="105"/>
          <w:sz w:val="24"/>
        </w:rPr>
        <w:t>the</w:t>
      </w:r>
      <w:r>
        <w:rPr>
          <w:i/>
          <w:spacing w:val="-12"/>
          <w:w w:val="105"/>
          <w:sz w:val="24"/>
        </w:rPr>
        <w:t> </w:t>
      </w:r>
      <w:r>
        <w:rPr>
          <w:i/>
          <w:w w:val="105"/>
          <w:sz w:val="24"/>
        </w:rPr>
        <w:t>business</w:t>
      </w:r>
      <w:r>
        <w:rPr>
          <w:i/>
          <w:spacing w:val="-12"/>
          <w:w w:val="105"/>
          <w:sz w:val="24"/>
        </w:rPr>
        <w:t> </w:t>
      </w:r>
      <w:r>
        <w:rPr>
          <w:i/>
          <w:w w:val="105"/>
          <w:sz w:val="24"/>
        </w:rPr>
        <w:t>practices</w:t>
      </w:r>
      <w:r>
        <w:rPr>
          <w:i/>
          <w:spacing w:val="-12"/>
          <w:w w:val="105"/>
          <w:sz w:val="24"/>
        </w:rPr>
        <w:t> </w:t>
      </w:r>
      <w:r>
        <w:rPr>
          <w:i/>
          <w:w w:val="105"/>
          <w:sz w:val="24"/>
        </w:rPr>
        <w:t>of</w:t>
      </w:r>
      <w:r>
        <w:rPr>
          <w:i/>
          <w:spacing w:val="-12"/>
          <w:w w:val="105"/>
          <w:sz w:val="24"/>
        </w:rPr>
        <w:t> </w:t>
      </w:r>
      <w:r>
        <w:rPr>
          <w:i/>
          <w:w w:val="105"/>
          <w:sz w:val="24"/>
        </w:rPr>
        <w:t>the</w:t>
      </w:r>
      <w:r>
        <w:rPr>
          <w:i/>
          <w:spacing w:val="-12"/>
          <w:w w:val="105"/>
          <w:sz w:val="24"/>
        </w:rPr>
        <w:t> </w:t>
      </w:r>
      <w:r>
        <w:rPr>
          <w:i/>
          <w:w w:val="105"/>
          <w:sz w:val="24"/>
        </w:rPr>
        <w:t>World</w:t>
      </w:r>
      <w:r>
        <w:rPr>
          <w:i/>
          <w:spacing w:val="-12"/>
          <w:w w:val="105"/>
          <w:sz w:val="24"/>
        </w:rPr>
        <w:t> </w:t>
      </w:r>
      <w:r>
        <w:rPr>
          <w:i/>
          <w:w w:val="105"/>
          <w:sz w:val="24"/>
        </w:rPr>
        <w:t>Bank</w:t>
      </w:r>
      <w:r>
        <w:rPr>
          <w:i/>
          <w:spacing w:val="-12"/>
          <w:w w:val="105"/>
          <w:sz w:val="24"/>
        </w:rPr>
        <w:t> </w:t>
      </w:r>
      <w:r>
        <w:rPr>
          <w:i/>
          <w:w w:val="105"/>
          <w:sz w:val="24"/>
        </w:rPr>
        <w:t>and</w:t>
      </w:r>
      <w:r>
        <w:rPr>
          <w:i/>
          <w:spacing w:val="-12"/>
          <w:w w:val="105"/>
          <w:sz w:val="24"/>
        </w:rPr>
        <w:t> </w:t>
      </w:r>
      <w:r>
        <w:rPr>
          <w:i/>
          <w:w w:val="105"/>
          <w:sz w:val="24"/>
        </w:rPr>
        <w:t>major</w:t>
      </w:r>
      <w:r>
        <w:rPr>
          <w:i/>
          <w:w w:val="105"/>
          <w:sz w:val="24"/>
        </w:rPr>
        <w:t> [regional</w:t>
      </w:r>
      <w:r>
        <w:rPr>
          <w:i/>
          <w:spacing w:val="-16"/>
          <w:w w:val="105"/>
          <w:sz w:val="24"/>
        </w:rPr>
        <w:t> </w:t>
      </w:r>
      <w:r>
        <w:rPr>
          <w:i/>
          <w:w w:val="105"/>
          <w:sz w:val="24"/>
        </w:rPr>
        <w:t>multilateral</w:t>
      </w:r>
      <w:r>
        <w:rPr>
          <w:i/>
          <w:spacing w:val="-16"/>
          <w:w w:val="105"/>
          <w:sz w:val="24"/>
        </w:rPr>
        <w:t> </w:t>
      </w:r>
      <w:r>
        <w:rPr>
          <w:i/>
          <w:w w:val="105"/>
          <w:sz w:val="24"/>
        </w:rPr>
        <w:t>development</w:t>
      </w:r>
      <w:r>
        <w:rPr>
          <w:i/>
          <w:spacing w:val="-16"/>
          <w:w w:val="105"/>
          <w:sz w:val="24"/>
        </w:rPr>
        <w:t> </w:t>
      </w:r>
      <w:r>
        <w:rPr>
          <w:i/>
          <w:w w:val="105"/>
          <w:sz w:val="24"/>
        </w:rPr>
        <w:t>banks]</w:t>
      </w:r>
      <w:r>
        <w:rPr>
          <w:i/>
          <w:spacing w:val="-16"/>
          <w:w w:val="105"/>
          <w:sz w:val="24"/>
        </w:rPr>
        <w:t> </w:t>
      </w:r>
      <w:r>
        <w:rPr>
          <w:i/>
          <w:w w:val="105"/>
          <w:sz w:val="24"/>
        </w:rPr>
        <w:t>that</w:t>
      </w:r>
      <w:r>
        <w:rPr>
          <w:i/>
          <w:spacing w:val="-16"/>
          <w:w w:val="105"/>
          <w:sz w:val="24"/>
        </w:rPr>
        <w:t> </w:t>
      </w:r>
      <w:r>
        <w:rPr>
          <w:i/>
          <w:w w:val="105"/>
          <w:sz w:val="24"/>
        </w:rPr>
        <w:t>has</w:t>
      </w:r>
      <w:r>
        <w:rPr>
          <w:i/>
          <w:spacing w:val="-16"/>
          <w:w w:val="105"/>
          <w:sz w:val="24"/>
        </w:rPr>
        <w:t> </w:t>
      </w:r>
      <w:r>
        <w:rPr>
          <w:i/>
          <w:w w:val="105"/>
          <w:sz w:val="24"/>
        </w:rPr>
        <w:t>a</w:t>
      </w:r>
      <w:r>
        <w:rPr>
          <w:i/>
          <w:spacing w:val="-16"/>
          <w:w w:val="105"/>
          <w:sz w:val="24"/>
        </w:rPr>
        <w:t> </w:t>
      </w:r>
      <w:r>
        <w:rPr>
          <w:i/>
          <w:w w:val="105"/>
          <w:sz w:val="24"/>
        </w:rPr>
        <w:t>particularly strong</w:t>
      </w:r>
      <w:r>
        <w:rPr>
          <w:i/>
          <w:spacing w:val="-17"/>
          <w:w w:val="105"/>
          <w:sz w:val="24"/>
        </w:rPr>
        <w:t> </w:t>
      </w:r>
      <w:r>
        <w:rPr>
          <w:i/>
          <w:w w:val="105"/>
          <w:sz w:val="24"/>
        </w:rPr>
        <w:t>impact</w:t>
      </w:r>
      <w:r>
        <w:rPr>
          <w:i/>
          <w:spacing w:val="-17"/>
          <w:w w:val="105"/>
          <w:sz w:val="24"/>
        </w:rPr>
        <w:t> </w:t>
      </w:r>
      <w:r>
        <w:rPr>
          <w:i/>
          <w:w w:val="105"/>
          <w:sz w:val="24"/>
        </w:rPr>
        <w:t>on</w:t>
      </w:r>
      <w:r>
        <w:rPr>
          <w:i/>
          <w:spacing w:val="-17"/>
          <w:w w:val="105"/>
          <w:sz w:val="24"/>
        </w:rPr>
        <w:t> </w:t>
      </w:r>
      <w:r>
        <w:rPr>
          <w:i/>
          <w:w w:val="105"/>
          <w:sz w:val="24"/>
        </w:rPr>
        <w:t>infrastructure</w:t>
      </w:r>
      <w:r>
        <w:rPr>
          <w:i/>
          <w:spacing w:val="-17"/>
          <w:w w:val="105"/>
          <w:sz w:val="24"/>
        </w:rPr>
        <w:t> </w:t>
      </w:r>
      <w:r>
        <w:rPr>
          <w:i/>
          <w:w w:val="105"/>
          <w:sz w:val="24"/>
        </w:rPr>
        <w:t>investment</w:t>
      </w:r>
      <w:r>
        <w:rPr>
          <w:i/>
          <w:spacing w:val="-17"/>
          <w:w w:val="105"/>
          <w:sz w:val="24"/>
        </w:rPr>
        <w:t> </w:t>
      </w:r>
      <w:r>
        <w:rPr>
          <w:i/>
          <w:w w:val="105"/>
          <w:sz w:val="24"/>
        </w:rPr>
        <w:t>is</w:t>
      </w:r>
      <w:r>
        <w:rPr>
          <w:i/>
          <w:spacing w:val="-17"/>
          <w:w w:val="105"/>
          <w:sz w:val="24"/>
        </w:rPr>
        <w:t> </w:t>
      </w:r>
      <w:r>
        <w:rPr>
          <w:i/>
          <w:w w:val="105"/>
          <w:sz w:val="24"/>
        </w:rPr>
        <w:t>environmental</w:t>
      </w:r>
      <w:r>
        <w:rPr>
          <w:i/>
          <w:spacing w:val="-17"/>
          <w:w w:val="105"/>
          <w:sz w:val="24"/>
        </w:rPr>
        <w:t> </w:t>
      </w:r>
      <w:r>
        <w:rPr>
          <w:i/>
          <w:w w:val="105"/>
          <w:sz w:val="24"/>
        </w:rPr>
        <w:t>and </w:t>
      </w:r>
      <w:r>
        <w:rPr>
          <w:i/>
          <w:sz w:val="24"/>
        </w:rPr>
        <w:t>social safeguard policies. Safeguards comprise procedures and </w:t>
      </w:r>
      <w:r>
        <w:rPr>
          <w:i/>
          <w:w w:val="105"/>
          <w:sz w:val="24"/>
        </w:rPr>
        <w:t>restrictions</w:t>
      </w:r>
      <w:r>
        <w:rPr>
          <w:i/>
          <w:spacing w:val="-3"/>
          <w:w w:val="105"/>
          <w:sz w:val="24"/>
        </w:rPr>
        <w:t> </w:t>
      </w:r>
      <w:r>
        <w:rPr>
          <w:i/>
          <w:w w:val="105"/>
          <w:sz w:val="24"/>
        </w:rPr>
        <w:t>on</w:t>
      </w:r>
      <w:r>
        <w:rPr>
          <w:i/>
          <w:spacing w:val="-3"/>
          <w:w w:val="105"/>
          <w:sz w:val="24"/>
        </w:rPr>
        <w:t> </w:t>
      </w:r>
      <w:r>
        <w:rPr>
          <w:i/>
          <w:w w:val="105"/>
          <w:sz w:val="24"/>
        </w:rPr>
        <w:t>different</w:t>
      </w:r>
      <w:r>
        <w:rPr>
          <w:i/>
          <w:spacing w:val="-3"/>
          <w:w w:val="105"/>
          <w:sz w:val="24"/>
        </w:rPr>
        <w:t> </w:t>
      </w:r>
      <w:r>
        <w:rPr>
          <w:i/>
          <w:w w:val="105"/>
          <w:sz w:val="24"/>
        </w:rPr>
        <w:t>types</w:t>
      </w:r>
      <w:r>
        <w:rPr>
          <w:i/>
          <w:spacing w:val="-3"/>
          <w:w w:val="105"/>
          <w:sz w:val="24"/>
        </w:rPr>
        <w:t> </w:t>
      </w:r>
      <w:r>
        <w:rPr>
          <w:i/>
          <w:w w:val="105"/>
          <w:sz w:val="24"/>
        </w:rPr>
        <w:t>of</w:t>
      </w:r>
      <w:r>
        <w:rPr>
          <w:i/>
          <w:spacing w:val="-3"/>
          <w:w w:val="105"/>
          <w:sz w:val="24"/>
        </w:rPr>
        <w:t> </w:t>
      </w:r>
      <w:r>
        <w:rPr>
          <w:i/>
          <w:w w:val="105"/>
          <w:sz w:val="24"/>
        </w:rPr>
        <w:t>lending</w:t>
      </w:r>
      <w:r>
        <w:rPr>
          <w:i/>
          <w:spacing w:val="-3"/>
          <w:w w:val="105"/>
          <w:sz w:val="24"/>
        </w:rPr>
        <w:t> </w:t>
      </w:r>
      <w:r>
        <w:rPr>
          <w:i/>
          <w:w w:val="105"/>
          <w:sz w:val="24"/>
        </w:rPr>
        <w:t>operations</w:t>
      </w:r>
      <w:r>
        <w:rPr>
          <w:i/>
          <w:spacing w:val="-3"/>
          <w:w w:val="105"/>
          <w:sz w:val="24"/>
        </w:rPr>
        <w:t> </w:t>
      </w:r>
      <w:r>
        <w:rPr>
          <w:i/>
          <w:w w:val="105"/>
          <w:sz w:val="24"/>
        </w:rPr>
        <w:t>meant</w:t>
      </w:r>
      <w:r>
        <w:rPr>
          <w:i/>
          <w:spacing w:val="-3"/>
          <w:w w:val="105"/>
          <w:sz w:val="24"/>
        </w:rPr>
        <w:t> </w:t>
      </w:r>
      <w:r>
        <w:rPr>
          <w:i/>
          <w:w w:val="105"/>
          <w:sz w:val="24"/>
        </w:rPr>
        <w:t>to ‘safeguard’</w:t>
      </w:r>
      <w:r>
        <w:rPr>
          <w:i/>
          <w:spacing w:val="-6"/>
          <w:w w:val="105"/>
          <w:sz w:val="24"/>
        </w:rPr>
        <w:t> </w:t>
      </w:r>
      <w:r>
        <w:rPr>
          <w:i/>
          <w:w w:val="105"/>
          <w:sz w:val="24"/>
        </w:rPr>
        <w:t>the</w:t>
      </w:r>
      <w:r>
        <w:rPr>
          <w:i/>
          <w:spacing w:val="-6"/>
          <w:w w:val="105"/>
          <w:sz w:val="24"/>
        </w:rPr>
        <w:t> </w:t>
      </w:r>
      <w:r>
        <w:rPr>
          <w:i/>
          <w:w w:val="105"/>
          <w:sz w:val="24"/>
        </w:rPr>
        <w:t>project</w:t>
      </w:r>
      <w:r>
        <w:rPr>
          <w:i/>
          <w:spacing w:val="-6"/>
          <w:w w:val="105"/>
          <w:sz w:val="24"/>
        </w:rPr>
        <w:t> </w:t>
      </w:r>
      <w:r>
        <w:rPr>
          <w:i/>
          <w:w w:val="105"/>
          <w:sz w:val="24"/>
        </w:rPr>
        <w:t>from</w:t>
      </w:r>
      <w:r>
        <w:rPr>
          <w:i/>
          <w:spacing w:val="-6"/>
          <w:w w:val="105"/>
          <w:sz w:val="24"/>
        </w:rPr>
        <w:t> </w:t>
      </w:r>
      <w:r>
        <w:rPr>
          <w:i/>
          <w:w w:val="105"/>
          <w:sz w:val="24"/>
        </w:rPr>
        <w:t>having</w:t>
      </w:r>
      <w:r>
        <w:rPr>
          <w:i/>
          <w:spacing w:val="-6"/>
          <w:w w:val="105"/>
          <w:sz w:val="24"/>
        </w:rPr>
        <w:t> </w:t>
      </w:r>
      <w:r>
        <w:rPr>
          <w:i/>
          <w:w w:val="105"/>
          <w:sz w:val="24"/>
        </w:rPr>
        <w:t>negative</w:t>
      </w:r>
      <w:r>
        <w:rPr>
          <w:i/>
          <w:spacing w:val="-6"/>
          <w:w w:val="105"/>
          <w:sz w:val="24"/>
        </w:rPr>
        <w:t> </w:t>
      </w:r>
      <w:r>
        <w:rPr>
          <w:i/>
          <w:w w:val="105"/>
          <w:sz w:val="24"/>
        </w:rPr>
        <w:t>impacts</w:t>
      </w:r>
      <w:r>
        <w:rPr>
          <w:i/>
          <w:spacing w:val="-6"/>
          <w:w w:val="105"/>
          <w:sz w:val="24"/>
        </w:rPr>
        <w:t> </w:t>
      </w:r>
      <w:r>
        <w:rPr>
          <w:i/>
          <w:w w:val="105"/>
          <w:sz w:val="24"/>
        </w:rPr>
        <w:t>on</w:t>
      </w:r>
      <w:r>
        <w:rPr>
          <w:i/>
          <w:spacing w:val="-6"/>
          <w:w w:val="105"/>
          <w:sz w:val="24"/>
        </w:rPr>
        <w:t> </w:t>
      </w:r>
      <w:r>
        <w:rPr>
          <w:i/>
          <w:w w:val="105"/>
          <w:sz w:val="24"/>
        </w:rPr>
        <w:t>the </w:t>
      </w:r>
      <w:r>
        <w:rPr>
          <w:i/>
          <w:sz w:val="24"/>
        </w:rPr>
        <w:t>environment and social groups. Safeguards were ﬁrst instituted at the </w:t>
      </w:r>
      <w:r>
        <w:rPr>
          <w:i/>
          <w:w w:val="105"/>
          <w:sz w:val="24"/>
        </w:rPr>
        <w:t>World</w:t>
      </w:r>
      <w:r>
        <w:rPr>
          <w:i/>
          <w:spacing w:val="-11"/>
          <w:w w:val="105"/>
          <w:sz w:val="24"/>
        </w:rPr>
        <w:t> </w:t>
      </w:r>
      <w:r>
        <w:rPr>
          <w:i/>
          <w:w w:val="105"/>
          <w:sz w:val="24"/>
        </w:rPr>
        <w:t>Bank</w:t>
      </w:r>
      <w:r>
        <w:rPr>
          <w:i/>
          <w:spacing w:val="-11"/>
          <w:w w:val="105"/>
          <w:sz w:val="24"/>
        </w:rPr>
        <w:t> </w:t>
      </w:r>
      <w:r>
        <w:rPr>
          <w:i/>
          <w:w w:val="105"/>
          <w:sz w:val="24"/>
        </w:rPr>
        <w:t>in</w:t>
      </w:r>
      <w:r>
        <w:rPr>
          <w:i/>
          <w:spacing w:val="-11"/>
          <w:w w:val="105"/>
          <w:sz w:val="24"/>
        </w:rPr>
        <w:t> </w:t>
      </w:r>
      <w:r>
        <w:rPr>
          <w:i/>
          <w:w w:val="105"/>
          <w:sz w:val="24"/>
        </w:rPr>
        <w:t>the</w:t>
      </w:r>
      <w:r>
        <w:rPr>
          <w:i/>
          <w:spacing w:val="-11"/>
          <w:w w:val="105"/>
          <w:sz w:val="24"/>
        </w:rPr>
        <w:t> </w:t>
      </w:r>
      <w:r>
        <w:rPr>
          <w:i/>
          <w:w w:val="105"/>
          <w:sz w:val="24"/>
        </w:rPr>
        <w:t>1990s,</w:t>
      </w:r>
      <w:r>
        <w:rPr>
          <w:i/>
          <w:spacing w:val="-11"/>
          <w:w w:val="105"/>
          <w:sz w:val="24"/>
        </w:rPr>
        <w:t> </w:t>
      </w:r>
      <w:r>
        <w:rPr>
          <w:i/>
          <w:w w:val="105"/>
          <w:sz w:val="24"/>
        </w:rPr>
        <w:t>and</w:t>
      </w:r>
      <w:r>
        <w:rPr>
          <w:i/>
          <w:spacing w:val="-11"/>
          <w:w w:val="105"/>
          <w:sz w:val="24"/>
        </w:rPr>
        <w:t> </w:t>
      </w:r>
      <w:r>
        <w:rPr>
          <w:i/>
          <w:w w:val="105"/>
          <w:sz w:val="24"/>
        </w:rPr>
        <w:t>the</w:t>
      </w:r>
      <w:r>
        <w:rPr>
          <w:i/>
          <w:spacing w:val="-11"/>
          <w:w w:val="105"/>
          <w:sz w:val="24"/>
        </w:rPr>
        <w:t> </w:t>
      </w:r>
      <w:r>
        <w:rPr>
          <w:i/>
          <w:w w:val="105"/>
          <w:sz w:val="24"/>
        </w:rPr>
        <w:t>other</w:t>
      </w:r>
      <w:r>
        <w:rPr>
          <w:i/>
          <w:spacing w:val="-11"/>
          <w:w w:val="105"/>
          <w:sz w:val="24"/>
        </w:rPr>
        <w:t> </w:t>
      </w:r>
      <w:r>
        <w:rPr>
          <w:i/>
          <w:w w:val="105"/>
          <w:sz w:val="24"/>
        </w:rPr>
        <w:t>major</w:t>
      </w:r>
      <w:r>
        <w:rPr>
          <w:i/>
          <w:spacing w:val="-11"/>
          <w:w w:val="105"/>
          <w:sz w:val="24"/>
        </w:rPr>
        <w:t> </w:t>
      </w:r>
      <w:r>
        <w:rPr>
          <w:i/>
          <w:w w:val="105"/>
          <w:sz w:val="24"/>
        </w:rPr>
        <w:t>[regional</w:t>
      </w:r>
      <w:r>
        <w:rPr>
          <w:i/>
          <w:spacing w:val="-11"/>
          <w:w w:val="105"/>
          <w:sz w:val="24"/>
        </w:rPr>
        <w:t> </w:t>
      </w:r>
      <w:r>
        <w:rPr>
          <w:i/>
          <w:w w:val="105"/>
          <w:sz w:val="24"/>
        </w:rPr>
        <w:t>multilateral development</w:t>
      </w:r>
      <w:r>
        <w:rPr>
          <w:i/>
          <w:spacing w:val="-16"/>
          <w:w w:val="105"/>
          <w:sz w:val="24"/>
        </w:rPr>
        <w:t> </w:t>
      </w:r>
      <w:r>
        <w:rPr>
          <w:i/>
          <w:w w:val="105"/>
          <w:sz w:val="24"/>
        </w:rPr>
        <w:t>banks]</w:t>
      </w:r>
      <w:r>
        <w:rPr>
          <w:i/>
          <w:spacing w:val="-16"/>
          <w:w w:val="105"/>
          <w:sz w:val="24"/>
        </w:rPr>
        <w:t> </w:t>
      </w:r>
      <w:r>
        <w:rPr>
          <w:i/>
          <w:w w:val="105"/>
          <w:sz w:val="24"/>
        </w:rPr>
        <w:t>followed</w:t>
      </w:r>
      <w:r>
        <w:rPr>
          <w:i/>
          <w:spacing w:val="-16"/>
          <w:w w:val="105"/>
          <w:sz w:val="24"/>
        </w:rPr>
        <w:t> </w:t>
      </w:r>
      <w:r>
        <w:rPr>
          <w:i/>
          <w:w w:val="105"/>
          <w:sz w:val="24"/>
        </w:rPr>
        <w:t>suit</w:t>
      </w:r>
      <w:r>
        <w:rPr>
          <w:i/>
          <w:spacing w:val="-16"/>
          <w:w w:val="105"/>
          <w:sz w:val="24"/>
        </w:rPr>
        <w:t> </w:t>
      </w:r>
      <w:r>
        <w:rPr>
          <w:i/>
          <w:w w:val="105"/>
          <w:sz w:val="24"/>
        </w:rPr>
        <w:t>in</w:t>
      </w:r>
      <w:r>
        <w:rPr>
          <w:i/>
          <w:spacing w:val="-16"/>
          <w:w w:val="105"/>
          <w:sz w:val="24"/>
        </w:rPr>
        <w:t> </w:t>
      </w:r>
      <w:r>
        <w:rPr>
          <w:i/>
          <w:w w:val="105"/>
          <w:sz w:val="24"/>
        </w:rPr>
        <w:t>subsequent</w:t>
      </w:r>
      <w:r>
        <w:rPr>
          <w:i/>
          <w:spacing w:val="-16"/>
          <w:w w:val="105"/>
          <w:sz w:val="24"/>
        </w:rPr>
        <w:t> </w:t>
      </w:r>
      <w:r>
        <w:rPr>
          <w:i/>
          <w:w w:val="105"/>
          <w:sz w:val="24"/>
        </w:rPr>
        <w:t>years.</w:t>
      </w:r>
      <w:r>
        <w:rPr>
          <w:i/>
          <w:spacing w:val="-16"/>
          <w:w w:val="105"/>
          <w:sz w:val="24"/>
        </w:rPr>
        <w:t> </w:t>
      </w:r>
      <w:r>
        <w:rPr>
          <w:i/>
          <w:w w:val="105"/>
          <w:sz w:val="24"/>
        </w:rPr>
        <w:t>The</w:t>
      </w:r>
      <w:r>
        <w:rPr>
          <w:i/>
          <w:spacing w:val="-16"/>
          <w:w w:val="105"/>
          <w:sz w:val="24"/>
        </w:rPr>
        <w:t> </w:t>
      </w:r>
      <w:r>
        <w:rPr>
          <w:i/>
          <w:w w:val="105"/>
          <w:sz w:val="24"/>
        </w:rPr>
        <w:t>World </w:t>
      </w:r>
      <w:r>
        <w:rPr>
          <w:i/>
          <w:sz w:val="24"/>
        </w:rPr>
        <w:t>Bank’s safeguards are still considered the most comprehensive and rigorous, but the safeguards of the AsDB, IADB, and AfDB have been gradually tightened over the years such that the differences between </w:t>
      </w:r>
      <w:r>
        <w:rPr>
          <w:i/>
          <w:w w:val="105"/>
          <w:sz w:val="24"/>
        </w:rPr>
        <w:t>them</w:t>
      </w:r>
      <w:r>
        <w:rPr>
          <w:i/>
          <w:spacing w:val="-14"/>
          <w:w w:val="105"/>
          <w:sz w:val="24"/>
        </w:rPr>
        <w:t> </w:t>
      </w:r>
      <w:r>
        <w:rPr>
          <w:i/>
          <w:w w:val="105"/>
          <w:sz w:val="24"/>
        </w:rPr>
        <w:t>are</w:t>
      </w:r>
      <w:r>
        <w:rPr>
          <w:i/>
          <w:spacing w:val="-14"/>
          <w:w w:val="105"/>
          <w:sz w:val="24"/>
        </w:rPr>
        <w:t> </w:t>
      </w:r>
      <w:r>
        <w:rPr>
          <w:i/>
          <w:w w:val="105"/>
          <w:sz w:val="24"/>
        </w:rPr>
        <w:t>relatively</w:t>
      </w:r>
      <w:r>
        <w:rPr>
          <w:i/>
          <w:spacing w:val="-14"/>
          <w:w w:val="105"/>
          <w:sz w:val="24"/>
        </w:rPr>
        <w:t> </w:t>
      </w:r>
      <w:r>
        <w:rPr>
          <w:i/>
          <w:w w:val="105"/>
          <w:sz w:val="24"/>
        </w:rPr>
        <w:t>small,</w:t>
      </w:r>
      <w:r>
        <w:rPr>
          <w:i/>
          <w:spacing w:val="-14"/>
          <w:w w:val="105"/>
          <w:sz w:val="24"/>
        </w:rPr>
        <w:t> </w:t>
      </w:r>
      <w:r>
        <w:rPr>
          <w:i/>
          <w:w w:val="105"/>
          <w:sz w:val="24"/>
        </w:rPr>
        <w:t>particularly</w:t>
      </w:r>
      <w:r>
        <w:rPr>
          <w:i/>
          <w:spacing w:val="-14"/>
          <w:w w:val="105"/>
          <w:sz w:val="24"/>
        </w:rPr>
        <w:t> </w:t>
      </w:r>
      <w:r>
        <w:rPr>
          <w:i/>
          <w:w w:val="105"/>
          <w:sz w:val="24"/>
        </w:rPr>
        <w:t>on</w:t>
      </w:r>
      <w:r>
        <w:rPr>
          <w:i/>
          <w:spacing w:val="-14"/>
          <w:w w:val="105"/>
          <w:sz w:val="24"/>
        </w:rPr>
        <w:t> </w:t>
      </w:r>
      <w:r>
        <w:rPr>
          <w:i/>
          <w:w w:val="105"/>
          <w:sz w:val="24"/>
        </w:rPr>
        <w:t>the</w:t>
      </w:r>
      <w:r>
        <w:rPr>
          <w:i/>
          <w:spacing w:val="-14"/>
          <w:w w:val="105"/>
          <w:sz w:val="24"/>
        </w:rPr>
        <w:t> </w:t>
      </w:r>
      <w:r>
        <w:rPr>
          <w:i/>
          <w:w w:val="105"/>
          <w:sz w:val="24"/>
        </w:rPr>
        <w:t>hot-button</w:t>
      </w:r>
      <w:r>
        <w:rPr>
          <w:i/>
          <w:spacing w:val="-14"/>
          <w:w w:val="105"/>
          <w:sz w:val="24"/>
        </w:rPr>
        <w:t> </w:t>
      </w:r>
      <w:r>
        <w:rPr>
          <w:i/>
          <w:w w:val="105"/>
          <w:sz w:val="24"/>
        </w:rPr>
        <w:t>issues</w:t>
      </w:r>
      <w:r>
        <w:rPr>
          <w:i/>
          <w:spacing w:val="-14"/>
          <w:w w:val="105"/>
          <w:sz w:val="24"/>
        </w:rPr>
        <w:t> </w:t>
      </w:r>
      <w:r>
        <w:rPr>
          <w:i/>
          <w:w w:val="105"/>
          <w:sz w:val="24"/>
        </w:rPr>
        <w:t>of </w:t>
      </w:r>
      <w:r>
        <w:rPr>
          <w:i/>
          <w:sz w:val="24"/>
        </w:rPr>
        <w:t>environmental assessment and resettlement. As a project undergoes the initial screening process, MDB staff members determine whether</w:t>
      </w:r>
      <w:r>
        <w:rPr>
          <w:i/>
          <w:spacing w:val="40"/>
          <w:sz w:val="24"/>
        </w:rPr>
        <w:t> </w:t>
      </w:r>
      <w:r>
        <w:rPr>
          <w:i/>
          <w:sz w:val="24"/>
        </w:rPr>
        <w:t>it triggers any of the MDB’s applicable safeguards. Should that be </w:t>
      </w:r>
      <w:r>
        <w:rPr>
          <w:i/>
          <w:sz w:val="24"/>
        </w:rPr>
        <w:t>the </w:t>
      </w:r>
      <w:r>
        <w:rPr>
          <w:i/>
          <w:spacing w:val="-2"/>
          <w:w w:val="105"/>
          <w:sz w:val="24"/>
        </w:rPr>
        <w:t>case,</w:t>
      </w:r>
      <w:r>
        <w:rPr>
          <w:i/>
          <w:spacing w:val="-10"/>
          <w:w w:val="105"/>
          <w:sz w:val="24"/>
        </w:rPr>
        <w:t> </w:t>
      </w:r>
      <w:r>
        <w:rPr>
          <w:i/>
          <w:spacing w:val="-2"/>
          <w:w w:val="105"/>
          <w:sz w:val="24"/>
        </w:rPr>
        <w:t>a</w:t>
      </w:r>
      <w:r>
        <w:rPr>
          <w:i/>
          <w:spacing w:val="-10"/>
          <w:w w:val="105"/>
          <w:sz w:val="24"/>
        </w:rPr>
        <w:t> </w:t>
      </w:r>
      <w:r>
        <w:rPr>
          <w:i/>
          <w:spacing w:val="-2"/>
          <w:w w:val="105"/>
          <w:sz w:val="24"/>
        </w:rPr>
        <w:t>separate</w:t>
      </w:r>
      <w:r>
        <w:rPr>
          <w:i/>
          <w:spacing w:val="-10"/>
          <w:w w:val="105"/>
          <w:sz w:val="24"/>
        </w:rPr>
        <w:t> </w:t>
      </w:r>
      <w:r>
        <w:rPr>
          <w:i/>
          <w:spacing w:val="-2"/>
          <w:w w:val="105"/>
          <w:sz w:val="24"/>
        </w:rPr>
        <w:t>series</w:t>
      </w:r>
      <w:r>
        <w:rPr>
          <w:i/>
          <w:spacing w:val="-10"/>
          <w:w w:val="105"/>
          <w:sz w:val="24"/>
        </w:rPr>
        <w:t> </w:t>
      </w:r>
      <w:r>
        <w:rPr>
          <w:i/>
          <w:spacing w:val="-2"/>
          <w:w w:val="105"/>
          <w:sz w:val="24"/>
        </w:rPr>
        <w:t>of</w:t>
      </w:r>
      <w:r>
        <w:rPr>
          <w:i/>
          <w:spacing w:val="-10"/>
          <w:w w:val="105"/>
          <w:sz w:val="24"/>
        </w:rPr>
        <w:t> </w:t>
      </w:r>
      <w:r>
        <w:rPr>
          <w:i/>
          <w:spacing w:val="-2"/>
          <w:w w:val="105"/>
          <w:sz w:val="24"/>
        </w:rPr>
        <w:t>special</w:t>
      </w:r>
      <w:r>
        <w:rPr>
          <w:i/>
          <w:spacing w:val="-10"/>
          <w:w w:val="105"/>
          <w:sz w:val="24"/>
        </w:rPr>
        <w:t> </w:t>
      </w:r>
      <w:r>
        <w:rPr>
          <w:i/>
          <w:spacing w:val="-2"/>
          <w:w w:val="105"/>
          <w:sz w:val="24"/>
        </w:rPr>
        <w:t>requirements</w:t>
      </w:r>
      <w:r>
        <w:rPr>
          <w:i/>
          <w:spacing w:val="-10"/>
          <w:w w:val="105"/>
          <w:sz w:val="24"/>
        </w:rPr>
        <w:t> </w:t>
      </w:r>
      <w:r>
        <w:rPr>
          <w:i/>
          <w:spacing w:val="-2"/>
          <w:w w:val="105"/>
          <w:sz w:val="24"/>
        </w:rPr>
        <w:t>must</w:t>
      </w:r>
      <w:r>
        <w:rPr>
          <w:i/>
          <w:spacing w:val="-10"/>
          <w:w w:val="105"/>
          <w:sz w:val="24"/>
        </w:rPr>
        <w:t> </w:t>
      </w:r>
      <w:r>
        <w:rPr>
          <w:i/>
          <w:spacing w:val="-2"/>
          <w:w w:val="105"/>
          <w:sz w:val="24"/>
        </w:rPr>
        <w:t>be</w:t>
      </w:r>
      <w:r>
        <w:rPr>
          <w:i/>
          <w:spacing w:val="-10"/>
          <w:w w:val="105"/>
          <w:sz w:val="24"/>
        </w:rPr>
        <w:t> </w:t>
      </w:r>
      <w:r>
        <w:rPr>
          <w:i/>
          <w:spacing w:val="-2"/>
          <w:w w:val="105"/>
          <w:sz w:val="24"/>
        </w:rPr>
        <w:t>followed </w:t>
      </w:r>
      <w:r>
        <w:rPr>
          <w:i/>
          <w:sz w:val="24"/>
        </w:rPr>
        <w:t>before the loan can be approved and disbursed. The most frequently </w:t>
      </w:r>
      <w:r>
        <w:rPr>
          <w:i/>
          <w:w w:val="105"/>
          <w:sz w:val="24"/>
        </w:rPr>
        <w:t>triggered</w:t>
      </w:r>
      <w:r>
        <w:rPr>
          <w:i/>
          <w:spacing w:val="-10"/>
          <w:w w:val="105"/>
          <w:sz w:val="24"/>
        </w:rPr>
        <w:t> </w:t>
      </w:r>
      <w:r>
        <w:rPr>
          <w:i/>
          <w:w w:val="105"/>
          <w:sz w:val="24"/>
        </w:rPr>
        <w:t>safeguards</w:t>
      </w:r>
      <w:r>
        <w:rPr>
          <w:i/>
          <w:spacing w:val="-10"/>
          <w:w w:val="105"/>
          <w:sz w:val="24"/>
        </w:rPr>
        <w:t> </w:t>
      </w:r>
      <w:r>
        <w:rPr>
          <w:i/>
          <w:w w:val="105"/>
          <w:sz w:val="24"/>
        </w:rPr>
        <w:t>in</w:t>
      </w:r>
      <w:r>
        <w:rPr>
          <w:i/>
          <w:spacing w:val="-10"/>
          <w:w w:val="105"/>
          <w:sz w:val="24"/>
        </w:rPr>
        <w:t> </w:t>
      </w:r>
      <w:r>
        <w:rPr>
          <w:i/>
          <w:w w:val="105"/>
          <w:sz w:val="24"/>
        </w:rPr>
        <w:t>the</w:t>
      </w:r>
      <w:r>
        <w:rPr>
          <w:i/>
          <w:spacing w:val="-10"/>
          <w:w w:val="105"/>
          <w:sz w:val="24"/>
        </w:rPr>
        <w:t> </w:t>
      </w:r>
      <w:r>
        <w:rPr>
          <w:i/>
          <w:w w:val="105"/>
          <w:sz w:val="24"/>
        </w:rPr>
        <w:t>case</w:t>
      </w:r>
      <w:r>
        <w:rPr>
          <w:i/>
          <w:spacing w:val="-10"/>
          <w:w w:val="105"/>
          <w:sz w:val="24"/>
        </w:rPr>
        <w:t> </w:t>
      </w:r>
      <w:r>
        <w:rPr>
          <w:i/>
          <w:w w:val="105"/>
          <w:sz w:val="24"/>
        </w:rPr>
        <w:t>of</w:t>
      </w:r>
      <w:r>
        <w:rPr>
          <w:i/>
          <w:spacing w:val="-10"/>
          <w:w w:val="105"/>
          <w:sz w:val="24"/>
        </w:rPr>
        <w:t> </w:t>
      </w:r>
      <w:r>
        <w:rPr>
          <w:i/>
          <w:w w:val="105"/>
          <w:sz w:val="24"/>
        </w:rPr>
        <w:t>the</w:t>
      </w:r>
      <w:r>
        <w:rPr>
          <w:i/>
          <w:spacing w:val="-10"/>
          <w:w w:val="105"/>
          <w:sz w:val="24"/>
        </w:rPr>
        <w:t> </w:t>
      </w:r>
      <w:r>
        <w:rPr>
          <w:i/>
          <w:w w:val="105"/>
          <w:sz w:val="24"/>
        </w:rPr>
        <w:t>World</w:t>
      </w:r>
      <w:r>
        <w:rPr>
          <w:i/>
          <w:spacing w:val="-10"/>
          <w:w w:val="105"/>
          <w:sz w:val="24"/>
        </w:rPr>
        <w:t> </w:t>
      </w:r>
      <w:r>
        <w:rPr>
          <w:i/>
          <w:w w:val="105"/>
          <w:sz w:val="24"/>
        </w:rPr>
        <w:t>Bank</w:t>
      </w:r>
      <w:r>
        <w:rPr>
          <w:i/>
          <w:spacing w:val="-10"/>
          <w:w w:val="105"/>
          <w:sz w:val="24"/>
        </w:rPr>
        <w:t> </w:t>
      </w:r>
      <w:r>
        <w:rPr>
          <w:i/>
          <w:w w:val="105"/>
          <w:sz w:val="24"/>
        </w:rPr>
        <w:t>relate</w:t>
      </w:r>
      <w:r>
        <w:rPr>
          <w:i/>
          <w:spacing w:val="-10"/>
          <w:w w:val="105"/>
          <w:sz w:val="24"/>
        </w:rPr>
        <w:t> </w:t>
      </w:r>
      <w:r>
        <w:rPr>
          <w:i/>
          <w:w w:val="105"/>
          <w:sz w:val="24"/>
        </w:rPr>
        <w:t>to </w:t>
      </w:r>
      <w:r>
        <w:rPr>
          <w:i/>
          <w:sz w:val="24"/>
        </w:rPr>
        <w:t>environmental assessment and involuntary resettlement, and most </w:t>
      </w:r>
      <w:r>
        <w:rPr>
          <w:i/>
          <w:w w:val="105"/>
          <w:sz w:val="24"/>
        </w:rPr>
        <w:t>frequently</w:t>
      </w:r>
      <w:r>
        <w:rPr>
          <w:i/>
          <w:spacing w:val="-11"/>
          <w:w w:val="105"/>
          <w:sz w:val="24"/>
        </w:rPr>
        <w:t> </w:t>
      </w:r>
      <w:r>
        <w:rPr>
          <w:i/>
          <w:w w:val="105"/>
          <w:sz w:val="24"/>
        </w:rPr>
        <w:t>affect</w:t>
      </w:r>
      <w:r>
        <w:rPr>
          <w:i/>
          <w:spacing w:val="-11"/>
          <w:w w:val="105"/>
          <w:sz w:val="24"/>
        </w:rPr>
        <w:t> </w:t>
      </w:r>
      <w:r>
        <w:rPr>
          <w:i/>
          <w:w w:val="105"/>
          <w:sz w:val="24"/>
        </w:rPr>
        <w:t>investment</w:t>
      </w:r>
      <w:r>
        <w:rPr>
          <w:i/>
          <w:spacing w:val="-11"/>
          <w:w w:val="105"/>
          <w:sz w:val="24"/>
        </w:rPr>
        <w:t> </w:t>
      </w:r>
      <w:r>
        <w:rPr>
          <w:i/>
          <w:w w:val="105"/>
          <w:sz w:val="24"/>
        </w:rPr>
        <w:t>projects</w:t>
      </w:r>
      <w:r>
        <w:rPr>
          <w:i/>
          <w:spacing w:val="-11"/>
          <w:w w:val="105"/>
          <w:sz w:val="24"/>
        </w:rPr>
        <w:t> </w:t>
      </w:r>
      <w:r>
        <w:rPr>
          <w:i/>
          <w:w w:val="105"/>
          <w:sz w:val="24"/>
        </w:rPr>
        <w:t>in</w:t>
      </w:r>
      <w:r>
        <w:rPr>
          <w:i/>
          <w:spacing w:val="-11"/>
          <w:w w:val="105"/>
          <w:sz w:val="24"/>
        </w:rPr>
        <w:t> </w:t>
      </w:r>
      <w:r>
        <w:rPr>
          <w:i/>
          <w:w w:val="105"/>
          <w:sz w:val="24"/>
        </w:rPr>
        <w:t>the</w:t>
      </w:r>
      <w:r>
        <w:rPr>
          <w:i/>
          <w:spacing w:val="-11"/>
          <w:w w:val="105"/>
          <w:sz w:val="24"/>
        </w:rPr>
        <w:t> </w:t>
      </w:r>
      <w:r>
        <w:rPr>
          <w:i/>
          <w:w w:val="105"/>
          <w:sz w:val="24"/>
        </w:rPr>
        <w:t>transportation,</w:t>
      </w:r>
      <w:r>
        <w:rPr>
          <w:i/>
          <w:spacing w:val="-11"/>
          <w:w w:val="105"/>
          <w:sz w:val="24"/>
        </w:rPr>
        <w:t> </w:t>
      </w:r>
      <w:r>
        <w:rPr>
          <w:i/>
          <w:w w:val="105"/>
          <w:sz w:val="24"/>
        </w:rPr>
        <w:t>energy,</w:t>
      </w:r>
    </w:p>
    <w:p>
      <w:pPr>
        <w:pStyle w:val="BodyText"/>
        <w:spacing w:before="11"/>
        <w:rPr>
          <w:i/>
          <w:sz w:val="22"/>
        </w:rPr>
      </w:pPr>
      <w:r>
        <w:rPr/>
        <w:pict>
          <v:shape style="position:absolute;margin-left:90pt;margin-top:14.413867pt;width:144pt;height:.1pt;mso-position-horizontal-relative:page;mso-position-vertical-relative:paragraph;z-index:-15698432;mso-wrap-distance-left:0;mso-wrap-distance-right:0" id="docshape51" coordorigin="1800,288" coordsize="2880,0" path="m1800,288l4680,288e" filled="false" stroked="true" strokeweight=".75pt" strokecolor="#000000">
            <v:path arrowok="t"/>
            <v:stroke dashstyle="solid"/>
            <w10:wrap type="topAndBottom"/>
          </v:shape>
        </w:pict>
      </w:r>
    </w:p>
    <w:p>
      <w:pPr>
        <w:spacing w:line="249" w:lineRule="auto" w:before="101"/>
        <w:ind w:left="560" w:right="779" w:firstLine="0"/>
        <w:jc w:val="left"/>
        <w:rPr>
          <w:sz w:val="18"/>
        </w:rPr>
      </w:pPr>
      <w:r>
        <w:rPr>
          <w:sz w:val="18"/>
          <w:vertAlign w:val="superscript"/>
        </w:rPr>
        <w:t>289</w:t>
      </w:r>
      <w:r>
        <w:rPr>
          <w:spacing w:val="-4"/>
          <w:sz w:val="18"/>
          <w:vertAlign w:val="baseline"/>
        </w:rPr>
        <w:t> </w:t>
      </w:r>
      <w:r>
        <w:rPr>
          <w:sz w:val="18"/>
          <w:vertAlign w:val="baseline"/>
        </w:rPr>
        <w:t>According</w:t>
      </w:r>
      <w:r>
        <w:rPr>
          <w:spacing w:val="-3"/>
          <w:sz w:val="18"/>
          <w:vertAlign w:val="baseline"/>
        </w:rPr>
        <w:t> </w:t>
      </w:r>
      <w:r>
        <w:rPr>
          <w:sz w:val="18"/>
          <w:vertAlign w:val="baseline"/>
        </w:rPr>
        <w:t>to</w:t>
      </w:r>
      <w:r>
        <w:rPr>
          <w:spacing w:val="-3"/>
          <w:sz w:val="18"/>
          <w:vertAlign w:val="baseline"/>
        </w:rPr>
        <w:t> </w:t>
      </w:r>
      <w:r>
        <w:rPr>
          <w:sz w:val="18"/>
          <w:vertAlign w:val="baseline"/>
        </w:rPr>
        <w:t>David</w:t>
      </w:r>
      <w:r>
        <w:rPr>
          <w:spacing w:val="-3"/>
          <w:sz w:val="18"/>
          <w:vertAlign w:val="baseline"/>
        </w:rPr>
        <w:t> </w:t>
      </w:r>
      <w:r>
        <w:rPr>
          <w:sz w:val="18"/>
          <w:vertAlign w:val="baseline"/>
        </w:rPr>
        <w:t>Dollar,</w:t>
      </w:r>
      <w:r>
        <w:rPr>
          <w:spacing w:val="-3"/>
          <w:sz w:val="18"/>
          <w:vertAlign w:val="baseline"/>
        </w:rPr>
        <w:t> </w:t>
      </w:r>
      <w:r>
        <w:rPr>
          <w:sz w:val="18"/>
          <w:vertAlign w:val="baseline"/>
        </w:rPr>
        <w:t>who</w:t>
      </w:r>
      <w:r>
        <w:rPr>
          <w:spacing w:val="-3"/>
          <w:sz w:val="18"/>
          <w:vertAlign w:val="baseline"/>
        </w:rPr>
        <w:t> </w:t>
      </w:r>
      <w:r>
        <w:rPr>
          <w:sz w:val="18"/>
          <w:vertAlign w:val="baseline"/>
        </w:rPr>
        <w:t>served</w:t>
      </w:r>
      <w:r>
        <w:rPr>
          <w:spacing w:val="-3"/>
          <w:sz w:val="18"/>
          <w:vertAlign w:val="baseline"/>
        </w:rPr>
        <w:t> </w:t>
      </w:r>
      <w:r>
        <w:rPr>
          <w:sz w:val="18"/>
          <w:vertAlign w:val="baseline"/>
        </w:rPr>
        <w:t>as</w:t>
      </w:r>
      <w:r>
        <w:rPr>
          <w:spacing w:val="-3"/>
          <w:sz w:val="18"/>
          <w:vertAlign w:val="baseline"/>
        </w:rPr>
        <w:t> </w:t>
      </w:r>
      <w:r>
        <w:rPr>
          <w:sz w:val="18"/>
          <w:vertAlign w:val="baseline"/>
        </w:rPr>
        <w:t>the</w:t>
      </w:r>
      <w:r>
        <w:rPr>
          <w:spacing w:val="-3"/>
          <w:sz w:val="18"/>
          <w:vertAlign w:val="baseline"/>
        </w:rPr>
        <w:t> </w:t>
      </w:r>
      <w:r>
        <w:rPr>
          <w:sz w:val="18"/>
          <w:vertAlign w:val="baseline"/>
        </w:rPr>
        <w:t>World</w:t>
      </w:r>
      <w:r>
        <w:rPr>
          <w:spacing w:val="-3"/>
          <w:sz w:val="18"/>
          <w:vertAlign w:val="baseline"/>
        </w:rPr>
        <w:t> </w:t>
      </w:r>
      <w:r>
        <w:rPr>
          <w:sz w:val="18"/>
          <w:vertAlign w:val="baseline"/>
        </w:rPr>
        <w:t>Bank’s</w:t>
      </w:r>
      <w:r>
        <w:rPr>
          <w:spacing w:val="-3"/>
          <w:sz w:val="18"/>
          <w:vertAlign w:val="baseline"/>
        </w:rPr>
        <w:t> </w:t>
      </w:r>
      <w:r>
        <w:rPr>
          <w:sz w:val="18"/>
          <w:vertAlign w:val="baseline"/>
        </w:rPr>
        <w:t>country</w:t>
      </w:r>
      <w:r>
        <w:rPr>
          <w:spacing w:val="-3"/>
          <w:sz w:val="18"/>
          <w:vertAlign w:val="baseline"/>
        </w:rPr>
        <w:t> </w:t>
      </w:r>
      <w:r>
        <w:rPr>
          <w:sz w:val="18"/>
          <w:vertAlign w:val="baseline"/>
        </w:rPr>
        <w:t>director</w:t>
      </w:r>
      <w:r>
        <w:rPr>
          <w:spacing w:val="-3"/>
          <w:sz w:val="18"/>
          <w:vertAlign w:val="baseline"/>
        </w:rPr>
        <w:t> </w:t>
      </w:r>
      <w:r>
        <w:rPr>
          <w:sz w:val="18"/>
          <w:vertAlign w:val="baseline"/>
        </w:rPr>
        <w:t>for</w:t>
      </w:r>
      <w:r>
        <w:rPr>
          <w:spacing w:val="-3"/>
          <w:sz w:val="18"/>
          <w:vertAlign w:val="baseline"/>
        </w:rPr>
        <w:t> </w:t>
      </w:r>
      <w:r>
        <w:rPr>
          <w:sz w:val="18"/>
          <w:vertAlign w:val="baseline"/>
        </w:rPr>
        <w:t>China</w:t>
      </w:r>
      <w:r>
        <w:rPr>
          <w:spacing w:val="-3"/>
          <w:sz w:val="18"/>
          <w:vertAlign w:val="baseline"/>
        </w:rPr>
        <w:t> </w:t>
      </w:r>
      <w:r>
        <w:rPr>
          <w:sz w:val="18"/>
          <w:vertAlign w:val="baseline"/>
        </w:rPr>
        <w:t>(2004-2009)</w:t>
      </w:r>
      <w:r>
        <w:rPr>
          <w:spacing w:val="-3"/>
          <w:sz w:val="18"/>
          <w:vertAlign w:val="baseline"/>
        </w:rPr>
        <w:t> </w:t>
      </w:r>
      <w:r>
        <w:rPr>
          <w:sz w:val="18"/>
          <w:vertAlign w:val="baseline"/>
        </w:rPr>
        <w:t>and the</w:t>
      </w:r>
      <w:r>
        <w:rPr>
          <w:spacing w:val="-3"/>
          <w:sz w:val="18"/>
          <w:vertAlign w:val="baseline"/>
        </w:rPr>
        <w:t> </w:t>
      </w:r>
      <w:r>
        <w:rPr>
          <w:sz w:val="18"/>
          <w:vertAlign w:val="baseline"/>
        </w:rPr>
        <w:t>U.S.</w:t>
      </w:r>
      <w:r>
        <w:rPr>
          <w:spacing w:val="-3"/>
          <w:sz w:val="18"/>
          <w:vertAlign w:val="baseline"/>
        </w:rPr>
        <w:t> </w:t>
      </w:r>
      <w:r>
        <w:rPr>
          <w:sz w:val="18"/>
          <w:vertAlign w:val="baseline"/>
        </w:rPr>
        <w:t>Treasury</w:t>
      </w:r>
      <w:r>
        <w:rPr>
          <w:spacing w:val="-3"/>
          <w:sz w:val="18"/>
          <w:vertAlign w:val="baseline"/>
        </w:rPr>
        <w:t> </w:t>
      </w:r>
      <w:r>
        <w:rPr>
          <w:sz w:val="18"/>
          <w:vertAlign w:val="baseline"/>
        </w:rPr>
        <w:t>Department’s</w:t>
      </w:r>
      <w:r>
        <w:rPr>
          <w:spacing w:val="-3"/>
          <w:sz w:val="18"/>
          <w:vertAlign w:val="baseline"/>
        </w:rPr>
        <w:t> </w:t>
      </w:r>
      <w:r>
        <w:rPr>
          <w:sz w:val="18"/>
          <w:vertAlign w:val="baseline"/>
        </w:rPr>
        <w:t>economic</w:t>
      </w:r>
      <w:r>
        <w:rPr>
          <w:spacing w:val="-3"/>
          <w:sz w:val="18"/>
          <w:vertAlign w:val="baseline"/>
        </w:rPr>
        <w:t> </w:t>
      </w:r>
      <w:r>
        <w:rPr>
          <w:sz w:val="18"/>
          <w:vertAlign w:val="baseline"/>
        </w:rPr>
        <w:t>and</w:t>
      </w:r>
      <w:r>
        <w:rPr>
          <w:spacing w:val="-3"/>
          <w:sz w:val="18"/>
          <w:vertAlign w:val="baseline"/>
        </w:rPr>
        <w:t> </w:t>
      </w:r>
      <w:r>
        <w:rPr>
          <w:sz w:val="18"/>
          <w:vertAlign w:val="baseline"/>
        </w:rPr>
        <w:t>ﬁnancial</w:t>
      </w:r>
      <w:r>
        <w:rPr>
          <w:spacing w:val="-3"/>
          <w:sz w:val="18"/>
          <w:vertAlign w:val="baseline"/>
        </w:rPr>
        <w:t> </w:t>
      </w:r>
      <w:r>
        <w:rPr>
          <w:sz w:val="18"/>
          <w:vertAlign w:val="baseline"/>
        </w:rPr>
        <w:t>emissary</w:t>
      </w:r>
      <w:r>
        <w:rPr>
          <w:spacing w:val="-3"/>
          <w:sz w:val="18"/>
          <w:vertAlign w:val="baseline"/>
        </w:rPr>
        <w:t> </w:t>
      </w:r>
      <w:r>
        <w:rPr>
          <w:sz w:val="18"/>
          <w:vertAlign w:val="baseline"/>
        </w:rPr>
        <w:t>to</w:t>
      </w:r>
      <w:r>
        <w:rPr>
          <w:spacing w:val="-3"/>
          <w:sz w:val="18"/>
          <w:vertAlign w:val="baseline"/>
        </w:rPr>
        <w:t> </w:t>
      </w:r>
      <w:r>
        <w:rPr>
          <w:sz w:val="18"/>
          <w:vertAlign w:val="baseline"/>
        </w:rPr>
        <w:t>China</w:t>
      </w:r>
      <w:r>
        <w:rPr>
          <w:spacing w:val="-3"/>
          <w:sz w:val="18"/>
          <w:vertAlign w:val="baseline"/>
        </w:rPr>
        <w:t> </w:t>
      </w:r>
      <w:r>
        <w:rPr>
          <w:sz w:val="18"/>
          <w:vertAlign w:val="baseline"/>
        </w:rPr>
        <w:t>(2009-2013),</w:t>
      </w:r>
      <w:r>
        <w:rPr>
          <w:spacing w:val="-3"/>
          <w:sz w:val="18"/>
          <w:vertAlign w:val="baseline"/>
        </w:rPr>
        <w:t> </w:t>
      </w:r>
      <w:r>
        <w:rPr>
          <w:sz w:val="18"/>
          <w:vertAlign w:val="baseline"/>
        </w:rPr>
        <w:t>“[the]</w:t>
      </w:r>
      <w:r>
        <w:rPr>
          <w:spacing w:val="-3"/>
          <w:sz w:val="18"/>
          <w:vertAlign w:val="baseline"/>
        </w:rPr>
        <w:t> </w:t>
      </w:r>
      <w:r>
        <w:rPr>
          <w:sz w:val="18"/>
          <w:vertAlign w:val="baseline"/>
        </w:rPr>
        <w:t>procedures developed by the World Bank are the gold standard of environmental and social safeguards in infrastructure projects. However, they have had a number of unintended consequences. It has become time-consuming and expensive to do infrastructure projects with the World Bank, and as a result, developing countries have turned to other sources of funding. [...] Given this situation, the emergence of China</w:t>
      </w:r>
      <w:r>
        <w:rPr>
          <w:spacing w:val="1"/>
          <w:sz w:val="18"/>
          <w:vertAlign w:val="baseline"/>
        </w:rPr>
        <w:t> </w:t>
      </w:r>
      <w:r>
        <w:rPr>
          <w:sz w:val="18"/>
          <w:vertAlign w:val="baseline"/>
        </w:rPr>
        <w:t>as</w:t>
      </w:r>
      <w:r>
        <w:rPr>
          <w:spacing w:val="1"/>
          <w:sz w:val="18"/>
          <w:vertAlign w:val="baseline"/>
        </w:rPr>
        <w:t> </w:t>
      </w:r>
      <w:r>
        <w:rPr>
          <w:sz w:val="18"/>
          <w:vertAlign w:val="baseline"/>
        </w:rPr>
        <w:t>a</w:t>
      </w:r>
      <w:r>
        <w:rPr>
          <w:spacing w:val="1"/>
          <w:sz w:val="18"/>
          <w:vertAlign w:val="baseline"/>
        </w:rPr>
        <w:t> </w:t>
      </w:r>
      <w:r>
        <w:rPr>
          <w:sz w:val="18"/>
          <w:vertAlign w:val="baseline"/>
        </w:rPr>
        <w:t>major</w:t>
      </w:r>
      <w:r>
        <w:rPr>
          <w:spacing w:val="1"/>
          <w:sz w:val="18"/>
          <w:vertAlign w:val="baseline"/>
        </w:rPr>
        <w:t> </w:t>
      </w:r>
      <w:r>
        <w:rPr>
          <w:sz w:val="18"/>
          <w:vertAlign w:val="baseline"/>
        </w:rPr>
        <w:t>funder</w:t>
      </w:r>
      <w:r>
        <w:rPr>
          <w:spacing w:val="1"/>
          <w:sz w:val="18"/>
          <w:vertAlign w:val="baseline"/>
        </w:rPr>
        <w:t> </w:t>
      </w:r>
      <w:r>
        <w:rPr>
          <w:sz w:val="18"/>
          <w:vertAlign w:val="baseline"/>
        </w:rPr>
        <w:t>of</w:t>
      </w:r>
      <w:r>
        <w:rPr>
          <w:spacing w:val="1"/>
          <w:sz w:val="18"/>
          <w:vertAlign w:val="baseline"/>
        </w:rPr>
        <w:t> </w:t>
      </w:r>
      <w:r>
        <w:rPr>
          <w:sz w:val="18"/>
          <w:vertAlign w:val="baseline"/>
        </w:rPr>
        <w:t>[...]</w:t>
      </w:r>
      <w:r>
        <w:rPr>
          <w:spacing w:val="1"/>
          <w:sz w:val="18"/>
          <w:vertAlign w:val="baseline"/>
        </w:rPr>
        <w:t> </w:t>
      </w:r>
      <w:r>
        <w:rPr>
          <w:sz w:val="18"/>
          <w:vertAlign w:val="baseline"/>
        </w:rPr>
        <w:t>infrastructure</w:t>
      </w:r>
      <w:r>
        <w:rPr>
          <w:spacing w:val="1"/>
          <w:sz w:val="18"/>
          <w:vertAlign w:val="baseline"/>
        </w:rPr>
        <w:t> </w:t>
      </w:r>
      <w:r>
        <w:rPr>
          <w:sz w:val="18"/>
          <w:vertAlign w:val="baseline"/>
        </w:rPr>
        <w:t>projects</w:t>
      </w:r>
      <w:r>
        <w:rPr>
          <w:spacing w:val="1"/>
          <w:sz w:val="18"/>
          <w:vertAlign w:val="baseline"/>
        </w:rPr>
        <w:t> </w:t>
      </w:r>
      <w:r>
        <w:rPr>
          <w:sz w:val="18"/>
          <w:vertAlign w:val="baseline"/>
        </w:rPr>
        <w:t>has</w:t>
      </w:r>
      <w:r>
        <w:rPr>
          <w:spacing w:val="1"/>
          <w:sz w:val="18"/>
          <w:vertAlign w:val="baseline"/>
        </w:rPr>
        <w:t> </w:t>
      </w:r>
      <w:r>
        <w:rPr>
          <w:sz w:val="18"/>
          <w:vertAlign w:val="baseline"/>
        </w:rPr>
        <w:t>been</w:t>
      </w:r>
      <w:r>
        <w:rPr>
          <w:spacing w:val="1"/>
          <w:sz w:val="18"/>
          <w:vertAlign w:val="baseline"/>
        </w:rPr>
        <w:t> </w:t>
      </w:r>
      <w:r>
        <w:rPr>
          <w:sz w:val="18"/>
          <w:vertAlign w:val="baseline"/>
        </w:rPr>
        <w:t>welcomed</w:t>
      </w:r>
      <w:r>
        <w:rPr>
          <w:spacing w:val="1"/>
          <w:sz w:val="18"/>
          <w:vertAlign w:val="baseline"/>
        </w:rPr>
        <w:t> </w:t>
      </w:r>
      <w:r>
        <w:rPr>
          <w:sz w:val="18"/>
          <w:vertAlign w:val="baseline"/>
        </w:rPr>
        <w:t>by</w:t>
      </w:r>
      <w:r>
        <w:rPr>
          <w:spacing w:val="2"/>
          <w:sz w:val="18"/>
          <w:vertAlign w:val="baseline"/>
        </w:rPr>
        <w:t> </w:t>
      </w:r>
      <w:r>
        <w:rPr>
          <w:sz w:val="18"/>
          <w:vertAlign w:val="baseline"/>
        </w:rPr>
        <w:t>most</w:t>
      </w:r>
      <w:r>
        <w:rPr>
          <w:spacing w:val="1"/>
          <w:sz w:val="18"/>
          <w:vertAlign w:val="baseline"/>
        </w:rPr>
        <w:t> </w:t>
      </w:r>
      <w:r>
        <w:rPr>
          <w:sz w:val="18"/>
          <w:vertAlign w:val="baseline"/>
        </w:rPr>
        <w:t>developing</w:t>
      </w:r>
      <w:r>
        <w:rPr>
          <w:spacing w:val="1"/>
          <w:sz w:val="18"/>
          <w:vertAlign w:val="baseline"/>
        </w:rPr>
        <w:t> </w:t>
      </w:r>
      <w:r>
        <w:rPr>
          <w:spacing w:val="-2"/>
          <w:sz w:val="18"/>
          <w:vertAlign w:val="baseline"/>
        </w:rPr>
        <w:t>countries.</w:t>
      </w:r>
    </w:p>
    <w:p>
      <w:pPr>
        <w:spacing w:line="249" w:lineRule="auto" w:before="5"/>
        <w:ind w:left="560" w:right="561" w:firstLine="0"/>
        <w:jc w:val="left"/>
        <w:rPr>
          <w:sz w:val="18"/>
        </w:rPr>
      </w:pPr>
      <w:r>
        <w:rPr>
          <w:sz w:val="18"/>
        </w:rPr>
        <w:t>China</w:t>
      </w:r>
      <w:r>
        <w:rPr>
          <w:spacing w:val="-4"/>
          <w:sz w:val="18"/>
        </w:rPr>
        <w:t> </w:t>
      </w:r>
      <w:r>
        <w:rPr>
          <w:sz w:val="18"/>
        </w:rPr>
        <w:t>is</w:t>
      </w:r>
      <w:r>
        <w:rPr>
          <w:spacing w:val="-4"/>
          <w:sz w:val="18"/>
        </w:rPr>
        <w:t> </w:t>
      </w:r>
      <w:r>
        <w:rPr>
          <w:sz w:val="18"/>
        </w:rPr>
        <w:t>seen</w:t>
      </w:r>
      <w:r>
        <w:rPr>
          <w:spacing w:val="-4"/>
          <w:sz w:val="18"/>
        </w:rPr>
        <w:t> </w:t>
      </w:r>
      <w:r>
        <w:rPr>
          <w:sz w:val="18"/>
        </w:rPr>
        <w:t>as</w:t>
      </w:r>
      <w:r>
        <w:rPr>
          <w:spacing w:val="-4"/>
          <w:sz w:val="18"/>
        </w:rPr>
        <w:t> </w:t>
      </w:r>
      <w:r>
        <w:rPr>
          <w:sz w:val="18"/>
        </w:rPr>
        <w:t>more</w:t>
      </w:r>
      <w:r>
        <w:rPr>
          <w:spacing w:val="-4"/>
          <w:sz w:val="18"/>
        </w:rPr>
        <w:t> </w:t>
      </w:r>
      <w:r>
        <w:rPr>
          <w:sz w:val="18"/>
        </w:rPr>
        <w:t>ﬂexible</w:t>
      </w:r>
      <w:r>
        <w:rPr>
          <w:spacing w:val="-4"/>
          <w:sz w:val="18"/>
        </w:rPr>
        <w:t> </w:t>
      </w:r>
      <w:r>
        <w:rPr>
          <w:sz w:val="18"/>
        </w:rPr>
        <w:t>and</w:t>
      </w:r>
      <w:r>
        <w:rPr>
          <w:spacing w:val="-4"/>
          <w:sz w:val="18"/>
        </w:rPr>
        <w:t> </w:t>
      </w:r>
      <w:r>
        <w:rPr>
          <w:sz w:val="18"/>
        </w:rPr>
        <w:t>less</w:t>
      </w:r>
      <w:r>
        <w:rPr>
          <w:spacing w:val="-4"/>
          <w:sz w:val="18"/>
        </w:rPr>
        <w:t> </w:t>
      </w:r>
      <w:r>
        <w:rPr>
          <w:sz w:val="18"/>
        </w:rPr>
        <w:t>bureaucratic.</w:t>
      </w:r>
      <w:r>
        <w:rPr>
          <w:spacing w:val="-4"/>
          <w:sz w:val="18"/>
        </w:rPr>
        <w:t> </w:t>
      </w:r>
      <w:r>
        <w:rPr>
          <w:sz w:val="18"/>
        </w:rPr>
        <w:t>It</w:t>
      </w:r>
      <w:r>
        <w:rPr>
          <w:spacing w:val="-4"/>
          <w:sz w:val="18"/>
        </w:rPr>
        <w:t> </w:t>
      </w:r>
      <w:r>
        <w:rPr>
          <w:sz w:val="18"/>
        </w:rPr>
        <w:t>completes</w:t>
      </w:r>
      <w:r>
        <w:rPr>
          <w:spacing w:val="-4"/>
          <w:sz w:val="18"/>
        </w:rPr>
        <w:t> </w:t>
      </w:r>
      <w:r>
        <w:rPr>
          <w:sz w:val="18"/>
        </w:rPr>
        <w:t>infrastructure</w:t>
      </w:r>
      <w:r>
        <w:rPr>
          <w:spacing w:val="-4"/>
          <w:sz w:val="18"/>
        </w:rPr>
        <w:t> </w:t>
      </w:r>
      <w:r>
        <w:rPr>
          <w:sz w:val="18"/>
        </w:rPr>
        <w:t>projects</w:t>
      </w:r>
      <w:r>
        <w:rPr>
          <w:spacing w:val="-4"/>
          <w:sz w:val="18"/>
        </w:rPr>
        <w:t> </w:t>
      </w:r>
      <w:r>
        <w:rPr>
          <w:sz w:val="18"/>
        </w:rPr>
        <w:t>relatively</w:t>
      </w:r>
      <w:r>
        <w:rPr>
          <w:spacing w:val="-4"/>
          <w:sz w:val="18"/>
        </w:rPr>
        <w:t> </w:t>
      </w:r>
      <w:r>
        <w:rPr>
          <w:sz w:val="18"/>
        </w:rPr>
        <w:t>quickly</w:t>
      </w:r>
      <w:r>
        <w:rPr>
          <w:spacing w:val="-4"/>
          <w:sz w:val="18"/>
        </w:rPr>
        <w:t> </w:t>
      </w:r>
      <w:r>
        <w:rPr>
          <w:sz w:val="18"/>
        </w:rPr>
        <w:t>so that the beneﬁts are seen sooner” (Dollar 2016).</w:t>
      </w:r>
    </w:p>
    <w:p>
      <w:pPr>
        <w:spacing w:after="0" w:line="249" w:lineRule="auto"/>
        <w:jc w:val="left"/>
        <w:rPr>
          <w:sz w:val="18"/>
        </w:rPr>
        <w:sectPr>
          <w:pgSz w:w="12240" w:h="15840"/>
          <w:pgMar w:header="0" w:footer="720" w:top="1400" w:bottom="920" w:left="1240" w:right="1260"/>
        </w:sectPr>
      </w:pPr>
    </w:p>
    <w:p>
      <w:pPr>
        <w:spacing w:line="333" w:lineRule="auto" w:before="48"/>
        <w:ind w:left="1100" w:right="1521" w:firstLine="0"/>
        <w:jc w:val="left"/>
        <w:rPr>
          <w:i/>
          <w:sz w:val="24"/>
        </w:rPr>
      </w:pPr>
      <w:r>
        <w:rPr>
          <w:i/>
          <w:sz w:val="24"/>
        </w:rPr>
        <w:t>and urban sectors. The required procedures are extraordinarily</w:t>
      </w:r>
      <w:r>
        <w:rPr>
          <w:i/>
          <w:sz w:val="24"/>
        </w:rPr>
        <w:t> detailed and speciﬁc, and in many cases [...] extremely difﬁcult for borrowers and even staff to fully understand. Requirements often include</w:t>
      </w:r>
      <w:r>
        <w:rPr>
          <w:i/>
          <w:spacing w:val="40"/>
          <w:sz w:val="24"/>
        </w:rPr>
        <w:t> </w:t>
      </w:r>
      <w:r>
        <w:rPr>
          <w:i/>
          <w:sz w:val="24"/>
        </w:rPr>
        <w:t>time-consuming,</w:t>
      </w:r>
      <w:r>
        <w:rPr>
          <w:i/>
          <w:spacing w:val="40"/>
          <w:sz w:val="24"/>
        </w:rPr>
        <w:t> </w:t>
      </w:r>
      <w:r>
        <w:rPr>
          <w:i/>
          <w:sz w:val="24"/>
        </w:rPr>
        <w:t>lengthy</w:t>
      </w:r>
      <w:r>
        <w:rPr>
          <w:i/>
          <w:spacing w:val="40"/>
          <w:sz w:val="24"/>
        </w:rPr>
        <w:t> </w:t>
      </w:r>
      <w:r>
        <w:rPr>
          <w:i/>
          <w:sz w:val="24"/>
        </w:rPr>
        <w:t>studies</w:t>
      </w:r>
      <w:r>
        <w:rPr>
          <w:i/>
          <w:spacing w:val="40"/>
          <w:sz w:val="24"/>
        </w:rPr>
        <w:t> </w:t>
      </w:r>
      <w:r>
        <w:rPr>
          <w:i/>
          <w:sz w:val="24"/>
        </w:rPr>
        <w:t>to</w:t>
      </w:r>
      <w:r>
        <w:rPr>
          <w:i/>
          <w:spacing w:val="40"/>
          <w:sz w:val="24"/>
        </w:rPr>
        <w:t> </w:t>
      </w:r>
      <w:r>
        <w:rPr>
          <w:i/>
          <w:sz w:val="24"/>
        </w:rPr>
        <w:t>be</w:t>
      </w:r>
      <w:r>
        <w:rPr>
          <w:i/>
          <w:spacing w:val="40"/>
          <w:sz w:val="24"/>
        </w:rPr>
        <w:t> </w:t>
      </w:r>
      <w:r>
        <w:rPr>
          <w:i/>
          <w:sz w:val="24"/>
        </w:rPr>
        <w:t>undertaken</w:t>
      </w:r>
      <w:r>
        <w:rPr>
          <w:i/>
          <w:spacing w:val="40"/>
          <w:sz w:val="24"/>
        </w:rPr>
        <w:t> </w:t>
      </w:r>
      <w:r>
        <w:rPr>
          <w:i/>
          <w:sz w:val="24"/>
        </w:rPr>
        <w:t>by third-party experts (usually at the government’s cost), lengthy consultations with affected parties (sometimes including </w:t>
      </w:r>
      <w:r>
        <w:rPr>
          <w:i/>
          <w:sz w:val="24"/>
        </w:rPr>
        <w:t>unelected non-governmental</w:t>
      </w:r>
      <w:r>
        <w:rPr>
          <w:i/>
          <w:spacing w:val="3"/>
          <w:sz w:val="24"/>
        </w:rPr>
        <w:t> </w:t>
      </w:r>
      <w:r>
        <w:rPr>
          <w:i/>
          <w:sz w:val="24"/>
        </w:rPr>
        <w:t>organizations),</w:t>
      </w:r>
      <w:r>
        <w:rPr>
          <w:i/>
          <w:spacing w:val="4"/>
          <w:sz w:val="24"/>
        </w:rPr>
        <w:t> </w:t>
      </w:r>
      <w:r>
        <w:rPr>
          <w:i/>
          <w:sz w:val="24"/>
        </w:rPr>
        <w:t>extensive</w:t>
      </w:r>
      <w:r>
        <w:rPr>
          <w:i/>
          <w:spacing w:val="4"/>
          <w:sz w:val="24"/>
        </w:rPr>
        <w:t> </w:t>
      </w:r>
      <w:r>
        <w:rPr>
          <w:i/>
          <w:sz w:val="24"/>
        </w:rPr>
        <w:t>mitigations</w:t>
      </w:r>
      <w:r>
        <w:rPr>
          <w:i/>
          <w:spacing w:val="4"/>
          <w:sz w:val="24"/>
        </w:rPr>
        <w:t> </w:t>
      </w:r>
      <w:r>
        <w:rPr>
          <w:i/>
          <w:spacing w:val="-2"/>
          <w:sz w:val="24"/>
        </w:rPr>
        <w:t>measures,</w:t>
      </w:r>
    </w:p>
    <w:p>
      <w:pPr>
        <w:spacing w:line="333" w:lineRule="auto" w:before="0"/>
        <w:ind w:left="1100" w:right="1242" w:firstLine="0"/>
        <w:jc w:val="left"/>
        <w:rPr>
          <w:i/>
          <w:sz w:val="24"/>
        </w:rPr>
      </w:pPr>
      <w:r>
        <w:rPr>
          <w:i/>
          <w:sz w:val="24"/>
        </w:rPr>
        <w:t>and lengthy mandatory prior public disclosure and comment </w:t>
      </w:r>
      <w:r>
        <w:rPr>
          <w:i/>
          <w:sz w:val="24"/>
        </w:rPr>
        <w:t>periods</w:t>
      </w:r>
      <w:r>
        <w:rPr>
          <w:i/>
          <w:sz w:val="24"/>
        </w:rPr>
        <w:t> during which time the project cannot move ahead. These requirements supersede whatever national laws may be in place in the borrowing country—a particularly troubling point of principle for many borrowing countries, beyond the practical impacts of safeguards” (Humphrey 2015).</w:t>
      </w:r>
    </w:p>
    <w:p>
      <w:pPr>
        <w:pStyle w:val="BodyText"/>
        <w:spacing w:before="1"/>
        <w:rPr>
          <w:i/>
          <w:sz w:val="27"/>
        </w:rPr>
      </w:pPr>
    </w:p>
    <w:p>
      <w:pPr>
        <w:pStyle w:val="BodyText"/>
        <w:spacing w:line="333" w:lineRule="auto"/>
        <w:ind w:left="560" w:right="570"/>
      </w:pPr>
      <w:r>
        <w:rPr/>
        <w:t>China, which is a member of the G-24 and the World Bank’s largest borrower, appreciated</w:t>
      </w:r>
      <w:r>
        <w:rPr>
          <w:spacing w:val="-5"/>
        </w:rPr>
        <w:t> </w:t>
      </w:r>
      <w:r>
        <w:rPr/>
        <w:t>these</w:t>
      </w:r>
      <w:r>
        <w:rPr>
          <w:spacing w:val="-5"/>
        </w:rPr>
        <w:t> </w:t>
      </w:r>
      <w:r>
        <w:rPr/>
        <w:t>concerns</w:t>
      </w:r>
      <w:r>
        <w:rPr>
          <w:spacing w:val="-5"/>
        </w:rPr>
        <w:t> </w:t>
      </w:r>
      <w:r>
        <w:rPr/>
        <w:t>(see</w:t>
      </w:r>
      <w:r>
        <w:rPr>
          <w:spacing w:val="-5"/>
        </w:rPr>
        <w:t> </w:t>
      </w:r>
      <w:r>
        <w:rPr/>
        <w:t>Box</w:t>
      </w:r>
      <w:r>
        <w:rPr>
          <w:spacing w:val="-5"/>
        </w:rPr>
        <w:t> </w:t>
      </w:r>
      <w:r>
        <w:rPr/>
        <w:t>3a)</w:t>
      </w:r>
      <w:r>
        <w:rPr>
          <w:spacing w:val="-5"/>
        </w:rPr>
        <w:t> </w:t>
      </w:r>
      <w:r>
        <w:rPr/>
        <w:t>and</w:t>
      </w:r>
      <w:r>
        <w:rPr>
          <w:spacing w:val="-5"/>
        </w:rPr>
        <w:t> </w:t>
      </w:r>
      <w:r>
        <w:rPr/>
        <w:t>used</w:t>
      </w:r>
      <w:r>
        <w:rPr>
          <w:spacing w:val="-5"/>
        </w:rPr>
        <w:t> </w:t>
      </w:r>
      <w:r>
        <w:rPr/>
        <w:t>them</w:t>
      </w:r>
      <w:r>
        <w:rPr>
          <w:spacing w:val="-5"/>
        </w:rPr>
        <w:t> </w:t>
      </w:r>
      <w:r>
        <w:rPr/>
        <w:t>as</w:t>
      </w:r>
      <w:r>
        <w:rPr>
          <w:spacing w:val="-5"/>
        </w:rPr>
        <w:t> </w:t>
      </w:r>
      <w:r>
        <w:rPr/>
        <w:t>a</w:t>
      </w:r>
      <w:r>
        <w:rPr>
          <w:spacing w:val="-5"/>
        </w:rPr>
        <w:t> </w:t>
      </w:r>
      <w:r>
        <w:rPr/>
        <w:t>way</w:t>
      </w:r>
      <w:r>
        <w:rPr>
          <w:spacing w:val="-5"/>
        </w:rPr>
        <w:t> </w:t>
      </w:r>
      <w:r>
        <w:rPr/>
        <w:t>to</w:t>
      </w:r>
      <w:r>
        <w:rPr>
          <w:spacing w:val="-5"/>
        </w:rPr>
        <w:t> </w:t>
      </w:r>
      <w:r>
        <w:rPr/>
        <w:t>differentiate its offering to the global infrastructure ﬁnancing market. Under the banner of “South-South cooperation,” it emphasized its solidarity with the Global South</w:t>
      </w:r>
      <w:r>
        <w:rPr>
          <w:spacing w:val="80"/>
          <w:w w:val="150"/>
        </w:rPr>
        <w:t> </w:t>
      </w:r>
      <w:r>
        <w:rPr/>
        <w:t>and offered LICs and MICs an alternative model of development that prioritized the rapid installation of “hardware” over “software” investments that focus on</w:t>
      </w:r>
      <w:r>
        <w:rPr>
          <w:spacing w:val="40"/>
        </w:rPr>
        <w:t> </w:t>
      </w:r>
      <w:r>
        <w:rPr/>
        <w:t>policies and institutions.</w:t>
      </w:r>
      <w:r>
        <w:rPr>
          <w:vertAlign w:val="superscript"/>
        </w:rPr>
        <w:t>290</w:t>
      </w:r>
      <w:r>
        <w:rPr>
          <w:vertAlign w:val="baseline"/>
        </w:rPr>
        <w:t> Beijing’s message resonated—so much so that it became the developing world’s ﬁnancier of ﬁrst resort for highways, railroads, dams, bridges, seaports, airports, power plants, and electricity grids, while the MDBs downsized their infrastructure departments and programs due to a lack of borrower</w:t>
      </w:r>
      <w:r>
        <w:rPr>
          <w:spacing w:val="-2"/>
          <w:vertAlign w:val="baseline"/>
        </w:rPr>
        <w:t> </w:t>
      </w:r>
      <w:r>
        <w:rPr>
          <w:vertAlign w:val="baseline"/>
        </w:rPr>
        <w:t>demand.</w:t>
      </w:r>
      <w:r>
        <w:rPr>
          <w:vertAlign w:val="superscript"/>
        </w:rPr>
        <w:t>291</w:t>
      </w:r>
      <w:r>
        <w:rPr>
          <w:spacing w:val="-3"/>
          <w:vertAlign w:val="baseline"/>
        </w:rPr>
        <w:t> </w:t>
      </w:r>
      <w:r>
        <w:rPr>
          <w:vertAlign w:val="baseline"/>
        </w:rPr>
        <w:t>Several</w:t>
      </w:r>
      <w:r>
        <w:rPr>
          <w:spacing w:val="-2"/>
          <w:vertAlign w:val="baseline"/>
        </w:rPr>
        <w:t> </w:t>
      </w:r>
      <w:r>
        <w:rPr>
          <w:vertAlign w:val="baseline"/>
        </w:rPr>
        <w:t>years</w:t>
      </w:r>
      <w:r>
        <w:rPr>
          <w:spacing w:val="-2"/>
          <w:vertAlign w:val="baseline"/>
        </w:rPr>
        <w:t> </w:t>
      </w:r>
      <w:r>
        <w:rPr>
          <w:vertAlign w:val="baseline"/>
        </w:rPr>
        <w:t>ago,</w:t>
      </w:r>
      <w:r>
        <w:rPr>
          <w:spacing w:val="-2"/>
          <w:vertAlign w:val="baseline"/>
        </w:rPr>
        <w:t> </w:t>
      </w:r>
      <w:r>
        <w:rPr>
          <w:vertAlign w:val="baseline"/>
        </w:rPr>
        <w:t>Chris</w:t>
      </w:r>
      <w:r>
        <w:rPr>
          <w:spacing w:val="-2"/>
          <w:vertAlign w:val="baseline"/>
        </w:rPr>
        <w:t> </w:t>
      </w:r>
      <w:r>
        <w:rPr>
          <w:vertAlign w:val="baseline"/>
        </w:rPr>
        <w:t>Humphrey</w:t>
      </w:r>
      <w:r>
        <w:rPr>
          <w:spacing w:val="-2"/>
          <w:vertAlign w:val="baseline"/>
        </w:rPr>
        <w:t> </w:t>
      </w:r>
      <w:r>
        <w:rPr>
          <w:vertAlign w:val="baseline"/>
        </w:rPr>
        <w:t>of</w:t>
      </w:r>
      <w:r>
        <w:rPr>
          <w:spacing w:val="-2"/>
          <w:vertAlign w:val="baseline"/>
        </w:rPr>
        <w:t> </w:t>
      </w:r>
      <w:r>
        <w:rPr>
          <w:vertAlign w:val="baseline"/>
        </w:rPr>
        <w:t>ETH</w:t>
      </w:r>
      <w:r>
        <w:rPr>
          <w:spacing w:val="-2"/>
          <w:vertAlign w:val="baseline"/>
        </w:rPr>
        <w:t> </w:t>
      </w:r>
      <w:r>
        <w:rPr>
          <w:vertAlign w:val="baseline"/>
        </w:rPr>
        <w:t>Zurich’s</w:t>
      </w:r>
      <w:r>
        <w:rPr>
          <w:spacing w:val="-2"/>
          <w:vertAlign w:val="baseline"/>
        </w:rPr>
        <w:t> </w:t>
      </w:r>
      <w:r>
        <w:rPr>
          <w:vertAlign w:val="baseline"/>
        </w:rPr>
        <w:t>Center for Development Cooperation and Katharina Michaelowa of University of Zurich published interview evidence from three African countries on the changing</w:t>
      </w:r>
      <w:r>
        <w:rPr>
          <w:spacing w:val="80"/>
          <w:vertAlign w:val="baseline"/>
        </w:rPr>
        <w:t> </w:t>
      </w:r>
      <w:r>
        <w:rPr>
          <w:vertAlign w:val="baseline"/>
        </w:rPr>
        <w:t>nature of borrower demand for infrastructure ﬁnancing. They found that:</w:t>
      </w:r>
    </w:p>
    <w:p>
      <w:pPr>
        <w:pStyle w:val="BodyText"/>
        <w:spacing w:before="3"/>
        <w:rPr>
          <w:sz w:val="27"/>
        </w:rPr>
      </w:pPr>
    </w:p>
    <w:p>
      <w:pPr>
        <w:spacing w:line="333" w:lineRule="auto" w:before="0"/>
        <w:ind w:left="1100" w:right="1235" w:firstLine="0"/>
        <w:jc w:val="left"/>
        <w:rPr>
          <w:i/>
          <w:sz w:val="24"/>
        </w:rPr>
      </w:pPr>
      <w:r>
        <w:rPr>
          <w:i/>
          <w:sz w:val="24"/>
        </w:rPr>
        <w:t>“[o]ne issue which ofﬁcials in all three countries noted as limiting </w:t>
      </w:r>
      <w:r>
        <w:rPr>
          <w:i/>
          <w:sz w:val="24"/>
        </w:rPr>
        <w:t>their</w:t>
      </w:r>
      <w:r>
        <w:rPr>
          <w:i/>
          <w:sz w:val="24"/>
        </w:rPr>
        <w:t> own demand for infrastructure lending from the World Bank and to a</w:t>
      </w:r>
    </w:p>
    <w:p>
      <w:pPr>
        <w:pStyle w:val="BodyText"/>
        <w:spacing w:before="4"/>
        <w:rPr>
          <w:i/>
          <w:sz w:val="13"/>
        </w:rPr>
      </w:pPr>
      <w:r>
        <w:rPr/>
        <w:pict>
          <v:shape style="position:absolute;margin-left:90pt;margin-top:8.903125pt;width:144pt;height:.1pt;mso-position-horizontal-relative:page;mso-position-vertical-relative:paragraph;z-index:-15697920;mso-wrap-distance-left:0;mso-wrap-distance-right:0" id="docshape52" coordorigin="1800,178" coordsize="2880,0" path="m1800,178l4680,178e" filled="false" stroked="true" strokeweight=".75pt" strokecolor="#000000">
            <v:path arrowok="t"/>
            <v:stroke dashstyle="solid"/>
            <w10:wrap type="topAndBottom"/>
          </v:shape>
        </w:pict>
      </w:r>
    </w:p>
    <w:p>
      <w:pPr>
        <w:spacing w:line="252" w:lineRule="auto" w:before="102"/>
        <w:ind w:left="560" w:right="561" w:firstLine="0"/>
        <w:jc w:val="left"/>
        <w:rPr>
          <w:sz w:val="18"/>
        </w:rPr>
      </w:pPr>
      <w:r>
        <w:rPr>
          <w:w w:val="105"/>
          <w:sz w:val="18"/>
          <w:vertAlign w:val="superscript"/>
        </w:rPr>
        <w:t>290</w:t>
      </w:r>
      <w:r>
        <w:rPr>
          <w:spacing w:val="-10"/>
          <w:w w:val="105"/>
          <w:sz w:val="18"/>
          <w:vertAlign w:val="baseline"/>
        </w:rPr>
        <w:t> </w:t>
      </w:r>
      <w:r>
        <w:rPr>
          <w:w w:val="105"/>
          <w:sz w:val="18"/>
          <w:vertAlign w:val="baseline"/>
        </w:rPr>
        <w:t>At</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Belt</w:t>
      </w:r>
      <w:r>
        <w:rPr>
          <w:spacing w:val="-9"/>
          <w:w w:val="105"/>
          <w:sz w:val="18"/>
          <w:vertAlign w:val="baseline"/>
        </w:rPr>
        <w:t> </w:t>
      </w:r>
      <w:r>
        <w:rPr>
          <w:w w:val="105"/>
          <w:sz w:val="18"/>
          <w:vertAlign w:val="baseline"/>
        </w:rPr>
        <w:t>and</w:t>
      </w:r>
      <w:r>
        <w:rPr>
          <w:spacing w:val="-9"/>
          <w:w w:val="105"/>
          <w:sz w:val="18"/>
          <w:vertAlign w:val="baseline"/>
        </w:rPr>
        <w:t> </w:t>
      </w:r>
      <w:r>
        <w:rPr>
          <w:w w:val="105"/>
          <w:sz w:val="18"/>
          <w:vertAlign w:val="baseline"/>
        </w:rPr>
        <w:t>Road</w:t>
      </w:r>
      <w:r>
        <w:rPr>
          <w:spacing w:val="-9"/>
          <w:w w:val="105"/>
          <w:sz w:val="18"/>
          <w:vertAlign w:val="baseline"/>
        </w:rPr>
        <w:t> </w:t>
      </w:r>
      <w:r>
        <w:rPr>
          <w:w w:val="105"/>
          <w:sz w:val="18"/>
          <w:vertAlign w:val="baseline"/>
        </w:rPr>
        <w:t>Forum</w:t>
      </w:r>
      <w:r>
        <w:rPr>
          <w:spacing w:val="-9"/>
          <w:w w:val="105"/>
          <w:sz w:val="18"/>
          <w:vertAlign w:val="baseline"/>
        </w:rPr>
        <w:t> </w:t>
      </w:r>
      <w:r>
        <w:rPr>
          <w:w w:val="105"/>
          <w:sz w:val="18"/>
          <w:vertAlign w:val="baseline"/>
        </w:rPr>
        <w:t>for</w:t>
      </w:r>
      <w:r>
        <w:rPr>
          <w:spacing w:val="-9"/>
          <w:w w:val="105"/>
          <w:sz w:val="18"/>
          <w:vertAlign w:val="baseline"/>
        </w:rPr>
        <w:t> </w:t>
      </w:r>
      <w:r>
        <w:rPr>
          <w:w w:val="105"/>
          <w:sz w:val="18"/>
          <w:vertAlign w:val="baseline"/>
        </w:rPr>
        <w:t>International</w:t>
      </w:r>
      <w:r>
        <w:rPr>
          <w:spacing w:val="-9"/>
          <w:w w:val="105"/>
          <w:sz w:val="18"/>
          <w:vertAlign w:val="baseline"/>
        </w:rPr>
        <w:t> </w:t>
      </w:r>
      <w:r>
        <w:rPr>
          <w:w w:val="105"/>
          <w:sz w:val="18"/>
          <w:vertAlign w:val="baseline"/>
        </w:rPr>
        <w:t>Cooperation</w:t>
      </w:r>
      <w:r>
        <w:rPr>
          <w:spacing w:val="-9"/>
          <w:w w:val="105"/>
          <w:sz w:val="18"/>
          <w:vertAlign w:val="baseline"/>
        </w:rPr>
        <w:t> </w:t>
      </w:r>
      <w:r>
        <w:rPr>
          <w:w w:val="105"/>
          <w:sz w:val="18"/>
          <w:vertAlign w:val="baseline"/>
        </w:rPr>
        <w:t>in</w:t>
      </w:r>
      <w:r>
        <w:rPr>
          <w:spacing w:val="-9"/>
          <w:w w:val="105"/>
          <w:sz w:val="18"/>
          <w:vertAlign w:val="baseline"/>
        </w:rPr>
        <w:t> </w:t>
      </w:r>
      <w:r>
        <w:rPr>
          <w:w w:val="105"/>
          <w:sz w:val="18"/>
          <w:vertAlign w:val="baseline"/>
        </w:rPr>
        <w:t>2017,</w:t>
      </w:r>
      <w:r>
        <w:rPr>
          <w:spacing w:val="-9"/>
          <w:w w:val="105"/>
          <w:sz w:val="18"/>
          <w:vertAlign w:val="baseline"/>
        </w:rPr>
        <w:t> </w:t>
      </w:r>
      <w:r>
        <w:rPr>
          <w:w w:val="105"/>
          <w:sz w:val="18"/>
          <w:vertAlign w:val="baseline"/>
        </w:rPr>
        <w:t>Xi</w:t>
      </w:r>
      <w:r>
        <w:rPr>
          <w:spacing w:val="-9"/>
          <w:w w:val="105"/>
          <w:sz w:val="18"/>
          <w:vertAlign w:val="baseline"/>
        </w:rPr>
        <w:t> </w:t>
      </w:r>
      <w:r>
        <w:rPr>
          <w:w w:val="105"/>
          <w:sz w:val="18"/>
          <w:vertAlign w:val="baseline"/>
        </w:rPr>
        <w:t>Jinping</w:t>
      </w:r>
      <w:r>
        <w:rPr>
          <w:spacing w:val="-9"/>
          <w:w w:val="105"/>
          <w:sz w:val="18"/>
          <w:vertAlign w:val="baseline"/>
        </w:rPr>
        <w:t> </w:t>
      </w:r>
      <w:r>
        <w:rPr>
          <w:w w:val="105"/>
          <w:sz w:val="18"/>
          <w:vertAlign w:val="baseline"/>
        </w:rPr>
        <w:t>described</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BRI</w:t>
      </w:r>
      <w:r>
        <w:rPr>
          <w:spacing w:val="-9"/>
          <w:w w:val="105"/>
          <w:sz w:val="18"/>
          <w:vertAlign w:val="baseline"/>
        </w:rPr>
        <w:t> </w:t>
      </w:r>
      <w:r>
        <w:rPr>
          <w:w w:val="105"/>
          <w:sz w:val="18"/>
          <w:vertAlign w:val="baseline"/>
        </w:rPr>
        <w:t>as</w:t>
      </w:r>
      <w:r>
        <w:rPr>
          <w:spacing w:val="-9"/>
          <w:w w:val="105"/>
          <w:sz w:val="18"/>
          <w:vertAlign w:val="baseline"/>
        </w:rPr>
        <w:t> </w:t>
      </w:r>
      <w:r>
        <w:rPr>
          <w:w w:val="105"/>
          <w:sz w:val="18"/>
          <w:vertAlign w:val="baseline"/>
        </w:rPr>
        <w:t>“a </w:t>
      </w:r>
      <w:r>
        <w:rPr>
          <w:spacing w:val="-2"/>
          <w:w w:val="105"/>
          <w:sz w:val="18"/>
          <w:vertAlign w:val="baseline"/>
        </w:rPr>
        <w:t>new</w:t>
      </w:r>
      <w:r>
        <w:rPr>
          <w:spacing w:val="-7"/>
          <w:w w:val="105"/>
          <w:sz w:val="18"/>
          <w:vertAlign w:val="baseline"/>
        </w:rPr>
        <w:t> </w:t>
      </w:r>
      <w:r>
        <w:rPr>
          <w:spacing w:val="-2"/>
          <w:w w:val="105"/>
          <w:sz w:val="18"/>
          <w:vertAlign w:val="baseline"/>
        </w:rPr>
        <w:t>option</w:t>
      </w:r>
      <w:r>
        <w:rPr>
          <w:spacing w:val="-7"/>
          <w:w w:val="105"/>
          <w:sz w:val="18"/>
          <w:vertAlign w:val="baseline"/>
        </w:rPr>
        <w:t> </w:t>
      </w:r>
      <w:r>
        <w:rPr>
          <w:spacing w:val="-2"/>
          <w:w w:val="105"/>
          <w:sz w:val="18"/>
          <w:vertAlign w:val="baseline"/>
        </w:rPr>
        <w:t>for</w:t>
      </w:r>
      <w:r>
        <w:rPr>
          <w:spacing w:val="-7"/>
          <w:w w:val="105"/>
          <w:sz w:val="18"/>
          <w:vertAlign w:val="baseline"/>
        </w:rPr>
        <w:t> </w:t>
      </w:r>
      <w:r>
        <w:rPr>
          <w:spacing w:val="-2"/>
          <w:w w:val="105"/>
          <w:sz w:val="18"/>
          <w:vertAlign w:val="baseline"/>
        </w:rPr>
        <w:t>other</w:t>
      </w:r>
      <w:r>
        <w:rPr>
          <w:spacing w:val="-7"/>
          <w:w w:val="105"/>
          <w:sz w:val="18"/>
          <w:vertAlign w:val="baseline"/>
        </w:rPr>
        <w:t> </w:t>
      </w:r>
      <w:r>
        <w:rPr>
          <w:spacing w:val="-2"/>
          <w:w w:val="105"/>
          <w:sz w:val="18"/>
          <w:vertAlign w:val="baseline"/>
        </w:rPr>
        <w:t>countries</w:t>
      </w:r>
      <w:r>
        <w:rPr>
          <w:spacing w:val="-7"/>
          <w:w w:val="105"/>
          <w:sz w:val="18"/>
          <w:vertAlign w:val="baseline"/>
        </w:rPr>
        <w:t> </w:t>
      </w:r>
      <w:r>
        <w:rPr>
          <w:spacing w:val="-2"/>
          <w:w w:val="105"/>
          <w:sz w:val="18"/>
          <w:vertAlign w:val="baseline"/>
        </w:rPr>
        <w:t>and</w:t>
      </w:r>
      <w:r>
        <w:rPr>
          <w:spacing w:val="-7"/>
          <w:w w:val="105"/>
          <w:sz w:val="18"/>
          <w:vertAlign w:val="baseline"/>
        </w:rPr>
        <w:t> </w:t>
      </w:r>
      <w:r>
        <w:rPr>
          <w:spacing w:val="-2"/>
          <w:w w:val="105"/>
          <w:sz w:val="18"/>
          <w:vertAlign w:val="baseline"/>
        </w:rPr>
        <w:t>nations</w:t>
      </w:r>
      <w:r>
        <w:rPr>
          <w:spacing w:val="-7"/>
          <w:w w:val="105"/>
          <w:sz w:val="18"/>
          <w:vertAlign w:val="baseline"/>
        </w:rPr>
        <w:t> </w:t>
      </w:r>
      <w:r>
        <w:rPr>
          <w:spacing w:val="-2"/>
          <w:w w:val="105"/>
          <w:sz w:val="18"/>
          <w:vertAlign w:val="baseline"/>
        </w:rPr>
        <w:t>who</w:t>
      </w:r>
      <w:r>
        <w:rPr>
          <w:spacing w:val="-7"/>
          <w:w w:val="105"/>
          <w:sz w:val="18"/>
          <w:vertAlign w:val="baseline"/>
        </w:rPr>
        <w:t> </w:t>
      </w:r>
      <w:r>
        <w:rPr>
          <w:spacing w:val="-2"/>
          <w:w w:val="105"/>
          <w:sz w:val="18"/>
          <w:vertAlign w:val="baseline"/>
        </w:rPr>
        <w:t>want</w:t>
      </w:r>
      <w:r>
        <w:rPr>
          <w:spacing w:val="-7"/>
          <w:w w:val="105"/>
          <w:sz w:val="18"/>
          <w:vertAlign w:val="baseline"/>
        </w:rPr>
        <w:t> </w:t>
      </w:r>
      <w:r>
        <w:rPr>
          <w:spacing w:val="-2"/>
          <w:w w:val="105"/>
          <w:sz w:val="18"/>
          <w:vertAlign w:val="baseline"/>
        </w:rPr>
        <w:t>to</w:t>
      </w:r>
      <w:r>
        <w:rPr>
          <w:spacing w:val="-7"/>
          <w:w w:val="105"/>
          <w:sz w:val="18"/>
          <w:vertAlign w:val="baseline"/>
        </w:rPr>
        <w:t> </w:t>
      </w:r>
      <w:r>
        <w:rPr>
          <w:spacing w:val="-2"/>
          <w:w w:val="105"/>
          <w:sz w:val="18"/>
          <w:vertAlign w:val="baseline"/>
        </w:rPr>
        <w:t>speed</w:t>
      </w:r>
      <w:r>
        <w:rPr>
          <w:spacing w:val="-7"/>
          <w:w w:val="105"/>
          <w:sz w:val="18"/>
          <w:vertAlign w:val="baseline"/>
        </w:rPr>
        <w:t> </w:t>
      </w:r>
      <w:r>
        <w:rPr>
          <w:spacing w:val="-2"/>
          <w:w w:val="105"/>
          <w:sz w:val="18"/>
          <w:vertAlign w:val="baseline"/>
        </w:rPr>
        <w:t>up</w:t>
      </w:r>
      <w:r>
        <w:rPr>
          <w:spacing w:val="-7"/>
          <w:w w:val="105"/>
          <w:sz w:val="18"/>
          <w:vertAlign w:val="baseline"/>
        </w:rPr>
        <w:t> </w:t>
      </w:r>
      <w:r>
        <w:rPr>
          <w:spacing w:val="-2"/>
          <w:w w:val="105"/>
          <w:sz w:val="18"/>
          <w:vertAlign w:val="baseline"/>
        </w:rPr>
        <w:t>their</w:t>
      </w:r>
      <w:r>
        <w:rPr>
          <w:spacing w:val="-7"/>
          <w:w w:val="105"/>
          <w:sz w:val="18"/>
          <w:vertAlign w:val="baseline"/>
        </w:rPr>
        <w:t> </w:t>
      </w:r>
      <w:r>
        <w:rPr>
          <w:spacing w:val="-2"/>
          <w:w w:val="105"/>
          <w:sz w:val="18"/>
          <w:vertAlign w:val="baseline"/>
        </w:rPr>
        <w:t>development</w:t>
      </w:r>
      <w:r>
        <w:rPr>
          <w:spacing w:val="-7"/>
          <w:w w:val="105"/>
          <w:sz w:val="18"/>
          <w:vertAlign w:val="baseline"/>
        </w:rPr>
        <w:t> </w:t>
      </w:r>
      <w:r>
        <w:rPr>
          <w:i/>
          <w:spacing w:val="-2"/>
          <w:w w:val="105"/>
          <w:sz w:val="18"/>
          <w:vertAlign w:val="baseline"/>
        </w:rPr>
        <w:t>while</w:t>
      </w:r>
      <w:r>
        <w:rPr>
          <w:i/>
          <w:spacing w:val="-7"/>
          <w:w w:val="105"/>
          <w:sz w:val="18"/>
          <w:vertAlign w:val="baseline"/>
        </w:rPr>
        <w:t> </w:t>
      </w:r>
      <w:r>
        <w:rPr>
          <w:i/>
          <w:spacing w:val="-2"/>
          <w:w w:val="105"/>
          <w:sz w:val="18"/>
          <w:vertAlign w:val="baseline"/>
        </w:rPr>
        <w:t>preserving</w:t>
      </w:r>
      <w:r>
        <w:rPr>
          <w:i/>
          <w:spacing w:val="-7"/>
          <w:w w:val="105"/>
          <w:sz w:val="18"/>
          <w:vertAlign w:val="baseline"/>
        </w:rPr>
        <w:t> </w:t>
      </w:r>
      <w:r>
        <w:rPr>
          <w:i/>
          <w:spacing w:val="-2"/>
          <w:w w:val="105"/>
          <w:sz w:val="18"/>
          <w:vertAlign w:val="baseline"/>
        </w:rPr>
        <w:t>their</w:t>
      </w:r>
      <w:r>
        <w:rPr>
          <w:i/>
          <w:spacing w:val="-2"/>
          <w:w w:val="105"/>
          <w:sz w:val="18"/>
          <w:vertAlign w:val="baseline"/>
        </w:rPr>
        <w:t> </w:t>
      </w:r>
      <w:r>
        <w:rPr>
          <w:i/>
          <w:w w:val="105"/>
          <w:sz w:val="18"/>
          <w:vertAlign w:val="baseline"/>
        </w:rPr>
        <w:t>independence</w:t>
      </w:r>
      <w:r>
        <w:rPr>
          <w:w w:val="105"/>
          <w:sz w:val="18"/>
          <w:vertAlign w:val="baseline"/>
        </w:rPr>
        <w:t>”</w:t>
      </w:r>
      <w:r>
        <w:rPr>
          <w:spacing w:val="-11"/>
          <w:w w:val="105"/>
          <w:sz w:val="18"/>
          <w:vertAlign w:val="baseline"/>
        </w:rPr>
        <w:t> </w:t>
      </w:r>
      <w:r>
        <w:rPr>
          <w:w w:val="105"/>
          <w:sz w:val="18"/>
          <w:vertAlign w:val="baseline"/>
        </w:rPr>
        <w:t>(Belt</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Road</w:t>
      </w:r>
      <w:r>
        <w:rPr>
          <w:spacing w:val="-11"/>
          <w:w w:val="105"/>
          <w:sz w:val="18"/>
          <w:vertAlign w:val="baseline"/>
        </w:rPr>
        <w:t> </w:t>
      </w:r>
      <w:r>
        <w:rPr>
          <w:w w:val="105"/>
          <w:sz w:val="18"/>
          <w:vertAlign w:val="baseline"/>
        </w:rPr>
        <w:t>Forum</w:t>
      </w:r>
      <w:r>
        <w:rPr>
          <w:spacing w:val="-11"/>
          <w:w w:val="105"/>
          <w:sz w:val="18"/>
          <w:vertAlign w:val="baseline"/>
        </w:rPr>
        <w:t> </w:t>
      </w:r>
      <w:r>
        <w:rPr>
          <w:w w:val="105"/>
          <w:sz w:val="18"/>
          <w:vertAlign w:val="baseline"/>
        </w:rPr>
        <w:t>for</w:t>
      </w:r>
      <w:r>
        <w:rPr>
          <w:spacing w:val="-11"/>
          <w:w w:val="105"/>
          <w:sz w:val="18"/>
          <w:vertAlign w:val="baseline"/>
        </w:rPr>
        <w:t> </w:t>
      </w:r>
      <w:r>
        <w:rPr>
          <w:w w:val="105"/>
          <w:sz w:val="18"/>
          <w:vertAlign w:val="baseline"/>
        </w:rPr>
        <w:t>International</w:t>
      </w:r>
      <w:r>
        <w:rPr>
          <w:spacing w:val="-11"/>
          <w:w w:val="105"/>
          <w:sz w:val="18"/>
          <w:vertAlign w:val="baseline"/>
        </w:rPr>
        <w:t> </w:t>
      </w:r>
      <w:r>
        <w:rPr>
          <w:w w:val="105"/>
          <w:sz w:val="18"/>
          <w:vertAlign w:val="baseline"/>
        </w:rPr>
        <w:t>Cooperation</w:t>
      </w:r>
      <w:r>
        <w:rPr>
          <w:spacing w:val="-11"/>
          <w:w w:val="105"/>
          <w:sz w:val="18"/>
          <w:vertAlign w:val="baseline"/>
        </w:rPr>
        <w:t> </w:t>
      </w:r>
      <w:r>
        <w:rPr>
          <w:w w:val="105"/>
          <w:sz w:val="18"/>
          <w:vertAlign w:val="baseline"/>
        </w:rPr>
        <w:t>2017,</w:t>
      </w:r>
      <w:r>
        <w:rPr>
          <w:spacing w:val="-11"/>
          <w:w w:val="105"/>
          <w:sz w:val="18"/>
          <w:vertAlign w:val="baseline"/>
        </w:rPr>
        <w:t> </w:t>
      </w:r>
      <w:r>
        <w:rPr>
          <w:w w:val="105"/>
          <w:sz w:val="18"/>
          <w:vertAlign w:val="baseline"/>
        </w:rPr>
        <w:t>emphasis</w:t>
      </w:r>
      <w:r>
        <w:rPr>
          <w:spacing w:val="-11"/>
          <w:w w:val="105"/>
          <w:sz w:val="18"/>
          <w:vertAlign w:val="baseline"/>
        </w:rPr>
        <w:t> </w:t>
      </w:r>
      <w:r>
        <w:rPr>
          <w:w w:val="105"/>
          <w:sz w:val="18"/>
          <w:vertAlign w:val="baseline"/>
        </w:rPr>
        <w:t>added).</w:t>
      </w:r>
    </w:p>
    <w:p>
      <w:pPr>
        <w:spacing w:line="249" w:lineRule="auto" w:before="0"/>
        <w:ind w:left="560" w:right="561" w:firstLine="0"/>
        <w:jc w:val="left"/>
        <w:rPr>
          <w:sz w:val="18"/>
        </w:rPr>
      </w:pPr>
      <w:r>
        <w:rPr>
          <w:w w:val="105"/>
          <w:sz w:val="18"/>
          <w:vertAlign w:val="superscript"/>
        </w:rPr>
        <w:t>291</w:t>
      </w:r>
      <w:r>
        <w:rPr>
          <w:spacing w:val="-11"/>
          <w:w w:val="105"/>
          <w:sz w:val="18"/>
          <w:vertAlign w:val="baseline"/>
        </w:rPr>
        <w:t> </w:t>
      </w:r>
      <w:r>
        <w:rPr>
          <w:w w:val="105"/>
          <w:sz w:val="18"/>
          <w:vertAlign w:val="baseline"/>
        </w:rPr>
        <w:t>In</w:t>
      </w:r>
      <w:r>
        <w:rPr>
          <w:spacing w:val="-10"/>
          <w:w w:val="105"/>
          <w:sz w:val="18"/>
          <w:vertAlign w:val="baseline"/>
        </w:rPr>
        <w:t> </w:t>
      </w:r>
      <w:r>
        <w:rPr>
          <w:w w:val="105"/>
          <w:sz w:val="18"/>
          <w:vertAlign w:val="baseline"/>
        </w:rPr>
        <w:t>2010,</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World</w:t>
      </w:r>
      <w:r>
        <w:rPr>
          <w:spacing w:val="-10"/>
          <w:w w:val="105"/>
          <w:sz w:val="18"/>
          <w:vertAlign w:val="baseline"/>
        </w:rPr>
        <w:t> </w:t>
      </w:r>
      <w:r>
        <w:rPr>
          <w:w w:val="105"/>
          <w:sz w:val="18"/>
          <w:vertAlign w:val="baseline"/>
        </w:rPr>
        <w:t>Bank’s</w:t>
      </w:r>
      <w:r>
        <w:rPr>
          <w:spacing w:val="-10"/>
          <w:w w:val="105"/>
          <w:sz w:val="18"/>
          <w:vertAlign w:val="baseline"/>
        </w:rPr>
        <w:t> </w:t>
      </w:r>
      <w:r>
        <w:rPr>
          <w:w w:val="105"/>
          <w:sz w:val="18"/>
          <w:vertAlign w:val="baseline"/>
        </w:rPr>
        <w:t>Independent</w:t>
      </w:r>
      <w:r>
        <w:rPr>
          <w:spacing w:val="-10"/>
          <w:w w:val="105"/>
          <w:sz w:val="18"/>
          <w:vertAlign w:val="baseline"/>
        </w:rPr>
        <w:t> </w:t>
      </w:r>
      <w:r>
        <w:rPr>
          <w:w w:val="105"/>
          <w:sz w:val="18"/>
          <w:vertAlign w:val="baseline"/>
        </w:rPr>
        <w:t>Evaluation</w:t>
      </w:r>
      <w:r>
        <w:rPr>
          <w:spacing w:val="-10"/>
          <w:w w:val="105"/>
          <w:sz w:val="18"/>
          <w:vertAlign w:val="baseline"/>
        </w:rPr>
        <w:t> </w:t>
      </w:r>
      <w:r>
        <w:rPr>
          <w:w w:val="105"/>
          <w:sz w:val="18"/>
          <w:vertAlign w:val="baseline"/>
        </w:rPr>
        <w:t>Group</w:t>
      </w:r>
      <w:r>
        <w:rPr>
          <w:spacing w:val="-10"/>
          <w:w w:val="105"/>
          <w:sz w:val="18"/>
          <w:vertAlign w:val="baseline"/>
        </w:rPr>
        <w:t> </w:t>
      </w:r>
      <w:r>
        <w:rPr>
          <w:w w:val="105"/>
          <w:sz w:val="18"/>
          <w:vertAlign w:val="baseline"/>
        </w:rPr>
        <w:t>found</w:t>
      </w:r>
      <w:r>
        <w:rPr>
          <w:spacing w:val="-10"/>
          <w:w w:val="105"/>
          <w:sz w:val="18"/>
          <w:vertAlign w:val="baseline"/>
        </w:rPr>
        <w:t> </w:t>
      </w:r>
      <w:r>
        <w:rPr>
          <w:w w:val="105"/>
          <w:sz w:val="18"/>
          <w:vertAlign w:val="baseline"/>
        </w:rPr>
        <w:t>that</w:t>
      </w:r>
      <w:r>
        <w:rPr>
          <w:spacing w:val="-10"/>
          <w:w w:val="105"/>
          <w:sz w:val="18"/>
          <w:vertAlign w:val="baseline"/>
        </w:rPr>
        <w:t> </w:t>
      </w:r>
      <w:r>
        <w:rPr>
          <w:w w:val="105"/>
          <w:sz w:val="18"/>
          <w:vertAlign w:val="baseline"/>
        </w:rPr>
        <w:t>“[t]wo</w:t>
      </w:r>
      <w:r>
        <w:rPr>
          <w:spacing w:val="-10"/>
          <w:w w:val="105"/>
          <w:sz w:val="18"/>
          <w:vertAlign w:val="baseline"/>
        </w:rPr>
        <w:t> </w:t>
      </w:r>
      <w:r>
        <w:rPr>
          <w:w w:val="105"/>
          <w:sz w:val="18"/>
          <w:vertAlign w:val="baseline"/>
        </w:rPr>
        <w:t>thirds</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[World</w:t>
      </w:r>
      <w:r>
        <w:rPr>
          <w:spacing w:val="-10"/>
          <w:w w:val="105"/>
          <w:sz w:val="18"/>
          <w:vertAlign w:val="baseline"/>
        </w:rPr>
        <w:t> </w:t>
      </w:r>
      <w:r>
        <w:rPr>
          <w:w w:val="105"/>
          <w:sz w:val="18"/>
          <w:vertAlign w:val="baseline"/>
        </w:rPr>
        <w:t>Bank] </w:t>
      </w:r>
      <w:r>
        <w:rPr>
          <w:sz w:val="18"/>
          <w:vertAlign w:val="baseline"/>
        </w:rPr>
        <w:t>managers interviewed reported that some clients had avoided or were dropping a [World] Bank </w:t>
      </w:r>
      <w:r>
        <w:rPr>
          <w:sz w:val="18"/>
          <w:vertAlign w:val="baseline"/>
        </w:rPr>
        <w:t>project </w:t>
      </w:r>
      <w:r>
        <w:rPr>
          <w:w w:val="105"/>
          <w:sz w:val="18"/>
          <w:vertAlign w:val="baseline"/>
        </w:rPr>
        <w:t>because</w:t>
      </w:r>
      <w:r>
        <w:rPr>
          <w:spacing w:val="-7"/>
          <w:w w:val="105"/>
          <w:sz w:val="18"/>
          <w:vertAlign w:val="baseline"/>
        </w:rPr>
        <w:t> </w:t>
      </w:r>
      <w:r>
        <w:rPr>
          <w:w w:val="105"/>
          <w:sz w:val="18"/>
          <w:vertAlign w:val="baseline"/>
        </w:rPr>
        <w:t>of</w:t>
      </w:r>
      <w:r>
        <w:rPr>
          <w:spacing w:val="-7"/>
          <w:w w:val="105"/>
          <w:sz w:val="18"/>
          <w:vertAlign w:val="baseline"/>
        </w:rPr>
        <w:t> </w:t>
      </w:r>
      <w:r>
        <w:rPr>
          <w:w w:val="105"/>
          <w:sz w:val="18"/>
          <w:vertAlign w:val="baseline"/>
        </w:rPr>
        <w:t>safeguard</w:t>
      </w:r>
      <w:r>
        <w:rPr>
          <w:spacing w:val="-7"/>
          <w:w w:val="105"/>
          <w:sz w:val="18"/>
          <w:vertAlign w:val="baseline"/>
        </w:rPr>
        <w:t> </w:t>
      </w:r>
      <w:r>
        <w:rPr>
          <w:w w:val="105"/>
          <w:sz w:val="18"/>
          <w:vertAlign w:val="baseline"/>
        </w:rPr>
        <w:t>policies”</w:t>
      </w:r>
      <w:r>
        <w:rPr>
          <w:spacing w:val="-7"/>
          <w:w w:val="105"/>
          <w:sz w:val="18"/>
          <w:vertAlign w:val="baseline"/>
        </w:rPr>
        <w:t> </w:t>
      </w:r>
      <w:r>
        <w:rPr>
          <w:w w:val="105"/>
          <w:sz w:val="18"/>
          <w:vertAlign w:val="baseline"/>
        </w:rPr>
        <w:t>(IEG</w:t>
      </w:r>
      <w:r>
        <w:rPr>
          <w:spacing w:val="-7"/>
          <w:w w:val="105"/>
          <w:sz w:val="18"/>
          <w:vertAlign w:val="baseline"/>
        </w:rPr>
        <w:t> </w:t>
      </w:r>
      <w:r>
        <w:rPr>
          <w:w w:val="105"/>
          <w:sz w:val="18"/>
          <w:vertAlign w:val="baseline"/>
        </w:rPr>
        <w:t>2010:</w:t>
      </w:r>
      <w:r>
        <w:rPr>
          <w:spacing w:val="-7"/>
          <w:w w:val="105"/>
          <w:sz w:val="18"/>
          <w:vertAlign w:val="baseline"/>
        </w:rPr>
        <w:t> </w:t>
      </w:r>
      <w:r>
        <w:rPr>
          <w:w w:val="105"/>
          <w:sz w:val="18"/>
          <w:vertAlign w:val="baseline"/>
        </w:rPr>
        <w:t>73).</w:t>
      </w:r>
    </w:p>
    <w:p>
      <w:pPr>
        <w:spacing w:after="0" w:line="249" w:lineRule="auto"/>
        <w:jc w:val="left"/>
        <w:rPr>
          <w:sz w:val="18"/>
        </w:rPr>
        <w:sectPr>
          <w:pgSz w:w="12240" w:h="15840"/>
          <w:pgMar w:header="0" w:footer="720" w:top="1380" w:bottom="920" w:left="1240" w:right="1260"/>
        </w:sectPr>
      </w:pPr>
    </w:p>
    <w:p>
      <w:pPr>
        <w:spacing w:line="333" w:lineRule="auto" w:before="48"/>
        <w:ind w:left="1100" w:right="1170" w:firstLine="0"/>
        <w:jc w:val="left"/>
        <w:rPr>
          <w:i/>
          <w:sz w:val="24"/>
        </w:rPr>
      </w:pPr>
      <w:r>
        <w:rPr>
          <w:i/>
          <w:sz w:val="24"/>
        </w:rPr>
        <w:t>lesser degree the AfDB is the ‘hassle factor’ implicit in these types of</w:t>
      </w:r>
      <w:r>
        <w:rPr>
          <w:i/>
          <w:sz w:val="24"/>
        </w:rPr>
        <w:t> projects from project design rules and environmental and social safeguards. Ofﬁcials from all governments concurred that the World Bank is particularly difﬁcult. ‘For hydroelectric and railroads, we don’t even talk to them, we just go straight to the Chinese,’ said an Ethiopian</w:t>
      </w:r>
      <w:r>
        <w:rPr>
          <w:i/>
          <w:spacing w:val="-8"/>
          <w:sz w:val="24"/>
        </w:rPr>
        <w:t> </w:t>
      </w:r>
      <w:r>
        <w:rPr>
          <w:i/>
          <w:sz w:val="24"/>
        </w:rPr>
        <w:t>ofﬁcial.</w:t>
      </w:r>
      <w:r>
        <w:rPr>
          <w:i/>
          <w:spacing w:val="-8"/>
          <w:sz w:val="24"/>
        </w:rPr>
        <w:t> </w:t>
      </w:r>
      <w:r>
        <w:rPr>
          <w:i/>
          <w:sz w:val="24"/>
        </w:rPr>
        <w:t>Discussing</w:t>
      </w:r>
      <w:r>
        <w:rPr>
          <w:i/>
          <w:spacing w:val="-8"/>
          <w:sz w:val="24"/>
        </w:rPr>
        <w:t> </w:t>
      </w:r>
      <w:r>
        <w:rPr>
          <w:i/>
          <w:sz w:val="24"/>
        </w:rPr>
        <w:t>a</w:t>
      </w:r>
      <w:r>
        <w:rPr>
          <w:i/>
          <w:spacing w:val="-8"/>
          <w:sz w:val="24"/>
        </w:rPr>
        <w:t> </w:t>
      </w:r>
      <w:r>
        <w:rPr>
          <w:i/>
          <w:sz w:val="24"/>
        </w:rPr>
        <w:t>major</w:t>
      </w:r>
      <w:r>
        <w:rPr>
          <w:i/>
          <w:spacing w:val="-8"/>
          <w:sz w:val="24"/>
        </w:rPr>
        <w:t> </w:t>
      </w:r>
      <w:r>
        <w:rPr>
          <w:i/>
          <w:sz w:val="24"/>
        </w:rPr>
        <w:t>gas</w:t>
      </w:r>
      <w:r>
        <w:rPr>
          <w:i/>
          <w:spacing w:val="-8"/>
          <w:sz w:val="24"/>
        </w:rPr>
        <w:t> </w:t>
      </w:r>
      <w:r>
        <w:rPr>
          <w:i/>
          <w:sz w:val="24"/>
        </w:rPr>
        <w:t>pipeline</w:t>
      </w:r>
      <w:r>
        <w:rPr>
          <w:i/>
          <w:spacing w:val="-8"/>
          <w:sz w:val="24"/>
        </w:rPr>
        <w:t> </w:t>
      </w:r>
      <w:r>
        <w:rPr>
          <w:i/>
          <w:sz w:val="24"/>
        </w:rPr>
        <w:t>project,</w:t>
      </w:r>
      <w:r>
        <w:rPr>
          <w:i/>
          <w:spacing w:val="-8"/>
          <w:sz w:val="24"/>
        </w:rPr>
        <w:t> </w:t>
      </w:r>
      <w:r>
        <w:rPr>
          <w:i/>
          <w:sz w:val="24"/>
        </w:rPr>
        <w:t>a</w:t>
      </w:r>
      <w:r>
        <w:rPr>
          <w:i/>
          <w:spacing w:val="-8"/>
          <w:sz w:val="24"/>
        </w:rPr>
        <w:t> </w:t>
      </w:r>
      <w:r>
        <w:rPr>
          <w:i/>
          <w:sz w:val="24"/>
        </w:rPr>
        <w:t>Tanzanian ofﬁcial said, ‘The Chinese are a bit more expensive, but they are a lot easier and a lot faster for this kind of project. We didn’t even send a request to the World Bank for support, we went straight to the Chinese.’</w:t>
      </w:r>
      <w:r>
        <w:rPr>
          <w:i/>
          <w:spacing w:val="-6"/>
          <w:sz w:val="24"/>
        </w:rPr>
        <w:t> </w:t>
      </w:r>
      <w:r>
        <w:rPr>
          <w:i/>
          <w:sz w:val="24"/>
        </w:rPr>
        <w:t>Even</w:t>
      </w:r>
      <w:r>
        <w:rPr>
          <w:i/>
          <w:spacing w:val="-6"/>
          <w:sz w:val="24"/>
        </w:rPr>
        <w:t> </w:t>
      </w:r>
      <w:r>
        <w:rPr>
          <w:i/>
          <w:sz w:val="24"/>
        </w:rPr>
        <w:t>in</w:t>
      </w:r>
      <w:r>
        <w:rPr>
          <w:i/>
          <w:spacing w:val="-6"/>
          <w:sz w:val="24"/>
        </w:rPr>
        <w:t> </w:t>
      </w:r>
      <w:r>
        <w:rPr>
          <w:i/>
          <w:sz w:val="24"/>
        </w:rPr>
        <w:t>Malawi,</w:t>
      </w:r>
      <w:r>
        <w:rPr>
          <w:i/>
          <w:spacing w:val="-6"/>
          <w:sz w:val="24"/>
        </w:rPr>
        <w:t> </w:t>
      </w:r>
      <w:r>
        <w:rPr>
          <w:i/>
          <w:sz w:val="24"/>
        </w:rPr>
        <w:t>with</w:t>
      </w:r>
      <w:r>
        <w:rPr>
          <w:i/>
          <w:spacing w:val="-6"/>
          <w:sz w:val="24"/>
        </w:rPr>
        <w:t> </w:t>
      </w:r>
      <w:r>
        <w:rPr>
          <w:i/>
          <w:sz w:val="24"/>
        </w:rPr>
        <w:t>only</w:t>
      </w:r>
      <w:r>
        <w:rPr>
          <w:i/>
          <w:spacing w:val="-6"/>
          <w:sz w:val="24"/>
        </w:rPr>
        <w:t> </w:t>
      </w:r>
      <w:r>
        <w:rPr>
          <w:i/>
          <w:sz w:val="24"/>
        </w:rPr>
        <w:t>small</w:t>
      </w:r>
      <w:r>
        <w:rPr>
          <w:i/>
          <w:spacing w:val="-6"/>
          <w:sz w:val="24"/>
        </w:rPr>
        <w:t> </w:t>
      </w:r>
      <w:r>
        <w:rPr>
          <w:i/>
          <w:sz w:val="24"/>
        </w:rPr>
        <w:t>amounts</w:t>
      </w:r>
      <w:r>
        <w:rPr>
          <w:i/>
          <w:spacing w:val="-6"/>
          <w:sz w:val="24"/>
        </w:rPr>
        <w:t> </w:t>
      </w:r>
      <w:r>
        <w:rPr>
          <w:i/>
          <w:sz w:val="24"/>
        </w:rPr>
        <w:t>of</w:t>
      </w:r>
      <w:r>
        <w:rPr>
          <w:i/>
          <w:spacing w:val="-6"/>
          <w:sz w:val="24"/>
        </w:rPr>
        <w:t> </w:t>
      </w:r>
      <w:r>
        <w:rPr>
          <w:i/>
          <w:sz w:val="24"/>
        </w:rPr>
        <w:t>Chinese</w:t>
      </w:r>
      <w:r>
        <w:rPr>
          <w:i/>
          <w:spacing w:val="-6"/>
          <w:sz w:val="24"/>
        </w:rPr>
        <w:t> </w:t>
      </w:r>
      <w:r>
        <w:rPr>
          <w:i/>
          <w:sz w:val="24"/>
        </w:rPr>
        <w:t>ﬁnance, ofﬁcials were experiencing these dynamics with a planned new</w:t>
      </w:r>
    </w:p>
    <w:p>
      <w:pPr>
        <w:spacing w:line="333" w:lineRule="auto" w:before="0"/>
        <w:ind w:left="1100" w:right="1142" w:firstLine="0"/>
        <w:jc w:val="left"/>
        <w:rPr>
          <w:i/>
          <w:sz w:val="24"/>
        </w:rPr>
      </w:pPr>
      <w:r>
        <w:rPr>
          <w:i/>
          <w:sz w:val="24"/>
        </w:rPr>
        <w:t>coal-ﬁred power plant, to be funded by the Chinese at market-based</w:t>
      </w:r>
      <w:r>
        <w:rPr>
          <w:i/>
          <w:sz w:val="24"/>
        </w:rPr>
        <w:t> interest rates. ‘The World Bank and AfDB wouldn’t fund it because </w:t>
      </w:r>
      <w:r>
        <w:rPr>
          <w:i/>
          <w:sz w:val="24"/>
        </w:rPr>
        <w:t>the powerful shareholders would not agree to that kind of thing for environmental reasons. So we went with the Chinese.’” (Humphrey and Michaelowa 2019: 23)</w:t>
      </w:r>
    </w:p>
    <w:p>
      <w:pPr>
        <w:pStyle w:val="BodyText"/>
        <w:rPr>
          <w:i/>
          <w:sz w:val="27"/>
        </w:rPr>
      </w:pPr>
    </w:p>
    <w:p>
      <w:pPr>
        <w:pStyle w:val="BodyText"/>
        <w:spacing w:line="333" w:lineRule="auto"/>
        <w:ind w:left="560" w:right="540"/>
      </w:pPr>
      <w:r>
        <w:rPr/>
        <w:t>In light of LIC and MIC demand for low levels of “hassle factor,” Beijing’s pivot toward a more stringent ESG safeguard regime raises the question of whether it will undermine the value proposition that it has traditionally used to differentiate itself from competitors in the global infrastructure ﬁnancing market. To better understand the implications of Chinese lenders and donors adopting stronger ESG safeguards, we use the 3.0 version of AidData’s GCDF dataset to compare the performance of Chinese government-ﬁnanced infrastructure projects with</w:t>
      </w:r>
      <w:r>
        <w:rPr>
          <w:spacing w:val="80"/>
        </w:rPr>
        <w:t> </w:t>
      </w:r>
      <w:r>
        <w:rPr/>
        <w:t>and without strong ESG safeguards. We do so with six outcome measures: (1) the percentage of projects that run behind schedule (2) the average length of commencement delays, (3) the average length of completion delays, (4) the average</w:t>
      </w:r>
      <w:r>
        <w:rPr>
          <w:spacing w:val="20"/>
        </w:rPr>
        <w:t> </w:t>
      </w:r>
      <w:r>
        <w:rPr/>
        <w:t>amount</w:t>
      </w:r>
      <w:r>
        <w:rPr>
          <w:spacing w:val="20"/>
        </w:rPr>
        <w:t> </w:t>
      </w:r>
      <w:r>
        <w:rPr/>
        <w:t>of</w:t>
      </w:r>
      <w:r>
        <w:rPr>
          <w:spacing w:val="20"/>
        </w:rPr>
        <w:t> </w:t>
      </w:r>
      <w:r>
        <w:rPr/>
        <w:t>time</w:t>
      </w:r>
      <w:r>
        <w:rPr>
          <w:spacing w:val="20"/>
        </w:rPr>
        <w:t> </w:t>
      </w:r>
      <w:r>
        <w:rPr/>
        <w:t>it</w:t>
      </w:r>
      <w:r>
        <w:rPr>
          <w:spacing w:val="20"/>
        </w:rPr>
        <w:t> </w:t>
      </w:r>
      <w:r>
        <w:rPr/>
        <w:t>takes</w:t>
      </w:r>
      <w:r>
        <w:rPr>
          <w:spacing w:val="20"/>
        </w:rPr>
        <w:t> </w:t>
      </w:r>
      <w:r>
        <w:rPr/>
        <w:t>to</w:t>
      </w:r>
      <w:r>
        <w:rPr>
          <w:spacing w:val="20"/>
        </w:rPr>
        <w:t> </w:t>
      </w:r>
      <w:r>
        <w:rPr/>
        <w:t>reach</w:t>
      </w:r>
      <w:r>
        <w:rPr>
          <w:spacing w:val="20"/>
        </w:rPr>
        <w:t> </w:t>
      </w:r>
      <w:r>
        <w:rPr/>
        <w:t>completion,</w:t>
      </w:r>
      <w:r>
        <w:rPr>
          <w:spacing w:val="20"/>
        </w:rPr>
        <w:t> </w:t>
      </w:r>
      <w:r>
        <w:rPr/>
        <w:t>(5)</w:t>
      </w:r>
      <w:r>
        <w:rPr>
          <w:spacing w:val="20"/>
        </w:rPr>
        <w:t> </w:t>
      </w:r>
      <w:r>
        <w:rPr/>
        <w:t>the</w:t>
      </w:r>
      <w:r>
        <w:rPr>
          <w:spacing w:val="20"/>
        </w:rPr>
        <w:t> </w:t>
      </w:r>
      <w:r>
        <w:rPr/>
        <w:t>frequency</w:t>
      </w:r>
      <w:r>
        <w:rPr>
          <w:spacing w:val="20"/>
        </w:rPr>
        <w:t> </w:t>
      </w:r>
      <w:r>
        <w:rPr/>
        <w:t>and</w:t>
      </w:r>
      <w:r>
        <w:rPr/>
        <w:t> value</w:t>
      </w:r>
      <w:r>
        <w:rPr>
          <w:spacing w:val="-15"/>
        </w:rPr>
        <w:t> </w:t>
      </w:r>
      <w:r>
        <w:rPr/>
        <w:t>of</w:t>
      </w:r>
      <w:r>
        <w:rPr>
          <w:spacing w:val="-15"/>
        </w:rPr>
        <w:t> </w:t>
      </w:r>
      <w:r>
        <w:rPr/>
        <w:t>project</w:t>
      </w:r>
      <w:r>
        <w:rPr>
          <w:spacing w:val="-15"/>
        </w:rPr>
        <w:t> </w:t>
      </w:r>
      <w:r>
        <w:rPr/>
        <w:t>suspensions</w:t>
      </w:r>
      <w:r>
        <w:rPr>
          <w:spacing w:val="-15"/>
        </w:rPr>
        <w:t> </w:t>
      </w:r>
      <w:r>
        <w:rPr/>
        <w:t>and</w:t>
      </w:r>
      <w:r>
        <w:rPr>
          <w:spacing w:val="-15"/>
        </w:rPr>
        <w:t> </w:t>
      </w:r>
      <w:r>
        <w:rPr/>
        <w:t>cancellations,</w:t>
      </w:r>
      <w:r>
        <w:rPr>
          <w:spacing w:val="-15"/>
        </w:rPr>
        <w:t> </w:t>
      </w:r>
      <w:r>
        <w:rPr/>
        <w:t>and</w:t>
      </w:r>
      <w:r>
        <w:rPr>
          <w:spacing w:val="-15"/>
        </w:rPr>
        <w:t> </w:t>
      </w:r>
      <w:r>
        <w:rPr/>
        <w:t>(6)</w:t>
      </w:r>
      <w:r>
        <w:rPr>
          <w:spacing w:val="-15"/>
        </w:rPr>
        <w:t> </w:t>
      </w:r>
      <w:r>
        <w:rPr/>
        <w:t>ESG</w:t>
      </w:r>
      <w:r>
        <w:rPr>
          <w:spacing w:val="-15"/>
        </w:rPr>
        <w:t> </w:t>
      </w:r>
      <w:r>
        <w:rPr/>
        <w:t>risk</w:t>
      </w:r>
      <w:r>
        <w:rPr>
          <w:spacing w:val="-15"/>
        </w:rPr>
        <w:t> </w:t>
      </w:r>
      <w:r>
        <w:rPr/>
        <w:t>prevalence</w:t>
      </w:r>
      <w:r>
        <w:rPr>
          <w:spacing w:val="-15"/>
        </w:rPr>
        <w:t> </w:t>
      </w:r>
      <w:r>
        <w:rPr/>
        <w:t>rates.</w:t>
      </w:r>
    </w:p>
    <w:p>
      <w:pPr>
        <w:pStyle w:val="BodyText"/>
        <w:spacing w:before="2"/>
        <w:rPr>
          <w:sz w:val="27"/>
        </w:rPr>
      </w:pPr>
    </w:p>
    <w:p>
      <w:pPr>
        <w:pStyle w:val="BodyText"/>
        <w:spacing w:line="333" w:lineRule="auto"/>
        <w:ind w:left="560" w:right="561"/>
      </w:pPr>
      <w:r>
        <w:rPr>
          <w:w w:val="105"/>
        </w:rPr>
        <w:t>We</w:t>
      </w:r>
      <w:r>
        <w:rPr>
          <w:spacing w:val="-14"/>
          <w:w w:val="105"/>
        </w:rPr>
        <w:t> </w:t>
      </w:r>
      <w:r>
        <w:rPr>
          <w:w w:val="105"/>
        </w:rPr>
        <w:t>begin</w:t>
      </w:r>
      <w:r>
        <w:rPr>
          <w:spacing w:val="-14"/>
          <w:w w:val="105"/>
        </w:rPr>
        <w:t> </w:t>
      </w:r>
      <w:r>
        <w:rPr>
          <w:w w:val="105"/>
        </w:rPr>
        <w:t>by</w:t>
      </w:r>
      <w:r>
        <w:rPr>
          <w:spacing w:val="-14"/>
          <w:w w:val="105"/>
        </w:rPr>
        <w:t> </w:t>
      </w:r>
      <w:r>
        <w:rPr>
          <w:w w:val="105"/>
        </w:rPr>
        <w:t>comparing</w:t>
      </w:r>
      <w:r>
        <w:rPr>
          <w:spacing w:val="-14"/>
          <w:w w:val="105"/>
        </w:rPr>
        <w:t> </w:t>
      </w:r>
      <w:r>
        <w:rPr>
          <w:w w:val="105"/>
        </w:rPr>
        <w:t>the</w:t>
      </w:r>
      <w:r>
        <w:rPr>
          <w:spacing w:val="-14"/>
          <w:w w:val="105"/>
        </w:rPr>
        <w:t> </w:t>
      </w:r>
      <w:r>
        <w:rPr>
          <w:w w:val="105"/>
        </w:rPr>
        <w:t>percentage</w:t>
      </w:r>
      <w:r>
        <w:rPr>
          <w:spacing w:val="-14"/>
          <w:w w:val="105"/>
        </w:rPr>
        <w:t> </w:t>
      </w:r>
      <w:r>
        <w:rPr>
          <w:w w:val="105"/>
        </w:rPr>
        <w:t>of</w:t>
      </w:r>
      <w:r>
        <w:rPr>
          <w:spacing w:val="-14"/>
          <w:w w:val="105"/>
        </w:rPr>
        <w:t> </w:t>
      </w:r>
      <w:r>
        <w:rPr>
          <w:w w:val="105"/>
        </w:rPr>
        <w:t>China’s</w:t>
      </w:r>
      <w:r>
        <w:rPr>
          <w:spacing w:val="-14"/>
          <w:w w:val="105"/>
        </w:rPr>
        <w:t> </w:t>
      </w:r>
      <w:r>
        <w:rPr>
          <w:w w:val="105"/>
        </w:rPr>
        <w:t>infrastructure</w:t>
      </w:r>
      <w:r>
        <w:rPr>
          <w:spacing w:val="-14"/>
          <w:w w:val="105"/>
        </w:rPr>
        <w:t> </w:t>
      </w:r>
      <w:r>
        <w:rPr>
          <w:w w:val="105"/>
        </w:rPr>
        <w:t>project portfolio</w:t>
      </w:r>
      <w:r>
        <w:rPr>
          <w:spacing w:val="-10"/>
          <w:w w:val="105"/>
        </w:rPr>
        <w:t> </w:t>
      </w:r>
      <w:r>
        <w:rPr>
          <w:w w:val="105"/>
        </w:rPr>
        <w:t>with</w:t>
      </w:r>
      <w:r>
        <w:rPr>
          <w:spacing w:val="-10"/>
          <w:w w:val="105"/>
        </w:rPr>
        <w:t> </w:t>
      </w:r>
      <w:r>
        <w:rPr>
          <w:w w:val="105"/>
        </w:rPr>
        <w:t>and</w:t>
      </w:r>
      <w:r>
        <w:rPr>
          <w:spacing w:val="-10"/>
          <w:w w:val="105"/>
        </w:rPr>
        <w:t> </w:t>
      </w:r>
      <w:r>
        <w:rPr>
          <w:w w:val="105"/>
        </w:rPr>
        <w:t>without</w:t>
      </w:r>
      <w:r>
        <w:rPr>
          <w:spacing w:val="-10"/>
          <w:w w:val="105"/>
        </w:rPr>
        <w:t> </w:t>
      </w:r>
      <w:r>
        <w:rPr>
          <w:w w:val="105"/>
        </w:rPr>
        <w:t>strong</w:t>
      </w:r>
      <w:r>
        <w:rPr>
          <w:spacing w:val="-10"/>
          <w:w w:val="105"/>
        </w:rPr>
        <w:t> </w:t>
      </w:r>
      <w:r>
        <w:rPr>
          <w:w w:val="105"/>
        </w:rPr>
        <w:t>de</w:t>
      </w:r>
      <w:r>
        <w:rPr>
          <w:spacing w:val="-10"/>
          <w:w w:val="105"/>
        </w:rPr>
        <w:t> </w:t>
      </w:r>
      <w:r>
        <w:rPr>
          <w:w w:val="105"/>
        </w:rPr>
        <w:t>jure</w:t>
      </w:r>
      <w:r>
        <w:rPr>
          <w:spacing w:val="-10"/>
          <w:w w:val="105"/>
        </w:rPr>
        <w:t> </w:t>
      </w:r>
      <w:r>
        <w:rPr>
          <w:w w:val="105"/>
        </w:rPr>
        <w:t>ESG</w:t>
      </w:r>
      <w:r>
        <w:rPr>
          <w:spacing w:val="-10"/>
          <w:w w:val="105"/>
        </w:rPr>
        <w:t> </w:t>
      </w:r>
      <w:r>
        <w:rPr>
          <w:w w:val="105"/>
        </w:rPr>
        <w:t>safeguards</w:t>
      </w:r>
      <w:r>
        <w:rPr>
          <w:spacing w:val="-10"/>
          <w:w w:val="105"/>
        </w:rPr>
        <w:t> </w:t>
      </w:r>
      <w:r>
        <w:rPr>
          <w:w w:val="105"/>
        </w:rPr>
        <w:t>that</w:t>
      </w:r>
      <w:r>
        <w:rPr>
          <w:spacing w:val="-10"/>
          <w:w w:val="105"/>
        </w:rPr>
        <w:t> </w:t>
      </w:r>
      <w:r>
        <w:rPr>
          <w:w w:val="105"/>
        </w:rPr>
        <w:t>ran</w:t>
      </w:r>
      <w:r>
        <w:rPr>
          <w:spacing w:val="-10"/>
          <w:w w:val="105"/>
        </w:rPr>
        <w:t> </w:t>
      </w:r>
      <w:r>
        <w:rPr>
          <w:w w:val="105"/>
        </w:rPr>
        <w:t>behind </w:t>
      </w:r>
      <w:r>
        <w:rPr/>
        <w:t>schedule. We classify a project as “behind schedule” if its actual </w:t>
      </w:r>
      <w:r>
        <w:rPr/>
        <w:t>implementation </w:t>
      </w:r>
      <w:r>
        <w:rPr>
          <w:w w:val="105"/>
        </w:rPr>
        <w:t>start</w:t>
      </w:r>
      <w:r>
        <w:rPr>
          <w:spacing w:val="-8"/>
          <w:w w:val="105"/>
        </w:rPr>
        <w:t> </w:t>
      </w:r>
      <w:r>
        <w:rPr>
          <w:w w:val="105"/>
        </w:rPr>
        <w:t>date</w:t>
      </w:r>
      <w:r>
        <w:rPr>
          <w:spacing w:val="-8"/>
          <w:w w:val="105"/>
        </w:rPr>
        <w:t> </w:t>
      </w:r>
      <w:r>
        <w:rPr>
          <w:w w:val="105"/>
        </w:rPr>
        <w:t>took</w:t>
      </w:r>
      <w:r>
        <w:rPr>
          <w:spacing w:val="-8"/>
          <w:w w:val="105"/>
        </w:rPr>
        <w:t> </w:t>
      </w:r>
      <w:r>
        <w:rPr>
          <w:w w:val="105"/>
        </w:rPr>
        <w:t>place</w:t>
      </w:r>
      <w:r>
        <w:rPr>
          <w:spacing w:val="-8"/>
          <w:w w:val="105"/>
        </w:rPr>
        <w:t> </w:t>
      </w:r>
      <w:r>
        <w:rPr>
          <w:w w:val="105"/>
        </w:rPr>
        <w:t>3</w:t>
      </w:r>
      <w:r>
        <w:rPr>
          <w:spacing w:val="-8"/>
          <w:w w:val="105"/>
        </w:rPr>
        <w:t> </w:t>
      </w:r>
      <w:r>
        <w:rPr>
          <w:w w:val="105"/>
        </w:rPr>
        <w:t>months</w:t>
      </w:r>
      <w:r>
        <w:rPr>
          <w:spacing w:val="-8"/>
          <w:w w:val="105"/>
        </w:rPr>
        <w:t> </w:t>
      </w:r>
      <w:r>
        <w:rPr>
          <w:w w:val="105"/>
        </w:rPr>
        <w:t>or</w:t>
      </w:r>
      <w:r>
        <w:rPr>
          <w:spacing w:val="-8"/>
          <w:w w:val="105"/>
        </w:rPr>
        <w:t> </w:t>
      </w:r>
      <w:r>
        <w:rPr>
          <w:w w:val="105"/>
        </w:rPr>
        <w:t>more</w:t>
      </w:r>
      <w:r>
        <w:rPr>
          <w:spacing w:val="-8"/>
          <w:w w:val="105"/>
        </w:rPr>
        <w:t> </w:t>
      </w:r>
      <w:r>
        <w:rPr>
          <w:w w:val="105"/>
        </w:rPr>
        <w:t>after</w:t>
      </w:r>
      <w:r>
        <w:rPr>
          <w:spacing w:val="-8"/>
          <w:w w:val="105"/>
        </w:rPr>
        <w:t> </w:t>
      </w:r>
      <w:r>
        <w:rPr>
          <w:w w:val="105"/>
        </w:rPr>
        <w:t>its</w:t>
      </w:r>
      <w:r>
        <w:rPr>
          <w:spacing w:val="-8"/>
          <w:w w:val="105"/>
        </w:rPr>
        <w:t> </w:t>
      </w:r>
      <w:r>
        <w:rPr>
          <w:w w:val="105"/>
        </w:rPr>
        <w:t>originally</w:t>
      </w:r>
      <w:r>
        <w:rPr>
          <w:spacing w:val="-8"/>
          <w:w w:val="105"/>
        </w:rPr>
        <w:t> </w:t>
      </w:r>
      <w:r>
        <w:rPr>
          <w:w w:val="105"/>
        </w:rPr>
        <w:t>scheduled implementation</w:t>
      </w:r>
      <w:r>
        <w:rPr>
          <w:spacing w:val="-2"/>
          <w:w w:val="105"/>
        </w:rPr>
        <w:t> </w:t>
      </w:r>
      <w:r>
        <w:rPr>
          <w:w w:val="105"/>
        </w:rPr>
        <w:t>start</w:t>
      </w:r>
      <w:r>
        <w:rPr>
          <w:spacing w:val="-2"/>
          <w:w w:val="105"/>
        </w:rPr>
        <w:t> </w:t>
      </w:r>
      <w:r>
        <w:rPr>
          <w:w w:val="105"/>
        </w:rPr>
        <w:t>date,</w:t>
      </w:r>
      <w:r>
        <w:rPr>
          <w:spacing w:val="-2"/>
          <w:w w:val="105"/>
        </w:rPr>
        <w:t> </w:t>
      </w:r>
      <w:r>
        <w:rPr>
          <w:w w:val="105"/>
        </w:rPr>
        <w:t>and/or</w:t>
      </w:r>
      <w:r>
        <w:rPr>
          <w:spacing w:val="-2"/>
          <w:w w:val="105"/>
        </w:rPr>
        <w:t> </w:t>
      </w:r>
      <w:r>
        <w:rPr>
          <w:w w:val="105"/>
        </w:rPr>
        <w:t>if</w:t>
      </w:r>
      <w:r>
        <w:rPr>
          <w:spacing w:val="-2"/>
          <w:w w:val="105"/>
        </w:rPr>
        <w:t> </w:t>
      </w:r>
      <w:r>
        <w:rPr>
          <w:w w:val="105"/>
        </w:rPr>
        <w:t>its</w:t>
      </w:r>
      <w:r>
        <w:rPr>
          <w:spacing w:val="-2"/>
          <w:w w:val="105"/>
        </w:rPr>
        <w:t> </w:t>
      </w:r>
      <w:r>
        <w:rPr>
          <w:w w:val="105"/>
        </w:rPr>
        <w:t>actual</w:t>
      </w:r>
      <w:r>
        <w:rPr>
          <w:spacing w:val="-2"/>
          <w:w w:val="105"/>
        </w:rPr>
        <w:t> </w:t>
      </w:r>
      <w:r>
        <w:rPr>
          <w:w w:val="105"/>
        </w:rPr>
        <w:t>completion</w:t>
      </w:r>
      <w:r>
        <w:rPr>
          <w:spacing w:val="-2"/>
          <w:w w:val="105"/>
        </w:rPr>
        <w:t> </w:t>
      </w:r>
      <w:r>
        <w:rPr>
          <w:w w:val="105"/>
        </w:rPr>
        <w:t>date</w:t>
      </w:r>
      <w:r>
        <w:rPr>
          <w:spacing w:val="-2"/>
          <w:w w:val="105"/>
        </w:rPr>
        <w:t> </w:t>
      </w:r>
      <w:r>
        <w:rPr>
          <w:w w:val="105"/>
        </w:rPr>
        <w:t>took</w:t>
      </w:r>
      <w:r>
        <w:rPr>
          <w:spacing w:val="-2"/>
          <w:w w:val="105"/>
        </w:rPr>
        <w:t> </w:t>
      </w:r>
      <w:r>
        <w:rPr>
          <w:w w:val="105"/>
        </w:rPr>
        <w:t>place</w:t>
      </w:r>
      <w:r>
        <w:rPr>
          <w:spacing w:val="-2"/>
          <w:w w:val="105"/>
        </w:rPr>
        <w:t> </w:t>
      </w:r>
      <w:r>
        <w:rPr>
          <w:w w:val="105"/>
        </w:rPr>
        <w:t>3</w:t>
      </w:r>
    </w:p>
    <w:p>
      <w:pPr>
        <w:spacing w:after="0" w:line="333" w:lineRule="auto"/>
        <w:sectPr>
          <w:pgSz w:w="12240" w:h="15840"/>
          <w:pgMar w:header="0" w:footer="720" w:top="1380" w:bottom="920" w:left="1240" w:right="1260"/>
        </w:sectPr>
      </w:pPr>
    </w:p>
    <w:p>
      <w:pPr>
        <w:pStyle w:val="BodyText"/>
        <w:spacing w:line="333" w:lineRule="auto" w:before="27"/>
        <w:ind w:left="560" w:right="540"/>
      </w:pPr>
      <w:r>
        <w:rPr/>
        <w:t>months (or more) after its originally scheduled completion date. Figure A58 demonstrates</w:t>
      </w:r>
      <w:r>
        <w:rPr>
          <w:spacing w:val="-6"/>
        </w:rPr>
        <w:t> </w:t>
      </w:r>
      <w:r>
        <w:rPr/>
        <w:t>that</w:t>
      </w:r>
      <w:r>
        <w:rPr>
          <w:spacing w:val="-6"/>
        </w:rPr>
        <w:t> </w:t>
      </w:r>
      <w:r>
        <w:rPr/>
        <w:t>China’s</w:t>
      </w:r>
      <w:r>
        <w:rPr>
          <w:spacing w:val="-6"/>
        </w:rPr>
        <w:t> </w:t>
      </w:r>
      <w:r>
        <w:rPr/>
        <w:t>grant-</w:t>
      </w:r>
      <w:r>
        <w:rPr>
          <w:spacing w:val="-6"/>
        </w:rPr>
        <w:t> </w:t>
      </w:r>
      <w:r>
        <w:rPr/>
        <w:t>and</w:t>
      </w:r>
      <w:r>
        <w:rPr>
          <w:spacing w:val="-6"/>
        </w:rPr>
        <w:t> </w:t>
      </w:r>
      <w:r>
        <w:rPr/>
        <w:t>loan-ﬁnanced</w:t>
      </w:r>
      <w:r>
        <w:rPr>
          <w:spacing w:val="-6"/>
        </w:rPr>
        <w:t> </w:t>
      </w:r>
      <w:r>
        <w:rPr/>
        <w:t>infrastructure</w:t>
      </w:r>
      <w:r>
        <w:rPr>
          <w:spacing w:val="-6"/>
        </w:rPr>
        <w:t> </w:t>
      </w:r>
      <w:r>
        <w:rPr/>
        <w:t>projects</w:t>
      </w:r>
      <w:r>
        <w:rPr>
          <w:spacing w:val="-6"/>
        </w:rPr>
        <w:t> </w:t>
      </w:r>
      <w:r>
        <w:rPr/>
        <w:t>in</w:t>
      </w:r>
      <w:r>
        <w:rPr>
          <w:spacing w:val="-6"/>
        </w:rPr>
        <w:t> </w:t>
      </w:r>
      <w:r>
        <w:rPr/>
        <w:t>LICs and MICs are equally as likely to run behind schedule when strong de jure ESG safeguards</w:t>
      </w:r>
      <w:r>
        <w:rPr>
          <w:spacing w:val="-10"/>
        </w:rPr>
        <w:t> </w:t>
      </w:r>
      <w:r>
        <w:rPr/>
        <w:t>are</w:t>
      </w:r>
      <w:r>
        <w:rPr>
          <w:spacing w:val="-10"/>
        </w:rPr>
        <w:t> </w:t>
      </w:r>
      <w:r>
        <w:rPr/>
        <w:t>in</w:t>
      </w:r>
      <w:r>
        <w:rPr>
          <w:spacing w:val="-10"/>
        </w:rPr>
        <w:t> </w:t>
      </w:r>
      <w:r>
        <w:rPr/>
        <w:t>place</w:t>
      </w:r>
      <w:r>
        <w:rPr>
          <w:spacing w:val="-10"/>
        </w:rPr>
        <w:t> </w:t>
      </w:r>
      <w:r>
        <w:rPr/>
        <w:t>as</w:t>
      </w:r>
      <w:r>
        <w:rPr>
          <w:spacing w:val="-10"/>
        </w:rPr>
        <w:t> </w:t>
      </w:r>
      <w:r>
        <w:rPr/>
        <w:t>they</w:t>
      </w:r>
      <w:r>
        <w:rPr>
          <w:spacing w:val="-10"/>
        </w:rPr>
        <w:t> </w:t>
      </w:r>
      <w:r>
        <w:rPr/>
        <w:t>are</w:t>
      </w:r>
      <w:r>
        <w:rPr>
          <w:spacing w:val="-10"/>
        </w:rPr>
        <w:t> </w:t>
      </w:r>
      <w:r>
        <w:rPr/>
        <w:t>when</w:t>
      </w:r>
      <w:r>
        <w:rPr>
          <w:spacing w:val="-10"/>
        </w:rPr>
        <w:t> </w:t>
      </w:r>
      <w:r>
        <w:rPr/>
        <w:t>strong</w:t>
      </w:r>
      <w:r>
        <w:rPr>
          <w:spacing w:val="-10"/>
        </w:rPr>
        <w:t> </w:t>
      </w:r>
      <w:r>
        <w:rPr/>
        <w:t>ESG</w:t>
      </w:r>
      <w:r>
        <w:rPr>
          <w:spacing w:val="-10"/>
        </w:rPr>
        <w:t> </w:t>
      </w:r>
      <w:r>
        <w:rPr/>
        <w:t>safeguards</w:t>
      </w:r>
      <w:r>
        <w:rPr>
          <w:spacing w:val="-10"/>
        </w:rPr>
        <w:t> </w:t>
      </w:r>
      <w:r>
        <w:rPr/>
        <w:t>are</w:t>
      </w:r>
      <w:r>
        <w:rPr>
          <w:spacing w:val="-10"/>
        </w:rPr>
        <w:t> </w:t>
      </w:r>
      <w:r>
        <w:rPr/>
        <w:t>not</w:t>
      </w:r>
      <w:r>
        <w:rPr>
          <w:spacing w:val="-10"/>
        </w:rPr>
        <w:t> </w:t>
      </w:r>
      <w:r>
        <w:rPr/>
        <w:t>in</w:t>
      </w:r>
      <w:r>
        <w:rPr>
          <w:spacing w:val="-10"/>
        </w:rPr>
        <w:t> </w:t>
      </w:r>
      <w:r>
        <w:rPr/>
        <w:t>place: 74% of infrastructure projects with strong de jure ESG safeguards ran behind schedule, and 75% without strong de jure ESG safeguards ran behind schedule.</w:t>
      </w:r>
    </w:p>
    <w:p>
      <w:pPr>
        <w:pStyle w:val="BodyText"/>
        <w:spacing w:before="7"/>
        <w:rPr>
          <w:sz w:val="27"/>
        </w:rPr>
      </w:pPr>
    </w:p>
    <w:p>
      <w:pPr>
        <w:pStyle w:val="BodyText"/>
        <w:spacing w:line="333" w:lineRule="auto"/>
        <w:ind w:left="560" w:right="623"/>
      </w:pPr>
      <w:r>
        <w:rPr/>
        <w:t>Next, we examine the </w:t>
      </w:r>
      <w:r>
        <w:rPr>
          <w:i/>
        </w:rPr>
        <w:t>average length </w:t>
      </w:r>
      <w:r>
        <w:rPr/>
        <w:t>of commencement delays for China’s overseas infrastructure projects that are subject to ESG safeguards with varying levels of stringency. Figure A59 provides evidence that China’s overseas infrastructure projects encounter slightly shorter commencement delays when they are undertaken with strong ESG safeguards (47 days shorter, on average, than</w:t>
      </w:r>
      <w:r>
        <w:rPr>
          <w:spacing w:val="-12"/>
        </w:rPr>
        <w:t> </w:t>
      </w:r>
      <w:r>
        <w:rPr/>
        <w:t>China’s</w:t>
      </w:r>
      <w:r>
        <w:rPr>
          <w:spacing w:val="-12"/>
        </w:rPr>
        <w:t> </w:t>
      </w:r>
      <w:r>
        <w:rPr/>
        <w:t>overseas</w:t>
      </w:r>
      <w:r>
        <w:rPr>
          <w:spacing w:val="-12"/>
        </w:rPr>
        <w:t> </w:t>
      </w:r>
      <w:r>
        <w:rPr/>
        <w:t>infrastructure</w:t>
      </w:r>
      <w:r>
        <w:rPr>
          <w:spacing w:val="-12"/>
        </w:rPr>
        <w:t> </w:t>
      </w:r>
      <w:r>
        <w:rPr/>
        <w:t>projects</w:t>
      </w:r>
      <w:r>
        <w:rPr>
          <w:spacing w:val="-12"/>
        </w:rPr>
        <w:t> </w:t>
      </w:r>
      <w:r>
        <w:rPr/>
        <w:t>without</w:t>
      </w:r>
      <w:r>
        <w:rPr>
          <w:spacing w:val="-12"/>
        </w:rPr>
        <w:t> </w:t>
      </w:r>
      <w:r>
        <w:rPr/>
        <w:t>strong</w:t>
      </w:r>
      <w:r>
        <w:rPr>
          <w:spacing w:val="-12"/>
        </w:rPr>
        <w:t> </w:t>
      </w:r>
      <w:r>
        <w:rPr/>
        <w:t>safeguards).</w:t>
      </w:r>
      <w:r>
        <w:rPr>
          <w:spacing w:val="-12"/>
        </w:rPr>
        <w:t> </w:t>
      </w:r>
      <w:r>
        <w:rPr/>
        <w:t>The</w:t>
      </w:r>
      <w:r>
        <w:rPr>
          <w:spacing w:val="-12"/>
        </w:rPr>
        <w:t> </w:t>
      </w:r>
      <w:r>
        <w:rPr/>
        <w:t>fact that infrastructure projects with strong ESG safeguards take slightly </w:t>
      </w:r>
      <w:r>
        <w:rPr>
          <w:i/>
        </w:rPr>
        <w:t>less </w:t>
      </w:r>
      <w:r>
        <w:rPr/>
        <w:t>time to launch than those without such protections is consistent with the old adage that “an ounce of prevention is worth a pound of cure.” It also implies that Beijing</w:t>
      </w:r>
      <w:r>
        <w:rPr>
          <w:spacing w:val="40"/>
        </w:rPr>
        <w:t> </w:t>
      </w:r>
      <w:r>
        <w:rPr/>
        <w:t>may be able to implement strong ESG safeguards without losing its competitive edge. As a general rule, MDB-ﬁnanced infrastructure projects with strong ESG safeguards face </w:t>
      </w:r>
      <w:r>
        <w:rPr>
          <w:i/>
        </w:rPr>
        <w:t>substantially longer </w:t>
      </w:r>
      <w:r>
        <w:rPr/>
        <w:t>commencement delays. Charles Kenny of the Center for Global Development estimates that ‘‘Category A’’ World Bank projects—environmentally and socially sensitive projects subjected to the organization’s most stringent safeguards—take 7.4 years (2,689 days), on average, to move from the proposal stage to the disbursement (project commencement) stage.</w:t>
      </w:r>
      <w:r>
        <w:rPr>
          <w:vertAlign w:val="superscript"/>
        </w:rPr>
        <w:t>292</w:t>
      </w:r>
    </w:p>
    <w:p>
      <w:pPr>
        <w:pStyle w:val="BodyText"/>
        <w:spacing w:before="3"/>
        <w:rPr>
          <w:sz w:val="27"/>
        </w:rPr>
      </w:pPr>
    </w:p>
    <w:p>
      <w:pPr>
        <w:pStyle w:val="BodyText"/>
        <w:spacing w:line="333" w:lineRule="auto"/>
        <w:ind w:left="560" w:right="589"/>
      </w:pPr>
      <w:r>
        <w:rPr/>
        <w:t>The</w:t>
      </w:r>
      <w:r>
        <w:rPr>
          <w:spacing w:val="26"/>
        </w:rPr>
        <w:t> </w:t>
      </w:r>
      <w:r>
        <w:rPr/>
        <w:t>principle</w:t>
      </w:r>
      <w:r>
        <w:rPr>
          <w:spacing w:val="26"/>
        </w:rPr>
        <w:t> </w:t>
      </w:r>
      <w:r>
        <w:rPr/>
        <w:t>of</w:t>
      </w:r>
      <w:r>
        <w:rPr>
          <w:spacing w:val="26"/>
        </w:rPr>
        <w:t> </w:t>
      </w:r>
      <w:r>
        <w:rPr/>
        <w:t>“an</w:t>
      </w:r>
      <w:r>
        <w:rPr>
          <w:spacing w:val="26"/>
        </w:rPr>
        <w:t> </w:t>
      </w:r>
      <w:r>
        <w:rPr/>
        <w:t>ounce</w:t>
      </w:r>
      <w:r>
        <w:rPr>
          <w:spacing w:val="26"/>
        </w:rPr>
        <w:t> </w:t>
      </w:r>
      <w:r>
        <w:rPr/>
        <w:t>of</w:t>
      </w:r>
      <w:r>
        <w:rPr>
          <w:spacing w:val="26"/>
        </w:rPr>
        <w:t> </w:t>
      </w:r>
      <w:r>
        <w:rPr/>
        <w:t>prevention</w:t>
      </w:r>
      <w:r>
        <w:rPr>
          <w:spacing w:val="26"/>
        </w:rPr>
        <w:t> </w:t>
      </w:r>
      <w:r>
        <w:rPr/>
        <w:t>is</w:t>
      </w:r>
      <w:r>
        <w:rPr>
          <w:spacing w:val="26"/>
        </w:rPr>
        <w:t> </w:t>
      </w:r>
      <w:r>
        <w:rPr/>
        <w:t>worth</w:t>
      </w:r>
      <w:r>
        <w:rPr>
          <w:spacing w:val="26"/>
        </w:rPr>
        <w:t> </w:t>
      </w:r>
      <w:r>
        <w:rPr/>
        <w:t>a</w:t>
      </w:r>
      <w:r>
        <w:rPr>
          <w:spacing w:val="26"/>
        </w:rPr>
        <w:t> </w:t>
      </w:r>
      <w:r>
        <w:rPr/>
        <w:t>pound</w:t>
      </w:r>
      <w:r>
        <w:rPr>
          <w:spacing w:val="26"/>
        </w:rPr>
        <w:t> </w:t>
      </w:r>
      <w:r>
        <w:rPr/>
        <w:t>of</w:t>
      </w:r>
      <w:r>
        <w:rPr>
          <w:spacing w:val="26"/>
        </w:rPr>
        <w:t> </w:t>
      </w:r>
      <w:r>
        <w:rPr/>
        <w:t>cure”</w:t>
      </w:r>
      <w:r>
        <w:rPr>
          <w:spacing w:val="26"/>
        </w:rPr>
        <w:t> </w:t>
      </w:r>
      <w:r>
        <w:rPr/>
        <w:t>also evidently applies to completion delays in Chinese grant- and loan-ﬁnanced infrastructure projects. Figure A60 provides evidence that China’s overseas infrastructure projects face slightly </w:t>
      </w:r>
      <w:r>
        <w:rPr>
          <w:i/>
        </w:rPr>
        <w:t>shorter </w:t>
      </w:r>
      <w:r>
        <w:rPr/>
        <w:t>completion delays when strong ESG safeguards</w:t>
      </w:r>
      <w:r>
        <w:rPr>
          <w:spacing w:val="-2"/>
        </w:rPr>
        <w:t> </w:t>
      </w:r>
      <w:r>
        <w:rPr/>
        <w:t>are</w:t>
      </w:r>
      <w:r>
        <w:rPr>
          <w:spacing w:val="-2"/>
        </w:rPr>
        <w:t> </w:t>
      </w:r>
      <w:r>
        <w:rPr/>
        <w:t>in</w:t>
      </w:r>
      <w:r>
        <w:rPr>
          <w:spacing w:val="-3"/>
        </w:rPr>
        <w:t> </w:t>
      </w:r>
      <w:r>
        <w:rPr/>
        <w:t>place</w:t>
      </w:r>
      <w:r>
        <w:rPr>
          <w:spacing w:val="-2"/>
        </w:rPr>
        <w:t> </w:t>
      </w:r>
      <w:r>
        <w:rPr/>
        <w:t>(91</w:t>
      </w:r>
      <w:r>
        <w:rPr>
          <w:spacing w:val="-2"/>
        </w:rPr>
        <w:t> </w:t>
      </w:r>
      <w:r>
        <w:rPr/>
        <w:t>days</w:t>
      </w:r>
      <w:r>
        <w:rPr>
          <w:spacing w:val="-3"/>
        </w:rPr>
        <w:t> </w:t>
      </w:r>
      <w:r>
        <w:rPr/>
        <w:t>less,</w:t>
      </w:r>
      <w:r>
        <w:rPr>
          <w:spacing w:val="-2"/>
        </w:rPr>
        <w:t> </w:t>
      </w:r>
      <w:r>
        <w:rPr/>
        <w:t>on</w:t>
      </w:r>
      <w:r>
        <w:rPr>
          <w:spacing w:val="-2"/>
        </w:rPr>
        <w:t> </w:t>
      </w:r>
      <w:r>
        <w:rPr/>
        <w:t>average,</w:t>
      </w:r>
      <w:r>
        <w:rPr>
          <w:spacing w:val="-3"/>
        </w:rPr>
        <w:t> </w:t>
      </w:r>
      <w:r>
        <w:rPr/>
        <w:t>than</w:t>
      </w:r>
      <w:r>
        <w:rPr>
          <w:spacing w:val="-2"/>
        </w:rPr>
        <w:t> </w:t>
      </w:r>
      <w:r>
        <w:rPr/>
        <w:t>China’s</w:t>
      </w:r>
      <w:r>
        <w:rPr>
          <w:spacing w:val="-2"/>
        </w:rPr>
        <w:t> </w:t>
      </w:r>
      <w:r>
        <w:rPr/>
        <w:t>overseas infrastructure</w:t>
      </w:r>
      <w:r>
        <w:rPr>
          <w:spacing w:val="-9"/>
        </w:rPr>
        <w:t> </w:t>
      </w:r>
      <w:r>
        <w:rPr/>
        <w:t>projects</w:t>
      </w:r>
      <w:r>
        <w:rPr>
          <w:spacing w:val="-8"/>
        </w:rPr>
        <w:t> </w:t>
      </w:r>
      <w:r>
        <w:rPr/>
        <w:t>without</w:t>
      </w:r>
      <w:r>
        <w:rPr>
          <w:spacing w:val="-8"/>
        </w:rPr>
        <w:t> </w:t>
      </w:r>
      <w:r>
        <w:rPr/>
        <w:t>strong</w:t>
      </w:r>
      <w:r>
        <w:rPr>
          <w:spacing w:val="-9"/>
        </w:rPr>
        <w:t> </w:t>
      </w:r>
      <w:r>
        <w:rPr/>
        <w:t>ESG</w:t>
      </w:r>
      <w:r>
        <w:rPr>
          <w:spacing w:val="-8"/>
        </w:rPr>
        <w:t> </w:t>
      </w:r>
      <w:r>
        <w:rPr/>
        <w:t>safeguards).</w:t>
      </w:r>
      <w:r>
        <w:rPr>
          <w:vertAlign w:val="superscript"/>
        </w:rPr>
        <w:t>293</w:t>
      </w:r>
      <w:r>
        <w:rPr>
          <w:spacing w:val="-9"/>
          <w:vertAlign w:val="baseline"/>
        </w:rPr>
        <w:t> </w:t>
      </w:r>
      <w:r>
        <w:rPr>
          <w:vertAlign w:val="baseline"/>
        </w:rPr>
        <w:t>A</w:t>
      </w:r>
      <w:r>
        <w:rPr>
          <w:spacing w:val="-9"/>
          <w:vertAlign w:val="baseline"/>
        </w:rPr>
        <w:t> </w:t>
      </w:r>
      <w:r>
        <w:rPr>
          <w:vertAlign w:val="baseline"/>
        </w:rPr>
        <w:t>separate,</w:t>
      </w:r>
      <w:r>
        <w:rPr>
          <w:spacing w:val="-8"/>
          <w:vertAlign w:val="baseline"/>
        </w:rPr>
        <w:t> </w:t>
      </w:r>
      <w:r>
        <w:rPr>
          <w:vertAlign w:val="baseline"/>
        </w:rPr>
        <w:t>but</w:t>
      </w:r>
      <w:r>
        <w:rPr>
          <w:spacing w:val="-8"/>
          <w:vertAlign w:val="baseline"/>
        </w:rPr>
        <w:t> </w:t>
      </w:r>
      <w:r>
        <w:rPr>
          <w:spacing w:val="-2"/>
          <w:vertAlign w:val="baseline"/>
        </w:rPr>
        <w:t>closely</w:t>
      </w:r>
    </w:p>
    <w:p>
      <w:pPr>
        <w:pStyle w:val="BodyText"/>
        <w:spacing w:before="11"/>
        <w:rPr>
          <w:sz w:val="12"/>
        </w:rPr>
      </w:pPr>
      <w:r>
        <w:rPr/>
        <w:pict>
          <v:shape style="position:absolute;margin-left:90pt;margin-top:8.653125pt;width:144pt;height:.1pt;mso-position-horizontal-relative:page;mso-position-vertical-relative:paragraph;z-index:-15697408;mso-wrap-distance-left:0;mso-wrap-distance-right:0" id="docshape53" coordorigin="1800,173" coordsize="2880,0" path="m1800,173l4680,173e" filled="false" stroked="true" strokeweight=".75pt" strokecolor="#000000">
            <v:path arrowok="t"/>
            <v:stroke dashstyle="solid"/>
            <w10:wrap type="topAndBottom"/>
          </v:shape>
        </w:pict>
      </w:r>
    </w:p>
    <w:p>
      <w:pPr>
        <w:spacing w:line="249" w:lineRule="auto" w:before="104"/>
        <w:ind w:left="560" w:right="561" w:firstLine="0"/>
        <w:jc w:val="left"/>
        <w:rPr>
          <w:sz w:val="18"/>
        </w:rPr>
      </w:pPr>
      <w:r>
        <w:rPr>
          <w:sz w:val="18"/>
          <w:vertAlign w:val="superscript"/>
        </w:rPr>
        <w:t>292</w:t>
      </w:r>
      <w:r>
        <w:rPr>
          <w:sz w:val="18"/>
          <w:vertAlign w:val="baseline"/>
        </w:rPr>
        <w:t> The ﬁndings reported in Kenny (2023) are speciﬁc to the 2010-2017 time period. In 2010, a study by </w:t>
      </w:r>
      <w:r>
        <w:rPr>
          <w:sz w:val="18"/>
          <w:vertAlign w:val="baseline"/>
        </w:rPr>
        <w:t>the World Bank’s Independent Evaluation Group (IEG) also revealed that the average cost of safeguards for a </w:t>
      </w:r>
      <w:r>
        <w:rPr>
          <w:w w:val="105"/>
          <w:sz w:val="18"/>
          <w:vertAlign w:val="baseline"/>
        </w:rPr>
        <w:t>Category</w:t>
      </w:r>
      <w:r>
        <w:rPr>
          <w:spacing w:val="-7"/>
          <w:w w:val="105"/>
          <w:sz w:val="18"/>
          <w:vertAlign w:val="baseline"/>
        </w:rPr>
        <w:t> </w:t>
      </w:r>
      <w:r>
        <w:rPr>
          <w:w w:val="105"/>
          <w:sz w:val="18"/>
          <w:vertAlign w:val="baseline"/>
        </w:rPr>
        <w:t>A</w:t>
      </w:r>
      <w:r>
        <w:rPr>
          <w:spacing w:val="-7"/>
          <w:w w:val="105"/>
          <w:sz w:val="18"/>
          <w:vertAlign w:val="baseline"/>
        </w:rPr>
        <w:t> </w:t>
      </w:r>
      <w:r>
        <w:rPr>
          <w:w w:val="105"/>
          <w:sz w:val="18"/>
          <w:vertAlign w:val="baseline"/>
        </w:rPr>
        <w:t>project</w:t>
      </w:r>
      <w:r>
        <w:rPr>
          <w:spacing w:val="-7"/>
          <w:w w:val="105"/>
          <w:sz w:val="18"/>
          <w:vertAlign w:val="baseline"/>
        </w:rPr>
        <w:t> </w:t>
      </w:r>
      <w:r>
        <w:rPr>
          <w:w w:val="105"/>
          <w:sz w:val="18"/>
          <w:vertAlign w:val="baseline"/>
        </w:rPr>
        <w:t>at</w:t>
      </w:r>
      <w:r>
        <w:rPr>
          <w:spacing w:val="-7"/>
          <w:w w:val="105"/>
          <w:sz w:val="18"/>
          <w:vertAlign w:val="baseline"/>
        </w:rPr>
        <w:t> </w:t>
      </w:r>
      <w:r>
        <w:rPr>
          <w:w w:val="105"/>
          <w:sz w:val="18"/>
          <w:vertAlign w:val="baseline"/>
        </w:rPr>
        <w:t>the</w:t>
      </w:r>
      <w:r>
        <w:rPr>
          <w:spacing w:val="-7"/>
          <w:w w:val="105"/>
          <w:sz w:val="18"/>
          <w:vertAlign w:val="baseline"/>
        </w:rPr>
        <w:t> </w:t>
      </w:r>
      <w:r>
        <w:rPr>
          <w:w w:val="105"/>
          <w:sz w:val="18"/>
          <w:vertAlign w:val="baseline"/>
        </w:rPr>
        <w:t>World</w:t>
      </w:r>
      <w:r>
        <w:rPr>
          <w:spacing w:val="-7"/>
          <w:w w:val="105"/>
          <w:sz w:val="18"/>
          <w:vertAlign w:val="baseline"/>
        </w:rPr>
        <w:t> </w:t>
      </w:r>
      <w:r>
        <w:rPr>
          <w:w w:val="105"/>
          <w:sz w:val="18"/>
          <w:vertAlign w:val="baseline"/>
        </w:rPr>
        <w:t>Bank</w:t>
      </w:r>
      <w:r>
        <w:rPr>
          <w:spacing w:val="-7"/>
          <w:w w:val="105"/>
          <w:sz w:val="18"/>
          <w:vertAlign w:val="baseline"/>
        </w:rPr>
        <w:t> </w:t>
      </w:r>
      <w:r>
        <w:rPr>
          <w:w w:val="105"/>
          <w:sz w:val="18"/>
          <w:vertAlign w:val="baseline"/>
        </w:rPr>
        <w:t>is</w:t>
      </w:r>
      <w:r>
        <w:rPr>
          <w:spacing w:val="-7"/>
          <w:w w:val="105"/>
          <w:sz w:val="18"/>
          <w:vertAlign w:val="baseline"/>
        </w:rPr>
        <w:t> </w:t>
      </w:r>
      <w:r>
        <w:rPr>
          <w:w w:val="105"/>
          <w:sz w:val="18"/>
          <w:vertAlign w:val="baseline"/>
        </w:rPr>
        <w:t>$19</w:t>
      </w:r>
      <w:r>
        <w:rPr>
          <w:spacing w:val="-7"/>
          <w:w w:val="105"/>
          <w:sz w:val="18"/>
          <w:vertAlign w:val="baseline"/>
        </w:rPr>
        <w:t> </w:t>
      </w:r>
      <w:r>
        <w:rPr>
          <w:w w:val="105"/>
          <w:sz w:val="18"/>
          <w:vertAlign w:val="baseline"/>
        </w:rPr>
        <w:t>million</w:t>
      </w:r>
      <w:r>
        <w:rPr>
          <w:spacing w:val="-7"/>
          <w:w w:val="105"/>
          <w:sz w:val="18"/>
          <w:vertAlign w:val="baseline"/>
        </w:rPr>
        <w:t> </w:t>
      </w:r>
      <w:r>
        <w:rPr>
          <w:w w:val="105"/>
          <w:sz w:val="18"/>
          <w:vertAlign w:val="baseline"/>
        </w:rPr>
        <w:t>(IEG</w:t>
      </w:r>
      <w:r>
        <w:rPr>
          <w:spacing w:val="-7"/>
          <w:w w:val="105"/>
          <w:sz w:val="18"/>
          <w:vertAlign w:val="baseline"/>
        </w:rPr>
        <w:t> </w:t>
      </w:r>
      <w:r>
        <w:rPr>
          <w:w w:val="105"/>
          <w:sz w:val="18"/>
          <w:vertAlign w:val="baseline"/>
        </w:rPr>
        <w:t>2010).</w:t>
      </w:r>
    </w:p>
    <w:p>
      <w:pPr>
        <w:spacing w:line="249" w:lineRule="auto" w:before="2"/>
        <w:ind w:left="560" w:right="579" w:firstLine="0"/>
        <w:jc w:val="left"/>
        <w:rPr>
          <w:sz w:val="18"/>
        </w:rPr>
      </w:pPr>
      <w:r>
        <w:rPr>
          <w:sz w:val="18"/>
          <w:vertAlign w:val="superscript"/>
        </w:rPr>
        <w:t>293</w:t>
      </w:r>
      <w:r>
        <w:rPr>
          <w:spacing w:val="-3"/>
          <w:sz w:val="18"/>
          <w:vertAlign w:val="baseline"/>
        </w:rPr>
        <w:t> </w:t>
      </w:r>
      <w:r>
        <w:rPr>
          <w:sz w:val="18"/>
          <w:vertAlign w:val="baseline"/>
        </w:rPr>
        <w:t>These</w:t>
      </w:r>
      <w:r>
        <w:rPr>
          <w:spacing w:val="-2"/>
          <w:sz w:val="18"/>
          <w:vertAlign w:val="baseline"/>
        </w:rPr>
        <w:t> </w:t>
      </w:r>
      <w:r>
        <w:rPr>
          <w:sz w:val="18"/>
          <w:vertAlign w:val="baseline"/>
        </w:rPr>
        <w:t>ﬁndings</w:t>
      </w:r>
      <w:r>
        <w:rPr>
          <w:spacing w:val="-2"/>
          <w:sz w:val="18"/>
          <w:vertAlign w:val="baseline"/>
        </w:rPr>
        <w:t> </w:t>
      </w:r>
      <w:r>
        <w:rPr>
          <w:sz w:val="18"/>
          <w:vertAlign w:val="baseline"/>
        </w:rPr>
        <w:t>are</w:t>
      </w:r>
      <w:r>
        <w:rPr>
          <w:spacing w:val="-2"/>
          <w:sz w:val="18"/>
          <w:vertAlign w:val="baseline"/>
        </w:rPr>
        <w:t> </w:t>
      </w:r>
      <w:r>
        <w:rPr>
          <w:sz w:val="18"/>
          <w:vertAlign w:val="baseline"/>
        </w:rPr>
        <w:t>likely</w:t>
      </w:r>
      <w:r>
        <w:rPr>
          <w:spacing w:val="-2"/>
          <w:sz w:val="18"/>
          <w:vertAlign w:val="baseline"/>
        </w:rPr>
        <w:t> </w:t>
      </w:r>
      <w:r>
        <w:rPr>
          <w:sz w:val="18"/>
          <w:vertAlign w:val="baseline"/>
        </w:rPr>
        <w:t>related</w:t>
      </w:r>
      <w:r>
        <w:rPr>
          <w:spacing w:val="-2"/>
          <w:sz w:val="18"/>
          <w:vertAlign w:val="baseline"/>
        </w:rPr>
        <w:t> </w:t>
      </w:r>
      <w:r>
        <w:rPr>
          <w:sz w:val="18"/>
          <w:vertAlign w:val="baseline"/>
        </w:rPr>
        <w:t>to</w:t>
      </w:r>
      <w:r>
        <w:rPr>
          <w:spacing w:val="-2"/>
          <w:sz w:val="18"/>
          <w:vertAlign w:val="baseline"/>
        </w:rPr>
        <w:t> </w:t>
      </w:r>
      <w:r>
        <w:rPr>
          <w:sz w:val="18"/>
          <w:vertAlign w:val="baseline"/>
        </w:rPr>
        <w:t>the</w:t>
      </w:r>
      <w:r>
        <w:rPr>
          <w:spacing w:val="-2"/>
          <w:sz w:val="18"/>
          <w:vertAlign w:val="baseline"/>
        </w:rPr>
        <w:t> </w:t>
      </w:r>
      <w:r>
        <w:rPr>
          <w:sz w:val="18"/>
          <w:vertAlign w:val="baseline"/>
        </w:rPr>
        <w:t>ﬁndings</w:t>
      </w:r>
      <w:r>
        <w:rPr>
          <w:spacing w:val="-2"/>
          <w:sz w:val="18"/>
          <w:vertAlign w:val="baseline"/>
        </w:rPr>
        <w:t> </w:t>
      </w:r>
      <w:r>
        <w:rPr>
          <w:sz w:val="18"/>
          <w:vertAlign w:val="baseline"/>
        </w:rPr>
        <w:t>on</w:t>
      </w:r>
      <w:r>
        <w:rPr>
          <w:spacing w:val="-2"/>
          <w:sz w:val="18"/>
          <w:vertAlign w:val="baseline"/>
        </w:rPr>
        <w:t> </w:t>
      </w:r>
      <w:r>
        <w:rPr>
          <w:sz w:val="18"/>
          <w:vertAlign w:val="baseline"/>
        </w:rPr>
        <w:t>commencement</w:t>
      </w:r>
      <w:r>
        <w:rPr>
          <w:spacing w:val="-2"/>
          <w:sz w:val="18"/>
          <w:vertAlign w:val="baseline"/>
        </w:rPr>
        <w:t> </w:t>
      </w:r>
      <w:r>
        <w:rPr>
          <w:sz w:val="18"/>
          <w:vertAlign w:val="baseline"/>
        </w:rPr>
        <w:t>delays.</w:t>
      </w:r>
      <w:r>
        <w:rPr>
          <w:spacing w:val="-2"/>
          <w:sz w:val="18"/>
          <w:vertAlign w:val="baseline"/>
        </w:rPr>
        <w:t> </w:t>
      </w:r>
      <w:r>
        <w:rPr>
          <w:sz w:val="18"/>
          <w:vertAlign w:val="baseline"/>
        </w:rPr>
        <w:t>ESG</w:t>
      </w:r>
      <w:r>
        <w:rPr>
          <w:spacing w:val="-2"/>
          <w:sz w:val="18"/>
          <w:vertAlign w:val="baseline"/>
        </w:rPr>
        <w:t> </w:t>
      </w:r>
      <w:r>
        <w:rPr>
          <w:sz w:val="18"/>
          <w:vertAlign w:val="baseline"/>
        </w:rPr>
        <w:t>safeguards</w:t>
      </w:r>
      <w:r>
        <w:rPr>
          <w:spacing w:val="-2"/>
          <w:sz w:val="18"/>
          <w:vertAlign w:val="baseline"/>
        </w:rPr>
        <w:t> </w:t>
      </w:r>
      <w:r>
        <w:rPr>
          <w:sz w:val="18"/>
          <w:vertAlign w:val="baseline"/>
        </w:rPr>
        <w:t>often</w:t>
      </w:r>
      <w:r>
        <w:rPr>
          <w:spacing w:val="-2"/>
          <w:sz w:val="18"/>
          <w:vertAlign w:val="baseline"/>
        </w:rPr>
        <w:t> </w:t>
      </w:r>
      <w:r>
        <w:rPr>
          <w:sz w:val="18"/>
          <w:vertAlign w:val="baseline"/>
        </w:rPr>
        <w:t>require that contractors and their host country counterparts take a series of time-consuming actions—such as conducting environmental impact assessments (EIAs) and preparing resettlement action plans</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54"/>
      </w:pPr>
      <w:r>
        <w:rPr/>
        <w:t>related,</w:t>
      </w:r>
      <w:r>
        <w:rPr>
          <w:spacing w:val="-1"/>
        </w:rPr>
        <w:t> </w:t>
      </w:r>
      <w:r>
        <w:rPr/>
        <w:t>insight</w:t>
      </w:r>
      <w:r>
        <w:rPr>
          <w:spacing w:val="-1"/>
        </w:rPr>
        <w:t> </w:t>
      </w:r>
      <w:r>
        <w:rPr/>
        <w:t>from</w:t>
      </w:r>
      <w:r>
        <w:rPr>
          <w:spacing w:val="-1"/>
        </w:rPr>
        <w:t> </w:t>
      </w:r>
      <w:r>
        <w:rPr/>
        <w:t>the</w:t>
      </w:r>
      <w:r>
        <w:rPr>
          <w:spacing w:val="-1"/>
        </w:rPr>
        <w:t> </w:t>
      </w:r>
      <w:r>
        <w:rPr/>
        <w:t>3.0</w:t>
      </w:r>
      <w:r>
        <w:rPr>
          <w:spacing w:val="-1"/>
        </w:rPr>
        <w:t> </w:t>
      </w:r>
      <w:r>
        <w:rPr/>
        <w:t>version</w:t>
      </w:r>
      <w:r>
        <w:rPr>
          <w:spacing w:val="-1"/>
        </w:rPr>
        <w:t> </w:t>
      </w:r>
      <w:r>
        <w:rPr/>
        <w:t>of</w:t>
      </w:r>
      <w:r>
        <w:rPr>
          <w:spacing w:val="-1"/>
        </w:rPr>
        <w:t> </w:t>
      </w:r>
      <w:r>
        <w:rPr/>
        <w:t>AidData’s</w:t>
      </w:r>
      <w:r>
        <w:rPr>
          <w:spacing w:val="-1"/>
        </w:rPr>
        <w:t> </w:t>
      </w:r>
      <w:r>
        <w:rPr/>
        <w:t>GCDF</w:t>
      </w:r>
      <w:r>
        <w:rPr>
          <w:spacing w:val="-1"/>
        </w:rPr>
        <w:t> </w:t>
      </w:r>
      <w:r>
        <w:rPr/>
        <w:t>dataset</w:t>
      </w:r>
      <w:r>
        <w:rPr>
          <w:spacing w:val="-1"/>
        </w:rPr>
        <w:t> </w:t>
      </w:r>
      <w:r>
        <w:rPr/>
        <w:t>is</w:t>
      </w:r>
      <w:r>
        <w:rPr>
          <w:spacing w:val="-1"/>
        </w:rPr>
        <w:t> </w:t>
      </w:r>
      <w:r>
        <w:rPr/>
        <w:t>that</w:t>
      </w:r>
      <w:r>
        <w:rPr>
          <w:spacing w:val="-1"/>
        </w:rPr>
        <w:t> </w:t>
      </w:r>
      <w:r>
        <w:rPr/>
        <w:t>it</w:t>
      </w:r>
      <w:r>
        <w:rPr>
          <w:spacing w:val="-1"/>
        </w:rPr>
        <w:t> </w:t>
      </w:r>
      <w:r>
        <w:rPr/>
        <w:t>takes</w:t>
      </w:r>
      <w:r>
        <w:rPr>
          <w:spacing w:val="-1"/>
        </w:rPr>
        <w:t> </w:t>
      </w:r>
      <w:r>
        <w:rPr/>
        <w:t>an average of 3.2 years (1,163 days) to complete an infrastructure project without strong ESG safeguards, and it takes 8 fewer days (1,155 days) to complete an infrastructure project with strong ESG safeguards (see Figure A61).</w:t>
      </w:r>
      <w:r>
        <w:rPr>
          <w:vertAlign w:val="superscript"/>
        </w:rPr>
        <w:t>294</w:t>
      </w:r>
      <w:r>
        <w:rPr>
          <w:vertAlign w:val="baseline"/>
        </w:rPr>
        <w:t> These ﬁndings do not suggest that China’s reputation for speed is in jeopardy.</w:t>
      </w:r>
    </w:p>
    <w:p>
      <w:pPr>
        <w:pStyle w:val="BodyText"/>
        <w:spacing w:before="6"/>
        <w:rPr>
          <w:sz w:val="27"/>
        </w:rPr>
      </w:pPr>
    </w:p>
    <w:p>
      <w:pPr>
        <w:pStyle w:val="BodyText"/>
        <w:spacing w:line="333" w:lineRule="auto" w:before="1"/>
        <w:ind w:left="560" w:right="550"/>
      </w:pPr>
      <w:r>
        <w:rPr>
          <w:w w:val="105"/>
        </w:rPr>
        <w:t>What</w:t>
      </w:r>
      <w:r>
        <w:rPr>
          <w:spacing w:val="-2"/>
          <w:w w:val="105"/>
        </w:rPr>
        <w:t> </w:t>
      </w:r>
      <w:r>
        <w:rPr>
          <w:w w:val="105"/>
        </w:rPr>
        <w:t>then</w:t>
      </w:r>
      <w:r>
        <w:rPr>
          <w:spacing w:val="-2"/>
          <w:w w:val="105"/>
        </w:rPr>
        <w:t> </w:t>
      </w:r>
      <w:r>
        <w:rPr>
          <w:w w:val="105"/>
        </w:rPr>
        <w:t>can</w:t>
      </w:r>
      <w:r>
        <w:rPr>
          <w:spacing w:val="-2"/>
          <w:w w:val="105"/>
        </w:rPr>
        <w:t> </w:t>
      </w:r>
      <w:r>
        <w:rPr>
          <w:w w:val="105"/>
        </w:rPr>
        <w:t>we</w:t>
      </w:r>
      <w:r>
        <w:rPr>
          <w:spacing w:val="-2"/>
          <w:w w:val="105"/>
        </w:rPr>
        <w:t> </w:t>
      </w:r>
      <w:r>
        <w:rPr>
          <w:w w:val="105"/>
        </w:rPr>
        <w:t>conclude</w:t>
      </w:r>
      <w:r>
        <w:rPr>
          <w:spacing w:val="-2"/>
          <w:w w:val="105"/>
        </w:rPr>
        <w:t> </w:t>
      </w:r>
      <w:r>
        <w:rPr>
          <w:w w:val="105"/>
        </w:rPr>
        <w:t>about</w:t>
      </w:r>
      <w:r>
        <w:rPr>
          <w:spacing w:val="-2"/>
          <w:w w:val="105"/>
        </w:rPr>
        <w:t> </w:t>
      </w:r>
      <w:r>
        <w:rPr>
          <w:w w:val="105"/>
        </w:rPr>
        <w:t>the</w:t>
      </w:r>
      <w:r>
        <w:rPr>
          <w:spacing w:val="-2"/>
          <w:w w:val="105"/>
        </w:rPr>
        <w:t> </w:t>
      </w:r>
      <w:r>
        <w:rPr>
          <w:w w:val="105"/>
        </w:rPr>
        <w:t>“speed</w:t>
      </w:r>
      <w:r>
        <w:rPr>
          <w:spacing w:val="-2"/>
          <w:w w:val="105"/>
        </w:rPr>
        <w:t> </w:t>
      </w:r>
      <w:r>
        <w:rPr>
          <w:w w:val="105"/>
        </w:rPr>
        <w:t>of</w:t>
      </w:r>
      <w:r>
        <w:rPr>
          <w:spacing w:val="-2"/>
          <w:w w:val="105"/>
        </w:rPr>
        <w:t> </w:t>
      </w:r>
      <w:r>
        <w:rPr>
          <w:w w:val="105"/>
        </w:rPr>
        <w:t>implementation”</w:t>
      </w:r>
      <w:r>
        <w:rPr>
          <w:spacing w:val="-2"/>
          <w:w w:val="105"/>
        </w:rPr>
        <w:t> </w:t>
      </w:r>
      <w:r>
        <w:rPr>
          <w:w w:val="105"/>
        </w:rPr>
        <w:t>differences </w:t>
      </w:r>
      <w:r>
        <w:rPr/>
        <w:t>between infrastructure projects with and without strong ESG safeguards? The </w:t>
      </w:r>
      <w:r>
        <w:rPr>
          <w:w w:val="105"/>
        </w:rPr>
        <w:t>most</w:t>
      </w:r>
      <w:r>
        <w:rPr>
          <w:spacing w:val="-9"/>
          <w:w w:val="105"/>
        </w:rPr>
        <w:t> </w:t>
      </w:r>
      <w:r>
        <w:rPr>
          <w:w w:val="105"/>
        </w:rPr>
        <w:t>important</w:t>
      </w:r>
      <w:r>
        <w:rPr>
          <w:spacing w:val="-9"/>
          <w:w w:val="105"/>
        </w:rPr>
        <w:t> </w:t>
      </w:r>
      <w:r>
        <w:rPr>
          <w:w w:val="105"/>
        </w:rPr>
        <w:t>point</w:t>
      </w:r>
      <w:r>
        <w:rPr>
          <w:spacing w:val="-9"/>
          <w:w w:val="105"/>
        </w:rPr>
        <w:t> </w:t>
      </w:r>
      <w:r>
        <w:rPr>
          <w:w w:val="105"/>
        </w:rPr>
        <w:t>is</w:t>
      </w:r>
      <w:r>
        <w:rPr>
          <w:spacing w:val="-9"/>
          <w:w w:val="105"/>
        </w:rPr>
        <w:t> </w:t>
      </w:r>
      <w:r>
        <w:rPr>
          <w:w w:val="105"/>
        </w:rPr>
        <w:t>that</w:t>
      </w:r>
      <w:r>
        <w:rPr>
          <w:spacing w:val="-9"/>
          <w:w w:val="105"/>
        </w:rPr>
        <w:t> </w:t>
      </w:r>
      <w:r>
        <w:rPr>
          <w:w w:val="105"/>
        </w:rPr>
        <w:t>they</w:t>
      </w:r>
      <w:r>
        <w:rPr>
          <w:spacing w:val="-9"/>
          <w:w w:val="105"/>
        </w:rPr>
        <w:t> </w:t>
      </w:r>
      <w:r>
        <w:rPr>
          <w:w w:val="105"/>
        </w:rPr>
        <w:t>are</w:t>
      </w:r>
      <w:r>
        <w:rPr>
          <w:spacing w:val="-9"/>
          <w:w w:val="105"/>
        </w:rPr>
        <w:t> </w:t>
      </w:r>
      <w:r>
        <w:rPr>
          <w:w w:val="105"/>
        </w:rPr>
        <w:t>not</w:t>
      </w:r>
      <w:r>
        <w:rPr>
          <w:spacing w:val="-9"/>
          <w:w w:val="105"/>
        </w:rPr>
        <w:t> </w:t>
      </w:r>
      <w:r>
        <w:rPr>
          <w:w w:val="105"/>
        </w:rPr>
        <w:t>large,</w:t>
      </w:r>
      <w:r>
        <w:rPr>
          <w:spacing w:val="-9"/>
          <w:w w:val="105"/>
        </w:rPr>
        <w:t> </w:t>
      </w:r>
      <w:r>
        <w:rPr>
          <w:w w:val="105"/>
        </w:rPr>
        <w:t>which</w:t>
      </w:r>
      <w:r>
        <w:rPr>
          <w:spacing w:val="-9"/>
          <w:w w:val="105"/>
        </w:rPr>
        <w:t> </w:t>
      </w:r>
      <w:r>
        <w:rPr>
          <w:w w:val="105"/>
        </w:rPr>
        <w:t>means</w:t>
      </w:r>
      <w:r>
        <w:rPr>
          <w:spacing w:val="-9"/>
          <w:w w:val="105"/>
        </w:rPr>
        <w:t> </w:t>
      </w:r>
      <w:r>
        <w:rPr>
          <w:w w:val="105"/>
        </w:rPr>
        <w:t>that</w:t>
      </w:r>
      <w:r>
        <w:rPr>
          <w:spacing w:val="-9"/>
          <w:w w:val="105"/>
        </w:rPr>
        <w:t> </w:t>
      </w:r>
      <w:r>
        <w:rPr>
          <w:w w:val="105"/>
        </w:rPr>
        <w:t>there</w:t>
      </w:r>
      <w:r>
        <w:rPr>
          <w:spacing w:val="-9"/>
          <w:w w:val="105"/>
        </w:rPr>
        <w:t> </w:t>
      </w:r>
      <w:r>
        <w:rPr>
          <w:w w:val="105"/>
        </w:rPr>
        <w:t>is</w:t>
      </w:r>
      <w:r>
        <w:rPr>
          <w:spacing w:val="-9"/>
          <w:w w:val="105"/>
        </w:rPr>
        <w:t> </w:t>
      </w:r>
      <w:r>
        <w:rPr>
          <w:w w:val="105"/>
        </w:rPr>
        <w:t>not much</w:t>
      </w:r>
      <w:r>
        <w:rPr>
          <w:spacing w:val="-18"/>
          <w:w w:val="105"/>
        </w:rPr>
        <w:t> </w:t>
      </w:r>
      <w:r>
        <w:rPr>
          <w:w w:val="105"/>
        </w:rPr>
        <w:t>evidence</w:t>
      </w:r>
      <w:r>
        <w:rPr>
          <w:spacing w:val="-17"/>
          <w:w w:val="105"/>
        </w:rPr>
        <w:t> </w:t>
      </w:r>
      <w:r>
        <w:rPr>
          <w:w w:val="105"/>
        </w:rPr>
        <w:t>to</w:t>
      </w:r>
      <w:r>
        <w:rPr>
          <w:spacing w:val="-18"/>
          <w:w w:val="105"/>
        </w:rPr>
        <w:t> </w:t>
      </w:r>
      <w:r>
        <w:rPr>
          <w:w w:val="105"/>
        </w:rPr>
        <w:t>support</w:t>
      </w:r>
      <w:r>
        <w:rPr>
          <w:spacing w:val="-18"/>
          <w:w w:val="105"/>
        </w:rPr>
        <w:t> </w:t>
      </w:r>
      <w:r>
        <w:rPr>
          <w:w w:val="105"/>
        </w:rPr>
        <w:t>the</w:t>
      </w:r>
      <w:r>
        <w:rPr>
          <w:spacing w:val="-17"/>
          <w:w w:val="105"/>
        </w:rPr>
        <w:t> </w:t>
      </w:r>
      <w:r>
        <w:rPr>
          <w:w w:val="105"/>
        </w:rPr>
        <w:t>idea</w:t>
      </w:r>
      <w:r>
        <w:rPr>
          <w:spacing w:val="-18"/>
          <w:w w:val="105"/>
        </w:rPr>
        <w:t> </w:t>
      </w:r>
      <w:r>
        <w:rPr>
          <w:w w:val="105"/>
        </w:rPr>
        <w:t>that</w:t>
      </w:r>
      <w:r>
        <w:rPr>
          <w:spacing w:val="-17"/>
          <w:w w:val="105"/>
        </w:rPr>
        <w:t> </w:t>
      </w:r>
      <w:r>
        <w:rPr>
          <w:w w:val="105"/>
        </w:rPr>
        <w:t>ESG</w:t>
      </w:r>
      <w:r>
        <w:rPr>
          <w:spacing w:val="-18"/>
          <w:w w:val="105"/>
        </w:rPr>
        <w:t> </w:t>
      </w:r>
      <w:r>
        <w:rPr>
          <w:w w:val="105"/>
        </w:rPr>
        <w:t>safeguards</w:t>
      </w:r>
      <w:r>
        <w:rPr>
          <w:spacing w:val="-17"/>
          <w:w w:val="105"/>
        </w:rPr>
        <w:t> </w:t>
      </w:r>
      <w:r>
        <w:rPr>
          <w:w w:val="105"/>
        </w:rPr>
        <w:t>impose</w:t>
      </w:r>
      <w:r>
        <w:rPr>
          <w:spacing w:val="-18"/>
          <w:w w:val="105"/>
        </w:rPr>
        <w:t> </w:t>
      </w:r>
      <w:r>
        <w:rPr>
          <w:w w:val="105"/>
        </w:rPr>
        <w:t>a</w:t>
      </w:r>
      <w:r>
        <w:rPr>
          <w:spacing w:val="-17"/>
          <w:w w:val="105"/>
        </w:rPr>
        <w:t> </w:t>
      </w:r>
      <w:r>
        <w:rPr>
          <w:w w:val="105"/>
        </w:rPr>
        <w:t>signiﬁcant project</w:t>
      </w:r>
      <w:r>
        <w:rPr>
          <w:spacing w:val="-18"/>
          <w:w w:val="105"/>
        </w:rPr>
        <w:t> </w:t>
      </w:r>
      <w:r>
        <w:rPr>
          <w:w w:val="105"/>
        </w:rPr>
        <w:t>performance</w:t>
      </w:r>
      <w:r>
        <w:rPr>
          <w:spacing w:val="-17"/>
          <w:w w:val="105"/>
        </w:rPr>
        <w:t> </w:t>
      </w:r>
      <w:r>
        <w:rPr>
          <w:w w:val="105"/>
        </w:rPr>
        <w:t>penalty.</w:t>
      </w:r>
      <w:r>
        <w:rPr>
          <w:spacing w:val="-18"/>
          <w:w w:val="105"/>
        </w:rPr>
        <w:t> </w:t>
      </w:r>
      <w:r>
        <w:rPr>
          <w:w w:val="105"/>
        </w:rPr>
        <w:t>The</w:t>
      </w:r>
      <w:r>
        <w:rPr>
          <w:spacing w:val="-18"/>
          <w:w w:val="105"/>
        </w:rPr>
        <w:t> </w:t>
      </w:r>
      <w:r>
        <w:rPr>
          <w:w w:val="105"/>
        </w:rPr>
        <w:t>conventional</w:t>
      </w:r>
      <w:r>
        <w:rPr>
          <w:spacing w:val="-17"/>
          <w:w w:val="105"/>
        </w:rPr>
        <w:t> </w:t>
      </w:r>
      <w:r>
        <w:rPr>
          <w:w w:val="105"/>
        </w:rPr>
        <w:t>wisdom</w:t>
      </w:r>
      <w:r>
        <w:rPr>
          <w:spacing w:val="-18"/>
          <w:w w:val="105"/>
        </w:rPr>
        <w:t> </w:t>
      </w:r>
      <w:r>
        <w:rPr>
          <w:w w:val="105"/>
        </w:rPr>
        <w:t>is</w:t>
      </w:r>
      <w:r>
        <w:rPr>
          <w:spacing w:val="-17"/>
          <w:w w:val="105"/>
        </w:rPr>
        <w:t> </w:t>
      </w:r>
      <w:r>
        <w:rPr>
          <w:w w:val="105"/>
        </w:rPr>
        <w:t>that</w:t>
      </w:r>
      <w:r>
        <w:rPr>
          <w:spacing w:val="-18"/>
          <w:w w:val="105"/>
        </w:rPr>
        <w:t> </w:t>
      </w:r>
      <w:r>
        <w:rPr>
          <w:w w:val="105"/>
        </w:rPr>
        <w:t>ESG</w:t>
      </w:r>
      <w:r>
        <w:rPr>
          <w:spacing w:val="-17"/>
          <w:w w:val="105"/>
        </w:rPr>
        <w:t> </w:t>
      </w:r>
      <w:r>
        <w:rPr>
          <w:w w:val="105"/>
        </w:rPr>
        <w:t>risk </w:t>
      </w:r>
      <w:r>
        <w:rPr/>
        <w:t>mitigation measures substantially impede infrastructure project implementation, </w:t>
      </w:r>
      <w:r>
        <w:rPr>
          <w:w w:val="105"/>
        </w:rPr>
        <w:t>thereby</w:t>
      </w:r>
      <w:r>
        <w:rPr>
          <w:spacing w:val="-10"/>
          <w:w w:val="105"/>
        </w:rPr>
        <w:t> </w:t>
      </w:r>
      <w:r>
        <w:rPr>
          <w:w w:val="105"/>
        </w:rPr>
        <w:t>undermining</w:t>
      </w:r>
      <w:r>
        <w:rPr>
          <w:spacing w:val="-10"/>
          <w:w w:val="105"/>
        </w:rPr>
        <w:t> </w:t>
      </w:r>
      <w:r>
        <w:rPr>
          <w:w w:val="105"/>
        </w:rPr>
        <w:t>a</w:t>
      </w:r>
      <w:r>
        <w:rPr>
          <w:spacing w:val="-10"/>
          <w:w w:val="105"/>
        </w:rPr>
        <w:t> </w:t>
      </w:r>
      <w:r>
        <w:rPr>
          <w:w w:val="105"/>
        </w:rPr>
        <w:t>key</w:t>
      </w:r>
      <w:r>
        <w:rPr>
          <w:spacing w:val="-10"/>
          <w:w w:val="105"/>
        </w:rPr>
        <w:t> </w:t>
      </w:r>
      <w:r>
        <w:rPr>
          <w:w w:val="105"/>
        </w:rPr>
        <w:t>component</w:t>
      </w:r>
      <w:r>
        <w:rPr>
          <w:spacing w:val="-10"/>
          <w:w w:val="105"/>
        </w:rPr>
        <w:t> </w:t>
      </w:r>
      <w:r>
        <w:rPr>
          <w:w w:val="105"/>
        </w:rPr>
        <w:t>of</w:t>
      </w:r>
      <w:r>
        <w:rPr>
          <w:spacing w:val="-10"/>
          <w:w w:val="105"/>
        </w:rPr>
        <w:t> </w:t>
      </w:r>
      <w:r>
        <w:rPr>
          <w:w w:val="105"/>
        </w:rPr>
        <w:t>the</w:t>
      </w:r>
      <w:r>
        <w:rPr>
          <w:spacing w:val="-10"/>
          <w:w w:val="105"/>
        </w:rPr>
        <w:t> </w:t>
      </w:r>
      <w:r>
        <w:rPr>
          <w:w w:val="105"/>
        </w:rPr>
        <w:t>value</w:t>
      </w:r>
      <w:r>
        <w:rPr>
          <w:spacing w:val="-10"/>
          <w:w w:val="105"/>
        </w:rPr>
        <w:t> </w:t>
      </w:r>
      <w:r>
        <w:rPr>
          <w:w w:val="105"/>
        </w:rPr>
        <w:t>proposition</w:t>
      </w:r>
      <w:r>
        <w:rPr>
          <w:spacing w:val="-10"/>
          <w:w w:val="105"/>
        </w:rPr>
        <w:t> </w:t>
      </w:r>
      <w:r>
        <w:rPr>
          <w:w w:val="105"/>
        </w:rPr>
        <w:t>(speed)</w:t>
      </w:r>
      <w:r>
        <w:rPr>
          <w:spacing w:val="-10"/>
          <w:w w:val="105"/>
        </w:rPr>
        <w:t> </w:t>
      </w:r>
      <w:r>
        <w:rPr>
          <w:w w:val="105"/>
        </w:rPr>
        <w:t>that China</w:t>
      </w:r>
      <w:r>
        <w:rPr>
          <w:spacing w:val="-9"/>
          <w:w w:val="105"/>
        </w:rPr>
        <w:t> </w:t>
      </w:r>
      <w:r>
        <w:rPr>
          <w:w w:val="105"/>
        </w:rPr>
        <w:t>has</w:t>
      </w:r>
      <w:r>
        <w:rPr>
          <w:spacing w:val="-9"/>
          <w:w w:val="105"/>
        </w:rPr>
        <w:t> </w:t>
      </w:r>
      <w:r>
        <w:rPr>
          <w:w w:val="105"/>
        </w:rPr>
        <w:t>traditionally</w:t>
      </w:r>
      <w:r>
        <w:rPr>
          <w:spacing w:val="-9"/>
          <w:w w:val="105"/>
        </w:rPr>
        <w:t> </w:t>
      </w:r>
      <w:r>
        <w:rPr>
          <w:w w:val="105"/>
        </w:rPr>
        <w:t>used</w:t>
      </w:r>
      <w:r>
        <w:rPr>
          <w:spacing w:val="-9"/>
          <w:w w:val="105"/>
        </w:rPr>
        <w:t> </w:t>
      </w:r>
      <w:r>
        <w:rPr>
          <w:w w:val="105"/>
        </w:rPr>
        <w:t>to</w:t>
      </w:r>
      <w:r>
        <w:rPr>
          <w:spacing w:val="-9"/>
          <w:w w:val="105"/>
        </w:rPr>
        <w:t> </w:t>
      </w:r>
      <w:r>
        <w:rPr>
          <w:w w:val="105"/>
        </w:rPr>
        <w:t>differentiate</w:t>
      </w:r>
      <w:r>
        <w:rPr>
          <w:spacing w:val="-9"/>
          <w:w w:val="105"/>
        </w:rPr>
        <w:t> </w:t>
      </w:r>
      <w:r>
        <w:rPr>
          <w:w w:val="105"/>
        </w:rPr>
        <w:t>itself</w:t>
      </w:r>
      <w:r>
        <w:rPr>
          <w:spacing w:val="-9"/>
          <w:w w:val="105"/>
        </w:rPr>
        <w:t> </w:t>
      </w:r>
      <w:r>
        <w:rPr>
          <w:w w:val="105"/>
        </w:rPr>
        <w:t>from</w:t>
      </w:r>
      <w:r>
        <w:rPr>
          <w:spacing w:val="-9"/>
          <w:w w:val="105"/>
        </w:rPr>
        <w:t> </w:t>
      </w:r>
      <w:r>
        <w:rPr>
          <w:w w:val="105"/>
        </w:rPr>
        <w:t>its</w:t>
      </w:r>
      <w:r>
        <w:rPr>
          <w:spacing w:val="-9"/>
          <w:w w:val="105"/>
        </w:rPr>
        <w:t> </w:t>
      </w:r>
      <w:r>
        <w:rPr>
          <w:w w:val="105"/>
        </w:rPr>
        <w:t>competitors</w:t>
      </w:r>
      <w:r>
        <w:rPr>
          <w:spacing w:val="-9"/>
          <w:w w:val="105"/>
        </w:rPr>
        <w:t> </w:t>
      </w:r>
      <w:r>
        <w:rPr>
          <w:w w:val="105"/>
        </w:rPr>
        <w:t>in</w:t>
      </w:r>
      <w:r>
        <w:rPr>
          <w:spacing w:val="-9"/>
          <w:w w:val="105"/>
        </w:rPr>
        <w:t> </w:t>
      </w:r>
      <w:r>
        <w:rPr>
          <w:w w:val="105"/>
        </w:rPr>
        <w:t>the </w:t>
      </w:r>
      <w:r>
        <w:rPr/>
        <w:t>global infrastructure ﬁnancing market (Swedlund 2017; Parks 2019; Humphrey </w:t>
      </w:r>
      <w:r>
        <w:rPr>
          <w:w w:val="105"/>
        </w:rPr>
        <w:t>and</w:t>
      </w:r>
      <w:r>
        <w:rPr>
          <w:spacing w:val="-17"/>
          <w:w w:val="105"/>
        </w:rPr>
        <w:t> </w:t>
      </w:r>
      <w:r>
        <w:rPr>
          <w:w w:val="105"/>
        </w:rPr>
        <w:t>Michaelowa</w:t>
      </w:r>
      <w:r>
        <w:rPr>
          <w:spacing w:val="-17"/>
          <w:w w:val="105"/>
        </w:rPr>
        <w:t> </w:t>
      </w:r>
      <w:r>
        <w:rPr>
          <w:w w:val="105"/>
        </w:rPr>
        <w:t>2019;</w:t>
      </w:r>
      <w:r>
        <w:rPr>
          <w:spacing w:val="-17"/>
          <w:w w:val="105"/>
        </w:rPr>
        <w:t> </w:t>
      </w:r>
      <w:r>
        <w:rPr>
          <w:w w:val="105"/>
        </w:rPr>
        <w:t>Zeitz</w:t>
      </w:r>
      <w:r>
        <w:rPr>
          <w:spacing w:val="-17"/>
          <w:w w:val="105"/>
        </w:rPr>
        <w:t> </w:t>
      </w:r>
      <w:r>
        <w:rPr>
          <w:w w:val="105"/>
        </w:rPr>
        <w:t>2021).</w:t>
      </w:r>
      <w:r>
        <w:rPr>
          <w:spacing w:val="-17"/>
          <w:w w:val="105"/>
        </w:rPr>
        <w:t> </w:t>
      </w:r>
      <w:r>
        <w:rPr>
          <w:w w:val="105"/>
        </w:rPr>
        <w:t>However,</w:t>
      </w:r>
      <w:r>
        <w:rPr>
          <w:spacing w:val="-17"/>
          <w:w w:val="105"/>
        </w:rPr>
        <w:t> </w:t>
      </w:r>
      <w:r>
        <w:rPr>
          <w:w w:val="105"/>
        </w:rPr>
        <w:t>our</w:t>
      </w:r>
      <w:r>
        <w:rPr>
          <w:spacing w:val="-17"/>
          <w:w w:val="105"/>
        </w:rPr>
        <w:t> </w:t>
      </w:r>
      <w:r>
        <w:rPr>
          <w:w w:val="105"/>
        </w:rPr>
        <w:t>ﬁndings</w:t>
      </w:r>
      <w:r>
        <w:rPr>
          <w:spacing w:val="-17"/>
          <w:w w:val="105"/>
        </w:rPr>
        <w:t> </w:t>
      </w:r>
      <w:r>
        <w:rPr>
          <w:w w:val="105"/>
        </w:rPr>
        <w:t>do</w:t>
      </w:r>
      <w:r>
        <w:rPr>
          <w:spacing w:val="-17"/>
          <w:w w:val="105"/>
        </w:rPr>
        <w:t> </w:t>
      </w:r>
      <w:r>
        <w:rPr>
          <w:w w:val="105"/>
        </w:rPr>
        <w:t>not</w:t>
      </w:r>
      <w:r>
        <w:rPr>
          <w:spacing w:val="-17"/>
          <w:w w:val="105"/>
        </w:rPr>
        <w:t> </w:t>
      </w:r>
      <w:r>
        <w:rPr>
          <w:w w:val="105"/>
        </w:rPr>
        <w:t>support</w:t>
      </w:r>
      <w:r>
        <w:rPr>
          <w:spacing w:val="-17"/>
          <w:w w:val="105"/>
        </w:rPr>
        <w:t> </w:t>
      </w:r>
      <w:r>
        <w:rPr>
          <w:w w:val="105"/>
        </w:rPr>
        <w:t>this </w:t>
      </w:r>
      <w:r>
        <w:rPr>
          <w:spacing w:val="-2"/>
          <w:w w:val="105"/>
        </w:rPr>
        <w:t>argument.</w:t>
      </w:r>
      <w:r>
        <w:rPr>
          <w:spacing w:val="-10"/>
          <w:w w:val="105"/>
        </w:rPr>
        <w:t> </w:t>
      </w:r>
      <w:r>
        <w:rPr>
          <w:spacing w:val="-2"/>
          <w:w w:val="105"/>
        </w:rPr>
        <w:t>Quite</w:t>
      </w:r>
      <w:r>
        <w:rPr>
          <w:spacing w:val="-10"/>
          <w:w w:val="105"/>
        </w:rPr>
        <w:t> </w:t>
      </w:r>
      <w:r>
        <w:rPr>
          <w:spacing w:val="-2"/>
          <w:w w:val="105"/>
        </w:rPr>
        <w:t>the</w:t>
      </w:r>
      <w:r>
        <w:rPr>
          <w:spacing w:val="-10"/>
          <w:w w:val="105"/>
        </w:rPr>
        <w:t> </w:t>
      </w:r>
      <w:r>
        <w:rPr>
          <w:spacing w:val="-2"/>
          <w:w w:val="105"/>
        </w:rPr>
        <w:t>opposite:</w:t>
      </w:r>
      <w:r>
        <w:rPr>
          <w:spacing w:val="-10"/>
          <w:w w:val="105"/>
        </w:rPr>
        <w:t> </w:t>
      </w:r>
      <w:r>
        <w:rPr>
          <w:spacing w:val="-2"/>
          <w:w w:val="105"/>
        </w:rPr>
        <w:t>they</w:t>
      </w:r>
      <w:r>
        <w:rPr>
          <w:spacing w:val="-10"/>
          <w:w w:val="105"/>
        </w:rPr>
        <w:t> </w:t>
      </w:r>
      <w:r>
        <w:rPr>
          <w:spacing w:val="-2"/>
          <w:w w:val="105"/>
        </w:rPr>
        <w:t>suggest</w:t>
      </w:r>
      <w:r>
        <w:rPr>
          <w:spacing w:val="-10"/>
          <w:w w:val="105"/>
        </w:rPr>
        <w:t> </w:t>
      </w:r>
      <w:r>
        <w:rPr>
          <w:spacing w:val="-2"/>
          <w:w w:val="105"/>
        </w:rPr>
        <w:t>that</w:t>
      </w:r>
      <w:r>
        <w:rPr>
          <w:spacing w:val="-10"/>
          <w:w w:val="105"/>
        </w:rPr>
        <w:t> </w:t>
      </w:r>
      <w:r>
        <w:rPr>
          <w:spacing w:val="-2"/>
          <w:w w:val="105"/>
        </w:rPr>
        <w:t>China</w:t>
      </w:r>
      <w:r>
        <w:rPr>
          <w:spacing w:val="-10"/>
          <w:w w:val="105"/>
        </w:rPr>
        <w:t> </w:t>
      </w:r>
      <w:r>
        <w:rPr>
          <w:spacing w:val="-2"/>
          <w:w w:val="105"/>
        </w:rPr>
        <w:t>can</w:t>
      </w:r>
      <w:r>
        <w:rPr>
          <w:spacing w:val="-10"/>
          <w:w w:val="105"/>
        </w:rPr>
        <w:t> </w:t>
      </w:r>
      <w:r>
        <w:rPr>
          <w:spacing w:val="-2"/>
          <w:w w:val="105"/>
        </w:rPr>
        <w:t>reduce</w:t>
      </w:r>
      <w:r>
        <w:rPr>
          <w:spacing w:val="-10"/>
          <w:w w:val="105"/>
        </w:rPr>
        <w:t> </w:t>
      </w:r>
      <w:r>
        <w:rPr>
          <w:spacing w:val="-2"/>
          <w:w w:val="105"/>
        </w:rPr>
        <w:t>the</w:t>
      </w:r>
      <w:r>
        <w:rPr>
          <w:spacing w:val="-10"/>
          <w:w w:val="105"/>
        </w:rPr>
        <w:t> </w:t>
      </w:r>
      <w:r>
        <w:rPr>
          <w:spacing w:val="-2"/>
          <w:w w:val="105"/>
        </w:rPr>
        <w:t>ESG</w:t>
      </w:r>
      <w:r>
        <w:rPr>
          <w:spacing w:val="-10"/>
          <w:w w:val="105"/>
        </w:rPr>
        <w:t> </w:t>
      </w:r>
      <w:r>
        <w:rPr>
          <w:spacing w:val="-2"/>
          <w:w w:val="105"/>
        </w:rPr>
        <w:t>risk </w:t>
      </w:r>
      <w:r>
        <w:rPr>
          <w:w w:val="105"/>
        </w:rPr>
        <w:t>proﬁle</w:t>
      </w:r>
      <w:r>
        <w:rPr>
          <w:spacing w:val="-7"/>
          <w:w w:val="105"/>
        </w:rPr>
        <w:t> </w:t>
      </w:r>
      <w:r>
        <w:rPr>
          <w:w w:val="105"/>
        </w:rPr>
        <w:t>of</w:t>
      </w:r>
      <w:r>
        <w:rPr>
          <w:spacing w:val="-7"/>
          <w:w w:val="105"/>
        </w:rPr>
        <w:t> </w:t>
      </w:r>
      <w:r>
        <w:rPr>
          <w:w w:val="105"/>
        </w:rPr>
        <w:t>its</w:t>
      </w:r>
      <w:r>
        <w:rPr>
          <w:spacing w:val="-7"/>
          <w:w w:val="105"/>
        </w:rPr>
        <w:t> </w:t>
      </w:r>
      <w:r>
        <w:rPr>
          <w:w w:val="105"/>
        </w:rPr>
        <w:t>overseas</w:t>
      </w:r>
      <w:r>
        <w:rPr>
          <w:spacing w:val="-7"/>
          <w:w w:val="105"/>
        </w:rPr>
        <w:t> </w:t>
      </w:r>
      <w:r>
        <w:rPr>
          <w:w w:val="105"/>
        </w:rPr>
        <w:t>infrastructure</w:t>
      </w:r>
      <w:r>
        <w:rPr>
          <w:spacing w:val="-7"/>
          <w:w w:val="105"/>
        </w:rPr>
        <w:t> </w:t>
      </w:r>
      <w:r>
        <w:rPr>
          <w:w w:val="105"/>
        </w:rPr>
        <w:t>portfolio</w:t>
      </w:r>
      <w:r>
        <w:rPr>
          <w:spacing w:val="-7"/>
          <w:w w:val="105"/>
        </w:rPr>
        <w:t> </w:t>
      </w:r>
      <w:r>
        <w:rPr>
          <w:w w:val="105"/>
        </w:rPr>
        <w:t>if</w:t>
      </w:r>
      <w:r>
        <w:rPr>
          <w:spacing w:val="-7"/>
          <w:w w:val="105"/>
        </w:rPr>
        <w:t> </w:t>
      </w:r>
      <w:r>
        <w:rPr>
          <w:w w:val="105"/>
        </w:rPr>
        <w:t>it</w:t>
      </w:r>
      <w:r>
        <w:rPr>
          <w:spacing w:val="-7"/>
          <w:w w:val="105"/>
        </w:rPr>
        <w:t> </w:t>
      </w:r>
      <w:r>
        <w:rPr>
          <w:w w:val="105"/>
        </w:rPr>
        <w:t>is</w:t>
      </w:r>
      <w:r>
        <w:rPr>
          <w:spacing w:val="-7"/>
          <w:w w:val="105"/>
        </w:rPr>
        <w:t> </w:t>
      </w:r>
      <w:r>
        <w:rPr>
          <w:w w:val="105"/>
        </w:rPr>
        <w:t>willing</w:t>
      </w:r>
      <w:r>
        <w:rPr>
          <w:spacing w:val="-7"/>
          <w:w w:val="105"/>
        </w:rPr>
        <w:t> </w:t>
      </w:r>
      <w:r>
        <w:rPr>
          <w:w w:val="105"/>
        </w:rPr>
        <w:t>to</w:t>
      </w:r>
      <w:r>
        <w:rPr>
          <w:spacing w:val="-7"/>
          <w:w w:val="105"/>
        </w:rPr>
        <w:t> </w:t>
      </w:r>
      <w:r>
        <w:rPr>
          <w:w w:val="105"/>
        </w:rPr>
        <w:t>accept</w:t>
      </w:r>
      <w:r>
        <w:rPr>
          <w:spacing w:val="-7"/>
          <w:w w:val="105"/>
        </w:rPr>
        <w:t> </w:t>
      </w:r>
      <w:r>
        <w:rPr>
          <w:w w:val="105"/>
        </w:rPr>
        <w:t>slightly </w:t>
      </w:r>
      <w:r>
        <w:rPr/>
        <w:t>longer project implementation timelines (measured in dozens of days rather </w:t>
      </w:r>
      <w:r>
        <w:rPr/>
        <w:t>than </w:t>
      </w:r>
      <w:r>
        <w:rPr>
          <w:w w:val="105"/>
        </w:rPr>
        <w:t>hundreds</w:t>
      </w:r>
      <w:r>
        <w:rPr>
          <w:spacing w:val="-17"/>
          <w:w w:val="105"/>
        </w:rPr>
        <w:t> </w:t>
      </w:r>
      <w:r>
        <w:rPr>
          <w:w w:val="105"/>
        </w:rPr>
        <w:t>or</w:t>
      </w:r>
      <w:r>
        <w:rPr>
          <w:spacing w:val="-17"/>
          <w:w w:val="105"/>
        </w:rPr>
        <w:t> </w:t>
      </w:r>
      <w:r>
        <w:rPr>
          <w:w w:val="105"/>
        </w:rPr>
        <w:t>thousands</w:t>
      </w:r>
      <w:r>
        <w:rPr>
          <w:spacing w:val="-17"/>
          <w:w w:val="105"/>
        </w:rPr>
        <w:t> </w:t>
      </w:r>
      <w:r>
        <w:rPr>
          <w:w w:val="105"/>
        </w:rPr>
        <w:t>of</w:t>
      </w:r>
      <w:r>
        <w:rPr>
          <w:spacing w:val="-17"/>
          <w:w w:val="105"/>
        </w:rPr>
        <w:t> </w:t>
      </w:r>
      <w:r>
        <w:rPr>
          <w:w w:val="105"/>
        </w:rPr>
        <w:t>days).</w:t>
      </w:r>
      <w:r>
        <w:rPr>
          <w:w w:val="105"/>
          <w:vertAlign w:val="superscript"/>
        </w:rPr>
        <w:t>295</w:t>
      </w:r>
    </w:p>
    <w:p>
      <w:pPr>
        <w:pStyle w:val="BodyText"/>
        <w:spacing w:before="1"/>
        <w:rPr>
          <w:sz w:val="27"/>
        </w:rPr>
      </w:pPr>
    </w:p>
    <w:p>
      <w:pPr>
        <w:pStyle w:val="BodyText"/>
        <w:spacing w:line="333" w:lineRule="auto"/>
        <w:ind w:left="560" w:right="561"/>
      </w:pPr>
      <w:r>
        <w:rPr/>
        <w:t>Another potential way that the performance of Beijing’s overseas infrastructure project portfolio might vary based on ESG safeguard stringency is the </w:t>
      </w:r>
      <w:r>
        <w:rPr/>
        <w:t>likelihood of project suspension or cancellation. The latest version of AidData’s GCDF dataset demonstrates that infrastructure projects with strong de jure ESG safeguards</w:t>
      </w:r>
      <w:r>
        <w:rPr>
          <w:spacing w:val="-4"/>
        </w:rPr>
        <w:t> </w:t>
      </w:r>
      <w:r>
        <w:rPr/>
        <w:t>are</w:t>
      </w:r>
      <w:r>
        <w:rPr>
          <w:spacing w:val="-4"/>
        </w:rPr>
        <w:t> </w:t>
      </w:r>
      <w:r>
        <w:rPr/>
        <w:t>substantially</w:t>
      </w:r>
      <w:r>
        <w:rPr>
          <w:spacing w:val="-4"/>
        </w:rPr>
        <w:t> </w:t>
      </w:r>
      <w:r>
        <w:rPr>
          <w:i/>
        </w:rPr>
        <w:t>less</w:t>
      </w:r>
      <w:r>
        <w:rPr>
          <w:i/>
          <w:spacing w:val="-4"/>
        </w:rPr>
        <w:t> </w:t>
      </w:r>
      <w:r>
        <w:rPr/>
        <w:t>vulnerable</w:t>
      </w:r>
      <w:r>
        <w:rPr>
          <w:spacing w:val="-4"/>
        </w:rPr>
        <w:t> </w:t>
      </w:r>
      <w:r>
        <w:rPr/>
        <w:t>to</w:t>
      </w:r>
      <w:r>
        <w:rPr>
          <w:spacing w:val="-4"/>
        </w:rPr>
        <w:t> </w:t>
      </w:r>
      <w:r>
        <w:rPr/>
        <w:t>suspension</w:t>
      </w:r>
      <w:r>
        <w:rPr>
          <w:spacing w:val="-4"/>
        </w:rPr>
        <w:t> </w:t>
      </w:r>
      <w:r>
        <w:rPr/>
        <w:t>and</w:t>
      </w:r>
      <w:r>
        <w:rPr>
          <w:spacing w:val="-4"/>
        </w:rPr>
        <w:t> </w:t>
      </w:r>
      <w:r>
        <w:rPr/>
        <w:t>cancellation</w:t>
      </w:r>
      <w:r>
        <w:rPr>
          <w:spacing w:val="-4"/>
        </w:rPr>
        <w:t> </w:t>
      </w:r>
      <w:r>
        <w:rPr/>
        <w:t>after the ﬁnalization of a Chinese grant or loan agreement. According to Figure 3.10, while 74 Chinese grant- and loan-ﬁnanced infrastructure projects (worth $43 billion) with weak de jure ESG safeguards have been suspended or canceled</w:t>
      </w:r>
    </w:p>
    <w:p>
      <w:pPr>
        <w:pStyle w:val="BodyText"/>
        <w:spacing w:before="2"/>
        <w:rPr>
          <w:sz w:val="4"/>
        </w:rPr>
      </w:pPr>
      <w:r>
        <w:rPr/>
        <w:pict>
          <v:shape style="position:absolute;margin-left:90pt;margin-top:3.613867pt;width:144pt;height:.1pt;mso-position-horizontal-relative:page;mso-position-vertical-relative:paragraph;z-index:-15696896;mso-wrap-distance-left:0;mso-wrap-distance-right:0" id="docshape54" coordorigin="1800,72" coordsize="2880,0" path="m1800,72l4680,72e" filled="false" stroked="true" strokeweight=".75pt" strokecolor="#000000">
            <v:path arrowok="t"/>
            <v:stroke dashstyle="solid"/>
            <w10:wrap type="topAndBottom"/>
          </v:shape>
        </w:pict>
      </w:r>
    </w:p>
    <w:p>
      <w:pPr>
        <w:spacing w:line="249" w:lineRule="auto" w:before="110"/>
        <w:ind w:left="560" w:right="589" w:firstLine="0"/>
        <w:jc w:val="left"/>
        <w:rPr>
          <w:sz w:val="18"/>
        </w:rPr>
      </w:pPr>
      <w:r>
        <w:rPr>
          <w:sz w:val="18"/>
        </w:rPr>
        <w:t>(RAPs)—during the pre-implementation phase of a project, which can eliminate implementation </w:t>
      </w:r>
      <w:r>
        <w:rPr>
          <w:sz w:val="18"/>
        </w:rPr>
        <w:t>obstacles </w:t>
      </w:r>
      <w:r>
        <w:rPr>
          <w:w w:val="105"/>
          <w:sz w:val="18"/>
        </w:rPr>
        <w:t>that would otherwise delay completion.</w:t>
      </w:r>
    </w:p>
    <w:p>
      <w:pPr>
        <w:spacing w:line="249" w:lineRule="auto" w:before="1"/>
        <w:ind w:left="560" w:right="179" w:firstLine="0"/>
        <w:jc w:val="left"/>
        <w:rPr>
          <w:sz w:val="18"/>
        </w:rPr>
      </w:pPr>
      <w:r>
        <w:rPr>
          <w:sz w:val="18"/>
          <w:vertAlign w:val="superscript"/>
        </w:rPr>
        <w:t>294</w:t>
      </w:r>
      <w:r>
        <w:rPr>
          <w:spacing w:val="-4"/>
          <w:sz w:val="18"/>
          <w:vertAlign w:val="baseline"/>
        </w:rPr>
        <w:t> </w:t>
      </w:r>
      <w:r>
        <w:rPr>
          <w:sz w:val="18"/>
          <w:vertAlign w:val="baseline"/>
        </w:rPr>
        <w:t>By</w:t>
      </w:r>
      <w:r>
        <w:rPr>
          <w:spacing w:val="-3"/>
          <w:sz w:val="18"/>
          <w:vertAlign w:val="baseline"/>
        </w:rPr>
        <w:t> </w:t>
      </w:r>
      <w:r>
        <w:rPr>
          <w:sz w:val="18"/>
          <w:vertAlign w:val="baseline"/>
        </w:rPr>
        <w:t>way</w:t>
      </w:r>
      <w:r>
        <w:rPr>
          <w:spacing w:val="-3"/>
          <w:sz w:val="18"/>
          <w:vertAlign w:val="baseline"/>
        </w:rPr>
        <w:t> </w:t>
      </w:r>
      <w:r>
        <w:rPr>
          <w:sz w:val="18"/>
          <w:vertAlign w:val="baseline"/>
        </w:rPr>
        <w:t>of</w:t>
      </w:r>
      <w:r>
        <w:rPr>
          <w:spacing w:val="-3"/>
          <w:sz w:val="18"/>
          <w:vertAlign w:val="baseline"/>
        </w:rPr>
        <w:t> </w:t>
      </w:r>
      <w:r>
        <w:rPr>
          <w:sz w:val="18"/>
          <w:vertAlign w:val="baseline"/>
        </w:rPr>
        <w:t>comparison,</w:t>
      </w:r>
      <w:r>
        <w:rPr>
          <w:spacing w:val="-3"/>
          <w:sz w:val="18"/>
          <w:vertAlign w:val="baseline"/>
        </w:rPr>
        <w:t> </w:t>
      </w:r>
      <w:r>
        <w:rPr>
          <w:sz w:val="18"/>
          <w:vertAlign w:val="baseline"/>
        </w:rPr>
        <w:t>it</w:t>
      </w:r>
      <w:r>
        <w:rPr>
          <w:spacing w:val="-3"/>
          <w:sz w:val="18"/>
          <w:vertAlign w:val="baseline"/>
        </w:rPr>
        <w:t> </w:t>
      </w:r>
      <w:r>
        <w:rPr>
          <w:sz w:val="18"/>
          <w:vertAlign w:val="baseline"/>
        </w:rPr>
        <w:t>takes</w:t>
      </w:r>
      <w:r>
        <w:rPr>
          <w:spacing w:val="-3"/>
          <w:sz w:val="18"/>
          <w:vertAlign w:val="baseline"/>
        </w:rPr>
        <w:t> </w:t>
      </w:r>
      <w:r>
        <w:rPr>
          <w:sz w:val="18"/>
          <w:vertAlign w:val="baseline"/>
        </w:rPr>
        <w:t>World</w:t>
      </w:r>
      <w:r>
        <w:rPr>
          <w:spacing w:val="-3"/>
          <w:sz w:val="18"/>
          <w:vertAlign w:val="baseline"/>
        </w:rPr>
        <w:t> </w:t>
      </w:r>
      <w:r>
        <w:rPr>
          <w:sz w:val="18"/>
          <w:vertAlign w:val="baseline"/>
        </w:rPr>
        <w:t>Bank</w:t>
      </w:r>
      <w:r>
        <w:rPr>
          <w:spacing w:val="-3"/>
          <w:sz w:val="18"/>
          <w:vertAlign w:val="baseline"/>
        </w:rPr>
        <w:t> </w:t>
      </w:r>
      <w:r>
        <w:rPr>
          <w:sz w:val="18"/>
          <w:vertAlign w:val="baseline"/>
        </w:rPr>
        <w:t>and</w:t>
      </w:r>
      <w:r>
        <w:rPr>
          <w:spacing w:val="-3"/>
          <w:sz w:val="18"/>
          <w:vertAlign w:val="baseline"/>
        </w:rPr>
        <w:t> </w:t>
      </w:r>
      <w:r>
        <w:rPr>
          <w:sz w:val="18"/>
          <w:vertAlign w:val="baseline"/>
        </w:rPr>
        <w:t>Asian</w:t>
      </w:r>
      <w:r>
        <w:rPr>
          <w:spacing w:val="-3"/>
          <w:sz w:val="18"/>
          <w:vertAlign w:val="baseline"/>
        </w:rPr>
        <w:t> </w:t>
      </w:r>
      <w:r>
        <w:rPr>
          <w:sz w:val="18"/>
          <w:vertAlign w:val="baseline"/>
        </w:rPr>
        <w:t>Development</w:t>
      </w:r>
      <w:r>
        <w:rPr>
          <w:spacing w:val="-3"/>
          <w:sz w:val="18"/>
          <w:vertAlign w:val="baseline"/>
        </w:rPr>
        <w:t> </w:t>
      </w:r>
      <w:r>
        <w:rPr>
          <w:sz w:val="18"/>
          <w:vertAlign w:val="baseline"/>
        </w:rPr>
        <w:t>Bank</w:t>
      </w:r>
      <w:r>
        <w:rPr>
          <w:spacing w:val="-3"/>
          <w:sz w:val="18"/>
          <w:vertAlign w:val="baseline"/>
        </w:rPr>
        <w:t> </w:t>
      </w:r>
      <w:r>
        <w:rPr>
          <w:sz w:val="18"/>
          <w:vertAlign w:val="baseline"/>
        </w:rPr>
        <w:t>projects,</w:t>
      </w:r>
      <w:r>
        <w:rPr>
          <w:spacing w:val="-3"/>
          <w:sz w:val="18"/>
          <w:vertAlign w:val="baseline"/>
        </w:rPr>
        <w:t> </w:t>
      </w:r>
      <w:r>
        <w:rPr>
          <w:sz w:val="18"/>
          <w:vertAlign w:val="baseline"/>
        </w:rPr>
        <w:t>on</w:t>
      </w:r>
      <w:r>
        <w:rPr>
          <w:spacing w:val="-3"/>
          <w:sz w:val="18"/>
          <w:vertAlign w:val="baseline"/>
        </w:rPr>
        <w:t> </w:t>
      </w:r>
      <w:r>
        <w:rPr>
          <w:sz w:val="18"/>
          <w:vertAlign w:val="baseline"/>
        </w:rPr>
        <w:t>average,</w:t>
      </w:r>
      <w:r>
        <w:rPr>
          <w:spacing w:val="-3"/>
          <w:sz w:val="18"/>
          <w:vertAlign w:val="baseline"/>
        </w:rPr>
        <w:t> </w:t>
      </w:r>
      <w:r>
        <w:rPr>
          <w:sz w:val="18"/>
          <w:vertAlign w:val="baseline"/>
        </w:rPr>
        <w:t>6</w:t>
      </w:r>
      <w:r>
        <w:rPr>
          <w:spacing w:val="-3"/>
          <w:sz w:val="18"/>
          <w:vertAlign w:val="baseline"/>
        </w:rPr>
        <w:t> </w:t>
      </w:r>
      <w:r>
        <w:rPr>
          <w:sz w:val="18"/>
          <w:vertAlign w:val="baseline"/>
        </w:rPr>
        <w:t>years</w:t>
      </w:r>
      <w:r>
        <w:rPr>
          <w:spacing w:val="-3"/>
          <w:sz w:val="18"/>
          <w:vertAlign w:val="baseline"/>
        </w:rPr>
        <w:t> </w:t>
      </w:r>
      <w:r>
        <w:rPr>
          <w:sz w:val="18"/>
          <w:vertAlign w:val="baseline"/>
        </w:rPr>
        <w:t>to move from the commencement stage to the completion stage (see Bulman et al. 2017: 362).</w:t>
      </w:r>
    </w:p>
    <w:p>
      <w:pPr>
        <w:spacing w:line="249" w:lineRule="auto" w:before="2"/>
        <w:ind w:left="560" w:right="563" w:firstLine="0"/>
        <w:jc w:val="left"/>
        <w:rPr>
          <w:sz w:val="18"/>
        </w:rPr>
      </w:pPr>
      <w:r>
        <w:rPr>
          <w:w w:val="105"/>
          <w:sz w:val="18"/>
          <w:vertAlign w:val="superscript"/>
        </w:rPr>
        <w:t>295</w:t>
      </w:r>
      <w:r>
        <w:rPr>
          <w:spacing w:val="-12"/>
          <w:w w:val="105"/>
          <w:sz w:val="18"/>
          <w:vertAlign w:val="baseline"/>
        </w:rPr>
        <w:t> </w:t>
      </w:r>
      <w:r>
        <w:rPr>
          <w:w w:val="105"/>
          <w:sz w:val="18"/>
          <w:vertAlign w:val="baseline"/>
        </w:rPr>
        <w:t>This</w:t>
      </w:r>
      <w:r>
        <w:rPr>
          <w:spacing w:val="-11"/>
          <w:w w:val="105"/>
          <w:sz w:val="18"/>
          <w:vertAlign w:val="baseline"/>
        </w:rPr>
        <w:t> </w:t>
      </w:r>
      <w:r>
        <w:rPr>
          <w:w w:val="105"/>
          <w:sz w:val="18"/>
          <w:vertAlign w:val="baseline"/>
        </w:rPr>
        <w:t>ﬁnding</w:t>
      </w:r>
      <w:r>
        <w:rPr>
          <w:spacing w:val="-11"/>
          <w:w w:val="105"/>
          <w:sz w:val="18"/>
          <w:vertAlign w:val="baseline"/>
        </w:rPr>
        <w:t> </w:t>
      </w:r>
      <w:r>
        <w:rPr>
          <w:w w:val="105"/>
          <w:sz w:val="18"/>
          <w:vertAlign w:val="baseline"/>
        </w:rPr>
        <w:t>is</w:t>
      </w:r>
      <w:r>
        <w:rPr>
          <w:spacing w:val="-11"/>
          <w:w w:val="105"/>
          <w:sz w:val="18"/>
          <w:vertAlign w:val="baseline"/>
        </w:rPr>
        <w:t> </w:t>
      </w:r>
      <w:r>
        <w:rPr>
          <w:w w:val="105"/>
          <w:sz w:val="18"/>
          <w:vertAlign w:val="baseline"/>
        </w:rPr>
        <w:t>relevant</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loan</w:t>
      </w:r>
      <w:r>
        <w:rPr>
          <w:spacing w:val="-11"/>
          <w:w w:val="105"/>
          <w:sz w:val="18"/>
          <w:vertAlign w:val="baseline"/>
        </w:rPr>
        <w:t> </w:t>
      </w:r>
      <w:r>
        <w:rPr>
          <w:w w:val="105"/>
          <w:sz w:val="18"/>
          <w:vertAlign w:val="baseline"/>
        </w:rPr>
        <w:t>repayment</w:t>
      </w:r>
      <w:r>
        <w:rPr>
          <w:spacing w:val="-11"/>
          <w:w w:val="105"/>
          <w:sz w:val="18"/>
          <w:vertAlign w:val="baseline"/>
        </w:rPr>
        <w:t> </w:t>
      </w:r>
      <w:r>
        <w:rPr>
          <w:w w:val="105"/>
          <w:sz w:val="18"/>
          <w:vertAlign w:val="baseline"/>
        </w:rPr>
        <w:t>challenges</w:t>
      </w:r>
      <w:r>
        <w:rPr>
          <w:spacing w:val="-11"/>
          <w:w w:val="105"/>
          <w:sz w:val="18"/>
          <w:vertAlign w:val="baseline"/>
        </w:rPr>
        <w:t> </w:t>
      </w:r>
      <w:r>
        <w:rPr>
          <w:w w:val="105"/>
          <w:sz w:val="18"/>
          <w:vertAlign w:val="baseline"/>
        </w:rPr>
        <w:t>that</w:t>
      </w:r>
      <w:r>
        <w:rPr>
          <w:spacing w:val="-11"/>
          <w:w w:val="105"/>
          <w:sz w:val="18"/>
          <w:vertAlign w:val="baseline"/>
        </w:rPr>
        <w:t> </w:t>
      </w:r>
      <w:r>
        <w:rPr>
          <w:w w:val="105"/>
          <w:sz w:val="18"/>
          <w:vertAlign w:val="baseline"/>
        </w:rPr>
        <w:t>we</w:t>
      </w:r>
      <w:r>
        <w:rPr>
          <w:spacing w:val="-11"/>
          <w:w w:val="105"/>
          <w:sz w:val="18"/>
          <w:vertAlign w:val="baseline"/>
        </w:rPr>
        <w:t> </w:t>
      </w:r>
      <w:r>
        <w:rPr>
          <w:w w:val="105"/>
          <w:sz w:val="18"/>
          <w:vertAlign w:val="baseline"/>
        </w:rPr>
        <w:t>document</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Chapter</w:t>
      </w:r>
      <w:r>
        <w:rPr>
          <w:spacing w:val="-11"/>
          <w:w w:val="105"/>
          <w:sz w:val="18"/>
          <w:vertAlign w:val="baseline"/>
        </w:rPr>
        <w:t> </w:t>
      </w:r>
      <w:r>
        <w:rPr>
          <w:w w:val="105"/>
          <w:sz w:val="18"/>
          <w:vertAlign w:val="baseline"/>
        </w:rPr>
        <w:t>2</w:t>
      </w:r>
      <w:r>
        <w:rPr>
          <w:spacing w:val="-11"/>
          <w:w w:val="105"/>
          <w:sz w:val="18"/>
          <w:vertAlign w:val="baseline"/>
        </w:rPr>
        <w:t> </w:t>
      </w:r>
      <w:r>
        <w:rPr>
          <w:w w:val="105"/>
          <w:sz w:val="18"/>
          <w:vertAlign w:val="baseline"/>
        </w:rPr>
        <w:t>because</w:t>
      </w:r>
      <w:r>
        <w:rPr>
          <w:spacing w:val="-11"/>
          <w:w w:val="105"/>
          <w:sz w:val="18"/>
          <w:vertAlign w:val="baseline"/>
        </w:rPr>
        <w:t> </w:t>
      </w:r>
      <w:r>
        <w:rPr>
          <w:w w:val="105"/>
          <w:sz w:val="18"/>
          <w:vertAlign w:val="baseline"/>
        </w:rPr>
        <w:t>the </w:t>
      </w:r>
      <w:r>
        <w:rPr>
          <w:sz w:val="18"/>
          <w:vertAlign w:val="baseline"/>
        </w:rPr>
        <w:t>speed of implementation can affect a project’s revenue generation potential and thus a borrower’s ability to meet its loan repayment obligations. The CDB-ﬁnanced Jakarta-Bandung High-Speed Railway </w:t>
      </w:r>
      <w:r>
        <w:rPr>
          <w:sz w:val="18"/>
          <w:vertAlign w:val="baseline"/>
        </w:rPr>
        <w:t>Construction Project, which is running over-budget and behind schedule, is a case in point. Since it was ﬁnanced through a limited recourse project ﬁnance transaction and the railway is not yet in operation, the borrower is unable to make debt service payments via railway revenues (Malik and Parks 2021; Kuo 2021).</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680"/>
      </w:pPr>
      <w:r>
        <w:rPr/>
        <w:t>since 2000, only 7 Chinese government grant- and loan-ﬁnanced </w:t>
      </w:r>
      <w:r>
        <w:rPr/>
        <w:t>infrastructure projects (worth $11 billion) with strong de jure ESG safeguards have been suspended or canceled since 2000.</w:t>
      </w:r>
      <w:r>
        <w:rPr>
          <w:vertAlign w:val="superscript"/>
        </w:rPr>
        <w:t>296</w:t>
      </w:r>
      <w:r>
        <w:rPr>
          <w:vertAlign w:val="baseline"/>
        </w:rPr>
        <w:t> These ﬁndings suggest that the application of more stringent ESG safeguards may help rather than hinder Beijing’s efforts to de-risk its overseas infrastructure project portfolio in the developing world.</w:t>
      </w:r>
    </w:p>
    <w:p>
      <w:pPr>
        <w:pStyle w:val="BodyText"/>
        <w:rPr>
          <w:sz w:val="20"/>
        </w:rPr>
      </w:pPr>
    </w:p>
    <w:p>
      <w:pPr>
        <w:pStyle w:val="BodyText"/>
        <w:spacing w:before="1"/>
        <w:rPr>
          <w:sz w:val="17"/>
        </w:rPr>
      </w:pPr>
      <w:r>
        <w:rPr/>
        <w:pict>
          <v:shape style="position:absolute;margin-left:84pt;margin-top:11.072377pt;width:444pt;height:38pt;mso-position-horizontal-relative:page;mso-position-vertical-relative:paragraph;z-index:-15696384;mso-wrap-distance-left:0;mso-wrap-distance-right:0" type="#_x0000_t202" id="docshape55"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3.10</w:t>
                  </w:r>
                </w:p>
              </w:txbxContent>
            </v:textbox>
            <v:fill type="solid"/>
            <w10:wrap type="topAndBottom"/>
          </v:shape>
        </w:pict>
      </w:r>
      <w:r>
        <w:rPr/>
        <w:drawing>
          <wp:anchor distT="0" distB="0" distL="0" distR="0" allowOverlap="1" layoutInCell="1" locked="0" behindDoc="0" simplePos="0" relativeHeight="64">
            <wp:simplePos x="0" y="0"/>
            <wp:positionH relativeFrom="page">
              <wp:posOffset>1253132</wp:posOffset>
            </wp:positionH>
            <wp:positionV relativeFrom="paragraph">
              <wp:posOffset>751190</wp:posOffset>
            </wp:positionV>
            <wp:extent cx="5269642" cy="1128140"/>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0" cstate="print"/>
                    <a:stretch>
                      <a:fillRect/>
                    </a:stretch>
                  </pic:blipFill>
                  <pic:spPr>
                    <a:xfrm>
                      <a:off x="0" y="0"/>
                      <a:ext cx="5269642" cy="1128140"/>
                    </a:xfrm>
                    <a:prstGeom prst="rect">
                      <a:avLst/>
                    </a:prstGeom>
                  </pic:spPr>
                </pic:pic>
              </a:graphicData>
            </a:graphic>
          </wp:anchor>
        </w:drawing>
      </w:r>
    </w:p>
    <w:p>
      <w:pPr>
        <w:pStyle w:val="BodyText"/>
        <w:spacing w:before="5"/>
        <w:rPr>
          <w:sz w:val="15"/>
        </w:rPr>
      </w:pPr>
    </w:p>
    <w:p>
      <w:pPr>
        <w:pStyle w:val="BodyText"/>
        <w:spacing w:before="4"/>
        <w:rPr>
          <w:sz w:val="26"/>
        </w:rPr>
      </w:pPr>
    </w:p>
    <w:p>
      <w:pPr>
        <w:spacing w:before="71"/>
        <w:ind w:left="560" w:right="0" w:firstLine="0"/>
        <w:jc w:val="left"/>
        <w:rPr>
          <w:i/>
          <w:sz w:val="18"/>
        </w:rPr>
      </w:pPr>
      <w:r>
        <w:rPr>
          <w:i/>
          <w:sz w:val="18"/>
        </w:rPr>
        <w:t>Notes:</w:t>
      </w:r>
      <w:r>
        <w:rPr>
          <w:i/>
          <w:spacing w:val="-3"/>
          <w:sz w:val="18"/>
        </w:rPr>
        <w:t> </w:t>
      </w:r>
      <w:r>
        <w:rPr>
          <w:i/>
          <w:sz w:val="18"/>
        </w:rPr>
        <w:t>Strong</w:t>
      </w:r>
      <w:r>
        <w:rPr>
          <w:i/>
          <w:spacing w:val="-3"/>
          <w:sz w:val="18"/>
        </w:rPr>
        <w:t> </w:t>
      </w:r>
      <w:r>
        <w:rPr>
          <w:i/>
          <w:sz w:val="18"/>
        </w:rPr>
        <w:t>and</w:t>
      </w:r>
      <w:r>
        <w:rPr>
          <w:i/>
          <w:spacing w:val="-2"/>
          <w:sz w:val="18"/>
        </w:rPr>
        <w:t> </w:t>
      </w:r>
      <w:r>
        <w:rPr>
          <w:i/>
          <w:sz w:val="18"/>
        </w:rPr>
        <w:t>weak</w:t>
      </w:r>
      <w:r>
        <w:rPr>
          <w:i/>
          <w:spacing w:val="-3"/>
          <w:sz w:val="18"/>
        </w:rPr>
        <w:t> </w:t>
      </w:r>
      <w:r>
        <w:rPr>
          <w:i/>
          <w:sz w:val="18"/>
        </w:rPr>
        <w:t>de</w:t>
      </w:r>
      <w:r>
        <w:rPr>
          <w:i/>
          <w:spacing w:val="-3"/>
          <w:sz w:val="18"/>
        </w:rPr>
        <w:t> </w:t>
      </w:r>
      <w:r>
        <w:rPr>
          <w:i/>
          <w:sz w:val="18"/>
        </w:rPr>
        <w:t>jure</w:t>
      </w:r>
      <w:r>
        <w:rPr>
          <w:i/>
          <w:spacing w:val="-2"/>
          <w:sz w:val="18"/>
        </w:rPr>
        <w:t> </w:t>
      </w:r>
      <w:r>
        <w:rPr>
          <w:i/>
          <w:sz w:val="18"/>
        </w:rPr>
        <w:t>ESG</w:t>
      </w:r>
      <w:r>
        <w:rPr>
          <w:i/>
          <w:spacing w:val="-3"/>
          <w:sz w:val="18"/>
        </w:rPr>
        <w:t> </w:t>
      </w:r>
      <w:r>
        <w:rPr>
          <w:i/>
          <w:sz w:val="18"/>
        </w:rPr>
        <w:t>safeguards</w:t>
      </w:r>
      <w:r>
        <w:rPr>
          <w:i/>
          <w:spacing w:val="-2"/>
          <w:sz w:val="18"/>
        </w:rPr>
        <w:t> </w:t>
      </w:r>
      <w:r>
        <w:rPr>
          <w:i/>
          <w:sz w:val="18"/>
        </w:rPr>
        <w:t>are</w:t>
      </w:r>
      <w:r>
        <w:rPr>
          <w:i/>
          <w:spacing w:val="-3"/>
          <w:sz w:val="18"/>
        </w:rPr>
        <w:t> </w:t>
      </w:r>
      <w:r>
        <w:rPr>
          <w:i/>
          <w:sz w:val="18"/>
        </w:rPr>
        <w:t>deﬁned</w:t>
      </w:r>
      <w:r>
        <w:rPr>
          <w:i/>
          <w:spacing w:val="-3"/>
          <w:sz w:val="18"/>
        </w:rPr>
        <w:t> </w:t>
      </w:r>
      <w:r>
        <w:rPr>
          <w:i/>
          <w:sz w:val="18"/>
        </w:rPr>
        <w:t>in</w:t>
      </w:r>
      <w:r>
        <w:rPr>
          <w:i/>
          <w:spacing w:val="-2"/>
          <w:sz w:val="18"/>
        </w:rPr>
        <w:t> </w:t>
      </w:r>
      <w:r>
        <w:rPr>
          <w:i/>
          <w:sz w:val="18"/>
        </w:rPr>
        <w:t>Section</w:t>
      </w:r>
      <w:r>
        <w:rPr>
          <w:i/>
          <w:spacing w:val="-3"/>
          <w:sz w:val="18"/>
        </w:rPr>
        <w:t> </w:t>
      </w:r>
      <w:r>
        <w:rPr>
          <w:i/>
          <w:sz w:val="18"/>
        </w:rPr>
        <w:t>A-9</w:t>
      </w:r>
      <w:r>
        <w:rPr>
          <w:i/>
          <w:spacing w:val="-2"/>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18"/>
        </w:rPr>
      </w:pPr>
    </w:p>
    <w:p>
      <w:pPr>
        <w:pStyle w:val="BodyText"/>
        <w:spacing w:before="10"/>
        <w:rPr>
          <w:i/>
          <w:sz w:val="16"/>
        </w:rPr>
      </w:pPr>
    </w:p>
    <w:p>
      <w:pPr>
        <w:pStyle w:val="BodyText"/>
        <w:spacing w:line="333" w:lineRule="auto"/>
        <w:ind w:left="560" w:right="627"/>
      </w:pPr>
      <w:r>
        <w:rPr/>
        <w:t>Finally, we can use the 3.0 version of AidData’s GCDF dataset to determine whether ESG risk prevalence rates in China’s overseas infrastructure project portfolio vary according to ESG safeguard stringency. Figure 3.11 compares </w:t>
      </w:r>
      <w:r>
        <w:rPr/>
        <w:t>the percentage of China’s grant- and loan-ﬁnanced infrastructure project portfolio with signiﬁcant ESG risk exposure across two cohorts: projects with and without strong de jure ESG safeguards. Whereas 82% of projects that lacked strong de jure</w:t>
      </w:r>
      <w:r>
        <w:rPr>
          <w:spacing w:val="-2"/>
        </w:rPr>
        <w:t> </w:t>
      </w:r>
      <w:r>
        <w:rPr/>
        <w:t>ESG</w:t>
      </w:r>
      <w:r>
        <w:rPr>
          <w:spacing w:val="-2"/>
        </w:rPr>
        <w:t> </w:t>
      </w:r>
      <w:r>
        <w:rPr/>
        <w:t>safeguards</w:t>
      </w:r>
      <w:r>
        <w:rPr>
          <w:spacing w:val="-2"/>
        </w:rPr>
        <w:t> </w:t>
      </w:r>
      <w:r>
        <w:rPr/>
        <w:t>faced</w:t>
      </w:r>
      <w:r>
        <w:rPr>
          <w:spacing w:val="-2"/>
        </w:rPr>
        <w:t> </w:t>
      </w:r>
      <w:r>
        <w:rPr/>
        <w:t>signiﬁcant</w:t>
      </w:r>
      <w:r>
        <w:rPr>
          <w:spacing w:val="-2"/>
        </w:rPr>
        <w:t> </w:t>
      </w:r>
      <w:r>
        <w:rPr/>
        <w:t>ESG</w:t>
      </w:r>
      <w:r>
        <w:rPr>
          <w:spacing w:val="-2"/>
        </w:rPr>
        <w:t> </w:t>
      </w:r>
      <w:r>
        <w:rPr/>
        <w:t>risks,</w:t>
      </w:r>
      <w:r>
        <w:rPr>
          <w:spacing w:val="-2"/>
        </w:rPr>
        <w:t> </w:t>
      </w:r>
      <w:r>
        <w:rPr/>
        <w:t>only</w:t>
      </w:r>
      <w:r>
        <w:rPr>
          <w:spacing w:val="-2"/>
        </w:rPr>
        <w:t> </w:t>
      </w:r>
      <w:r>
        <w:rPr/>
        <w:t>18%</w:t>
      </w:r>
      <w:r>
        <w:rPr>
          <w:spacing w:val="-2"/>
        </w:rPr>
        <w:t> </w:t>
      </w:r>
      <w:r>
        <w:rPr/>
        <w:t>of</w:t>
      </w:r>
      <w:r>
        <w:rPr>
          <w:spacing w:val="-2"/>
        </w:rPr>
        <w:t> </w:t>
      </w:r>
      <w:r>
        <w:rPr/>
        <w:t>projects</w:t>
      </w:r>
      <w:r>
        <w:rPr>
          <w:spacing w:val="-2"/>
        </w:rPr>
        <w:t> </w:t>
      </w:r>
      <w:r>
        <w:rPr/>
        <w:t>with</w:t>
      </w:r>
      <w:r>
        <w:rPr>
          <w:spacing w:val="-2"/>
        </w:rPr>
        <w:t> </w:t>
      </w:r>
      <w:r>
        <w:rPr/>
        <w:t>such safeguards encountered similar risks.</w:t>
      </w:r>
      <w:r>
        <w:rPr>
          <w:vertAlign w:val="superscript"/>
        </w:rPr>
        <w:t>297</w:t>
      </w:r>
      <w:r>
        <w:rPr>
          <w:vertAlign w:val="baseline"/>
        </w:rPr>
        <w:t> Figures A53, A54, and A55 in the Appendix demonstrate that these patterns are equally applicable to all three types (environmental, social, and governance) of ESG safeguards.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90pt;margin-top:18.226118pt;width:144pt;height:.1pt;mso-position-horizontal-relative:page;mso-position-vertical-relative:paragraph;z-index:-15695360;mso-wrap-distance-left:0;mso-wrap-distance-right:0" id="docshape56" coordorigin="1800,365" coordsize="2880,0" path="m1800,365l4680,365e" filled="false" stroked="true" strokeweight=".75pt" strokecolor="#000000">
            <v:path arrowok="t"/>
            <v:stroke dashstyle="solid"/>
            <w10:wrap type="topAndBottom"/>
          </v:shape>
        </w:pict>
      </w:r>
    </w:p>
    <w:p>
      <w:pPr>
        <w:spacing w:line="249" w:lineRule="auto" w:before="113"/>
        <w:ind w:left="560" w:right="561" w:firstLine="0"/>
        <w:jc w:val="left"/>
        <w:rPr>
          <w:sz w:val="18"/>
        </w:rPr>
      </w:pPr>
      <w:r>
        <w:rPr>
          <w:sz w:val="18"/>
          <w:vertAlign w:val="superscript"/>
        </w:rPr>
        <w:t>296</w:t>
      </w:r>
      <w:r>
        <w:rPr>
          <w:spacing w:val="-1"/>
          <w:sz w:val="18"/>
          <w:vertAlign w:val="baseline"/>
        </w:rPr>
        <w:t> </w:t>
      </w:r>
      <w:r>
        <w:rPr>
          <w:sz w:val="18"/>
          <w:vertAlign w:val="baseline"/>
        </w:rPr>
        <w:t>Our ﬁndings are consistent with those of Lu et al. (2023b). They ﬁnd that Chinese-ﬁnanced power </w:t>
      </w:r>
      <w:r>
        <w:rPr>
          <w:sz w:val="18"/>
          <w:vertAlign w:val="baseline"/>
        </w:rPr>
        <w:t>plant projects posing higher levels of environmental risk are more likely to be suspended.</w:t>
      </w:r>
    </w:p>
    <w:p>
      <w:pPr>
        <w:spacing w:line="249" w:lineRule="auto" w:before="2"/>
        <w:ind w:left="560" w:right="561" w:firstLine="0"/>
        <w:jc w:val="left"/>
        <w:rPr>
          <w:sz w:val="20"/>
        </w:rPr>
      </w:pPr>
      <w:r>
        <w:rPr>
          <w:spacing w:val="-2"/>
          <w:w w:val="105"/>
          <w:sz w:val="20"/>
          <w:vertAlign w:val="superscript"/>
        </w:rPr>
        <w:t>297</w:t>
      </w:r>
      <w:r>
        <w:rPr>
          <w:spacing w:val="-8"/>
          <w:w w:val="105"/>
          <w:sz w:val="20"/>
          <w:vertAlign w:val="baseline"/>
        </w:rPr>
        <w:t> </w:t>
      </w:r>
      <w:r>
        <w:rPr>
          <w:spacing w:val="-2"/>
          <w:w w:val="105"/>
          <w:sz w:val="20"/>
          <w:vertAlign w:val="baseline"/>
        </w:rPr>
        <w:t>Figure</w:t>
      </w:r>
      <w:r>
        <w:rPr>
          <w:spacing w:val="-9"/>
          <w:w w:val="105"/>
          <w:sz w:val="20"/>
          <w:vertAlign w:val="baseline"/>
        </w:rPr>
        <w:t> </w:t>
      </w:r>
      <w:r>
        <w:rPr>
          <w:spacing w:val="-2"/>
          <w:w w:val="105"/>
          <w:sz w:val="20"/>
          <w:vertAlign w:val="baseline"/>
        </w:rPr>
        <w:t>A49</w:t>
      </w:r>
      <w:r>
        <w:rPr>
          <w:spacing w:val="-9"/>
          <w:w w:val="105"/>
          <w:sz w:val="20"/>
          <w:vertAlign w:val="baseline"/>
        </w:rPr>
        <w:t> </w:t>
      </w:r>
      <w:r>
        <w:rPr>
          <w:spacing w:val="-2"/>
          <w:w w:val="105"/>
          <w:sz w:val="20"/>
          <w:vertAlign w:val="baseline"/>
        </w:rPr>
        <w:t>tracks</w:t>
      </w:r>
      <w:r>
        <w:rPr>
          <w:spacing w:val="-9"/>
          <w:w w:val="105"/>
          <w:sz w:val="20"/>
          <w:vertAlign w:val="baseline"/>
        </w:rPr>
        <w:t> </w:t>
      </w:r>
      <w:r>
        <w:rPr>
          <w:spacing w:val="-2"/>
          <w:w w:val="105"/>
          <w:sz w:val="20"/>
          <w:vertAlign w:val="baseline"/>
        </w:rPr>
        <w:t>the</w:t>
      </w:r>
      <w:r>
        <w:rPr>
          <w:spacing w:val="-9"/>
          <w:w w:val="105"/>
          <w:sz w:val="20"/>
          <w:vertAlign w:val="baseline"/>
        </w:rPr>
        <w:t> </w:t>
      </w:r>
      <w:r>
        <w:rPr>
          <w:spacing w:val="-2"/>
          <w:w w:val="105"/>
          <w:sz w:val="20"/>
          <w:vertAlign w:val="baseline"/>
        </w:rPr>
        <w:t>same</w:t>
      </w:r>
      <w:r>
        <w:rPr>
          <w:spacing w:val="-9"/>
          <w:w w:val="105"/>
          <w:sz w:val="20"/>
          <w:vertAlign w:val="baseline"/>
        </w:rPr>
        <w:t> </w:t>
      </w:r>
      <w:r>
        <w:rPr>
          <w:spacing w:val="-2"/>
          <w:w w:val="105"/>
          <w:sz w:val="20"/>
          <w:vertAlign w:val="baseline"/>
        </w:rPr>
        <w:t>two</w:t>
      </w:r>
      <w:r>
        <w:rPr>
          <w:spacing w:val="-9"/>
          <w:w w:val="105"/>
          <w:sz w:val="20"/>
          <w:vertAlign w:val="baseline"/>
        </w:rPr>
        <w:t> </w:t>
      </w:r>
      <w:r>
        <w:rPr>
          <w:spacing w:val="-2"/>
          <w:w w:val="105"/>
          <w:sz w:val="20"/>
          <w:vertAlign w:val="baseline"/>
        </w:rPr>
        <w:t>cohorts</w:t>
      </w:r>
      <w:r>
        <w:rPr>
          <w:spacing w:val="-9"/>
          <w:w w:val="105"/>
          <w:sz w:val="20"/>
          <w:vertAlign w:val="baseline"/>
        </w:rPr>
        <w:t> </w:t>
      </w:r>
      <w:r>
        <w:rPr>
          <w:spacing w:val="-2"/>
          <w:w w:val="105"/>
          <w:sz w:val="20"/>
          <w:vertAlign w:val="baseline"/>
        </w:rPr>
        <w:t>over</w:t>
      </w:r>
      <w:r>
        <w:rPr>
          <w:spacing w:val="-9"/>
          <w:w w:val="105"/>
          <w:sz w:val="20"/>
          <w:vertAlign w:val="baseline"/>
        </w:rPr>
        <w:t> </w:t>
      </w:r>
      <w:r>
        <w:rPr>
          <w:spacing w:val="-2"/>
          <w:w w:val="105"/>
          <w:sz w:val="20"/>
          <w:vertAlign w:val="baseline"/>
        </w:rPr>
        <w:t>time.</w:t>
      </w:r>
      <w:r>
        <w:rPr>
          <w:spacing w:val="-9"/>
          <w:w w:val="105"/>
          <w:sz w:val="20"/>
          <w:vertAlign w:val="baseline"/>
        </w:rPr>
        <w:t> </w:t>
      </w:r>
      <w:r>
        <w:rPr>
          <w:spacing w:val="-2"/>
          <w:w w:val="105"/>
          <w:sz w:val="20"/>
          <w:vertAlign w:val="baseline"/>
        </w:rPr>
        <w:t>Notwithstanding</w:t>
      </w:r>
      <w:r>
        <w:rPr>
          <w:spacing w:val="-9"/>
          <w:w w:val="105"/>
          <w:sz w:val="20"/>
          <w:vertAlign w:val="baseline"/>
        </w:rPr>
        <w:t> </w:t>
      </w:r>
      <w:r>
        <w:rPr>
          <w:spacing w:val="-2"/>
          <w:w w:val="105"/>
          <w:sz w:val="20"/>
          <w:vertAlign w:val="baseline"/>
        </w:rPr>
        <w:t>a</w:t>
      </w:r>
      <w:r>
        <w:rPr>
          <w:spacing w:val="-9"/>
          <w:w w:val="105"/>
          <w:sz w:val="20"/>
          <w:vertAlign w:val="baseline"/>
        </w:rPr>
        <w:t> </w:t>
      </w:r>
      <w:r>
        <w:rPr>
          <w:spacing w:val="-2"/>
          <w:w w:val="105"/>
          <w:sz w:val="20"/>
          <w:vertAlign w:val="baseline"/>
        </w:rPr>
        <w:t>sharp</w:t>
      </w:r>
      <w:r>
        <w:rPr>
          <w:spacing w:val="-9"/>
          <w:w w:val="105"/>
          <w:sz w:val="20"/>
          <w:vertAlign w:val="baseline"/>
        </w:rPr>
        <w:t> </w:t>
      </w:r>
      <w:r>
        <w:rPr>
          <w:spacing w:val="-2"/>
          <w:w w:val="105"/>
          <w:sz w:val="20"/>
          <w:vertAlign w:val="baseline"/>
        </w:rPr>
        <w:t>increase</w:t>
      </w:r>
      <w:r>
        <w:rPr>
          <w:spacing w:val="-9"/>
          <w:w w:val="105"/>
          <w:sz w:val="20"/>
          <w:vertAlign w:val="baseline"/>
        </w:rPr>
        <w:t> </w:t>
      </w:r>
      <w:r>
        <w:rPr>
          <w:spacing w:val="-2"/>
          <w:w w:val="105"/>
          <w:sz w:val="20"/>
          <w:vertAlign w:val="baseline"/>
        </w:rPr>
        <w:t>in</w:t>
      </w:r>
      <w:r>
        <w:rPr>
          <w:spacing w:val="-9"/>
          <w:w w:val="105"/>
          <w:sz w:val="20"/>
          <w:vertAlign w:val="baseline"/>
        </w:rPr>
        <w:t> </w:t>
      </w:r>
      <w:r>
        <w:rPr>
          <w:spacing w:val="-2"/>
          <w:w w:val="105"/>
          <w:sz w:val="20"/>
          <w:vertAlign w:val="baseline"/>
        </w:rPr>
        <w:t>the percentage</w:t>
      </w:r>
      <w:r>
        <w:rPr>
          <w:spacing w:val="-4"/>
          <w:w w:val="105"/>
          <w:sz w:val="20"/>
          <w:vertAlign w:val="baseline"/>
        </w:rPr>
        <w:t> </w:t>
      </w:r>
      <w:r>
        <w:rPr>
          <w:spacing w:val="-2"/>
          <w:w w:val="105"/>
          <w:sz w:val="20"/>
          <w:vertAlign w:val="baseline"/>
        </w:rPr>
        <w:t>of</w:t>
      </w:r>
      <w:r>
        <w:rPr>
          <w:spacing w:val="-4"/>
          <w:w w:val="105"/>
          <w:sz w:val="20"/>
          <w:vertAlign w:val="baseline"/>
        </w:rPr>
        <w:t> </w:t>
      </w:r>
      <w:r>
        <w:rPr>
          <w:spacing w:val="-2"/>
          <w:w w:val="105"/>
          <w:sz w:val="20"/>
          <w:vertAlign w:val="baseline"/>
        </w:rPr>
        <w:t>the</w:t>
      </w:r>
      <w:r>
        <w:rPr>
          <w:spacing w:val="-4"/>
          <w:w w:val="105"/>
          <w:sz w:val="20"/>
          <w:vertAlign w:val="baseline"/>
        </w:rPr>
        <w:t> </w:t>
      </w:r>
      <w:r>
        <w:rPr>
          <w:spacing w:val="-2"/>
          <w:w w:val="105"/>
          <w:sz w:val="20"/>
          <w:vertAlign w:val="baseline"/>
        </w:rPr>
        <w:t>infrastructure</w:t>
      </w:r>
      <w:r>
        <w:rPr>
          <w:spacing w:val="-4"/>
          <w:w w:val="105"/>
          <w:sz w:val="20"/>
          <w:vertAlign w:val="baseline"/>
        </w:rPr>
        <w:t> </w:t>
      </w:r>
      <w:r>
        <w:rPr>
          <w:spacing w:val="-2"/>
          <w:w w:val="105"/>
          <w:sz w:val="20"/>
          <w:vertAlign w:val="baseline"/>
        </w:rPr>
        <w:t>project</w:t>
      </w:r>
      <w:r>
        <w:rPr>
          <w:spacing w:val="-4"/>
          <w:w w:val="105"/>
          <w:sz w:val="20"/>
          <w:vertAlign w:val="baseline"/>
        </w:rPr>
        <w:t> </w:t>
      </w:r>
      <w:r>
        <w:rPr>
          <w:spacing w:val="-2"/>
          <w:w w:val="105"/>
          <w:sz w:val="20"/>
          <w:vertAlign w:val="baseline"/>
        </w:rPr>
        <w:t>portfolio</w:t>
      </w:r>
      <w:r>
        <w:rPr>
          <w:spacing w:val="-4"/>
          <w:w w:val="105"/>
          <w:sz w:val="20"/>
          <w:vertAlign w:val="baseline"/>
        </w:rPr>
        <w:t> </w:t>
      </w:r>
      <w:r>
        <w:rPr>
          <w:spacing w:val="-2"/>
          <w:w w:val="105"/>
          <w:sz w:val="20"/>
          <w:vertAlign w:val="baseline"/>
        </w:rPr>
        <w:t>subjected</w:t>
      </w:r>
      <w:r>
        <w:rPr>
          <w:spacing w:val="-4"/>
          <w:w w:val="105"/>
          <w:sz w:val="20"/>
          <w:vertAlign w:val="baseline"/>
        </w:rPr>
        <w:t> </w:t>
      </w:r>
      <w:r>
        <w:rPr>
          <w:spacing w:val="-2"/>
          <w:w w:val="105"/>
          <w:sz w:val="20"/>
          <w:vertAlign w:val="baseline"/>
        </w:rPr>
        <w:t>to</w:t>
      </w:r>
      <w:r>
        <w:rPr>
          <w:spacing w:val="-4"/>
          <w:w w:val="105"/>
          <w:sz w:val="20"/>
          <w:vertAlign w:val="baseline"/>
        </w:rPr>
        <w:t> </w:t>
      </w:r>
      <w:r>
        <w:rPr>
          <w:spacing w:val="-2"/>
          <w:w w:val="105"/>
          <w:sz w:val="20"/>
          <w:vertAlign w:val="baseline"/>
        </w:rPr>
        <w:t>strong</w:t>
      </w:r>
      <w:r>
        <w:rPr>
          <w:spacing w:val="-4"/>
          <w:w w:val="105"/>
          <w:sz w:val="20"/>
          <w:vertAlign w:val="baseline"/>
        </w:rPr>
        <w:t> </w:t>
      </w:r>
      <w:r>
        <w:rPr>
          <w:spacing w:val="-2"/>
          <w:w w:val="105"/>
          <w:sz w:val="20"/>
          <w:vertAlign w:val="baseline"/>
        </w:rPr>
        <w:t>de</w:t>
      </w:r>
      <w:r>
        <w:rPr>
          <w:spacing w:val="-4"/>
          <w:w w:val="105"/>
          <w:sz w:val="20"/>
          <w:vertAlign w:val="baseline"/>
        </w:rPr>
        <w:t> </w:t>
      </w:r>
      <w:r>
        <w:rPr>
          <w:spacing w:val="-2"/>
          <w:w w:val="105"/>
          <w:sz w:val="20"/>
          <w:vertAlign w:val="baseline"/>
        </w:rPr>
        <w:t>jure</w:t>
      </w:r>
      <w:r>
        <w:rPr>
          <w:spacing w:val="-4"/>
          <w:w w:val="105"/>
          <w:sz w:val="20"/>
          <w:vertAlign w:val="baseline"/>
        </w:rPr>
        <w:t> </w:t>
      </w:r>
      <w:r>
        <w:rPr>
          <w:spacing w:val="-2"/>
          <w:w w:val="105"/>
          <w:sz w:val="20"/>
          <w:vertAlign w:val="baseline"/>
        </w:rPr>
        <w:t>ESG</w:t>
      </w:r>
      <w:r>
        <w:rPr>
          <w:spacing w:val="-4"/>
          <w:w w:val="105"/>
          <w:sz w:val="20"/>
          <w:vertAlign w:val="baseline"/>
        </w:rPr>
        <w:t> </w:t>
      </w:r>
      <w:r>
        <w:rPr>
          <w:spacing w:val="-2"/>
          <w:w w:val="105"/>
          <w:sz w:val="20"/>
          <w:vertAlign w:val="baseline"/>
        </w:rPr>
        <w:t>safeguards </w:t>
      </w:r>
      <w:r>
        <w:rPr>
          <w:sz w:val="20"/>
          <w:vertAlign w:val="baseline"/>
        </w:rPr>
        <w:t>during</w:t>
      </w:r>
      <w:r>
        <w:rPr>
          <w:spacing w:val="-1"/>
          <w:sz w:val="20"/>
          <w:vertAlign w:val="baseline"/>
        </w:rPr>
        <w:t> </w:t>
      </w:r>
      <w:r>
        <w:rPr>
          <w:sz w:val="20"/>
          <w:vertAlign w:val="baseline"/>
        </w:rPr>
        <w:t>the</w:t>
      </w:r>
      <w:r>
        <w:rPr>
          <w:spacing w:val="-1"/>
          <w:sz w:val="20"/>
          <w:vertAlign w:val="baseline"/>
        </w:rPr>
        <w:t> </w:t>
      </w:r>
      <w:r>
        <w:rPr>
          <w:sz w:val="20"/>
          <w:vertAlign w:val="baseline"/>
        </w:rPr>
        <w:t>late</w:t>
      </w:r>
      <w:r>
        <w:rPr>
          <w:spacing w:val="-1"/>
          <w:sz w:val="20"/>
          <w:vertAlign w:val="baseline"/>
        </w:rPr>
        <w:t> </w:t>
      </w:r>
      <w:r>
        <w:rPr>
          <w:sz w:val="20"/>
          <w:vertAlign w:val="baseline"/>
        </w:rPr>
        <w:t>BRI period,</w:t>
      </w:r>
      <w:r>
        <w:rPr>
          <w:spacing w:val="-1"/>
          <w:sz w:val="20"/>
          <w:vertAlign w:val="baseline"/>
        </w:rPr>
        <w:t> </w:t>
      </w:r>
      <w:r>
        <w:rPr>
          <w:sz w:val="20"/>
          <w:vertAlign w:val="baseline"/>
        </w:rPr>
        <w:t>it</w:t>
      </w:r>
      <w:r>
        <w:rPr>
          <w:spacing w:val="-1"/>
          <w:sz w:val="20"/>
          <w:vertAlign w:val="baseline"/>
        </w:rPr>
        <w:t> </w:t>
      </w:r>
      <w:r>
        <w:rPr>
          <w:sz w:val="20"/>
          <w:vertAlign w:val="baseline"/>
        </w:rPr>
        <w:t>shows</w:t>
      </w:r>
      <w:r>
        <w:rPr>
          <w:spacing w:val="-1"/>
          <w:sz w:val="20"/>
          <w:vertAlign w:val="baseline"/>
        </w:rPr>
        <w:t> </w:t>
      </w:r>
      <w:r>
        <w:rPr>
          <w:sz w:val="20"/>
          <w:vertAlign w:val="baseline"/>
        </w:rPr>
        <w:t>that</w:t>
      </w:r>
      <w:r>
        <w:rPr>
          <w:spacing w:val="-1"/>
          <w:sz w:val="20"/>
          <w:vertAlign w:val="baseline"/>
        </w:rPr>
        <w:t> </w:t>
      </w:r>
      <w:r>
        <w:rPr>
          <w:sz w:val="20"/>
          <w:vertAlign w:val="baseline"/>
        </w:rPr>
        <w:t>the</w:t>
      </w:r>
      <w:r>
        <w:rPr>
          <w:spacing w:val="-1"/>
          <w:sz w:val="20"/>
          <w:vertAlign w:val="baseline"/>
        </w:rPr>
        <w:t> </w:t>
      </w:r>
      <w:r>
        <w:rPr>
          <w:sz w:val="20"/>
          <w:vertAlign w:val="baseline"/>
        </w:rPr>
        <w:t>same</w:t>
      </w:r>
      <w:r>
        <w:rPr>
          <w:spacing w:val="-1"/>
          <w:sz w:val="20"/>
          <w:vertAlign w:val="baseline"/>
        </w:rPr>
        <w:t> </w:t>
      </w:r>
      <w:r>
        <w:rPr>
          <w:sz w:val="20"/>
          <w:vertAlign w:val="baseline"/>
        </w:rPr>
        <w:t>empirical pattern</w:t>
      </w:r>
      <w:r>
        <w:rPr>
          <w:spacing w:val="-1"/>
          <w:sz w:val="20"/>
          <w:vertAlign w:val="baseline"/>
        </w:rPr>
        <w:t> </w:t>
      </w:r>
      <w:r>
        <w:rPr>
          <w:sz w:val="20"/>
          <w:vertAlign w:val="baseline"/>
        </w:rPr>
        <w:t>is</w:t>
      </w:r>
      <w:r>
        <w:rPr>
          <w:spacing w:val="-1"/>
          <w:sz w:val="20"/>
          <w:vertAlign w:val="baseline"/>
        </w:rPr>
        <w:t> </w:t>
      </w:r>
      <w:r>
        <w:rPr>
          <w:sz w:val="20"/>
          <w:vertAlign w:val="baseline"/>
        </w:rPr>
        <w:t>generally</w:t>
      </w:r>
      <w:r>
        <w:rPr>
          <w:spacing w:val="-1"/>
          <w:sz w:val="20"/>
          <w:vertAlign w:val="baseline"/>
        </w:rPr>
        <w:t> </w:t>
      </w:r>
      <w:r>
        <w:rPr>
          <w:sz w:val="20"/>
          <w:vertAlign w:val="baseline"/>
        </w:rPr>
        <w:t>consistent</w:t>
      </w:r>
      <w:r>
        <w:rPr>
          <w:spacing w:val="-1"/>
          <w:sz w:val="20"/>
          <w:vertAlign w:val="baseline"/>
        </w:rPr>
        <w:t> </w:t>
      </w:r>
      <w:r>
        <w:rPr>
          <w:sz w:val="20"/>
          <w:vertAlign w:val="baseline"/>
        </w:rPr>
        <w:t>across </w:t>
      </w:r>
      <w:r>
        <w:rPr>
          <w:w w:val="105"/>
          <w:sz w:val="20"/>
          <w:vertAlign w:val="baseline"/>
        </w:rPr>
        <w:t>the 2000-2021 period.</w:t>
      </w:r>
    </w:p>
    <w:p>
      <w:pPr>
        <w:spacing w:after="0" w:line="249" w:lineRule="auto"/>
        <w:jc w:val="left"/>
        <w:rPr>
          <w:sz w:val="20"/>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57"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3.10</w:t>
                  </w:r>
                </w:p>
              </w:txbxContent>
            </v:textbox>
            <v:fill type="solid"/>
          </v:shape>
        </w:pict>
      </w:r>
      <w:r>
        <w:rPr>
          <w:sz w:val="20"/>
        </w:rPr>
      </w:r>
    </w:p>
    <w:p>
      <w:pPr>
        <w:pStyle w:val="BodyText"/>
        <w:rPr>
          <w:sz w:val="14"/>
        </w:rPr>
      </w:pPr>
      <w:r>
        <w:rPr/>
        <w:drawing>
          <wp:anchor distT="0" distB="0" distL="0" distR="0" allowOverlap="1" layoutInCell="1" locked="0" behindDoc="0" simplePos="0" relativeHeight="67">
            <wp:simplePos x="0" y="0"/>
            <wp:positionH relativeFrom="page">
              <wp:posOffset>1249692</wp:posOffset>
            </wp:positionH>
            <wp:positionV relativeFrom="paragraph">
              <wp:posOffset>117976</wp:posOffset>
            </wp:positionV>
            <wp:extent cx="5295055" cy="5545264"/>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1" cstate="print"/>
                    <a:stretch>
                      <a:fillRect/>
                    </a:stretch>
                  </pic:blipFill>
                  <pic:spPr>
                    <a:xfrm>
                      <a:off x="0" y="0"/>
                      <a:ext cx="5295055" cy="5545264"/>
                    </a:xfrm>
                    <a:prstGeom prst="rect">
                      <a:avLst/>
                    </a:prstGeom>
                  </pic:spPr>
                </pic:pic>
              </a:graphicData>
            </a:graphic>
          </wp:anchor>
        </w:drawing>
      </w:r>
    </w:p>
    <w:p>
      <w:pPr>
        <w:pStyle w:val="BodyText"/>
        <w:spacing w:before="6"/>
        <w:rPr>
          <w:sz w:val="22"/>
        </w:rPr>
      </w:pPr>
    </w:p>
    <w:p>
      <w:pPr>
        <w:spacing w:line="333" w:lineRule="auto" w:before="71"/>
        <w:ind w:left="560" w:right="641" w:firstLine="0"/>
        <w:jc w:val="both"/>
        <w:rPr>
          <w:i/>
          <w:sz w:val="18"/>
        </w:rPr>
      </w:pPr>
      <w:r>
        <w:rPr>
          <w:i/>
          <w:sz w:val="18"/>
        </w:rPr>
        <w:t>Notes:</w:t>
      </w:r>
      <w:r>
        <w:rPr>
          <w:i/>
          <w:spacing w:val="-1"/>
          <w:sz w:val="18"/>
        </w:rPr>
        <w:t> </w:t>
      </w:r>
      <w:r>
        <w:rPr>
          <w:i/>
          <w:sz w:val="18"/>
        </w:rPr>
        <w:t>Strong</w:t>
      </w:r>
      <w:r>
        <w:rPr>
          <w:i/>
          <w:spacing w:val="-1"/>
          <w:sz w:val="18"/>
        </w:rPr>
        <w:t> </w:t>
      </w:r>
      <w:r>
        <w:rPr>
          <w:i/>
          <w:sz w:val="18"/>
        </w:rPr>
        <w:t>and</w:t>
      </w:r>
      <w:r>
        <w:rPr>
          <w:i/>
          <w:spacing w:val="-1"/>
          <w:sz w:val="18"/>
        </w:rPr>
        <w:t> </w:t>
      </w:r>
      <w:r>
        <w:rPr>
          <w:i/>
          <w:sz w:val="18"/>
        </w:rPr>
        <w:t>weak</w:t>
      </w:r>
      <w:r>
        <w:rPr>
          <w:i/>
          <w:spacing w:val="-1"/>
          <w:sz w:val="18"/>
        </w:rPr>
        <w:t> </w:t>
      </w:r>
      <w:r>
        <w:rPr>
          <w:i/>
          <w:sz w:val="18"/>
        </w:rPr>
        <w:t>de</w:t>
      </w:r>
      <w:r>
        <w:rPr>
          <w:i/>
          <w:spacing w:val="-1"/>
          <w:sz w:val="18"/>
        </w:rPr>
        <w:t> </w:t>
      </w:r>
      <w:r>
        <w:rPr>
          <w:i/>
          <w:sz w:val="18"/>
        </w:rPr>
        <w:t>jure</w:t>
      </w:r>
      <w:r>
        <w:rPr>
          <w:i/>
          <w:spacing w:val="-1"/>
          <w:sz w:val="18"/>
        </w:rPr>
        <w:t> </w:t>
      </w:r>
      <w:r>
        <w:rPr>
          <w:i/>
          <w:sz w:val="18"/>
        </w:rPr>
        <w:t>ESG</w:t>
      </w:r>
      <w:r>
        <w:rPr>
          <w:i/>
          <w:spacing w:val="-1"/>
          <w:sz w:val="18"/>
        </w:rPr>
        <w:t> </w:t>
      </w:r>
      <w:r>
        <w:rPr>
          <w:i/>
          <w:sz w:val="18"/>
        </w:rPr>
        <w:t>safeguards</w:t>
      </w:r>
      <w:r>
        <w:rPr>
          <w:i/>
          <w:spacing w:val="-1"/>
          <w:sz w:val="18"/>
        </w:rPr>
        <w:t> </w:t>
      </w:r>
      <w:r>
        <w:rPr>
          <w:i/>
          <w:sz w:val="18"/>
        </w:rPr>
        <w:t>are</w:t>
      </w:r>
      <w:r>
        <w:rPr>
          <w:i/>
          <w:spacing w:val="-1"/>
          <w:sz w:val="18"/>
        </w:rPr>
        <w:t> </w:t>
      </w:r>
      <w:r>
        <w:rPr>
          <w:i/>
          <w:sz w:val="18"/>
        </w:rPr>
        <w:t>deﬁned</w:t>
      </w:r>
      <w:r>
        <w:rPr>
          <w:i/>
          <w:spacing w:val="-1"/>
          <w:sz w:val="18"/>
        </w:rPr>
        <w:t> </w:t>
      </w:r>
      <w:r>
        <w:rPr>
          <w:i/>
          <w:sz w:val="18"/>
        </w:rPr>
        <w:t>in</w:t>
      </w:r>
      <w:r>
        <w:rPr>
          <w:i/>
          <w:spacing w:val="-1"/>
          <w:sz w:val="18"/>
        </w:rPr>
        <w:t> </w:t>
      </w:r>
      <w:r>
        <w:rPr>
          <w:i/>
          <w:sz w:val="18"/>
        </w:rPr>
        <w:t>Section</w:t>
      </w:r>
      <w:r>
        <w:rPr>
          <w:i/>
          <w:spacing w:val="-1"/>
          <w:sz w:val="18"/>
        </w:rPr>
        <w:t> </w:t>
      </w:r>
      <w:r>
        <w:rPr>
          <w:i/>
          <w:sz w:val="18"/>
        </w:rPr>
        <w:t>A-9</w:t>
      </w:r>
      <w:r>
        <w:rPr>
          <w:i/>
          <w:spacing w:val="-1"/>
          <w:sz w:val="18"/>
        </w:rPr>
        <w:t> </w:t>
      </w:r>
      <w:r>
        <w:rPr>
          <w:i/>
          <w:sz w:val="18"/>
        </w:rPr>
        <w:t>of</w:t>
      </w:r>
      <w:r>
        <w:rPr>
          <w:i/>
          <w:spacing w:val="-1"/>
          <w:sz w:val="18"/>
        </w:rPr>
        <w:t> </w:t>
      </w:r>
      <w:r>
        <w:rPr>
          <w:i/>
          <w:sz w:val="18"/>
        </w:rPr>
        <w:t>the</w:t>
      </w:r>
      <w:r>
        <w:rPr>
          <w:i/>
          <w:spacing w:val="-1"/>
          <w:sz w:val="18"/>
        </w:rPr>
        <w:t> </w:t>
      </w:r>
      <w:r>
        <w:rPr>
          <w:i/>
          <w:sz w:val="18"/>
        </w:rPr>
        <w:t>Appendix.</w:t>
      </w:r>
      <w:r>
        <w:rPr>
          <w:i/>
          <w:spacing w:val="-1"/>
          <w:sz w:val="18"/>
        </w:rPr>
        <w:t> </w:t>
      </w:r>
      <w:r>
        <w:rPr>
          <w:i/>
          <w:sz w:val="18"/>
        </w:rPr>
        <w:t>The</w:t>
      </w:r>
      <w:r>
        <w:rPr>
          <w:i/>
          <w:spacing w:val="-1"/>
          <w:sz w:val="18"/>
        </w:rPr>
        <w:t> </w:t>
      </w:r>
      <w:r>
        <w:rPr>
          <w:i/>
          <w:sz w:val="18"/>
        </w:rPr>
        <w:t>presence</w:t>
      </w:r>
      <w:r>
        <w:rPr>
          <w:i/>
          <w:sz w:val="18"/>
        </w:rPr>
        <w:t> of</w:t>
      </w:r>
      <w:r>
        <w:rPr>
          <w:i/>
          <w:spacing w:val="-1"/>
          <w:sz w:val="18"/>
        </w:rPr>
        <w:t> </w:t>
      </w:r>
      <w:r>
        <w:rPr>
          <w:i/>
          <w:sz w:val="18"/>
        </w:rPr>
        <w:t>signiﬁcant</w:t>
      </w:r>
      <w:r>
        <w:rPr>
          <w:i/>
          <w:spacing w:val="-1"/>
          <w:sz w:val="18"/>
        </w:rPr>
        <w:t> </w:t>
      </w:r>
      <w:r>
        <w:rPr>
          <w:i/>
          <w:sz w:val="18"/>
        </w:rPr>
        <w:t>ESG</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w:t>
      </w:r>
      <w:r>
        <w:rPr>
          <w:i/>
          <w:spacing w:val="-1"/>
          <w:sz w:val="18"/>
        </w:rPr>
        <w:t> </w:t>
      </w:r>
      <w:r>
        <w:rPr>
          <w:i/>
          <w:sz w:val="18"/>
        </w:rPr>
        <w:t>described</w:t>
      </w:r>
      <w:r>
        <w:rPr>
          <w:i/>
          <w:spacing w:val="-1"/>
          <w:sz w:val="18"/>
        </w:rPr>
        <w:t> </w:t>
      </w:r>
      <w:r>
        <w:rPr>
          <w:i/>
          <w:sz w:val="18"/>
        </w:rPr>
        <w:t>in</w:t>
      </w:r>
      <w:r>
        <w:rPr>
          <w:i/>
          <w:spacing w:val="-1"/>
          <w:sz w:val="18"/>
        </w:rPr>
        <w:t> </w:t>
      </w:r>
      <w:r>
        <w:rPr>
          <w:i/>
          <w:sz w:val="18"/>
        </w:rPr>
        <w:t>Section 2 of Chapter 3.</w:t>
      </w:r>
    </w:p>
    <w:p>
      <w:pPr>
        <w:pStyle w:val="BodyText"/>
        <w:rPr>
          <w:i/>
          <w:sz w:val="18"/>
        </w:rPr>
      </w:pPr>
    </w:p>
    <w:p>
      <w:pPr>
        <w:pStyle w:val="Heading3"/>
        <w:spacing w:before="114"/>
        <w:jc w:val="both"/>
      </w:pPr>
      <w:r>
        <w:rPr/>
        <w:t>Section</w:t>
      </w:r>
      <w:r>
        <w:rPr>
          <w:spacing w:val="-9"/>
        </w:rPr>
        <w:t> </w:t>
      </w:r>
      <w:r>
        <w:rPr/>
        <w:t>5:</w:t>
      </w:r>
      <w:r>
        <w:rPr>
          <w:spacing w:val="-8"/>
        </w:rPr>
        <w:t> </w:t>
      </w:r>
      <w:r>
        <w:rPr/>
        <w:t>Decoding</w:t>
      </w:r>
      <w:r>
        <w:rPr>
          <w:spacing w:val="-8"/>
        </w:rPr>
        <w:t> </w:t>
      </w:r>
      <w:r>
        <w:rPr/>
        <w:t>Beijing’s</w:t>
      </w:r>
      <w:r>
        <w:rPr>
          <w:spacing w:val="-8"/>
        </w:rPr>
        <w:t> </w:t>
      </w:r>
      <w:r>
        <w:rPr/>
        <w:t>ESG</w:t>
      </w:r>
      <w:r>
        <w:rPr>
          <w:spacing w:val="-8"/>
        </w:rPr>
        <w:t> </w:t>
      </w:r>
      <w:r>
        <w:rPr/>
        <w:t>risk</w:t>
      </w:r>
      <w:r>
        <w:rPr>
          <w:spacing w:val="-8"/>
        </w:rPr>
        <w:t> </w:t>
      </w:r>
      <w:r>
        <w:rPr/>
        <w:t>mitigation</w:t>
      </w:r>
      <w:r>
        <w:rPr>
          <w:spacing w:val="-8"/>
        </w:rPr>
        <w:t> </w:t>
      </w:r>
      <w:r>
        <w:rPr>
          <w:spacing w:val="-2"/>
        </w:rPr>
        <w:t>strategy</w:t>
      </w:r>
    </w:p>
    <w:p>
      <w:pPr>
        <w:pStyle w:val="BodyText"/>
        <w:spacing w:line="333" w:lineRule="auto" w:before="270"/>
        <w:ind w:left="560" w:right="561"/>
      </w:pPr>
      <w:r>
        <w:rPr/>
        <w:t>In</w:t>
      </w:r>
      <w:r>
        <w:rPr>
          <w:spacing w:val="-3"/>
        </w:rPr>
        <w:t> </w:t>
      </w:r>
      <w:r>
        <w:rPr/>
        <w:t>the</w:t>
      </w:r>
      <w:r>
        <w:rPr>
          <w:spacing w:val="-3"/>
        </w:rPr>
        <w:t> </w:t>
      </w:r>
      <w:r>
        <w:rPr/>
        <w:t>remainder</w:t>
      </w:r>
      <w:r>
        <w:rPr>
          <w:spacing w:val="-3"/>
        </w:rPr>
        <w:t> </w:t>
      </w:r>
      <w:r>
        <w:rPr/>
        <w:t>of</w:t>
      </w:r>
      <w:r>
        <w:rPr>
          <w:spacing w:val="-3"/>
        </w:rPr>
        <w:t> </w:t>
      </w:r>
      <w:r>
        <w:rPr/>
        <w:t>this</w:t>
      </w:r>
      <w:r>
        <w:rPr>
          <w:spacing w:val="-3"/>
        </w:rPr>
        <w:t> </w:t>
      </w:r>
      <w:r>
        <w:rPr/>
        <w:t>chapter,</w:t>
      </w:r>
      <w:r>
        <w:rPr>
          <w:spacing w:val="-3"/>
        </w:rPr>
        <w:t> </w:t>
      </w:r>
      <w:r>
        <w:rPr/>
        <w:t>we</w:t>
      </w:r>
      <w:r>
        <w:rPr>
          <w:spacing w:val="-3"/>
        </w:rPr>
        <w:t> </w:t>
      </w:r>
      <w:r>
        <w:rPr/>
        <w:t>will</w:t>
      </w:r>
      <w:r>
        <w:rPr>
          <w:spacing w:val="-3"/>
        </w:rPr>
        <w:t> </w:t>
      </w:r>
      <w:r>
        <w:rPr/>
        <w:t>analyze</w:t>
      </w:r>
      <w:r>
        <w:rPr>
          <w:spacing w:val="-3"/>
        </w:rPr>
        <w:t> </w:t>
      </w:r>
      <w:r>
        <w:rPr/>
        <w:t>the</w:t>
      </w:r>
      <w:r>
        <w:rPr>
          <w:spacing w:val="-3"/>
        </w:rPr>
        <w:t> </w:t>
      </w:r>
      <w:r>
        <w:rPr/>
        <w:t>3.0</w:t>
      </w:r>
      <w:r>
        <w:rPr>
          <w:spacing w:val="-3"/>
        </w:rPr>
        <w:t> </w:t>
      </w:r>
      <w:r>
        <w:rPr/>
        <w:t>version</w:t>
      </w:r>
      <w:r>
        <w:rPr>
          <w:spacing w:val="-3"/>
        </w:rPr>
        <w:t> </w:t>
      </w:r>
      <w:r>
        <w:rPr/>
        <w:t>of</w:t>
      </w:r>
      <w:r>
        <w:rPr>
          <w:spacing w:val="-3"/>
        </w:rPr>
        <w:t> </w:t>
      </w:r>
      <w:r>
        <w:rPr/>
        <w:t>AidData’s GCDF dataset to better understand how Beijing is seeking to manage and</w:t>
      </w:r>
    </w:p>
    <w:p>
      <w:pPr>
        <w:spacing w:after="0" w:line="333" w:lineRule="auto"/>
        <w:sectPr>
          <w:pgSz w:w="12240" w:h="15840"/>
          <w:pgMar w:header="0" w:footer="720" w:top="1560" w:bottom="920" w:left="1240" w:right="1260"/>
        </w:sectPr>
      </w:pPr>
    </w:p>
    <w:p>
      <w:pPr>
        <w:pStyle w:val="BodyText"/>
        <w:spacing w:line="333" w:lineRule="auto" w:before="27"/>
        <w:ind w:left="560" w:right="561"/>
      </w:pPr>
      <w:r>
        <w:rPr/>
        <w:t>mitigate ESG risks in its infrastructure project portfolio. We see evidence </w:t>
      </w:r>
      <w:r>
        <w:rPr/>
        <w:t>of Chinese state-owned ﬁnanciers taking four ESG risk mitigation efforts to:</w:t>
      </w:r>
    </w:p>
    <w:p>
      <w:pPr>
        <w:pStyle w:val="BodyText"/>
        <w:spacing w:before="9"/>
        <w:rPr>
          <w:sz w:val="27"/>
        </w:rPr>
      </w:pPr>
    </w:p>
    <w:p>
      <w:pPr>
        <w:pStyle w:val="ListParagraph"/>
        <w:numPr>
          <w:ilvl w:val="0"/>
          <w:numId w:val="3"/>
        </w:numPr>
        <w:tabs>
          <w:tab w:pos="1280" w:val="left" w:leader="none"/>
        </w:tabs>
        <w:spacing w:line="333" w:lineRule="auto" w:before="0" w:after="0"/>
        <w:ind w:left="1280" w:right="911" w:hanging="360"/>
        <w:jc w:val="left"/>
        <w:rPr>
          <w:sz w:val="24"/>
        </w:rPr>
      </w:pPr>
      <w:r>
        <w:rPr>
          <w:sz w:val="24"/>
        </w:rPr>
        <w:t>Defund the bilateral development ﬁnance institutions with the </w:t>
      </w:r>
      <w:r>
        <w:rPr>
          <w:sz w:val="24"/>
        </w:rPr>
        <w:t>weakest</w:t>
      </w:r>
      <w:r>
        <w:rPr>
          <w:sz w:val="24"/>
        </w:rPr>
        <w:t> </w:t>
      </w:r>
      <w:r>
        <w:rPr>
          <w:spacing w:val="-2"/>
          <w:w w:val="105"/>
          <w:sz w:val="24"/>
        </w:rPr>
        <w:t>safeguards</w:t>
      </w:r>
    </w:p>
    <w:p>
      <w:pPr>
        <w:pStyle w:val="BodyText"/>
        <w:spacing w:before="8"/>
        <w:rPr>
          <w:sz w:val="27"/>
        </w:rPr>
      </w:pPr>
    </w:p>
    <w:p>
      <w:pPr>
        <w:pStyle w:val="ListParagraph"/>
        <w:numPr>
          <w:ilvl w:val="0"/>
          <w:numId w:val="3"/>
        </w:numPr>
        <w:tabs>
          <w:tab w:pos="1280" w:val="left" w:leader="none"/>
        </w:tabs>
        <w:spacing w:line="240" w:lineRule="auto" w:before="0" w:after="0"/>
        <w:ind w:left="1280" w:right="0" w:hanging="360"/>
        <w:jc w:val="left"/>
        <w:rPr>
          <w:sz w:val="24"/>
        </w:rPr>
      </w:pPr>
      <w:r>
        <w:rPr>
          <w:sz w:val="24"/>
        </w:rPr>
        <w:t>Support</w:t>
      </w:r>
      <w:r>
        <w:rPr>
          <w:spacing w:val="7"/>
          <w:sz w:val="24"/>
        </w:rPr>
        <w:t> </w:t>
      </w:r>
      <w:r>
        <w:rPr>
          <w:sz w:val="24"/>
        </w:rPr>
        <w:t>bilateral</w:t>
      </w:r>
      <w:r>
        <w:rPr>
          <w:spacing w:val="7"/>
          <w:sz w:val="24"/>
        </w:rPr>
        <w:t> </w:t>
      </w:r>
      <w:r>
        <w:rPr>
          <w:sz w:val="24"/>
        </w:rPr>
        <w:t>lenders</w:t>
      </w:r>
      <w:r>
        <w:rPr>
          <w:spacing w:val="8"/>
          <w:sz w:val="24"/>
        </w:rPr>
        <w:t> </w:t>
      </w:r>
      <w:r>
        <w:rPr>
          <w:sz w:val="24"/>
        </w:rPr>
        <w:t>and</w:t>
      </w:r>
      <w:r>
        <w:rPr>
          <w:spacing w:val="7"/>
          <w:sz w:val="24"/>
        </w:rPr>
        <w:t> </w:t>
      </w:r>
      <w:r>
        <w:rPr>
          <w:sz w:val="24"/>
        </w:rPr>
        <w:t>donors</w:t>
      </w:r>
      <w:r>
        <w:rPr>
          <w:spacing w:val="8"/>
          <w:sz w:val="24"/>
        </w:rPr>
        <w:t> </w:t>
      </w:r>
      <w:r>
        <w:rPr>
          <w:sz w:val="24"/>
        </w:rPr>
        <w:t>with</w:t>
      </w:r>
      <w:r>
        <w:rPr>
          <w:spacing w:val="7"/>
          <w:sz w:val="24"/>
        </w:rPr>
        <w:t> </w:t>
      </w:r>
      <w:r>
        <w:rPr>
          <w:sz w:val="24"/>
        </w:rPr>
        <w:t>the</w:t>
      </w:r>
      <w:r>
        <w:rPr>
          <w:spacing w:val="8"/>
          <w:sz w:val="24"/>
        </w:rPr>
        <w:t> </w:t>
      </w:r>
      <w:r>
        <w:rPr>
          <w:sz w:val="24"/>
        </w:rPr>
        <w:t>strongest</w:t>
      </w:r>
      <w:r>
        <w:rPr>
          <w:spacing w:val="7"/>
          <w:sz w:val="24"/>
        </w:rPr>
        <w:t> </w:t>
      </w:r>
      <w:r>
        <w:rPr>
          <w:spacing w:val="-2"/>
          <w:sz w:val="24"/>
        </w:rPr>
        <w:t>safeguards</w:t>
      </w:r>
    </w:p>
    <w:p>
      <w:pPr>
        <w:pStyle w:val="BodyText"/>
      </w:pPr>
    </w:p>
    <w:p>
      <w:pPr>
        <w:pStyle w:val="ListParagraph"/>
        <w:numPr>
          <w:ilvl w:val="0"/>
          <w:numId w:val="3"/>
        </w:numPr>
        <w:tabs>
          <w:tab w:pos="1280" w:val="left" w:leader="none"/>
        </w:tabs>
        <w:spacing w:line="240" w:lineRule="auto" w:before="151" w:after="0"/>
        <w:ind w:left="1280" w:right="0" w:hanging="360"/>
        <w:jc w:val="left"/>
        <w:rPr>
          <w:sz w:val="24"/>
        </w:rPr>
      </w:pPr>
      <w:r>
        <w:rPr>
          <w:sz w:val="24"/>
        </w:rPr>
        <w:t>Outsource</w:t>
      </w:r>
      <w:r>
        <w:rPr>
          <w:spacing w:val="-3"/>
          <w:sz w:val="24"/>
        </w:rPr>
        <w:t> </w:t>
      </w:r>
      <w:r>
        <w:rPr>
          <w:sz w:val="24"/>
        </w:rPr>
        <w:t>risk</w:t>
      </w:r>
      <w:r>
        <w:rPr>
          <w:spacing w:val="-3"/>
          <w:sz w:val="24"/>
        </w:rPr>
        <w:t> </w:t>
      </w:r>
      <w:r>
        <w:rPr>
          <w:sz w:val="24"/>
        </w:rPr>
        <w:t>management</w:t>
      </w:r>
      <w:r>
        <w:rPr>
          <w:spacing w:val="-3"/>
          <w:sz w:val="24"/>
        </w:rPr>
        <w:t> </w:t>
      </w:r>
      <w:r>
        <w:rPr>
          <w:sz w:val="24"/>
        </w:rPr>
        <w:t>via</w:t>
      </w:r>
      <w:r>
        <w:rPr>
          <w:spacing w:val="-2"/>
          <w:sz w:val="24"/>
        </w:rPr>
        <w:t> </w:t>
      </w:r>
      <w:r>
        <w:rPr>
          <w:sz w:val="24"/>
        </w:rPr>
        <w:t>syndication</w:t>
      </w:r>
      <w:r>
        <w:rPr>
          <w:spacing w:val="-3"/>
          <w:sz w:val="24"/>
        </w:rPr>
        <w:t> </w:t>
      </w:r>
      <w:r>
        <w:rPr>
          <w:sz w:val="24"/>
        </w:rPr>
        <w:t>and</w:t>
      </w:r>
      <w:r>
        <w:rPr>
          <w:spacing w:val="-3"/>
          <w:sz w:val="24"/>
        </w:rPr>
        <w:t> </w:t>
      </w:r>
      <w:r>
        <w:rPr>
          <w:spacing w:val="-2"/>
          <w:sz w:val="24"/>
        </w:rPr>
        <w:t>multilateralization</w:t>
      </w:r>
    </w:p>
    <w:p>
      <w:pPr>
        <w:pStyle w:val="BodyText"/>
      </w:pPr>
    </w:p>
    <w:p>
      <w:pPr>
        <w:pStyle w:val="ListParagraph"/>
        <w:numPr>
          <w:ilvl w:val="0"/>
          <w:numId w:val="3"/>
        </w:numPr>
        <w:tabs>
          <w:tab w:pos="1280" w:val="left" w:leader="none"/>
        </w:tabs>
        <w:spacing w:line="333" w:lineRule="auto" w:before="151" w:after="0"/>
        <w:ind w:left="1280" w:right="1404" w:hanging="360"/>
        <w:jc w:val="left"/>
        <w:rPr>
          <w:sz w:val="24"/>
        </w:rPr>
      </w:pPr>
      <w:r>
        <w:rPr>
          <w:sz w:val="24"/>
        </w:rPr>
        <w:t>Unwind relationships with high-risk countries and double down </w:t>
      </w:r>
      <w:r>
        <w:rPr>
          <w:sz w:val="24"/>
        </w:rPr>
        <w:t>on</w:t>
      </w:r>
      <w:r>
        <w:rPr>
          <w:sz w:val="24"/>
        </w:rPr>
        <w:t> relationships with low-risk countries</w:t>
      </w:r>
    </w:p>
    <w:p>
      <w:pPr>
        <w:pStyle w:val="BodyText"/>
        <w:spacing w:before="9"/>
        <w:rPr>
          <w:sz w:val="27"/>
        </w:rPr>
      </w:pPr>
    </w:p>
    <w:p>
      <w:pPr>
        <w:pStyle w:val="Heading4"/>
        <w:spacing w:line="357" w:lineRule="auto"/>
      </w:pPr>
      <w:r>
        <w:rPr>
          <w:spacing w:val="-6"/>
        </w:rPr>
        <w:t>Risk</w:t>
      </w:r>
      <w:r>
        <w:rPr>
          <w:spacing w:val="-14"/>
        </w:rPr>
        <w:t> </w:t>
      </w:r>
      <w:r>
        <w:rPr>
          <w:spacing w:val="-6"/>
        </w:rPr>
        <w:t>mitigation</w:t>
      </w:r>
      <w:r>
        <w:rPr>
          <w:spacing w:val="-13"/>
        </w:rPr>
        <w:t> </w:t>
      </w:r>
      <w:r>
        <w:rPr>
          <w:spacing w:val="-6"/>
        </w:rPr>
        <w:t>strategy</w:t>
      </w:r>
      <w:r>
        <w:rPr>
          <w:spacing w:val="-14"/>
        </w:rPr>
        <w:t> </w:t>
      </w:r>
      <w:r>
        <w:rPr>
          <w:spacing w:val="-6"/>
        </w:rPr>
        <w:t>#1:</w:t>
      </w:r>
      <w:r>
        <w:rPr>
          <w:spacing w:val="-13"/>
        </w:rPr>
        <w:t> </w:t>
      </w:r>
      <w:r>
        <w:rPr>
          <w:spacing w:val="-6"/>
        </w:rPr>
        <w:t>Defund</w:t>
      </w:r>
      <w:r>
        <w:rPr>
          <w:spacing w:val="-14"/>
        </w:rPr>
        <w:t> </w:t>
      </w:r>
      <w:r>
        <w:rPr>
          <w:spacing w:val="-6"/>
        </w:rPr>
        <w:t>the</w:t>
      </w:r>
      <w:r>
        <w:rPr>
          <w:spacing w:val="-13"/>
        </w:rPr>
        <w:t> </w:t>
      </w:r>
      <w:r>
        <w:rPr>
          <w:spacing w:val="-6"/>
        </w:rPr>
        <w:t>bilateral</w:t>
      </w:r>
      <w:r>
        <w:rPr>
          <w:spacing w:val="-14"/>
        </w:rPr>
        <w:t> </w:t>
      </w:r>
      <w:r>
        <w:rPr>
          <w:spacing w:val="-6"/>
        </w:rPr>
        <w:t>development ﬁnance</w:t>
      </w:r>
      <w:r>
        <w:rPr>
          <w:spacing w:val="-14"/>
        </w:rPr>
        <w:t> </w:t>
      </w:r>
      <w:r>
        <w:rPr>
          <w:spacing w:val="-6"/>
        </w:rPr>
        <w:t>institutions</w:t>
      </w:r>
      <w:r>
        <w:rPr>
          <w:spacing w:val="-13"/>
        </w:rPr>
        <w:t> </w:t>
      </w:r>
      <w:r>
        <w:rPr>
          <w:spacing w:val="-6"/>
        </w:rPr>
        <w:t>with</w:t>
      </w:r>
      <w:r>
        <w:rPr>
          <w:spacing w:val="-14"/>
        </w:rPr>
        <w:t> </w:t>
      </w:r>
      <w:r>
        <w:rPr>
          <w:spacing w:val="-6"/>
        </w:rPr>
        <w:t>the</w:t>
      </w:r>
      <w:r>
        <w:rPr>
          <w:spacing w:val="-13"/>
        </w:rPr>
        <w:t> </w:t>
      </w:r>
      <w:r>
        <w:rPr>
          <w:spacing w:val="-6"/>
        </w:rPr>
        <w:t>weakest</w:t>
      </w:r>
      <w:r>
        <w:rPr>
          <w:spacing w:val="-14"/>
        </w:rPr>
        <w:t> </w:t>
      </w:r>
      <w:r>
        <w:rPr>
          <w:spacing w:val="-6"/>
        </w:rPr>
        <w:t>safeguards</w:t>
      </w:r>
    </w:p>
    <w:p>
      <w:pPr>
        <w:pStyle w:val="BodyText"/>
        <w:spacing w:line="333" w:lineRule="auto" w:before="81"/>
        <w:ind w:left="560" w:right="635"/>
      </w:pPr>
      <w:r>
        <w:rPr/>
        <w:t>Most of Beijing’s ofﬁcial statements and publications about de-risking its overseas infrastructure project portfolio are anodyne and difﬁcult to interpret.</w:t>
      </w:r>
      <w:r>
        <w:rPr>
          <w:spacing w:val="40"/>
        </w:rPr>
        <w:t> </w:t>
      </w:r>
      <w:r>
        <w:rPr/>
        <w:t>The “Green Development Guidelines for Foreign Investment and Cooperation” that China’s Ministry of Commerce and Ministry of Ecology and Environment issued in July 2021 state that “[t]he greening of outbound investment and cooperation must be guided by Xi Jinping Thought on Socialism with Chinese Characteristics for a New Era. In the process, we must implement the spirit of the</w:t>
      </w:r>
      <w:r>
        <w:rPr>
          <w:spacing w:val="-3"/>
        </w:rPr>
        <w:t> </w:t>
      </w:r>
      <w:r>
        <w:rPr/>
        <w:t>19th</w:t>
      </w:r>
      <w:r>
        <w:rPr>
          <w:spacing w:val="-3"/>
        </w:rPr>
        <w:t> </w:t>
      </w:r>
      <w:r>
        <w:rPr/>
        <w:t>CPC</w:t>
      </w:r>
      <w:r>
        <w:rPr>
          <w:spacing w:val="-3"/>
        </w:rPr>
        <w:t> </w:t>
      </w:r>
      <w:r>
        <w:rPr/>
        <w:t>National</w:t>
      </w:r>
      <w:r>
        <w:rPr>
          <w:spacing w:val="-3"/>
        </w:rPr>
        <w:t> </w:t>
      </w:r>
      <w:r>
        <w:rPr/>
        <w:t>Congress</w:t>
      </w:r>
      <w:r>
        <w:rPr>
          <w:spacing w:val="-3"/>
        </w:rPr>
        <w:t> </w:t>
      </w:r>
      <w:r>
        <w:rPr/>
        <w:t>and</w:t>
      </w:r>
      <w:r>
        <w:rPr>
          <w:spacing w:val="-3"/>
        </w:rPr>
        <w:t> </w:t>
      </w:r>
      <w:r>
        <w:rPr/>
        <w:t>the</w:t>
      </w:r>
      <w:r>
        <w:rPr>
          <w:spacing w:val="-3"/>
        </w:rPr>
        <w:t> </w:t>
      </w:r>
      <w:r>
        <w:rPr/>
        <w:t>2nd,</w:t>
      </w:r>
      <w:r>
        <w:rPr>
          <w:spacing w:val="-3"/>
        </w:rPr>
        <w:t> </w:t>
      </w:r>
      <w:r>
        <w:rPr/>
        <w:t>3rd,</w:t>
      </w:r>
      <w:r>
        <w:rPr>
          <w:spacing w:val="-3"/>
        </w:rPr>
        <w:t> </w:t>
      </w:r>
      <w:r>
        <w:rPr/>
        <w:t>4th</w:t>
      </w:r>
      <w:r>
        <w:rPr>
          <w:spacing w:val="-3"/>
        </w:rPr>
        <w:t> </w:t>
      </w:r>
      <w:r>
        <w:rPr/>
        <w:t>and</w:t>
      </w:r>
      <w:r>
        <w:rPr>
          <w:spacing w:val="-3"/>
        </w:rPr>
        <w:t> </w:t>
      </w:r>
      <w:r>
        <w:rPr/>
        <w:t>5th</w:t>
      </w:r>
      <w:r>
        <w:rPr>
          <w:spacing w:val="-3"/>
        </w:rPr>
        <w:t> </w:t>
      </w:r>
      <w:r>
        <w:rPr/>
        <w:t>Plenary</w:t>
      </w:r>
      <w:r>
        <w:rPr>
          <w:spacing w:val="-3"/>
        </w:rPr>
        <w:t> </w:t>
      </w:r>
      <w:r>
        <w:rPr/>
        <w:t>Sessions of the 19th CPC Central Committee, Xi Jinping Thought on Ecological Civilization and the decisions of the CPC Central Committee and the State Council. We must stay committed to the new development concept, striving for the strong awareness of green development, efﬁcient use of resources, strict protection of the environment and effective control of carbon emissions. We should work to showcase China’s leadership in global endeavor toward green transition and our commitment to building the world into a better and cleaner</w:t>
      </w:r>
      <w:r>
        <w:rPr>
          <w:spacing w:val="40"/>
        </w:rPr>
        <w:t> </w:t>
      </w:r>
      <w:r>
        <w:rPr/>
        <w:t>place and laying the groundwork for a new development paradigm” </w:t>
      </w:r>
      <w:r>
        <w:rPr/>
        <w:t>(MOFCOM and MEE 2021).</w:t>
      </w:r>
    </w:p>
    <w:p>
      <w:pPr>
        <w:pStyle w:val="BodyText"/>
        <w:rPr>
          <w:sz w:val="27"/>
        </w:rPr>
      </w:pPr>
    </w:p>
    <w:p>
      <w:pPr>
        <w:pStyle w:val="BodyText"/>
        <w:spacing w:line="333" w:lineRule="auto"/>
        <w:ind w:left="560" w:right="561"/>
      </w:pPr>
      <w:r>
        <w:rPr/>
        <w:t>However, when you cut through the ﬂowery rhetoric used by Chinese </w:t>
      </w:r>
      <w:r>
        <w:rPr/>
        <w:t>politicians and bureaucrats by following the money, a stark reality emerges: Beijing is</w:t>
      </w:r>
    </w:p>
    <w:p>
      <w:pPr>
        <w:spacing w:after="0" w:line="333" w:lineRule="auto"/>
        <w:sectPr>
          <w:pgSz w:w="12240" w:h="15840"/>
          <w:pgMar w:header="0" w:footer="720" w:top="1400" w:bottom="920" w:left="1240" w:right="1260"/>
        </w:sectPr>
      </w:pPr>
    </w:p>
    <w:p>
      <w:pPr>
        <w:pStyle w:val="BodyText"/>
        <w:spacing w:line="333" w:lineRule="auto" w:before="27"/>
        <w:ind w:left="560" w:right="544"/>
      </w:pPr>
      <w:r>
        <w:rPr/>
        <w:t>entrusting</w:t>
      </w:r>
      <w:r>
        <w:rPr>
          <w:spacing w:val="33"/>
        </w:rPr>
        <w:t> </w:t>
      </w:r>
      <w:r>
        <w:rPr/>
        <w:t>a</w:t>
      </w:r>
      <w:r>
        <w:rPr>
          <w:spacing w:val="33"/>
        </w:rPr>
        <w:t> </w:t>
      </w:r>
      <w:r>
        <w:rPr/>
        <w:t>shrinking</w:t>
      </w:r>
      <w:r>
        <w:rPr>
          <w:spacing w:val="33"/>
        </w:rPr>
        <w:t> </w:t>
      </w:r>
      <w:r>
        <w:rPr/>
        <w:t>proportion</w:t>
      </w:r>
      <w:r>
        <w:rPr>
          <w:spacing w:val="33"/>
        </w:rPr>
        <w:t> </w:t>
      </w:r>
      <w:r>
        <w:rPr/>
        <w:t>of</w:t>
      </w:r>
      <w:r>
        <w:rPr>
          <w:spacing w:val="33"/>
        </w:rPr>
        <w:t> </w:t>
      </w:r>
      <w:r>
        <w:rPr/>
        <w:t>its</w:t>
      </w:r>
      <w:r>
        <w:rPr>
          <w:spacing w:val="33"/>
        </w:rPr>
        <w:t> </w:t>
      </w:r>
      <w:r>
        <w:rPr/>
        <w:t>overseas</w:t>
      </w:r>
      <w:r>
        <w:rPr>
          <w:spacing w:val="33"/>
        </w:rPr>
        <w:t> </w:t>
      </w:r>
      <w:r>
        <w:rPr/>
        <w:t>infrastructure</w:t>
      </w:r>
      <w:r>
        <w:rPr>
          <w:spacing w:val="33"/>
        </w:rPr>
        <w:t> </w:t>
      </w:r>
      <w:r>
        <w:rPr/>
        <w:t>project</w:t>
      </w:r>
      <w:r>
        <w:rPr>
          <w:spacing w:val="33"/>
        </w:rPr>
        <w:t> </w:t>
      </w:r>
      <w:r>
        <w:rPr/>
        <w:t>portfolio to the country’s policy banks (CDB and China Eximbank), which have particularly weak</w:t>
      </w:r>
      <w:r>
        <w:rPr>
          <w:spacing w:val="-13"/>
        </w:rPr>
        <w:t> </w:t>
      </w:r>
      <w:r>
        <w:rPr/>
        <w:t>de</w:t>
      </w:r>
      <w:r>
        <w:rPr>
          <w:spacing w:val="-13"/>
        </w:rPr>
        <w:t> </w:t>
      </w:r>
      <w:r>
        <w:rPr/>
        <w:t>jure</w:t>
      </w:r>
      <w:r>
        <w:rPr>
          <w:spacing w:val="-13"/>
        </w:rPr>
        <w:t> </w:t>
      </w:r>
      <w:r>
        <w:rPr/>
        <w:t>ESG</w:t>
      </w:r>
      <w:r>
        <w:rPr>
          <w:spacing w:val="-13"/>
        </w:rPr>
        <w:t> </w:t>
      </w:r>
      <w:r>
        <w:rPr/>
        <w:t>safeguards</w:t>
      </w:r>
      <w:r>
        <w:rPr>
          <w:spacing w:val="-13"/>
        </w:rPr>
        <w:t> </w:t>
      </w:r>
      <w:r>
        <w:rPr/>
        <w:t>(see</w:t>
      </w:r>
      <w:r>
        <w:rPr>
          <w:spacing w:val="-13"/>
        </w:rPr>
        <w:t> </w:t>
      </w:r>
      <w:r>
        <w:rPr/>
        <w:t>Table</w:t>
      </w:r>
      <w:r>
        <w:rPr>
          <w:spacing w:val="-13"/>
        </w:rPr>
        <w:t> </w:t>
      </w:r>
      <w:r>
        <w:rPr/>
        <w:t>3.1</w:t>
      </w:r>
      <w:r>
        <w:rPr>
          <w:spacing w:val="-13"/>
        </w:rPr>
        <w:t> </w:t>
      </w:r>
      <w:r>
        <w:rPr/>
        <w:t>and</w:t>
      </w:r>
      <w:r>
        <w:rPr>
          <w:spacing w:val="-13"/>
        </w:rPr>
        <w:t> </w:t>
      </w:r>
      <w:r>
        <w:rPr/>
        <w:t>Table</w:t>
      </w:r>
      <w:r>
        <w:rPr>
          <w:spacing w:val="-13"/>
        </w:rPr>
        <w:t> </w:t>
      </w:r>
      <w:r>
        <w:rPr/>
        <w:t>3.2).</w:t>
      </w:r>
      <w:r>
        <w:rPr>
          <w:spacing w:val="-13"/>
        </w:rPr>
        <w:t> </w:t>
      </w:r>
      <w:r>
        <w:rPr/>
        <w:t>Figure</w:t>
      </w:r>
      <w:r>
        <w:rPr>
          <w:spacing w:val="-13"/>
        </w:rPr>
        <w:t> </w:t>
      </w:r>
      <w:r>
        <w:rPr/>
        <w:t>3.12</w:t>
      </w:r>
      <w:r>
        <w:rPr>
          <w:spacing w:val="-13"/>
        </w:rPr>
        <w:t> </w:t>
      </w:r>
      <w:r>
        <w:rPr/>
        <w:t>plots</w:t>
      </w:r>
      <w:r>
        <w:rPr>
          <w:spacing w:val="-13"/>
        </w:rPr>
        <w:t> </w:t>
      </w:r>
      <w:r>
        <w:rPr/>
        <w:t>two trends over time: the percentage of Chinese grant- and loan-ﬁnanced infrastructure projects with weak de jure ESG safeguards and the percentage of China’s infrastructure project portfolio ﬁnanced via bilateral loans from the country’s policy banks from 2000 to 2021. Beijing’s reliance upon policy bank ﬁnancing for infrastructure projects in LICs and MICs plummeted from 86% in 2013 to 41% in 2021.</w:t>
      </w:r>
      <w:r>
        <w:rPr>
          <w:vertAlign w:val="superscript"/>
        </w:rPr>
        <w:t>298</w:t>
      </w:r>
      <w:r>
        <w:rPr>
          <w:vertAlign w:val="baseline"/>
        </w:rPr>
        <w:t> The year-on-year changes that took place during this period also track very closely with year-on-year changes in the percentage of China’s overseas infrastructure project portfolio bankrolled by institutions with weak de jure ESG safeguards (see Figure 3.12).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r>
        <w:rPr/>
        <w:pict>
          <v:shape style="position:absolute;margin-left:90pt;margin-top:12.293164pt;width:144pt;height:.1pt;mso-position-horizontal-relative:page;mso-position-vertical-relative:paragraph;z-index:-15693824;mso-wrap-distance-left:0;mso-wrap-distance-right:0" id="docshape58" coordorigin="1800,246" coordsize="2880,0" path="m1800,246l4680,246e" filled="false" stroked="true" strokeweight=".75pt" strokecolor="#000000">
            <v:path arrowok="t"/>
            <v:stroke dashstyle="solid"/>
            <w10:wrap type="topAndBottom"/>
          </v:shape>
        </w:pict>
      </w:r>
    </w:p>
    <w:p>
      <w:pPr>
        <w:spacing w:line="249" w:lineRule="auto" w:before="109"/>
        <w:ind w:left="560" w:right="627" w:firstLine="0"/>
        <w:jc w:val="left"/>
        <w:rPr>
          <w:sz w:val="18"/>
        </w:rPr>
      </w:pPr>
      <w:r>
        <w:rPr>
          <w:sz w:val="18"/>
          <w:vertAlign w:val="superscript"/>
        </w:rPr>
        <w:t>298</w:t>
      </w:r>
      <w:r>
        <w:rPr>
          <w:sz w:val="18"/>
          <w:vertAlign w:val="baseline"/>
        </w:rPr>
        <w:t> This 45 percentage point decline obscures some differences across the two policy banks. Whereas the percentage of China’s infrastructure project portfolio in LICs and MICs ﬁnanced via CDB declined from 39.79% in the pre-BRI period (2000-2013) to 11.61% during the late BRI period (2018-2021), the percentage ﬁnanced via China Eximbank actually increased from 38.06% to 48.75% across these two periods (see Table 3.2). However, upon closer inspection, one can see that the percentages of China’s infrastructure project portfolio in LICs and MICs ﬁnanced via CDB </w:t>
      </w:r>
      <w:r>
        <w:rPr>
          <w:i/>
          <w:sz w:val="18"/>
          <w:vertAlign w:val="baseline"/>
        </w:rPr>
        <w:t>and </w:t>
      </w:r>
      <w:r>
        <w:rPr>
          <w:sz w:val="18"/>
          <w:vertAlign w:val="baseline"/>
        </w:rPr>
        <w:t>China Eximbank declined (for the most part) over the course of the late BRI period. Figures A56 and A57 demonstrate that the percentage </w:t>
      </w:r>
      <w:r>
        <w:rPr>
          <w:sz w:val="18"/>
          <w:vertAlign w:val="baseline"/>
        </w:rPr>
        <w:t>of the portfolio ﬁnanced via China Eximbank fell from 58.7% in 2018 to 18.3% in 2021 and the percentage of the portfolio ﬁnanced via CDB fell from 11.9% in 2018 to 4.3% in 2020 before ticking back up to 22.5% in </w:t>
      </w:r>
      <w:r>
        <w:rPr>
          <w:spacing w:val="-2"/>
          <w:sz w:val="18"/>
          <w:vertAlign w:val="baseline"/>
        </w:rPr>
        <w:t>2021.</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59"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3.12</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70">
            <wp:simplePos x="0" y="0"/>
            <wp:positionH relativeFrom="page">
              <wp:posOffset>1255811</wp:posOffset>
            </wp:positionH>
            <wp:positionV relativeFrom="paragraph">
              <wp:posOffset>116616</wp:posOffset>
            </wp:positionV>
            <wp:extent cx="5195429" cy="3184398"/>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2" cstate="print"/>
                    <a:stretch>
                      <a:fillRect/>
                    </a:stretch>
                  </pic:blipFill>
                  <pic:spPr>
                    <a:xfrm>
                      <a:off x="0" y="0"/>
                      <a:ext cx="5195429" cy="3184398"/>
                    </a:xfrm>
                    <a:prstGeom prst="rect">
                      <a:avLst/>
                    </a:prstGeom>
                  </pic:spPr>
                </pic:pic>
              </a:graphicData>
            </a:graphic>
          </wp:anchor>
        </w:drawing>
      </w:r>
    </w:p>
    <w:p>
      <w:pPr>
        <w:pStyle w:val="BodyText"/>
        <w:rPr>
          <w:sz w:val="20"/>
        </w:rPr>
      </w:pPr>
    </w:p>
    <w:p>
      <w:pPr>
        <w:pStyle w:val="BodyText"/>
        <w:spacing w:before="10"/>
        <w:rPr>
          <w:sz w:val="16"/>
        </w:rPr>
      </w:pPr>
    </w:p>
    <w:p>
      <w:pPr>
        <w:spacing w:before="71"/>
        <w:ind w:left="560" w:right="0" w:firstLine="0"/>
        <w:jc w:val="left"/>
        <w:rPr>
          <w:i/>
          <w:sz w:val="18"/>
        </w:rPr>
      </w:pPr>
      <w:r>
        <w:rPr>
          <w:i/>
          <w:sz w:val="18"/>
        </w:rPr>
        <w:t>Notes:</w:t>
      </w:r>
      <w:r>
        <w:rPr>
          <w:i/>
          <w:spacing w:val="-4"/>
          <w:sz w:val="18"/>
        </w:rPr>
        <w:t> </w:t>
      </w:r>
      <w:r>
        <w:rPr>
          <w:i/>
          <w:sz w:val="18"/>
        </w:rPr>
        <w:t>Weak</w:t>
      </w:r>
      <w:r>
        <w:rPr>
          <w:i/>
          <w:spacing w:val="-3"/>
          <w:sz w:val="18"/>
        </w:rPr>
        <w:t> </w:t>
      </w:r>
      <w:r>
        <w:rPr>
          <w:i/>
          <w:sz w:val="18"/>
        </w:rPr>
        <w:t>de</w:t>
      </w:r>
      <w:r>
        <w:rPr>
          <w:i/>
          <w:spacing w:val="-3"/>
          <w:sz w:val="18"/>
        </w:rPr>
        <w:t> </w:t>
      </w:r>
      <w:r>
        <w:rPr>
          <w:i/>
          <w:sz w:val="18"/>
        </w:rPr>
        <w:t>jure</w:t>
      </w:r>
      <w:r>
        <w:rPr>
          <w:i/>
          <w:spacing w:val="-3"/>
          <w:sz w:val="18"/>
        </w:rPr>
        <w:t> </w:t>
      </w:r>
      <w:r>
        <w:rPr>
          <w:i/>
          <w:sz w:val="18"/>
        </w:rPr>
        <w:t>ESG</w:t>
      </w:r>
      <w:r>
        <w:rPr>
          <w:i/>
          <w:spacing w:val="-3"/>
          <w:sz w:val="18"/>
        </w:rPr>
        <w:t> </w:t>
      </w:r>
      <w:r>
        <w:rPr>
          <w:i/>
          <w:sz w:val="18"/>
        </w:rPr>
        <w:t>safeguards</w:t>
      </w:r>
      <w:r>
        <w:rPr>
          <w:i/>
          <w:spacing w:val="-4"/>
          <w:sz w:val="18"/>
        </w:rPr>
        <w:t> </w:t>
      </w:r>
      <w:r>
        <w:rPr>
          <w:i/>
          <w:sz w:val="18"/>
        </w:rPr>
        <w:t>are</w:t>
      </w:r>
      <w:r>
        <w:rPr>
          <w:i/>
          <w:spacing w:val="-3"/>
          <w:sz w:val="18"/>
        </w:rPr>
        <w:t> </w:t>
      </w:r>
      <w:r>
        <w:rPr>
          <w:i/>
          <w:sz w:val="18"/>
        </w:rPr>
        <w:t>deﬁned</w:t>
      </w:r>
      <w:r>
        <w:rPr>
          <w:i/>
          <w:spacing w:val="-3"/>
          <w:sz w:val="18"/>
        </w:rPr>
        <w:t> </w:t>
      </w:r>
      <w:r>
        <w:rPr>
          <w:i/>
          <w:sz w:val="18"/>
        </w:rPr>
        <w:t>in</w:t>
      </w:r>
      <w:r>
        <w:rPr>
          <w:i/>
          <w:spacing w:val="-3"/>
          <w:sz w:val="18"/>
        </w:rPr>
        <w:t> </w:t>
      </w:r>
      <w:r>
        <w:rPr>
          <w:i/>
          <w:sz w:val="18"/>
        </w:rPr>
        <w:t>Section</w:t>
      </w:r>
      <w:r>
        <w:rPr>
          <w:i/>
          <w:spacing w:val="-3"/>
          <w:sz w:val="18"/>
        </w:rPr>
        <w:t> </w:t>
      </w:r>
      <w:r>
        <w:rPr>
          <w:i/>
          <w:sz w:val="18"/>
        </w:rPr>
        <w:t>A-9</w:t>
      </w:r>
      <w:r>
        <w:rPr>
          <w:i/>
          <w:spacing w:val="-4"/>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20"/>
        </w:rPr>
      </w:pPr>
    </w:p>
    <w:p>
      <w:pPr>
        <w:pStyle w:val="BodyText"/>
        <w:spacing w:before="9"/>
        <w:rPr>
          <w:i/>
        </w:rPr>
      </w:pPr>
      <w:r>
        <w:rPr/>
        <w:pict>
          <v:shape style="position:absolute;margin-left:84pt;margin-top:15.448828pt;width:444pt;height:38pt;mso-position-horizontal-relative:page;mso-position-vertical-relative:paragraph;z-index:-15692288;mso-wrap-distance-left:0;mso-wrap-distance-right:0" type="#_x0000_t202" id="docshape60" filled="true" fillcolor="#5b666f" stroked="false">
            <v:textbox inset="0,0,0,0">
              <w:txbxContent>
                <w:p>
                  <w:pPr>
                    <w:spacing w:before="121"/>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3.2</w:t>
                  </w:r>
                </w:p>
              </w:txbxContent>
            </v:textbox>
            <v:fill type="solid"/>
            <w10:wrap type="topAndBottom"/>
          </v:shape>
        </w:pict>
      </w:r>
    </w:p>
    <w:p>
      <w:pPr>
        <w:pStyle w:val="Heading2"/>
        <w:spacing w:line="331" w:lineRule="auto" w:before="0"/>
        <w:ind w:left="560" w:right="561"/>
      </w:pPr>
      <w:r>
        <w:rPr>
          <w:spacing w:val="-6"/>
        </w:rPr>
        <w:t>China’s</w:t>
      </w:r>
      <w:r>
        <w:rPr>
          <w:spacing w:val="-14"/>
        </w:rPr>
        <w:t> </w:t>
      </w:r>
      <w:r>
        <w:rPr>
          <w:spacing w:val="-6"/>
        </w:rPr>
        <w:t>grant-</w:t>
      </w:r>
      <w:r>
        <w:rPr>
          <w:spacing w:val="-14"/>
        </w:rPr>
        <w:t> </w:t>
      </w:r>
      <w:r>
        <w:rPr>
          <w:spacing w:val="-6"/>
        </w:rPr>
        <w:t>and</w:t>
      </w:r>
      <w:r>
        <w:rPr>
          <w:spacing w:val="-14"/>
        </w:rPr>
        <w:t> </w:t>
      </w:r>
      <w:r>
        <w:rPr>
          <w:spacing w:val="-6"/>
        </w:rPr>
        <w:t>loan-ﬁnanced</w:t>
      </w:r>
      <w:r>
        <w:rPr>
          <w:spacing w:val="-14"/>
        </w:rPr>
        <w:t> </w:t>
      </w:r>
      <w:r>
        <w:rPr>
          <w:spacing w:val="-6"/>
        </w:rPr>
        <w:t>infrastructure</w:t>
      </w:r>
      <w:r>
        <w:rPr>
          <w:spacing w:val="-14"/>
        </w:rPr>
        <w:t> </w:t>
      </w:r>
      <w:r>
        <w:rPr>
          <w:spacing w:val="-6"/>
        </w:rPr>
        <w:t>portfolio</w:t>
      </w:r>
      <w:r>
        <w:rPr>
          <w:spacing w:val="-14"/>
        </w:rPr>
        <w:t> </w:t>
      </w:r>
      <w:r>
        <w:rPr>
          <w:spacing w:val="-6"/>
        </w:rPr>
        <w:t>by </w:t>
      </w:r>
      <w:r>
        <w:rPr>
          <w:spacing w:val="-2"/>
        </w:rPr>
        <w:t>type</w:t>
      </w:r>
      <w:r>
        <w:rPr>
          <w:spacing w:val="-17"/>
        </w:rPr>
        <w:t> </w:t>
      </w:r>
      <w:r>
        <w:rPr>
          <w:spacing w:val="-2"/>
        </w:rPr>
        <w:t>of</w:t>
      </w:r>
      <w:r>
        <w:rPr>
          <w:spacing w:val="-17"/>
        </w:rPr>
        <w:t> </w:t>
      </w:r>
      <w:r>
        <w:rPr>
          <w:spacing w:val="-2"/>
        </w:rPr>
        <w:t>ﬁnancing</w:t>
      </w:r>
      <w:r>
        <w:rPr>
          <w:spacing w:val="-17"/>
        </w:rPr>
        <w:t> </w:t>
      </w:r>
      <w:r>
        <w:rPr>
          <w:spacing w:val="-2"/>
        </w:rPr>
        <w:t>instrument</w:t>
      </w:r>
      <w:r>
        <w:rPr>
          <w:spacing w:val="-17"/>
        </w:rPr>
        <w:t> </w:t>
      </w:r>
      <w:r>
        <w:rPr>
          <w:spacing w:val="-2"/>
        </w:rPr>
        <w:t>over</w:t>
      </w:r>
      <w:r>
        <w:rPr>
          <w:spacing w:val="-17"/>
        </w:rPr>
        <w:t> </w:t>
      </w:r>
      <w:r>
        <w:rPr>
          <w:spacing w:val="-2"/>
        </w:rPr>
        <w:t>time</w:t>
      </w:r>
    </w:p>
    <w:p>
      <w:pPr>
        <w:pStyle w:val="BodyText"/>
        <w:spacing w:before="4"/>
        <w:rPr>
          <w:rFonts w:ascii="Gill Sans MT"/>
          <w:b/>
          <w:sz w:val="29"/>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48"/>
        <w:gridCol w:w="1394"/>
        <w:gridCol w:w="1515"/>
        <w:gridCol w:w="1362"/>
      </w:tblGrid>
      <w:tr>
        <w:trPr>
          <w:trHeight w:val="575" w:hRule="atLeast"/>
        </w:trPr>
        <w:tc>
          <w:tcPr>
            <w:tcW w:w="5248" w:type="dxa"/>
            <w:tcBorders>
              <w:bottom w:val="single" w:sz="8" w:space="0" w:color="4472C3"/>
            </w:tcBorders>
          </w:tcPr>
          <w:p>
            <w:pPr>
              <w:pStyle w:val="TableParagraph"/>
              <w:spacing w:before="4"/>
              <w:ind w:left="0"/>
              <w:rPr>
                <w:rFonts w:ascii="Gill Sans MT"/>
                <w:b/>
                <w:sz w:val="14"/>
              </w:rPr>
            </w:pPr>
          </w:p>
          <w:p>
            <w:pPr>
              <w:pStyle w:val="TableParagraph"/>
              <w:ind w:left="5"/>
              <w:rPr>
                <w:b/>
                <w:sz w:val="18"/>
              </w:rPr>
            </w:pPr>
            <w:r>
              <w:rPr>
                <w:b/>
                <w:spacing w:val="-5"/>
                <w:sz w:val="18"/>
              </w:rPr>
              <w:t>Contract</w:t>
            </w:r>
            <w:r>
              <w:rPr>
                <w:b/>
                <w:sz w:val="18"/>
              </w:rPr>
              <w:t> </w:t>
            </w:r>
            <w:r>
              <w:rPr>
                <w:b/>
                <w:spacing w:val="-2"/>
                <w:sz w:val="18"/>
              </w:rPr>
              <w:t>Category</w:t>
            </w:r>
          </w:p>
        </w:tc>
        <w:tc>
          <w:tcPr>
            <w:tcW w:w="1394" w:type="dxa"/>
            <w:tcBorders>
              <w:bottom w:val="single" w:sz="8" w:space="0" w:color="4472C3"/>
            </w:tcBorders>
          </w:tcPr>
          <w:p>
            <w:pPr>
              <w:pStyle w:val="TableParagraph"/>
              <w:spacing w:line="174" w:lineRule="exact"/>
              <w:ind w:left="157"/>
              <w:rPr>
                <w:b/>
                <w:sz w:val="18"/>
              </w:rPr>
            </w:pPr>
            <w:r>
              <w:rPr>
                <w:b/>
                <w:w w:val="90"/>
                <w:sz w:val="18"/>
              </w:rPr>
              <w:t>Pre-</w:t>
            </w:r>
            <w:r>
              <w:rPr>
                <w:b/>
                <w:spacing w:val="-5"/>
                <w:w w:val="95"/>
                <w:sz w:val="18"/>
              </w:rPr>
              <w:t>BRI</w:t>
            </w:r>
          </w:p>
          <w:p>
            <w:pPr>
              <w:pStyle w:val="TableParagraph"/>
              <w:spacing w:before="9"/>
              <w:ind w:left="157"/>
              <w:rPr>
                <w:b/>
                <w:sz w:val="18"/>
              </w:rPr>
            </w:pPr>
            <w:r>
              <w:rPr>
                <w:b/>
                <w:spacing w:val="-4"/>
                <w:sz w:val="18"/>
              </w:rPr>
              <w:t>(2000-2013)</w:t>
            </w:r>
          </w:p>
        </w:tc>
        <w:tc>
          <w:tcPr>
            <w:tcW w:w="1515" w:type="dxa"/>
            <w:tcBorders>
              <w:bottom w:val="single" w:sz="8" w:space="0" w:color="4472C3"/>
            </w:tcBorders>
          </w:tcPr>
          <w:p>
            <w:pPr>
              <w:pStyle w:val="TableParagraph"/>
              <w:spacing w:line="174" w:lineRule="exact"/>
              <w:ind w:left="278"/>
              <w:rPr>
                <w:b/>
                <w:sz w:val="18"/>
              </w:rPr>
            </w:pPr>
            <w:r>
              <w:rPr>
                <w:b/>
                <w:w w:val="90"/>
                <w:sz w:val="18"/>
              </w:rPr>
              <w:t>Early</w:t>
            </w:r>
            <w:r>
              <w:rPr>
                <w:b/>
                <w:spacing w:val="-1"/>
                <w:w w:val="90"/>
                <w:sz w:val="18"/>
              </w:rPr>
              <w:t> </w:t>
            </w:r>
            <w:r>
              <w:rPr>
                <w:b/>
                <w:spacing w:val="-5"/>
                <w:sz w:val="18"/>
              </w:rPr>
              <w:t>BRI</w:t>
            </w:r>
          </w:p>
          <w:p>
            <w:pPr>
              <w:pStyle w:val="TableParagraph"/>
              <w:spacing w:before="9"/>
              <w:ind w:left="278"/>
              <w:rPr>
                <w:b/>
                <w:sz w:val="18"/>
              </w:rPr>
            </w:pPr>
            <w:r>
              <w:rPr>
                <w:b/>
                <w:spacing w:val="-4"/>
                <w:sz w:val="18"/>
              </w:rPr>
              <w:t>(2014-2017)</w:t>
            </w:r>
          </w:p>
        </w:tc>
        <w:tc>
          <w:tcPr>
            <w:tcW w:w="1362" w:type="dxa"/>
            <w:tcBorders>
              <w:bottom w:val="single" w:sz="8" w:space="0" w:color="4472C3"/>
            </w:tcBorders>
          </w:tcPr>
          <w:p>
            <w:pPr>
              <w:pStyle w:val="TableParagraph"/>
              <w:spacing w:line="174" w:lineRule="exact"/>
              <w:ind w:left="278"/>
              <w:rPr>
                <w:b/>
                <w:sz w:val="18"/>
              </w:rPr>
            </w:pPr>
            <w:r>
              <w:rPr>
                <w:b/>
                <w:spacing w:val="-5"/>
                <w:sz w:val="18"/>
              </w:rPr>
              <w:t>Late</w:t>
            </w:r>
            <w:r>
              <w:rPr>
                <w:b/>
                <w:spacing w:val="-6"/>
                <w:sz w:val="18"/>
              </w:rPr>
              <w:t> </w:t>
            </w:r>
            <w:r>
              <w:rPr>
                <w:b/>
                <w:spacing w:val="-5"/>
                <w:sz w:val="18"/>
              </w:rPr>
              <w:t>BRI</w:t>
            </w:r>
          </w:p>
          <w:p>
            <w:pPr>
              <w:pStyle w:val="TableParagraph"/>
              <w:spacing w:before="9"/>
              <w:ind w:left="278"/>
              <w:rPr>
                <w:b/>
                <w:sz w:val="18"/>
              </w:rPr>
            </w:pPr>
            <w:r>
              <w:rPr>
                <w:b/>
                <w:spacing w:val="-4"/>
                <w:sz w:val="18"/>
              </w:rPr>
              <w:t>(2018-2021)</w:t>
            </w:r>
          </w:p>
        </w:tc>
      </w:tr>
      <w:tr>
        <w:trPr>
          <w:trHeight w:val="356" w:hRule="atLeast"/>
        </w:trPr>
        <w:tc>
          <w:tcPr>
            <w:tcW w:w="5248" w:type="dxa"/>
            <w:tcBorders>
              <w:top w:val="single" w:sz="8" w:space="0" w:color="4472C3"/>
            </w:tcBorders>
          </w:tcPr>
          <w:p>
            <w:pPr>
              <w:pStyle w:val="TableParagraph"/>
              <w:spacing w:before="1"/>
              <w:ind w:left="5"/>
              <w:rPr>
                <w:sz w:val="18"/>
              </w:rPr>
            </w:pPr>
            <w:r>
              <w:rPr>
                <w:sz w:val="18"/>
              </w:rPr>
              <w:t>Bilateral</w:t>
            </w:r>
            <w:r>
              <w:rPr>
                <w:spacing w:val="-10"/>
                <w:sz w:val="18"/>
              </w:rPr>
              <w:t> </w:t>
            </w:r>
            <w:r>
              <w:rPr>
                <w:sz w:val="18"/>
              </w:rPr>
              <w:t>China</w:t>
            </w:r>
            <w:r>
              <w:rPr>
                <w:spacing w:val="-9"/>
                <w:sz w:val="18"/>
              </w:rPr>
              <w:t> </w:t>
            </w:r>
            <w:r>
              <w:rPr>
                <w:sz w:val="18"/>
              </w:rPr>
              <w:t>Eximbank</w:t>
            </w:r>
            <w:r>
              <w:rPr>
                <w:spacing w:val="-9"/>
                <w:sz w:val="18"/>
              </w:rPr>
              <w:t> </w:t>
            </w:r>
            <w:r>
              <w:rPr>
                <w:spacing w:val="-4"/>
                <w:sz w:val="18"/>
              </w:rPr>
              <w:t>loan</w:t>
            </w:r>
          </w:p>
        </w:tc>
        <w:tc>
          <w:tcPr>
            <w:tcW w:w="1394" w:type="dxa"/>
            <w:tcBorders>
              <w:top w:val="single" w:sz="8" w:space="0" w:color="4472C3"/>
            </w:tcBorders>
          </w:tcPr>
          <w:p>
            <w:pPr>
              <w:pStyle w:val="TableParagraph"/>
              <w:spacing w:before="1"/>
              <w:ind w:left="157"/>
              <w:rPr>
                <w:sz w:val="18"/>
              </w:rPr>
            </w:pPr>
            <w:r>
              <w:rPr>
                <w:spacing w:val="-2"/>
                <w:sz w:val="18"/>
              </w:rPr>
              <w:t>38.06%</w:t>
            </w:r>
          </w:p>
        </w:tc>
        <w:tc>
          <w:tcPr>
            <w:tcW w:w="1515" w:type="dxa"/>
            <w:tcBorders>
              <w:top w:val="single" w:sz="8" w:space="0" w:color="4472C3"/>
            </w:tcBorders>
          </w:tcPr>
          <w:p>
            <w:pPr>
              <w:pStyle w:val="TableParagraph"/>
              <w:spacing w:before="1"/>
              <w:ind w:left="278"/>
              <w:rPr>
                <w:sz w:val="18"/>
              </w:rPr>
            </w:pPr>
            <w:r>
              <w:rPr>
                <w:spacing w:val="-2"/>
                <w:sz w:val="18"/>
              </w:rPr>
              <w:t>43.84%</w:t>
            </w:r>
          </w:p>
        </w:tc>
        <w:tc>
          <w:tcPr>
            <w:tcW w:w="1362" w:type="dxa"/>
            <w:tcBorders>
              <w:top w:val="single" w:sz="8" w:space="0" w:color="4472C3"/>
            </w:tcBorders>
          </w:tcPr>
          <w:p>
            <w:pPr>
              <w:pStyle w:val="TableParagraph"/>
              <w:spacing w:before="1"/>
              <w:ind w:left="278"/>
              <w:rPr>
                <w:sz w:val="18"/>
              </w:rPr>
            </w:pPr>
            <w:r>
              <w:rPr>
                <w:spacing w:val="-2"/>
                <w:sz w:val="18"/>
              </w:rPr>
              <w:t>48.75%</w:t>
            </w:r>
          </w:p>
        </w:tc>
      </w:tr>
      <w:tr>
        <w:trPr>
          <w:trHeight w:val="465" w:hRule="atLeast"/>
        </w:trPr>
        <w:tc>
          <w:tcPr>
            <w:tcW w:w="5248" w:type="dxa"/>
          </w:tcPr>
          <w:p>
            <w:pPr>
              <w:pStyle w:val="TableParagraph"/>
              <w:spacing w:before="109"/>
              <w:ind w:left="5"/>
              <w:rPr>
                <w:sz w:val="18"/>
              </w:rPr>
            </w:pPr>
            <w:r>
              <w:rPr>
                <w:sz w:val="18"/>
              </w:rPr>
              <w:t>Bilateral</w:t>
            </w:r>
            <w:r>
              <w:rPr>
                <w:spacing w:val="-7"/>
                <w:sz w:val="18"/>
              </w:rPr>
              <w:t> </w:t>
            </w:r>
            <w:r>
              <w:rPr>
                <w:sz w:val="18"/>
              </w:rPr>
              <w:t>CDB</w:t>
            </w:r>
            <w:r>
              <w:rPr>
                <w:spacing w:val="-6"/>
                <w:sz w:val="18"/>
              </w:rPr>
              <w:t> </w:t>
            </w:r>
            <w:r>
              <w:rPr>
                <w:spacing w:val="-4"/>
                <w:sz w:val="18"/>
              </w:rPr>
              <w:t>loan</w:t>
            </w:r>
          </w:p>
        </w:tc>
        <w:tc>
          <w:tcPr>
            <w:tcW w:w="1394" w:type="dxa"/>
          </w:tcPr>
          <w:p>
            <w:pPr>
              <w:pStyle w:val="TableParagraph"/>
              <w:spacing w:before="109"/>
              <w:ind w:left="157"/>
              <w:rPr>
                <w:sz w:val="18"/>
              </w:rPr>
            </w:pPr>
            <w:r>
              <w:rPr>
                <w:spacing w:val="-2"/>
                <w:sz w:val="18"/>
              </w:rPr>
              <w:t>39.79%</w:t>
            </w:r>
          </w:p>
        </w:tc>
        <w:tc>
          <w:tcPr>
            <w:tcW w:w="1515" w:type="dxa"/>
          </w:tcPr>
          <w:p>
            <w:pPr>
              <w:pStyle w:val="TableParagraph"/>
              <w:spacing w:before="109"/>
              <w:ind w:left="278"/>
              <w:rPr>
                <w:sz w:val="18"/>
              </w:rPr>
            </w:pPr>
            <w:r>
              <w:rPr>
                <w:spacing w:val="-2"/>
                <w:sz w:val="18"/>
              </w:rPr>
              <w:t>23.93%</w:t>
            </w:r>
          </w:p>
        </w:tc>
        <w:tc>
          <w:tcPr>
            <w:tcW w:w="1362" w:type="dxa"/>
          </w:tcPr>
          <w:p>
            <w:pPr>
              <w:pStyle w:val="TableParagraph"/>
              <w:spacing w:before="109"/>
              <w:ind w:left="278"/>
              <w:rPr>
                <w:sz w:val="18"/>
              </w:rPr>
            </w:pPr>
            <w:r>
              <w:rPr>
                <w:spacing w:val="-2"/>
                <w:sz w:val="18"/>
              </w:rPr>
              <w:t>11.61%</w:t>
            </w:r>
          </w:p>
        </w:tc>
      </w:tr>
      <w:tr>
        <w:trPr>
          <w:trHeight w:val="465" w:hRule="atLeast"/>
        </w:trPr>
        <w:tc>
          <w:tcPr>
            <w:tcW w:w="5248" w:type="dxa"/>
          </w:tcPr>
          <w:p>
            <w:pPr>
              <w:pStyle w:val="TableParagraph"/>
              <w:spacing w:before="109"/>
              <w:ind w:left="5"/>
              <w:rPr>
                <w:sz w:val="18"/>
              </w:rPr>
            </w:pPr>
            <w:r>
              <w:rPr>
                <w:sz w:val="18"/>
              </w:rPr>
              <w:t>Bilateral</w:t>
            </w:r>
            <w:r>
              <w:rPr>
                <w:spacing w:val="6"/>
                <w:sz w:val="18"/>
              </w:rPr>
              <w:t> </w:t>
            </w:r>
            <w:r>
              <w:rPr>
                <w:sz w:val="18"/>
              </w:rPr>
              <w:t>MOFCOM</w:t>
            </w:r>
            <w:r>
              <w:rPr>
                <w:spacing w:val="7"/>
                <w:sz w:val="18"/>
              </w:rPr>
              <w:t> </w:t>
            </w:r>
            <w:r>
              <w:rPr>
                <w:sz w:val="18"/>
              </w:rPr>
              <w:t>loan</w:t>
            </w:r>
            <w:r>
              <w:rPr>
                <w:spacing w:val="7"/>
                <w:sz w:val="18"/>
              </w:rPr>
              <w:t> </w:t>
            </w:r>
            <w:r>
              <w:rPr>
                <w:sz w:val="18"/>
              </w:rPr>
              <w:t>or</w:t>
            </w:r>
            <w:r>
              <w:rPr>
                <w:spacing w:val="6"/>
                <w:sz w:val="18"/>
              </w:rPr>
              <w:t> </w:t>
            </w:r>
            <w:r>
              <w:rPr>
                <w:spacing w:val="-2"/>
                <w:sz w:val="18"/>
              </w:rPr>
              <w:t>grant</w:t>
            </w:r>
          </w:p>
        </w:tc>
        <w:tc>
          <w:tcPr>
            <w:tcW w:w="1394" w:type="dxa"/>
          </w:tcPr>
          <w:p>
            <w:pPr>
              <w:pStyle w:val="TableParagraph"/>
              <w:spacing w:before="109"/>
              <w:ind w:left="157"/>
              <w:rPr>
                <w:sz w:val="18"/>
              </w:rPr>
            </w:pPr>
            <w:r>
              <w:rPr>
                <w:spacing w:val="-2"/>
                <w:sz w:val="18"/>
              </w:rPr>
              <w:t>2.64%</w:t>
            </w:r>
          </w:p>
        </w:tc>
        <w:tc>
          <w:tcPr>
            <w:tcW w:w="1515" w:type="dxa"/>
          </w:tcPr>
          <w:p>
            <w:pPr>
              <w:pStyle w:val="TableParagraph"/>
              <w:spacing w:before="109"/>
              <w:ind w:left="278"/>
              <w:rPr>
                <w:sz w:val="18"/>
              </w:rPr>
            </w:pPr>
            <w:r>
              <w:rPr>
                <w:spacing w:val="-2"/>
                <w:sz w:val="18"/>
              </w:rPr>
              <w:t>2.68%</w:t>
            </w:r>
          </w:p>
        </w:tc>
        <w:tc>
          <w:tcPr>
            <w:tcW w:w="1362" w:type="dxa"/>
          </w:tcPr>
          <w:p>
            <w:pPr>
              <w:pStyle w:val="TableParagraph"/>
              <w:spacing w:before="109"/>
              <w:ind w:left="278"/>
              <w:rPr>
                <w:sz w:val="18"/>
              </w:rPr>
            </w:pPr>
            <w:r>
              <w:rPr>
                <w:spacing w:val="-2"/>
                <w:sz w:val="18"/>
              </w:rPr>
              <w:t>3.10%</w:t>
            </w:r>
          </w:p>
        </w:tc>
      </w:tr>
      <w:tr>
        <w:trPr>
          <w:trHeight w:val="465" w:hRule="atLeast"/>
        </w:trPr>
        <w:tc>
          <w:tcPr>
            <w:tcW w:w="5248" w:type="dxa"/>
          </w:tcPr>
          <w:p>
            <w:pPr>
              <w:pStyle w:val="TableParagraph"/>
              <w:spacing w:before="109"/>
              <w:ind w:left="5"/>
              <w:rPr>
                <w:sz w:val="18"/>
              </w:rPr>
            </w:pPr>
            <w:r>
              <w:rPr>
                <w:sz w:val="18"/>
              </w:rPr>
              <w:t>Bilateral</w:t>
            </w:r>
            <w:r>
              <w:rPr>
                <w:spacing w:val="-4"/>
                <w:sz w:val="18"/>
              </w:rPr>
              <w:t> </w:t>
            </w:r>
            <w:r>
              <w:rPr>
                <w:sz w:val="18"/>
              </w:rPr>
              <w:t>Chinese</w:t>
            </w:r>
            <w:r>
              <w:rPr>
                <w:spacing w:val="-3"/>
                <w:sz w:val="18"/>
              </w:rPr>
              <w:t> </w:t>
            </w:r>
            <w:r>
              <w:rPr>
                <w:sz w:val="18"/>
              </w:rPr>
              <w:t>state-owned</w:t>
            </w:r>
            <w:r>
              <w:rPr>
                <w:spacing w:val="-4"/>
                <w:sz w:val="18"/>
              </w:rPr>
              <w:t> </w:t>
            </w:r>
            <w:r>
              <w:rPr>
                <w:sz w:val="18"/>
              </w:rPr>
              <w:t>commercial</w:t>
            </w:r>
            <w:r>
              <w:rPr>
                <w:spacing w:val="-3"/>
                <w:sz w:val="18"/>
              </w:rPr>
              <w:t> </w:t>
            </w:r>
            <w:r>
              <w:rPr>
                <w:sz w:val="18"/>
              </w:rPr>
              <w:t>bank</w:t>
            </w:r>
            <w:r>
              <w:rPr>
                <w:spacing w:val="-4"/>
                <w:sz w:val="18"/>
              </w:rPr>
              <w:t> loan</w:t>
            </w:r>
          </w:p>
        </w:tc>
        <w:tc>
          <w:tcPr>
            <w:tcW w:w="1394" w:type="dxa"/>
          </w:tcPr>
          <w:p>
            <w:pPr>
              <w:pStyle w:val="TableParagraph"/>
              <w:spacing w:before="109"/>
              <w:ind w:left="157"/>
              <w:rPr>
                <w:sz w:val="18"/>
              </w:rPr>
            </w:pPr>
            <w:r>
              <w:rPr>
                <w:spacing w:val="-2"/>
                <w:sz w:val="18"/>
              </w:rPr>
              <w:t>5.14%</w:t>
            </w:r>
          </w:p>
        </w:tc>
        <w:tc>
          <w:tcPr>
            <w:tcW w:w="1515" w:type="dxa"/>
          </w:tcPr>
          <w:p>
            <w:pPr>
              <w:pStyle w:val="TableParagraph"/>
              <w:spacing w:before="109"/>
              <w:ind w:left="278"/>
              <w:rPr>
                <w:sz w:val="18"/>
              </w:rPr>
            </w:pPr>
            <w:r>
              <w:rPr>
                <w:spacing w:val="-2"/>
                <w:sz w:val="18"/>
              </w:rPr>
              <w:t>9.38%</w:t>
            </w:r>
          </w:p>
        </w:tc>
        <w:tc>
          <w:tcPr>
            <w:tcW w:w="1362" w:type="dxa"/>
          </w:tcPr>
          <w:p>
            <w:pPr>
              <w:pStyle w:val="TableParagraph"/>
              <w:spacing w:before="109"/>
              <w:ind w:left="278"/>
              <w:rPr>
                <w:sz w:val="18"/>
              </w:rPr>
            </w:pPr>
            <w:r>
              <w:rPr>
                <w:spacing w:val="-2"/>
                <w:sz w:val="18"/>
              </w:rPr>
              <w:t>8.84%</w:t>
            </w:r>
          </w:p>
        </w:tc>
      </w:tr>
      <w:tr>
        <w:trPr>
          <w:trHeight w:val="465" w:hRule="atLeast"/>
        </w:trPr>
        <w:tc>
          <w:tcPr>
            <w:tcW w:w="5248" w:type="dxa"/>
          </w:tcPr>
          <w:p>
            <w:pPr>
              <w:pStyle w:val="TableParagraph"/>
              <w:spacing w:before="109"/>
              <w:ind w:left="5"/>
              <w:rPr>
                <w:sz w:val="18"/>
              </w:rPr>
            </w:pPr>
            <w:r>
              <w:rPr>
                <w:sz w:val="18"/>
              </w:rPr>
              <w:t>Syndicated loan</w:t>
            </w:r>
            <w:r>
              <w:rPr>
                <w:spacing w:val="1"/>
                <w:sz w:val="18"/>
              </w:rPr>
              <w:t> </w:t>
            </w:r>
            <w:r>
              <w:rPr>
                <w:sz w:val="18"/>
              </w:rPr>
              <w:t>with Chinese</w:t>
            </w:r>
            <w:r>
              <w:rPr>
                <w:spacing w:val="1"/>
                <w:sz w:val="18"/>
              </w:rPr>
              <w:t> </w:t>
            </w:r>
            <w:r>
              <w:rPr>
                <w:sz w:val="18"/>
              </w:rPr>
              <w:t>and multilateral</w:t>
            </w:r>
            <w:r>
              <w:rPr>
                <w:spacing w:val="1"/>
                <w:sz w:val="18"/>
              </w:rPr>
              <w:t> </w:t>
            </w:r>
            <w:r>
              <w:rPr>
                <w:sz w:val="18"/>
              </w:rPr>
              <w:t>bank</w:t>
            </w:r>
            <w:r>
              <w:rPr>
                <w:spacing w:val="1"/>
                <w:sz w:val="18"/>
              </w:rPr>
              <w:t> </w:t>
            </w:r>
            <w:r>
              <w:rPr>
                <w:spacing w:val="-2"/>
                <w:sz w:val="18"/>
              </w:rPr>
              <w:t>participants</w:t>
            </w:r>
          </w:p>
        </w:tc>
        <w:tc>
          <w:tcPr>
            <w:tcW w:w="1394" w:type="dxa"/>
          </w:tcPr>
          <w:p>
            <w:pPr>
              <w:pStyle w:val="TableParagraph"/>
              <w:spacing w:before="109"/>
              <w:ind w:left="157"/>
              <w:rPr>
                <w:sz w:val="18"/>
              </w:rPr>
            </w:pPr>
            <w:r>
              <w:rPr>
                <w:spacing w:val="-2"/>
                <w:sz w:val="18"/>
              </w:rPr>
              <w:t>0.80%</w:t>
            </w:r>
          </w:p>
        </w:tc>
        <w:tc>
          <w:tcPr>
            <w:tcW w:w="1515" w:type="dxa"/>
          </w:tcPr>
          <w:p>
            <w:pPr>
              <w:pStyle w:val="TableParagraph"/>
              <w:spacing w:before="109"/>
              <w:ind w:left="278"/>
              <w:rPr>
                <w:sz w:val="18"/>
              </w:rPr>
            </w:pPr>
            <w:r>
              <w:rPr>
                <w:spacing w:val="-2"/>
                <w:sz w:val="18"/>
              </w:rPr>
              <w:t>2.17%</w:t>
            </w:r>
          </w:p>
        </w:tc>
        <w:tc>
          <w:tcPr>
            <w:tcW w:w="1362" w:type="dxa"/>
          </w:tcPr>
          <w:p>
            <w:pPr>
              <w:pStyle w:val="TableParagraph"/>
              <w:spacing w:before="109"/>
              <w:ind w:left="278"/>
              <w:rPr>
                <w:sz w:val="18"/>
              </w:rPr>
            </w:pPr>
            <w:r>
              <w:rPr>
                <w:spacing w:val="-2"/>
                <w:sz w:val="18"/>
              </w:rPr>
              <w:t>1.45%</w:t>
            </w:r>
          </w:p>
        </w:tc>
      </w:tr>
      <w:tr>
        <w:trPr>
          <w:trHeight w:val="572" w:hRule="atLeast"/>
        </w:trPr>
        <w:tc>
          <w:tcPr>
            <w:tcW w:w="5248" w:type="dxa"/>
          </w:tcPr>
          <w:p>
            <w:pPr>
              <w:pStyle w:val="TableParagraph"/>
              <w:spacing w:line="249" w:lineRule="auto" w:before="109"/>
              <w:ind w:left="5"/>
              <w:rPr>
                <w:sz w:val="18"/>
              </w:rPr>
            </w:pPr>
            <w:r>
              <w:rPr>
                <w:sz w:val="18"/>
              </w:rPr>
              <w:t>Syndicated</w:t>
            </w:r>
            <w:r>
              <w:rPr>
                <w:spacing w:val="-5"/>
                <w:sz w:val="18"/>
              </w:rPr>
              <w:t> </w:t>
            </w:r>
            <w:r>
              <w:rPr>
                <w:sz w:val="18"/>
              </w:rPr>
              <w:t>loan</w:t>
            </w:r>
            <w:r>
              <w:rPr>
                <w:spacing w:val="-5"/>
                <w:sz w:val="18"/>
              </w:rPr>
              <w:t> </w:t>
            </w:r>
            <w:r>
              <w:rPr>
                <w:sz w:val="18"/>
              </w:rPr>
              <w:t>with</w:t>
            </w:r>
            <w:r>
              <w:rPr>
                <w:spacing w:val="-5"/>
                <w:sz w:val="18"/>
              </w:rPr>
              <w:t> </w:t>
            </w:r>
            <w:r>
              <w:rPr>
                <w:sz w:val="18"/>
              </w:rPr>
              <w:t>Chinese</w:t>
            </w:r>
            <w:r>
              <w:rPr>
                <w:spacing w:val="-5"/>
                <w:sz w:val="18"/>
              </w:rPr>
              <w:t> </w:t>
            </w:r>
            <w:r>
              <w:rPr>
                <w:sz w:val="18"/>
              </w:rPr>
              <w:t>state-owned</w:t>
            </w:r>
            <w:r>
              <w:rPr>
                <w:spacing w:val="-5"/>
                <w:sz w:val="18"/>
              </w:rPr>
              <w:t> </w:t>
            </w:r>
            <w:r>
              <w:rPr>
                <w:sz w:val="18"/>
              </w:rPr>
              <w:t>commercial</w:t>
            </w:r>
            <w:r>
              <w:rPr>
                <w:spacing w:val="-5"/>
                <w:sz w:val="18"/>
              </w:rPr>
              <w:t> </w:t>
            </w:r>
            <w:r>
              <w:rPr>
                <w:sz w:val="18"/>
              </w:rPr>
              <w:t>banks and/or policy banks</w:t>
            </w:r>
          </w:p>
        </w:tc>
        <w:tc>
          <w:tcPr>
            <w:tcW w:w="1394" w:type="dxa"/>
          </w:tcPr>
          <w:p>
            <w:pPr>
              <w:pStyle w:val="TableParagraph"/>
              <w:spacing w:before="109"/>
              <w:ind w:left="157"/>
              <w:rPr>
                <w:sz w:val="18"/>
              </w:rPr>
            </w:pPr>
            <w:r>
              <w:rPr>
                <w:spacing w:val="-2"/>
                <w:sz w:val="18"/>
              </w:rPr>
              <w:t>8.86%</w:t>
            </w:r>
          </w:p>
        </w:tc>
        <w:tc>
          <w:tcPr>
            <w:tcW w:w="1515" w:type="dxa"/>
          </w:tcPr>
          <w:p>
            <w:pPr>
              <w:pStyle w:val="TableParagraph"/>
              <w:spacing w:before="109"/>
              <w:ind w:left="278"/>
              <w:rPr>
                <w:sz w:val="18"/>
              </w:rPr>
            </w:pPr>
            <w:r>
              <w:rPr>
                <w:spacing w:val="-2"/>
                <w:sz w:val="18"/>
              </w:rPr>
              <w:t>16.91%</w:t>
            </w:r>
          </w:p>
        </w:tc>
        <w:tc>
          <w:tcPr>
            <w:tcW w:w="1362" w:type="dxa"/>
          </w:tcPr>
          <w:p>
            <w:pPr>
              <w:pStyle w:val="TableParagraph"/>
              <w:spacing w:before="109"/>
              <w:ind w:left="278"/>
              <w:rPr>
                <w:sz w:val="18"/>
              </w:rPr>
            </w:pPr>
            <w:r>
              <w:rPr>
                <w:spacing w:val="-2"/>
                <w:sz w:val="18"/>
              </w:rPr>
              <w:t>20.39%</w:t>
            </w:r>
          </w:p>
        </w:tc>
      </w:tr>
      <w:tr>
        <w:trPr>
          <w:trHeight w:val="430" w:hRule="atLeast"/>
        </w:trPr>
        <w:tc>
          <w:tcPr>
            <w:tcW w:w="5248" w:type="dxa"/>
          </w:tcPr>
          <w:p>
            <w:pPr>
              <w:pStyle w:val="TableParagraph"/>
              <w:spacing w:before="1"/>
              <w:ind w:left="5"/>
              <w:rPr>
                <w:sz w:val="18"/>
              </w:rPr>
            </w:pPr>
            <w:r>
              <w:rPr>
                <w:sz w:val="18"/>
              </w:rPr>
              <w:t>PBOC/MOF</w:t>
            </w:r>
            <w:r>
              <w:rPr>
                <w:spacing w:val="6"/>
                <w:sz w:val="18"/>
              </w:rPr>
              <w:t> </w:t>
            </w:r>
            <w:r>
              <w:rPr>
                <w:sz w:val="18"/>
              </w:rPr>
              <w:t>grant</w:t>
            </w:r>
            <w:r>
              <w:rPr>
                <w:spacing w:val="6"/>
                <w:sz w:val="18"/>
              </w:rPr>
              <w:t> </w:t>
            </w:r>
            <w:r>
              <w:rPr>
                <w:sz w:val="18"/>
              </w:rPr>
              <w:t>or</w:t>
            </w:r>
            <w:r>
              <w:rPr>
                <w:spacing w:val="6"/>
                <w:sz w:val="18"/>
              </w:rPr>
              <w:t> </w:t>
            </w:r>
            <w:r>
              <w:rPr>
                <w:sz w:val="18"/>
              </w:rPr>
              <w:t>loan</w:t>
            </w:r>
            <w:r>
              <w:rPr>
                <w:spacing w:val="6"/>
                <w:sz w:val="18"/>
              </w:rPr>
              <w:t> </w:t>
            </w:r>
            <w:r>
              <w:rPr>
                <w:sz w:val="18"/>
              </w:rPr>
              <w:t>channeled</w:t>
            </w:r>
            <w:r>
              <w:rPr>
                <w:spacing w:val="7"/>
                <w:sz w:val="18"/>
              </w:rPr>
              <w:t> </w:t>
            </w:r>
            <w:r>
              <w:rPr>
                <w:sz w:val="18"/>
              </w:rPr>
              <w:t>through</w:t>
            </w:r>
            <w:r>
              <w:rPr>
                <w:spacing w:val="6"/>
                <w:sz w:val="18"/>
              </w:rPr>
              <w:t> </w:t>
            </w:r>
            <w:r>
              <w:rPr>
                <w:spacing w:val="-2"/>
                <w:sz w:val="18"/>
              </w:rPr>
              <w:t>multilateral</w:t>
            </w:r>
          </w:p>
          <w:p>
            <w:pPr>
              <w:pStyle w:val="TableParagraph"/>
              <w:spacing w:line="193" w:lineRule="exact" w:before="9"/>
              <w:ind w:left="5"/>
              <w:rPr>
                <w:sz w:val="18"/>
              </w:rPr>
            </w:pPr>
            <w:r>
              <w:rPr>
                <w:spacing w:val="-2"/>
                <w:w w:val="105"/>
                <w:sz w:val="18"/>
              </w:rPr>
              <w:t>institution</w:t>
            </w:r>
          </w:p>
        </w:tc>
        <w:tc>
          <w:tcPr>
            <w:tcW w:w="1394" w:type="dxa"/>
          </w:tcPr>
          <w:p>
            <w:pPr>
              <w:pStyle w:val="TableParagraph"/>
              <w:spacing w:before="1"/>
              <w:ind w:left="157"/>
              <w:rPr>
                <w:sz w:val="18"/>
              </w:rPr>
            </w:pPr>
            <w:r>
              <w:rPr>
                <w:spacing w:val="-5"/>
                <w:sz w:val="18"/>
              </w:rPr>
              <w:t>0%</w:t>
            </w:r>
          </w:p>
        </w:tc>
        <w:tc>
          <w:tcPr>
            <w:tcW w:w="1515" w:type="dxa"/>
          </w:tcPr>
          <w:p>
            <w:pPr>
              <w:pStyle w:val="TableParagraph"/>
              <w:spacing w:before="1"/>
              <w:ind w:left="278"/>
              <w:rPr>
                <w:sz w:val="18"/>
              </w:rPr>
            </w:pPr>
            <w:r>
              <w:rPr>
                <w:spacing w:val="-2"/>
                <w:sz w:val="18"/>
              </w:rPr>
              <w:t>0.12%</w:t>
            </w:r>
          </w:p>
        </w:tc>
        <w:tc>
          <w:tcPr>
            <w:tcW w:w="1362" w:type="dxa"/>
          </w:tcPr>
          <w:p>
            <w:pPr>
              <w:pStyle w:val="TableParagraph"/>
              <w:spacing w:before="1"/>
              <w:ind w:left="278"/>
              <w:rPr>
                <w:sz w:val="18"/>
              </w:rPr>
            </w:pPr>
            <w:r>
              <w:rPr>
                <w:spacing w:val="-2"/>
                <w:sz w:val="18"/>
              </w:rPr>
              <w:t>0.89%</w:t>
            </w:r>
          </w:p>
        </w:tc>
      </w:tr>
    </w:tbl>
    <w:p>
      <w:pPr>
        <w:spacing w:after="0"/>
        <w:rPr>
          <w:sz w:val="18"/>
        </w:rPr>
        <w:sectPr>
          <w:pgSz w:w="12240" w:h="15840"/>
          <w:pgMar w:header="0" w:footer="720" w:top="1560" w:bottom="920" w:left="1240" w:right="1260"/>
        </w:sect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5"/>
        <w:gridCol w:w="2527"/>
        <w:gridCol w:w="1514"/>
        <w:gridCol w:w="1361"/>
      </w:tblGrid>
      <w:tr>
        <w:trPr>
          <w:trHeight w:val="560" w:hRule="atLeast"/>
        </w:trPr>
        <w:tc>
          <w:tcPr>
            <w:tcW w:w="4115" w:type="dxa"/>
            <w:tcBorders>
              <w:bottom w:val="single" w:sz="8" w:space="0" w:color="4472C3"/>
            </w:tcBorders>
          </w:tcPr>
          <w:p>
            <w:pPr>
              <w:pStyle w:val="TableParagraph"/>
              <w:spacing w:before="4"/>
              <w:ind w:left="0"/>
              <w:rPr>
                <w:rFonts w:ascii="Gill Sans MT"/>
                <w:b/>
                <w:sz w:val="14"/>
              </w:rPr>
            </w:pPr>
          </w:p>
          <w:p>
            <w:pPr>
              <w:pStyle w:val="TableParagraph"/>
              <w:ind w:left="5"/>
              <w:rPr>
                <w:b/>
                <w:sz w:val="18"/>
              </w:rPr>
            </w:pPr>
            <w:r>
              <w:rPr>
                <w:b/>
                <w:spacing w:val="-5"/>
                <w:sz w:val="18"/>
              </w:rPr>
              <w:t>Contract</w:t>
            </w:r>
            <w:r>
              <w:rPr>
                <w:b/>
                <w:sz w:val="18"/>
              </w:rPr>
              <w:t> </w:t>
            </w:r>
            <w:r>
              <w:rPr>
                <w:b/>
                <w:spacing w:val="-2"/>
                <w:sz w:val="18"/>
              </w:rPr>
              <w:t>Category</w:t>
            </w:r>
          </w:p>
        </w:tc>
        <w:tc>
          <w:tcPr>
            <w:tcW w:w="2527" w:type="dxa"/>
            <w:tcBorders>
              <w:bottom w:val="single" w:sz="8" w:space="0" w:color="4472C3"/>
            </w:tcBorders>
          </w:tcPr>
          <w:p>
            <w:pPr>
              <w:pStyle w:val="TableParagraph"/>
              <w:spacing w:line="174" w:lineRule="exact"/>
              <w:ind w:left="1290"/>
              <w:rPr>
                <w:b/>
                <w:sz w:val="18"/>
              </w:rPr>
            </w:pPr>
            <w:r>
              <w:rPr>
                <w:b/>
                <w:w w:val="90"/>
                <w:sz w:val="18"/>
              </w:rPr>
              <w:t>Pre-</w:t>
            </w:r>
            <w:r>
              <w:rPr>
                <w:b/>
                <w:spacing w:val="-5"/>
                <w:w w:val="95"/>
                <w:sz w:val="18"/>
              </w:rPr>
              <w:t>BRI</w:t>
            </w:r>
          </w:p>
          <w:p>
            <w:pPr>
              <w:pStyle w:val="TableParagraph"/>
              <w:spacing w:before="9"/>
              <w:ind w:left="1290"/>
              <w:rPr>
                <w:b/>
                <w:sz w:val="18"/>
              </w:rPr>
            </w:pPr>
            <w:r>
              <w:rPr>
                <w:b/>
                <w:spacing w:val="-4"/>
                <w:sz w:val="18"/>
              </w:rPr>
              <w:t>(2000-2013)</w:t>
            </w:r>
          </w:p>
        </w:tc>
        <w:tc>
          <w:tcPr>
            <w:tcW w:w="1514" w:type="dxa"/>
            <w:tcBorders>
              <w:bottom w:val="single" w:sz="8" w:space="0" w:color="4472C3"/>
            </w:tcBorders>
          </w:tcPr>
          <w:p>
            <w:pPr>
              <w:pStyle w:val="TableParagraph"/>
              <w:spacing w:line="174" w:lineRule="exact"/>
              <w:ind w:left="278"/>
              <w:rPr>
                <w:b/>
                <w:sz w:val="18"/>
              </w:rPr>
            </w:pPr>
            <w:r>
              <w:rPr>
                <w:b/>
                <w:w w:val="90"/>
                <w:sz w:val="18"/>
              </w:rPr>
              <w:t>Early</w:t>
            </w:r>
            <w:r>
              <w:rPr>
                <w:b/>
                <w:spacing w:val="-1"/>
                <w:w w:val="90"/>
                <w:sz w:val="18"/>
              </w:rPr>
              <w:t> </w:t>
            </w:r>
            <w:r>
              <w:rPr>
                <w:b/>
                <w:spacing w:val="-5"/>
                <w:sz w:val="18"/>
              </w:rPr>
              <w:t>BRI</w:t>
            </w:r>
          </w:p>
          <w:p>
            <w:pPr>
              <w:pStyle w:val="TableParagraph"/>
              <w:spacing w:before="9"/>
              <w:ind w:left="278"/>
              <w:rPr>
                <w:b/>
                <w:sz w:val="18"/>
              </w:rPr>
            </w:pPr>
            <w:r>
              <w:rPr>
                <w:b/>
                <w:spacing w:val="-4"/>
                <w:sz w:val="18"/>
              </w:rPr>
              <w:t>(2014-2017)</w:t>
            </w:r>
          </w:p>
        </w:tc>
        <w:tc>
          <w:tcPr>
            <w:tcW w:w="1361" w:type="dxa"/>
            <w:tcBorders>
              <w:bottom w:val="single" w:sz="8" w:space="0" w:color="4472C3"/>
            </w:tcBorders>
          </w:tcPr>
          <w:p>
            <w:pPr>
              <w:pStyle w:val="TableParagraph"/>
              <w:spacing w:line="174" w:lineRule="exact"/>
              <w:ind w:left="279"/>
              <w:rPr>
                <w:b/>
                <w:sz w:val="18"/>
              </w:rPr>
            </w:pPr>
            <w:r>
              <w:rPr>
                <w:b/>
                <w:spacing w:val="-5"/>
                <w:sz w:val="18"/>
              </w:rPr>
              <w:t>Late</w:t>
            </w:r>
            <w:r>
              <w:rPr>
                <w:b/>
                <w:spacing w:val="-6"/>
                <w:sz w:val="18"/>
              </w:rPr>
              <w:t> </w:t>
            </w:r>
            <w:r>
              <w:rPr>
                <w:b/>
                <w:spacing w:val="-5"/>
                <w:sz w:val="18"/>
              </w:rPr>
              <w:t>BRI</w:t>
            </w:r>
          </w:p>
          <w:p>
            <w:pPr>
              <w:pStyle w:val="TableParagraph"/>
              <w:spacing w:before="9"/>
              <w:ind w:left="279"/>
              <w:rPr>
                <w:b/>
                <w:sz w:val="18"/>
              </w:rPr>
            </w:pPr>
            <w:r>
              <w:rPr>
                <w:b/>
                <w:spacing w:val="-4"/>
                <w:sz w:val="18"/>
              </w:rPr>
              <w:t>(2018-2021)</w:t>
            </w:r>
          </w:p>
        </w:tc>
      </w:tr>
      <w:tr>
        <w:trPr>
          <w:trHeight w:val="459" w:hRule="atLeast"/>
        </w:trPr>
        <w:tc>
          <w:tcPr>
            <w:tcW w:w="4115" w:type="dxa"/>
            <w:tcBorders>
              <w:top w:val="single" w:sz="8" w:space="0" w:color="4472C3"/>
              <w:bottom w:val="single" w:sz="8" w:space="0" w:color="000000"/>
            </w:tcBorders>
          </w:tcPr>
          <w:p>
            <w:pPr>
              <w:pStyle w:val="TableParagraph"/>
              <w:spacing w:before="1"/>
              <w:ind w:left="5"/>
              <w:rPr>
                <w:sz w:val="18"/>
              </w:rPr>
            </w:pPr>
            <w:r>
              <w:rPr>
                <w:sz w:val="18"/>
              </w:rPr>
              <w:t>Supplier's credit</w:t>
            </w:r>
            <w:r>
              <w:rPr>
                <w:spacing w:val="1"/>
                <w:sz w:val="18"/>
              </w:rPr>
              <w:t> </w:t>
            </w:r>
            <w:r>
              <w:rPr>
                <w:sz w:val="18"/>
              </w:rPr>
              <w:t>from Chinese </w:t>
            </w:r>
            <w:r>
              <w:rPr>
                <w:spacing w:val="-5"/>
                <w:sz w:val="18"/>
              </w:rPr>
              <w:t>SOE</w:t>
            </w:r>
          </w:p>
        </w:tc>
        <w:tc>
          <w:tcPr>
            <w:tcW w:w="2527" w:type="dxa"/>
            <w:tcBorders>
              <w:top w:val="single" w:sz="8" w:space="0" w:color="4472C3"/>
              <w:bottom w:val="single" w:sz="8" w:space="0" w:color="000000"/>
            </w:tcBorders>
          </w:tcPr>
          <w:p>
            <w:pPr>
              <w:pStyle w:val="TableParagraph"/>
              <w:spacing w:before="1"/>
              <w:ind w:left="0" w:right="734"/>
              <w:jc w:val="right"/>
              <w:rPr>
                <w:sz w:val="18"/>
              </w:rPr>
            </w:pPr>
            <w:r>
              <w:rPr>
                <w:spacing w:val="-2"/>
                <w:sz w:val="18"/>
              </w:rPr>
              <w:t>4.71%</w:t>
            </w:r>
          </w:p>
        </w:tc>
        <w:tc>
          <w:tcPr>
            <w:tcW w:w="1514" w:type="dxa"/>
            <w:tcBorders>
              <w:top w:val="single" w:sz="8" w:space="0" w:color="4472C3"/>
              <w:bottom w:val="single" w:sz="8" w:space="0" w:color="000000"/>
            </w:tcBorders>
          </w:tcPr>
          <w:p>
            <w:pPr>
              <w:pStyle w:val="TableParagraph"/>
              <w:spacing w:before="1"/>
              <w:ind w:left="278"/>
              <w:rPr>
                <w:sz w:val="18"/>
              </w:rPr>
            </w:pPr>
            <w:r>
              <w:rPr>
                <w:spacing w:val="-2"/>
                <w:sz w:val="18"/>
              </w:rPr>
              <w:t>0.77%</w:t>
            </w:r>
          </w:p>
        </w:tc>
        <w:tc>
          <w:tcPr>
            <w:tcW w:w="1361" w:type="dxa"/>
            <w:tcBorders>
              <w:top w:val="single" w:sz="8" w:space="0" w:color="4472C3"/>
              <w:bottom w:val="single" w:sz="8" w:space="0" w:color="000000"/>
            </w:tcBorders>
          </w:tcPr>
          <w:p>
            <w:pPr>
              <w:pStyle w:val="TableParagraph"/>
              <w:spacing w:before="1"/>
              <w:ind w:left="279"/>
              <w:rPr>
                <w:sz w:val="18"/>
              </w:rPr>
            </w:pPr>
            <w:r>
              <w:rPr>
                <w:spacing w:val="-2"/>
                <w:sz w:val="18"/>
              </w:rPr>
              <w:t>4.97%</w:t>
            </w:r>
          </w:p>
        </w:tc>
      </w:tr>
      <w:tr>
        <w:trPr>
          <w:trHeight w:val="214" w:hRule="atLeast"/>
        </w:trPr>
        <w:tc>
          <w:tcPr>
            <w:tcW w:w="4115" w:type="dxa"/>
            <w:tcBorders>
              <w:top w:val="single" w:sz="8" w:space="0" w:color="000000"/>
            </w:tcBorders>
          </w:tcPr>
          <w:p>
            <w:pPr>
              <w:pStyle w:val="TableParagraph"/>
              <w:spacing w:line="193" w:lineRule="exact" w:before="1"/>
              <w:ind w:left="5"/>
              <w:rPr>
                <w:b/>
                <w:sz w:val="18"/>
              </w:rPr>
            </w:pPr>
            <w:r>
              <w:rPr>
                <w:b/>
                <w:spacing w:val="-2"/>
                <w:sz w:val="18"/>
              </w:rPr>
              <w:t>Total</w:t>
            </w:r>
          </w:p>
        </w:tc>
        <w:tc>
          <w:tcPr>
            <w:tcW w:w="2527" w:type="dxa"/>
            <w:tcBorders>
              <w:top w:val="single" w:sz="8" w:space="0" w:color="000000"/>
            </w:tcBorders>
          </w:tcPr>
          <w:p>
            <w:pPr>
              <w:pStyle w:val="TableParagraph"/>
              <w:spacing w:line="193" w:lineRule="exact" w:before="1"/>
              <w:ind w:left="0" w:right="784"/>
              <w:jc w:val="right"/>
              <w:rPr>
                <w:b/>
                <w:sz w:val="18"/>
              </w:rPr>
            </w:pPr>
            <w:r>
              <w:rPr>
                <w:b/>
                <w:spacing w:val="-4"/>
                <w:sz w:val="18"/>
              </w:rPr>
              <w:t>100%</w:t>
            </w:r>
          </w:p>
        </w:tc>
        <w:tc>
          <w:tcPr>
            <w:tcW w:w="1514" w:type="dxa"/>
            <w:tcBorders>
              <w:top w:val="single" w:sz="8" w:space="0" w:color="000000"/>
            </w:tcBorders>
          </w:tcPr>
          <w:p>
            <w:pPr>
              <w:pStyle w:val="TableParagraph"/>
              <w:spacing w:line="193" w:lineRule="exact" w:before="1"/>
              <w:ind w:left="278"/>
              <w:rPr>
                <w:b/>
                <w:sz w:val="18"/>
              </w:rPr>
            </w:pPr>
            <w:r>
              <w:rPr>
                <w:b/>
                <w:spacing w:val="-4"/>
                <w:sz w:val="18"/>
              </w:rPr>
              <w:t>100%</w:t>
            </w:r>
          </w:p>
        </w:tc>
        <w:tc>
          <w:tcPr>
            <w:tcW w:w="1361" w:type="dxa"/>
            <w:tcBorders>
              <w:top w:val="single" w:sz="8" w:space="0" w:color="000000"/>
            </w:tcBorders>
          </w:tcPr>
          <w:p>
            <w:pPr>
              <w:pStyle w:val="TableParagraph"/>
              <w:spacing w:line="193" w:lineRule="exact" w:before="1"/>
              <w:ind w:left="279"/>
              <w:rPr>
                <w:b/>
                <w:sz w:val="18"/>
              </w:rPr>
            </w:pPr>
            <w:r>
              <w:rPr>
                <w:b/>
                <w:spacing w:val="-4"/>
                <w:sz w:val="18"/>
              </w:rPr>
              <w:t>100%</w:t>
            </w:r>
          </w:p>
        </w:tc>
      </w:tr>
    </w:tbl>
    <w:p>
      <w:pPr>
        <w:pStyle w:val="BodyText"/>
        <w:spacing w:before="5"/>
        <w:rPr>
          <w:rFonts w:ascii="Gill Sans MT"/>
          <w:b/>
          <w:sz w:val="17"/>
        </w:rPr>
      </w:pPr>
    </w:p>
    <w:p>
      <w:pPr>
        <w:spacing w:line="333" w:lineRule="auto" w:before="72"/>
        <w:ind w:left="560" w:right="561" w:firstLine="0"/>
        <w:jc w:val="left"/>
        <w:rPr>
          <w:i/>
          <w:sz w:val="18"/>
        </w:rPr>
      </w:pPr>
      <w:r>
        <w:rPr>
          <w:i/>
          <w:sz w:val="18"/>
        </w:rPr>
        <w:t>Notes: This table presents the shares of China’s grant- and loan-ﬁnanced infrastructure project portfolio</w:t>
      </w:r>
      <w:r>
        <w:rPr>
          <w:i/>
          <w:sz w:val="18"/>
        </w:rPr>
        <w:t> (measured in constant 2021 USD) in LICs and MICs delivered via 8 ﬁnancial instrument categories across three different time periods: (1) the pre-BRI period from 2000 to 2013, (2) the early BRI period from 2014 </w:t>
      </w:r>
      <w:r>
        <w:rPr>
          <w:i/>
          <w:sz w:val="18"/>
        </w:rPr>
        <w:t>to 2017, and (3) the late BRI period from 2018 to 2021.</w:t>
      </w:r>
    </w:p>
    <w:p>
      <w:pPr>
        <w:pStyle w:val="BodyText"/>
        <w:rPr>
          <w:i/>
          <w:sz w:val="18"/>
        </w:rPr>
      </w:pPr>
    </w:p>
    <w:p>
      <w:pPr>
        <w:pStyle w:val="Heading4"/>
        <w:spacing w:line="357" w:lineRule="auto" w:before="112"/>
      </w:pPr>
      <w:r>
        <w:rPr>
          <w:spacing w:val="-8"/>
        </w:rPr>
        <w:t>Risk</w:t>
      </w:r>
      <w:r>
        <w:rPr>
          <w:spacing w:val="-12"/>
        </w:rPr>
        <w:t> </w:t>
      </w:r>
      <w:r>
        <w:rPr>
          <w:spacing w:val="-8"/>
        </w:rPr>
        <w:t>mitigation</w:t>
      </w:r>
      <w:r>
        <w:rPr>
          <w:spacing w:val="-11"/>
        </w:rPr>
        <w:t> </w:t>
      </w:r>
      <w:r>
        <w:rPr>
          <w:spacing w:val="-8"/>
        </w:rPr>
        <w:t>strategy</w:t>
      </w:r>
      <w:r>
        <w:rPr>
          <w:spacing w:val="-12"/>
        </w:rPr>
        <w:t> </w:t>
      </w:r>
      <w:r>
        <w:rPr>
          <w:spacing w:val="-8"/>
        </w:rPr>
        <w:t>#2:</w:t>
      </w:r>
      <w:r>
        <w:rPr>
          <w:spacing w:val="-11"/>
        </w:rPr>
        <w:t> </w:t>
      </w:r>
      <w:r>
        <w:rPr>
          <w:spacing w:val="-8"/>
        </w:rPr>
        <w:t>Support</w:t>
      </w:r>
      <w:r>
        <w:rPr>
          <w:spacing w:val="-12"/>
        </w:rPr>
        <w:t> </w:t>
      </w:r>
      <w:r>
        <w:rPr>
          <w:spacing w:val="-8"/>
        </w:rPr>
        <w:t>bilateral</w:t>
      </w:r>
      <w:r>
        <w:rPr>
          <w:spacing w:val="-11"/>
        </w:rPr>
        <w:t> </w:t>
      </w:r>
      <w:r>
        <w:rPr>
          <w:spacing w:val="-8"/>
        </w:rPr>
        <w:t>lenders</w:t>
      </w:r>
      <w:r>
        <w:rPr>
          <w:spacing w:val="-12"/>
        </w:rPr>
        <w:t> </w:t>
      </w:r>
      <w:r>
        <w:rPr>
          <w:spacing w:val="-8"/>
        </w:rPr>
        <w:t>and</w:t>
      </w:r>
      <w:r>
        <w:rPr>
          <w:spacing w:val="-11"/>
        </w:rPr>
        <w:t> </w:t>
      </w:r>
      <w:r>
        <w:rPr>
          <w:spacing w:val="-8"/>
        </w:rPr>
        <w:t>donors </w:t>
      </w:r>
      <w:r>
        <w:rPr>
          <w:spacing w:val="-2"/>
        </w:rPr>
        <w:t>with</w:t>
      </w:r>
      <w:r>
        <w:rPr>
          <w:spacing w:val="-18"/>
        </w:rPr>
        <w:t> </w:t>
      </w:r>
      <w:r>
        <w:rPr>
          <w:spacing w:val="-2"/>
        </w:rPr>
        <w:t>the</w:t>
      </w:r>
      <w:r>
        <w:rPr>
          <w:spacing w:val="-17"/>
        </w:rPr>
        <w:t> </w:t>
      </w:r>
      <w:r>
        <w:rPr>
          <w:spacing w:val="-2"/>
        </w:rPr>
        <w:t>strongest</w:t>
      </w:r>
      <w:r>
        <w:rPr>
          <w:spacing w:val="-18"/>
        </w:rPr>
        <w:t> </w:t>
      </w:r>
      <w:r>
        <w:rPr>
          <w:spacing w:val="-2"/>
        </w:rPr>
        <w:t>safeguards</w:t>
      </w:r>
    </w:p>
    <w:p>
      <w:pPr>
        <w:pStyle w:val="BodyText"/>
        <w:spacing w:line="333" w:lineRule="auto" w:before="81"/>
        <w:ind w:left="560" w:right="550"/>
      </w:pPr>
      <w:r>
        <w:rPr/>
        <w:t>Across</w:t>
      </w:r>
      <w:r>
        <w:rPr>
          <w:spacing w:val="-1"/>
        </w:rPr>
        <w:t> </w:t>
      </w:r>
      <w:r>
        <w:rPr/>
        <w:t>the</w:t>
      </w:r>
      <w:r>
        <w:rPr>
          <w:spacing w:val="-1"/>
        </w:rPr>
        <w:t> </w:t>
      </w:r>
      <w:r>
        <w:rPr/>
        <w:t>various</w:t>
      </w:r>
      <w:r>
        <w:rPr>
          <w:spacing w:val="-1"/>
        </w:rPr>
        <w:t> </w:t>
      </w:r>
      <w:r>
        <w:rPr/>
        <w:t>bilateral</w:t>
      </w:r>
      <w:r>
        <w:rPr>
          <w:spacing w:val="-1"/>
        </w:rPr>
        <w:t> </w:t>
      </w:r>
      <w:r>
        <w:rPr/>
        <w:t>instruments</w:t>
      </w:r>
      <w:r>
        <w:rPr>
          <w:spacing w:val="-1"/>
        </w:rPr>
        <w:t> </w:t>
      </w:r>
      <w:r>
        <w:rPr/>
        <w:t>that</w:t>
      </w:r>
      <w:r>
        <w:rPr>
          <w:spacing w:val="-1"/>
        </w:rPr>
        <w:t> </w:t>
      </w:r>
      <w:r>
        <w:rPr/>
        <w:t>Beijing</w:t>
      </w:r>
      <w:r>
        <w:rPr>
          <w:spacing w:val="-1"/>
        </w:rPr>
        <w:t> </w:t>
      </w:r>
      <w:r>
        <w:rPr/>
        <w:t>has</w:t>
      </w:r>
      <w:r>
        <w:rPr>
          <w:spacing w:val="-1"/>
        </w:rPr>
        <w:t> </w:t>
      </w:r>
      <w:r>
        <w:rPr/>
        <w:t>at</w:t>
      </w:r>
      <w:r>
        <w:rPr>
          <w:spacing w:val="-1"/>
        </w:rPr>
        <w:t> </w:t>
      </w:r>
      <w:r>
        <w:rPr/>
        <w:t>its</w:t>
      </w:r>
      <w:r>
        <w:rPr>
          <w:spacing w:val="-1"/>
        </w:rPr>
        <w:t> </w:t>
      </w:r>
      <w:r>
        <w:rPr/>
        <w:t>disposal</w:t>
      </w:r>
      <w:r>
        <w:rPr>
          <w:spacing w:val="-1"/>
        </w:rPr>
        <w:t> </w:t>
      </w:r>
      <w:r>
        <w:rPr/>
        <w:t>to</w:t>
      </w:r>
      <w:r>
        <w:rPr>
          <w:spacing w:val="-1"/>
        </w:rPr>
        <w:t> </w:t>
      </w:r>
      <w:r>
        <w:rPr/>
        <w:t>bankroll infrastructure projects in the developing world, CDB and China Eximbank loans offer the weakest de jure ESG safeguards. Rather than relying on these policy banks, Beijing is increasingly turning to a different set of ﬁnancial institutions—with</w:t>
      </w:r>
      <w:r>
        <w:rPr>
          <w:spacing w:val="30"/>
        </w:rPr>
        <w:t> </w:t>
      </w:r>
      <w:r>
        <w:rPr/>
        <w:t>lending</w:t>
      </w:r>
      <w:r>
        <w:rPr>
          <w:spacing w:val="30"/>
        </w:rPr>
        <w:t> </w:t>
      </w:r>
      <w:r>
        <w:rPr/>
        <w:t>and</w:t>
      </w:r>
      <w:r>
        <w:rPr>
          <w:spacing w:val="30"/>
        </w:rPr>
        <w:t> </w:t>
      </w:r>
      <w:r>
        <w:rPr/>
        <w:t>grant-giving</w:t>
      </w:r>
      <w:r>
        <w:rPr>
          <w:spacing w:val="30"/>
        </w:rPr>
        <w:t> </w:t>
      </w:r>
      <w:r>
        <w:rPr/>
        <w:t>instruments</w:t>
      </w:r>
      <w:r>
        <w:rPr>
          <w:spacing w:val="30"/>
        </w:rPr>
        <w:t> </w:t>
      </w:r>
      <w:r>
        <w:rPr/>
        <w:t>that</w:t>
      </w:r>
      <w:r>
        <w:rPr>
          <w:spacing w:val="30"/>
        </w:rPr>
        <w:t> </w:t>
      </w:r>
      <w:r>
        <w:rPr/>
        <w:t>include</w:t>
      </w:r>
      <w:r>
        <w:rPr>
          <w:spacing w:val="30"/>
        </w:rPr>
        <w:t> </w:t>
      </w:r>
      <w:r>
        <w:rPr/>
        <w:t>a</w:t>
      </w:r>
      <w:r>
        <w:rPr>
          <w:spacing w:val="30"/>
        </w:rPr>
        <w:t> </w:t>
      </w:r>
      <w:r>
        <w:rPr/>
        <w:t>more</w:t>
      </w:r>
      <w:r>
        <w:rPr>
          <w:spacing w:val="29"/>
        </w:rPr>
        <w:t> </w:t>
      </w:r>
      <w:r>
        <w:rPr/>
        <w:t>stringent</w:t>
      </w:r>
      <w:r>
        <w:rPr>
          <w:spacing w:val="30"/>
        </w:rPr>
        <w:t> </w:t>
      </w:r>
      <w:r>
        <w:rPr/>
        <w:t>set</w:t>
      </w:r>
      <w:r>
        <w:rPr>
          <w:spacing w:val="30"/>
        </w:rPr>
        <w:t> </w:t>
      </w:r>
      <w:r>
        <w:rPr/>
        <w:t>of de jure ESG safeguards—to ﬁnance infrastructure projects in LICs and MICs.</w:t>
      </w:r>
    </w:p>
    <w:p>
      <w:pPr>
        <w:pStyle w:val="BodyText"/>
        <w:spacing w:before="5"/>
        <w:rPr>
          <w:sz w:val="27"/>
        </w:rPr>
      </w:pPr>
    </w:p>
    <w:p>
      <w:pPr>
        <w:pStyle w:val="BodyText"/>
        <w:spacing w:line="333" w:lineRule="auto"/>
        <w:ind w:left="560" w:right="582"/>
      </w:pPr>
      <w:r>
        <w:rPr/>
        <w:t>In Section 3 of Chapter 3, we discovered that bilateral loans from the country’s state-owned</w:t>
      </w:r>
      <w:r>
        <w:rPr>
          <w:spacing w:val="-3"/>
        </w:rPr>
        <w:t> </w:t>
      </w:r>
      <w:r>
        <w:rPr/>
        <w:t>commercial</w:t>
      </w:r>
      <w:r>
        <w:rPr>
          <w:spacing w:val="-3"/>
        </w:rPr>
        <w:t> </w:t>
      </w:r>
      <w:r>
        <w:rPr/>
        <w:t>banks,</w:t>
      </w:r>
      <w:r>
        <w:rPr>
          <w:spacing w:val="-3"/>
        </w:rPr>
        <w:t> </w:t>
      </w:r>
      <w:r>
        <w:rPr/>
        <w:t>supplier’s</w:t>
      </w:r>
      <w:r>
        <w:rPr>
          <w:spacing w:val="-3"/>
        </w:rPr>
        <w:t> </w:t>
      </w:r>
      <w:r>
        <w:rPr/>
        <w:t>credits</w:t>
      </w:r>
      <w:r>
        <w:rPr>
          <w:spacing w:val="-3"/>
        </w:rPr>
        <w:t> </w:t>
      </w:r>
      <w:r>
        <w:rPr/>
        <w:t>from</w:t>
      </w:r>
      <w:r>
        <w:rPr>
          <w:spacing w:val="-3"/>
        </w:rPr>
        <w:t> </w:t>
      </w:r>
      <w:r>
        <w:rPr/>
        <w:t>the</w:t>
      </w:r>
      <w:r>
        <w:rPr>
          <w:spacing w:val="-3"/>
        </w:rPr>
        <w:t> </w:t>
      </w:r>
      <w:r>
        <w:rPr/>
        <w:t>country’s</w:t>
      </w:r>
      <w:r>
        <w:rPr>
          <w:spacing w:val="-3"/>
        </w:rPr>
        <w:t> </w:t>
      </w:r>
      <w:r>
        <w:rPr/>
        <w:t>state-owned enterprises, and MOFCOM grants and interest-free loans have stronger de jure ESG</w:t>
      </w:r>
      <w:r>
        <w:rPr>
          <w:spacing w:val="-1"/>
        </w:rPr>
        <w:t> </w:t>
      </w:r>
      <w:r>
        <w:rPr/>
        <w:t>safeguards</w:t>
      </w:r>
      <w:r>
        <w:rPr>
          <w:spacing w:val="-1"/>
        </w:rPr>
        <w:t> </w:t>
      </w:r>
      <w:r>
        <w:rPr/>
        <w:t>than</w:t>
      </w:r>
      <w:r>
        <w:rPr>
          <w:spacing w:val="-1"/>
        </w:rPr>
        <w:t> </w:t>
      </w:r>
      <w:r>
        <w:rPr/>
        <w:t>CDB</w:t>
      </w:r>
      <w:r>
        <w:rPr>
          <w:spacing w:val="-1"/>
        </w:rPr>
        <w:t> </w:t>
      </w:r>
      <w:r>
        <w:rPr/>
        <w:t>and</w:t>
      </w:r>
      <w:r>
        <w:rPr>
          <w:spacing w:val="-1"/>
        </w:rPr>
        <w:t> </w:t>
      </w:r>
      <w:r>
        <w:rPr/>
        <w:t>China</w:t>
      </w:r>
      <w:r>
        <w:rPr>
          <w:spacing w:val="-1"/>
        </w:rPr>
        <w:t> </w:t>
      </w:r>
      <w:r>
        <w:rPr/>
        <w:t>Eximbank</w:t>
      </w:r>
      <w:r>
        <w:rPr>
          <w:spacing w:val="-1"/>
        </w:rPr>
        <w:t> </w:t>
      </w:r>
      <w:r>
        <w:rPr/>
        <w:t>loans</w:t>
      </w:r>
      <w:r>
        <w:rPr>
          <w:spacing w:val="-1"/>
        </w:rPr>
        <w:t> </w:t>
      </w:r>
      <w:r>
        <w:rPr/>
        <w:t>(see</w:t>
      </w:r>
      <w:r>
        <w:rPr>
          <w:spacing w:val="-1"/>
        </w:rPr>
        <w:t> </w:t>
      </w:r>
      <w:r>
        <w:rPr/>
        <w:t>Table</w:t>
      </w:r>
      <w:r>
        <w:rPr>
          <w:spacing w:val="-1"/>
        </w:rPr>
        <w:t> </w:t>
      </w:r>
      <w:r>
        <w:rPr/>
        <w:t>2.1</w:t>
      </w:r>
      <w:r>
        <w:rPr>
          <w:spacing w:val="-1"/>
        </w:rPr>
        <w:t> </w:t>
      </w:r>
      <w:r>
        <w:rPr/>
        <w:t>in</w:t>
      </w:r>
      <w:r>
        <w:rPr>
          <w:spacing w:val="-1"/>
        </w:rPr>
        <w:t> </w:t>
      </w:r>
      <w:r>
        <w:rPr/>
        <w:t>Chapter 2). This ﬁnding begs the question: has Beijing increased its use of these bilateral infrastructure ﬁnancing instruments? Table 3.2 above demonstrates that it has in fact done so, albeit in an incremental way: whereas the proportion of China’s infrastructure project portfolio in LICs and MICs ﬁnanced through these instruments amounted to 12.49% during the pre-BRI period (2000-2013) and 12.83% during the early BRI period (2014-2017), it jumped up to 16.91% during the late BRI period.</w:t>
      </w:r>
    </w:p>
    <w:p>
      <w:pPr>
        <w:pStyle w:val="BodyText"/>
        <w:spacing w:before="4"/>
        <w:rPr>
          <w:sz w:val="27"/>
        </w:rPr>
      </w:pPr>
    </w:p>
    <w:p>
      <w:pPr>
        <w:pStyle w:val="Heading4"/>
        <w:spacing w:line="357" w:lineRule="auto"/>
      </w:pPr>
      <w:r>
        <w:rPr>
          <w:spacing w:val="-10"/>
        </w:rPr>
        <w:t>Risk</w:t>
      </w:r>
      <w:r>
        <w:rPr>
          <w:spacing w:val="-6"/>
        </w:rPr>
        <w:t> </w:t>
      </w:r>
      <w:r>
        <w:rPr>
          <w:spacing w:val="-10"/>
        </w:rPr>
        <w:t>mitigation</w:t>
      </w:r>
      <w:r>
        <w:rPr>
          <w:spacing w:val="-6"/>
        </w:rPr>
        <w:t> </w:t>
      </w:r>
      <w:r>
        <w:rPr>
          <w:spacing w:val="-10"/>
        </w:rPr>
        <w:t>strategy</w:t>
      </w:r>
      <w:r>
        <w:rPr>
          <w:spacing w:val="-6"/>
        </w:rPr>
        <w:t> </w:t>
      </w:r>
      <w:r>
        <w:rPr>
          <w:spacing w:val="-10"/>
        </w:rPr>
        <w:t>#3:</w:t>
      </w:r>
      <w:r>
        <w:rPr>
          <w:spacing w:val="-6"/>
        </w:rPr>
        <w:t> </w:t>
      </w:r>
      <w:r>
        <w:rPr>
          <w:spacing w:val="-10"/>
        </w:rPr>
        <w:t>Outsource</w:t>
      </w:r>
      <w:r>
        <w:rPr>
          <w:spacing w:val="-6"/>
        </w:rPr>
        <w:t> </w:t>
      </w:r>
      <w:r>
        <w:rPr>
          <w:spacing w:val="-10"/>
        </w:rPr>
        <w:t>risk</w:t>
      </w:r>
      <w:r>
        <w:rPr>
          <w:spacing w:val="-6"/>
        </w:rPr>
        <w:t> </w:t>
      </w:r>
      <w:r>
        <w:rPr>
          <w:spacing w:val="-10"/>
        </w:rPr>
        <w:t>management</w:t>
      </w:r>
      <w:r>
        <w:rPr>
          <w:spacing w:val="-6"/>
        </w:rPr>
        <w:t> </w:t>
      </w:r>
      <w:r>
        <w:rPr>
          <w:spacing w:val="-10"/>
        </w:rPr>
        <w:t>via </w:t>
      </w:r>
      <w:r>
        <w:rPr>
          <w:spacing w:val="-4"/>
        </w:rPr>
        <w:t>syndication</w:t>
      </w:r>
      <w:r>
        <w:rPr>
          <w:spacing w:val="-16"/>
        </w:rPr>
        <w:t> </w:t>
      </w:r>
      <w:r>
        <w:rPr>
          <w:spacing w:val="-4"/>
        </w:rPr>
        <w:t>and</w:t>
      </w:r>
      <w:r>
        <w:rPr>
          <w:spacing w:val="-15"/>
        </w:rPr>
        <w:t> </w:t>
      </w:r>
      <w:r>
        <w:rPr>
          <w:spacing w:val="-4"/>
        </w:rPr>
        <w:t>multilateralization</w:t>
      </w:r>
    </w:p>
    <w:p>
      <w:pPr>
        <w:pStyle w:val="BodyText"/>
        <w:spacing w:line="333" w:lineRule="auto" w:before="81"/>
        <w:ind w:left="560" w:right="561"/>
      </w:pPr>
      <w:r>
        <w:rPr/>
        <w:t>Another strategy that Beijing could pursue to de-risk its overseas </w:t>
      </w:r>
      <w:r>
        <w:rPr/>
        <w:t>infrastructure project portfolio is outsourcing risk management to multilateral institutions,</w:t>
      </w:r>
    </w:p>
    <w:p>
      <w:pPr>
        <w:spacing w:after="0" w:line="333" w:lineRule="auto"/>
        <w:sectPr>
          <w:type w:val="continuous"/>
          <w:pgSz w:w="12240" w:h="15840"/>
          <w:pgMar w:header="0" w:footer="720" w:top="1440" w:bottom="920" w:left="1240" w:right="1260"/>
        </w:sectPr>
      </w:pPr>
    </w:p>
    <w:p>
      <w:pPr>
        <w:pStyle w:val="BodyText"/>
        <w:spacing w:line="333" w:lineRule="auto" w:before="27"/>
        <w:ind w:left="560" w:right="561"/>
      </w:pPr>
      <w:r>
        <w:rPr>
          <w:spacing w:val="-2"/>
          <w:w w:val="105"/>
        </w:rPr>
        <w:t>which</w:t>
      </w:r>
      <w:r>
        <w:rPr>
          <w:spacing w:val="-9"/>
          <w:w w:val="105"/>
        </w:rPr>
        <w:t> </w:t>
      </w:r>
      <w:r>
        <w:rPr>
          <w:spacing w:val="-2"/>
          <w:w w:val="105"/>
        </w:rPr>
        <w:t>are</w:t>
      </w:r>
      <w:r>
        <w:rPr>
          <w:spacing w:val="-9"/>
          <w:w w:val="105"/>
        </w:rPr>
        <w:t> </w:t>
      </w:r>
      <w:r>
        <w:rPr>
          <w:spacing w:val="-2"/>
          <w:w w:val="105"/>
        </w:rPr>
        <w:t>widely</w:t>
      </w:r>
      <w:r>
        <w:rPr>
          <w:spacing w:val="-9"/>
          <w:w w:val="105"/>
        </w:rPr>
        <w:t> </w:t>
      </w:r>
      <w:r>
        <w:rPr>
          <w:spacing w:val="-2"/>
          <w:w w:val="105"/>
        </w:rPr>
        <w:t>considered</w:t>
      </w:r>
      <w:r>
        <w:rPr>
          <w:spacing w:val="-9"/>
          <w:w w:val="105"/>
        </w:rPr>
        <w:t> </w:t>
      </w:r>
      <w:r>
        <w:rPr>
          <w:spacing w:val="-2"/>
          <w:w w:val="105"/>
        </w:rPr>
        <w:t>to</w:t>
      </w:r>
      <w:r>
        <w:rPr>
          <w:spacing w:val="-9"/>
          <w:w w:val="105"/>
        </w:rPr>
        <w:t> </w:t>
      </w:r>
      <w:r>
        <w:rPr>
          <w:spacing w:val="-2"/>
          <w:w w:val="105"/>
        </w:rPr>
        <w:t>be</w:t>
      </w:r>
      <w:r>
        <w:rPr>
          <w:spacing w:val="-9"/>
          <w:w w:val="105"/>
        </w:rPr>
        <w:t> </w:t>
      </w:r>
      <w:r>
        <w:rPr>
          <w:spacing w:val="-2"/>
          <w:w w:val="105"/>
        </w:rPr>
        <w:t>norm-setting,</w:t>
      </w:r>
      <w:r>
        <w:rPr>
          <w:spacing w:val="-9"/>
          <w:w w:val="105"/>
        </w:rPr>
        <w:t> </w:t>
      </w:r>
      <w:r>
        <w:rPr>
          <w:spacing w:val="-2"/>
          <w:w w:val="105"/>
        </w:rPr>
        <w:t>industry</w:t>
      </w:r>
      <w:r>
        <w:rPr>
          <w:spacing w:val="-9"/>
          <w:w w:val="105"/>
        </w:rPr>
        <w:t> </w:t>
      </w:r>
      <w:r>
        <w:rPr>
          <w:spacing w:val="-2"/>
          <w:w w:val="105"/>
        </w:rPr>
        <w:t>leaders</w:t>
      </w:r>
      <w:r>
        <w:rPr>
          <w:spacing w:val="-9"/>
          <w:w w:val="105"/>
        </w:rPr>
        <w:t> </w:t>
      </w:r>
      <w:r>
        <w:rPr>
          <w:spacing w:val="-2"/>
          <w:w w:val="105"/>
        </w:rPr>
        <w:t>in</w:t>
      </w:r>
      <w:r>
        <w:rPr>
          <w:spacing w:val="-9"/>
          <w:w w:val="105"/>
        </w:rPr>
        <w:t> </w:t>
      </w:r>
      <w:r>
        <w:rPr>
          <w:spacing w:val="-2"/>
          <w:w w:val="105"/>
        </w:rPr>
        <w:t>the</w:t>
      </w:r>
      <w:r>
        <w:rPr>
          <w:spacing w:val="-9"/>
          <w:w w:val="105"/>
        </w:rPr>
        <w:t> </w:t>
      </w:r>
      <w:r>
        <w:rPr>
          <w:spacing w:val="-2"/>
          <w:w w:val="105"/>
        </w:rPr>
        <w:t>design </w:t>
      </w:r>
      <w:r>
        <w:rPr/>
        <w:t>and</w:t>
      </w:r>
      <w:r>
        <w:rPr>
          <w:spacing w:val="-5"/>
        </w:rPr>
        <w:t> </w:t>
      </w:r>
      <w:r>
        <w:rPr/>
        <w:t>implementation</w:t>
      </w:r>
      <w:r>
        <w:rPr>
          <w:spacing w:val="-5"/>
        </w:rPr>
        <w:t> </w:t>
      </w:r>
      <w:r>
        <w:rPr/>
        <w:t>of</w:t>
      </w:r>
      <w:r>
        <w:rPr>
          <w:spacing w:val="-5"/>
        </w:rPr>
        <w:t> </w:t>
      </w:r>
      <w:r>
        <w:rPr/>
        <w:t>ESG</w:t>
      </w:r>
      <w:r>
        <w:rPr>
          <w:spacing w:val="-5"/>
        </w:rPr>
        <w:t> </w:t>
      </w:r>
      <w:r>
        <w:rPr/>
        <w:t>safeguards</w:t>
      </w:r>
      <w:r>
        <w:rPr>
          <w:spacing w:val="-5"/>
        </w:rPr>
        <w:t> </w:t>
      </w:r>
      <w:r>
        <w:rPr/>
        <w:t>(Park</w:t>
      </w:r>
      <w:r>
        <w:rPr>
          <w:spacing w:val="-5"/>
        </w:rPr>
        <w:t> </w:t>
      </w:r>
      <w:r>
        <w:rPr/>
        <w:t>2010;</w:t>
      </w:r>
      <w:r>
        <w:rPr>
          <w:spacing w:val="-5"/>
        </w:rPr>
        <w:t> </w:t>
      </w:r>
      <w:r>
        <w:rPr/>
        <w:t>Martin</w:t>
      </w:r>
      <w:r>
        <w:rPr>
          <w:spacing w:val="-5"/>
        </w:rPr>
        <w:t> </w:t>
      </w:r>
      <w:r>
        <w:rPr/>
        <w:t>et</w:t>
      </w:r>
      <w:r>
        <w:rPr>
          <w:spacing w:val="-5"/>
        </w:rPr>
        <w:t> </w:t>
      </w:r>
      <w:r>
        <w:rPr/>
        <w:t>al.</w:t>
      </w:r>
      <w:r>
        <w:rPr>
          <w:spacing w:val="-5"/>
        </w:rPr>
        <w:t> </w:t>
      </w:r>
      <w:r>
        <w:rPr/>
        <w:t>2015;</w:t>
      </w:r>
      <w:r>
        <w:rPr>
          <w:spacing w:val="-5"/>
        </w:rPr>
        <w:t> </w:t>
      </w:r>
      <w:r>
        <w:rPr/>
        <w:t>Buntaine 2016; Brauneder et al. 2018; Buchanan et al. 2018; Narain et al. 2020, 2022).</w:t>
      </w:r>
    </w:p>
    <w:p>
      <w:pPr>
        <w:pStyle w:val="BodyText"/>
        <w:spacing w:before="8"/>
        <w:rPr>
          <w:sz w:val="27"/>
        </w:rPr>
      </w:pPr>
    </w:p>
    <w:p>
      <w:pPr>
        <w:pStyle w:val="BodyText"/>
        <w:spacing w:line="333" w:lineRule="auto"/>
        <w:ind w:left="560" w:right="579"/>
      </w:pPr>
      <w:r>
        <w:rPr>
          <w:w w:val="105"/>
        </w:rPr>
        <w:t>One</w:t>
      </w:r>
      <w:r>
        <w:rPr>
          <w:spacing w:val="-8"/>
          <w:w w:val="105"/>
        </w:rPr>
        <w:t> </w:t>
      </w:r>
      <w:r>
        <w:rPr>
          <w:w w:val="105"/>
        </w:rPr>
        <w:t>path</w:t>
      </w:r>
      <w:r>
        <w:rPr>
          <w:spacing w:val="-8"/>
          <w:w w:val="105"/>
        </w:rPr>
        <w:t> </w:t>
      </w:r>
      <w:r>
        <w:rPr>
          <w:w w:val="105"/>
        </w:rPr>
        <w:t>to</w:t>
      </w:r>
      <w:r>
        <w:rPr>
          <w:spacing w:val="-8"/>
          <w:w w:val="105"/>
        </w:rPr>
        <w:t> </w:t>
      </w:r>
      <w:r>
        <w:rPr>
          <w:w w:val="105"/>
        </w:rPr>
        <w:t>multilateralization</w:t>
      </w:r>
      <w:r>
        <w:rPr>
          <w:spacing w:val="-8"/>
          <w:w w:val="105"/>
        </w:rPr>
        <w:t> </w:t>
      </w:r>
      <w:r>
        <w:rPr>
          <w:w w:val="105"/>
        </w:rPr>
        <w:t>is</w:t>
      </w:r>
      <w:r>
        <w:rPr>
          <w:spacing w:val="-8"/>
          <w:w w:val="105"/>
        </w:rPr>
        <w:t> </w:t>
      </w:r>
      <w:r>
        <w:rPr>
          <w:w w:val="105"/>
        </w:rPr>
        <w:t>to</w:t>
      </w:r>
      <w:r>
        <w:rPr>
          <w:spacing w:val="-8"/>
          <w:w w:val="105"/>
        </w:rPr>
        <w:t> </w:t>
      </w:r>
      <w:r>
        <w:rPr>
          <w:w w:val="105"/>
        </w:rPr>
        <w:t>directly</w:t>
      </w:r>
      <w:r>
        <w:rPr>
          <w:spacing w:val="-8"/>
          <w:w w:val="105"/>
        </w:rPr>
        <w:t> </w:t>
      </w:r>
      <w:r>
        <w:rPr>
          <w:w w:val="105"/>
        </w:rPr>
        <w:t>entrust</w:t>
      </w:r>
      <w:r>
        <w:rPr>
          <w:spacing w:val="-8"/>
          <w:w w:val="105"/>
        </w:rPr>
        <w:t> </w:t>
      </w:r>
      <w:r>
        <w:rPr>
          <w:w w:val="105"/>
        </w:rPr>
        <w:t>the</w:t>
      </w:r>
      <w:r>
        <w:rPr>
          <w:spacing w:val="-8"/>
          <w:w w:val="105"/>
        </w:rPr>
        <w:t> </w:t>
      </w:r>
      <w:r>
        <w:rPr>
          <w:w w:val="105"/>
        </w:rPr>
        <w:t>management</w:t>
      </w:r>
      <w:r>
        <w:rPr>
          <w:spacing w:val="-8"/>
          <w:w w:val="105"/>
        </w:rPr>
        <w:t> </w:t>
      </w:r>
      <w:r>
        <w:rPr>
          <w:w w:val="105"/>
        </w:rPr>
        <w:t>of</w:t>
      </w:r>
      <w:r>
        <w:rPr>
          <w:spacing w:val="-8"/>
          <w:w w:val="105"/>
        </w:rPr>
        <w:t> </w:t>
      </w:r>
      <w:r>
        <w:rPr>
          <w:w w:val="105"/>
        </w:rPr>
        <w:t>grants and</w:t>
      </w:r>
      <w:r>
        <w:rPr>
          <w:spacing w:val="-15"/>
          <w:w w:val="105"/>
        </w:rPr>
        <w:t> </w:t>
      </w:r>
      <w:r>
        <w:rPr>
          <w:w w:val="105"/>
        </w:rPr>
        <w:t>loans</w:t>
      </w:r>
      <w:r>
        <w:rPr>
          <w:spacing w:val="-15"/>
          <w:w w:val="105"/>
        </w:rPr>
        <w:t> </w:t>
      </w:r>
      <w:r>
        <w:rPr>
          <w:w w:val="105"/>
        </w:rPr>
        <w:t>to</w:t>
      </w:r>
      <w:r>
        <w:rPr>
          <w:spacing w:val="-15"/>
          <w:w w:val="105"/>
        </w:rPr>
        <w:t> </w:t>
      </w:r>
      <w:r>
        <w:rPr>
          <w:w w:val="105"/>
        </w:rPr>
        <w:t>an</w:t>
      </w:r>
      <w:r>
        <w:rPr>
          <w:spacing w:val="-15"/>
          <w:w w:val="105"/>
        </w:rPr>
        <w:t> </w:t>
      </w:r>
      <w:r>
        <w:rPr>
          <w:w w:val="105"/>
        </w:rPr>
        <w:t>intergovernmental</w:t>
      </w:r>
      <w:r>
        <w:rPr>
          <w:spacing w:val="-15"/>
          <w:w w:val="105"/>
        </w:rPr>
        <w:t> </w:t>
      </w:r>
      <w:r>
        <w:rPr>
          <w:w w:val="105"/>
        </w:rPr>
        <w:t>organization.</w:t>
      </w:r>
      <w:r>
        <w:rPr>
          <w:spacing w:val="-15"/>
          <w:w w:val="105"/>
        </w:rPr>
        <w:t> </w:t>
      </w:r>
      <w:r>
        <w:rPr>
          <w:w w:val="105"/>
        </w:rPr>
        <w:t>For</w:t>
      </w:r>
      <w:r>
        <w:rPr>
          <w:spacing w:val="-15"/>
          <w:w w:val="105"/>
        </w:rPr>
        <w:t> </w:t>
      </w:r>
      <w:r>
        <w:rPr>
          <w:w w:val="105"/>
        </w:rPr>
        <w:t>example,</w:t>
      </w:r>
      <w:r>
        <w:rPr>
          <w:spacing w:val="-15"/>
          <w:w w:val="105"/>
        </w:rPr>
        <w:t> </w:t>
      </w:r>
      <w:r>
        <w:rPr>
          <w:w w:val="105"/>
        </w:rPr>
        <w:t>through</w:t>
      </w:r>
      <w:r>
        <w:rPr>
          <w:spacing w:val="-15"/>
          <w:w w:val="105"/>
        </w:rPr>
        <w:t> </w:t>
      </w:r>
      <w:r>
        <w:rPr>
          <w:w w:val="105"/>
        </w:rPr>
        <w:t>its</w:t>
      </w:r>
      <w:r>
        <w:rPr>
          <w:spacing w:val="-15"/>
          <w:w w:val="105"/>
        </w:rPr>
        <w:t> </w:t>
      </w:r>
      <w:r>
        <w:rPr>
          <w:w w:val="105"/>
        </w:rPr>
        <w:t>$2 </w:t>
      </w:r>
      <w:r>
        <w:rPr/>
        <w:t>billion trust fund at the African Development Bank (known as the Africa Growing Together</w:t>
      </w:r>
      <w:r>
        <w:rPr>
          <w:spacing w:val="-3"/>
        </w:rPr>
        <w:t> </w:t>
      </w:r>
      <w:r>
        <w:rPr/>
        <w:t>Fund)</w:t>
      </w:r>
      <w:r>
        <w:rPr>
          <w:spacing w:val="-3"/>
        </w:rPr>
        <w:t> </w:t>
      </w:r>
      <w:r>
        <w:rPr/>
        <w:t>and</w:t>
      </w:r>
      <w:r>
        <w:rPr>
          <w:spacing w:val="-3"/>
        </w:rPr>
        <w:t> </w:t>
      </w:r>
      <w:r>
        <w:rPr/>
        <w:t>its</w:t>
      </w:r>
      <w:r>
        <w:rPr>
          <w:spacing w:val="-3"/>
        </w:rPr>
        <w:t> </w:t>
      </w:r>
      <w:r>
        <w:rPr/>
        <w:t>$2</w:t>
      </w:r>
      <w:r>
        <w:rPr>
          <w:spacing w:val="-3"/>
        </w:rPr>
        <w:t> </w:t>
      </w:r>
      <w:r>
        <w:rPr/>
        <w:t>billion</w:t>
      </w:r>
      <w:r>
        <w:rPr>
          <w:spacing w:val="-3"/>
        </w:rPr>
        <w:t> </w:t>
      </w:r>
      <w:r>
        <w:rPr/>
        <w:t>trust</w:t>
      </w:r>
      <w:r>
        <w:rPr>
          <w:spacing w:val="-3"/>
        </w:rPr>
        <w:t> </w:t>
      </w:r>
      <w:r>
        <w:rPr/>
        <w:t>fund</w:t>
      </w:r>
      <w:r>
        <w:rPr>
          <w:spacing w:val="-3"/>
        </w:rPr>
        <w:t> </w:t>
      </w:r>
      <w:r>
        <w:rPr/>
        <w:t>at</w:t>
      </w:r>
      <w:r>
        <w:rPr>
          <w:spacing w:val="-3"/>
        </w:rPr>
        <w:t> </w:t>
      </w:r>
      <w:r>
        <w:rPr/>
        <w:t>the</w:t>
      </w:r>
      <w:r>
        <w:rPr>
          <w:spacing w:val="-3"/>
        </w:rPr>
        <w:t> </w:t>
      </w:r>
      <w:r>
        <w:rPr/>
        <w:t>Inter-American</w:t>
      </w:r>
      <w:r>
        <w:rPr>
          <w:spacing w:val="-3"/>
        </w:rPr>
        <w:t> </w:t>
      </w:r>
      <w:r>
        <w:rPr/>
        <w:t>Bank</w:t>
      </w:r>
      <w:r>
        <w:rPr>
          <w:spacing w:val="-3"/>
        </w:rPr>
        <w:t> </w:t>
      </w:r>
      <w:r>
        <w:rPr/>
        <w:t>(known</w:t>
      </w:r>
      <w:r>
        <w:rPr>
          <w:spacing w:val="-3"/>
        </w:rPr>
        <w:t> </w:t>
      </w:r>
      <w:r>
        <w:rPr/>
        <w:t>as the China Co-Financing Fund for Latin America and the Caribbean), the PBOC </w:t>
      </w:r>
      <w:r>
        <w:rPr>
          <w:w w:val="105"/>
        </w:rPr>
        <w:t>has</w:t>
      </w:r>
      <w:r>
        <w:rPr>
          <w:spacing w:val="-5"/>
          <w:w w:val="105"/>
        </w:rPr>
        <w:t> </w:t>
      </w:r>
      <w:r>
        <w:rPr>
          <w:w w:val="105"/>
        </w:rPr>
        <w:t>fully</w:t>
      </w:r>
      <w:r>
        <w:rPr>
          <w:spacing w:val="-5"/>
          <w:w w:val="105"/>
        </w:rPr>
        <w:t> </w:t>
      </w:r>
      <w:r>
        <w:rPr>
          <w:w w:val="105"/>
        </w:rPr>
        <w:t>delegated</w:t>
      </w:r>
      <w:r>
        <w:rPr>
          <w:spacing w:val="-5"/>
          <w:w w:val="105"/>
        </w:rPr>
        <w:t> </w:t>
      </w:r>
      <w:r>
        <w:rPr>
          <w:w w:val="105"/>
        </w:rPr>
        <w:t>project</w:t>
      </w:r>
      <w:r>
        <w:rPr>
          <w:spacing w:val="-5"/>
          <w:w w:val="105"/>
        </w:rPr>
        <w:t> </w:t>
      </w:r>
      <w:r>
        <w:rPr>
          <w:w w:val="105"/>
        </w:rPr>
        <w:t>design,</w:t>
      </w:r>
      <w:r>
        <w:rPr>
          <w:spacing w:val="-5"/>
          <w:w w:val="105"/>
        </w:rPr>
        <w:t> </w:t>
      </w:r>
      <w:r>
        <w:rPr>
          <w:w w:val="105"/>
        </w:rPr>
        <w:t>preparation,</w:t>
      </w:r>
      <w:r>
        <w:rPr>
          <w:spacing w:val="-5"/>
          <w:w w:val="105"/>
        </w:rPr>
        <w:t> </w:t>
      </w:r>
      <w:r>
        <w:rPr>
          <w:w w:val="105"/>
        </w:rPr>
        <w:t>implementation,</w:t>
      </w:r>
      <w:r>
        <w:rPr>
          <w:spacing w:val="-5"/>
          <w:w w:val="105"/>
        </w:rPr>
        <w:t> </w:t>
      </w:r>
      <w:r>
        <w:rPr>
          <w:w w:val="105"/>
        </w:rPr>
        <w:t>and </w:t>
      </w:r>
      <w:r>
        <w:rPr/>
        <w:t>supervision responsibilities (including ESG safeguard application) to the </w:t>
      </w:r>
      <w:r>
        <w:rPr>
          <w:w w:val="105"/>
        </w:rPr>
        <w:t>multilateral institutions.</w:t>
      </w:r>
    </w:p>
    <w:p>
      <w:pPr>
        <w:pStyle w:val="BodyText"/>
        <w:spacing w:before="5"/>
        <w:rPr>
          <w:sz w:val="27"/>
        </w:rPr>
      </w:pPr>
    </w:p>
    <w:p>
      <w:pPr>
        <w:pStyle w:val="BodyText"/>
        <w:spacing w:line="333" w:lineRule="auto"/>
        <w:ind w:left="560" w:right="561"/>
      </w:pPr>
      <w:r>
        <w:rPr>
          <w:w w:val="105"/>
        </w:rPr>
        <w:t>Another</w:t>
      </w:r>
      <w:r>
        <w:rPr>
          <w:spacing w:val="-4"/>
          <w:w w:val="105"/>
        </w:rPr>
        <w:t> </w:t>
      </w:r>
      <w:r>
        <w:rPr>
          <w:w w:val="105"/>
        </w:rPr>
        <w:t>multilateralization</w:t>
      </w:r>
      <w:r>
        <w:rPr>
          <w:spacing w:val="-4"/>
          <w:w w:val="105"/>
        </w:rPr>
        <w:t> </w:t>
      </w:r>
      <w:r>
        <w:rPr>
          <w:w w:val="105"/>
        </w:rPr>
        <w:t>option</w:t>
      </w:r>
      <w:r>
        <w:rPr>
          <w:spacing w:val="-4"/>
          <w:w w:val="105"/>
        </w:rPr>
        <w:t> </w:t>
      </w:r>
      <w:r>
        <w:rPr>
          <w:w w:val="105"/>
        </w:rPr>
        <w:t>is</w:t>
      </w:r>
      <w:r>
        <w:rPr>
          <w:spacing w:val="-4"/>
          <w:w w:val="105"/>
        </w:rPr>
        <w:t> </w:t>
      </w:r>
      <w:r>
        <w:rPr>
          <w:w w:val="105"/>
        </w:rPr>
        <w:t>to</w:t>
      </w:r>
      <w:r>
        <w:rPr>
          <w:spacing w:val="-4"/>
          <w:w w:val="105"/>
        </w:rPr>
        <w:t> </w:t>
      </w:r>
      <w:r>
        <w:rPr>
          <w:w w:val="105"/>
        </w:rPr>
        <w:t>participate</w:t>
      </w:r>
      <w:r>
        <w:rPr>
          <w:spacing w:val="-4"/>
          <w:w w:val="105"/>
        </w:rPr>
        <w:t> </w:t>
      </w:r>
      <w:r>
        <w:rPr>
          <w:w w:val="105"/>
        </w:rPr>
        <w:t>in</w:t>
      </w:r>
      <w:r>
        <w:rPr>
          <w:spacing w:val="-4"/>
          <w:w w:val="105"/>
        </w:rPr>
        <w:t> </w:t>
      </w:r>
      <w:r>
        <w:rPr>
          <w:w w:val="105"/>
        </w:rPr>
        <w:t>syndicated</w:t>
      </w:r>
      <w:r>
        <w:rPr>
          <w:spacing w:val="-4"/>
          <w:w w:val="105"/>
        </w:rPr>
        <w:t> </w:t>
      </w:r>
      <w:r>
        <w:rPr>
          <w:w w:val="105"/>
        </w:rPr>
        <w:t>loan </w:t>
      </w:r>
      <w:r>
        <w:rPr/>
        <w:t>agreements that are arranged by multilateral institutions. Many of </w:t>
      </w:r>
      <w:r>
        <w:rPr/>
        <w:t>these agreements have an A/B structure, whereby an MDB serves as the</w:t>
      </w:r>
    </w:p>
    <w:p>
      <w:pPr>
        <w:pStyle w:val="BodyText"/>
        <w:spacing w:line="333" w:lineRule="auto"/>
        <w:ind w:left="560" w:right="558"/>
      </w:pPr>
      <w:r>
        <w:rPr>
          <w:w w:val="105"/>
        </w:rPr>
        <w:t>lender-of-record</w:t>
      </w:r>
      <w:r>
        <w:rPr>
          <w:spacing w:val="-11"/>
          <w:w w:val="105"/>
        </w:rPr>
        <w:t> </w:t>
      </w:r>
      <w:r>
        <w:rPr>
          <w:w w:val="105"/>
        </w:rPr>
        <w:t>and</w:t>
      </w:r>
      <w:r>
        <w:rPr>
          <w:spacing w:val="-11"/>
          <w:w w:val="105"/>
        </w:rPr>
        <w:t> </w:t>
      </w:r>
      <w:r>
        <w:rPr>
          <w:w w:val="105"/>
        </w:rPr>
        <w:t>keeps</w:t>
      </w:r>
      <w:r>
        <w:rPr>
          <w:spacing w:val="-11"/>
          <w:w w:val="105"/>
        </w:rPr>
        <w:t> </w:t>
      </w:r>
      <w:r>
        <w:rPr>
          <w:w w:val="105"/>
        </w:rPr>
        <w:t>a</w:t>
      </w:r>
      <w:r>
        <w:rPr>
          <w:spacing w:val="-11"/>
          <w:w w:val="105"/>
        </w:rPr>
        <w:t> </w:t>
      </w:r>
      <w:r>
        <w:rPr>
          <w:w w:val="105"/>
        </w:rPr>
        <w:t>part</w:t>
      </w:r>
      <w:r>
        <w:rPr>
          <w:spacing w:val="-11"/>
          <w:w w:val="105"/>
        </w:rPr>
        <w:t> </w:t>
      </w:r>
      <w:r>
        <w:rPr>
          <w:w w:val="105"/>
        </w:rPr>
        <w:t>of</w:t>
      </w:r>
      <w:r>
        <w:rPr>
          <w:spacing w:val="-11"/>
          <w:w w:val="105"/>
        </w:rPr>
        <w:t> </w:t>
      </w:r>
      <w:r>
        <w:rPr>
          <w:w w:val="105"/>
        </w:rPr>
        <w:t>the</w:t>
      </w:r>
      <w:r>
        <w:rPr>
          <w:spacing w:val="-11"/>
          <w:w w:val="105"/>
        </w:rPr>
        <w:t> </w:t>
      </w:r>
      <w:r>
        <w:rPr>
          <w:w w:val="105"/>
        </w:rPr>
        <w:t>loan</w:t>
      </w:r>
      <w:r>
        <w:rPr>
          <w:spacing w:val="-11"/>
          <w:w w:val="105"/>
        </w:rPr>
        <w:t> </w:t>
      </w:r>
      <w:r>
        <w:rPr>
          <w:w w:val="105"/>
        </w:rPr>
        <w:t>for</w:t>
      </w:r>
      <w:r>
        <w:rPr>
          <w:spacing w:val="-11"/>
          <w:w w:val="105"/>
        </w:rPr>
        <w:t> </w:t>
      </w:r>
      <w:r>
        <w:rPr>
          <w:w w:val="105"/>
        </w:rPr>
        <w:t>its</w:t>
      </w:r>
      <w:r>
        <w:rPr>
          <w:spacing w:val="-11"/>
          <w:w w:val="105"/>
        </w:rPr>
        <w:t> </w:t>
      </w:r>
      <w:r>
        <w:rPr>
          <w:w w:val="105"/>
        </w:rPr>
        <w:t>own</w:t>
      </w:r>
      <w:r>
        <w:rPr>
          <w:spacing w:val="-11"/>
          <w:w w:val="105"/>
        </w:rPr>
        <w:t> </w:t>
      </w:r>
      <w:r>
        <w:rPr>
          <w:w w:val="105"/>
        </w:rPr>
        <w:t>account</w:t>
      </w:r>
      <w:r>
        <w:rPr>
          <w:spacing w:val="-11"/>
          <w:w w:val="105"/>
        </w:rPr>
        <w:t> </w:t>
      </w:r>
      <w:r>
        <w:rPr>
          <w:w w:val="105"/>
        </w:rPr>
        <w:t>(the</w:t>
      </w:r>
      <w:r>
        <w:rPr>
          <w:spacing w:val="-11"/>
          <w:w w:val="105"/>
        </w:rPr>
        <w:t> </w:t>
      </w:r>
      <w:r>
        <w:rPr>
          <w:w w:val="105"/>
        </w:rPr>
        <w:t>“A-loan”) </w:t>
      </w:r>
      <w:r>
        <w:rPr>
          <w:spacing w:val="-2"/>
          <w:w w:val="105"/>
        </w:rPr>
        <w:t>while</w:t>
      </w:r>
      <w:r>
        <w:rPr>
          <w:spacing w:val="-9"/>
          <w:w w:val="105"/>
        </w:rPr>
        <w:t> </w:t>
      </w:r>
      <w:r>
        <w:rPr>
          <w:spacing w:val="-2"/>
          <w:w w:val="105"/>
        </w:rPr>
        <w:t>selling</w:t>
      </w:r>
      <w:r>
        <w:rPr>
          <w:spacing w:val="-9"/>
          <w:w w:val="105"/>
        </w:rPr>
        <w:t> </w:t>
      </w:r>
      <w:r>
        <w:rPr>
          <w:spacing w:val="-2"/>
          <w:w w:val="105"/>
        </w:rPr>
        <w:t>participation</w:t>
      </w:r>
      <w:r>
        <w:rPr>
          <w:spacing w:val="-9"/>
          <w:w w:val="105"/>
        </w:rPr>
        <w:t> </w:t>
      </w:r>
      <w:r>
        <w:rPr>
          <w:spacing w:val="-2"/>
          <w:w w:val="105"/>
        </w:rPr>
        <w:t>in</w:t>
      </w:r>
      <w:r>
        <w:rPr>
          <w:spacing w:val="-9"/>
          <w:w w:val="105"/>
        </w:rPr>
        <w:t> </w:t>
      </w:r>
      <w:r>
        <w:rPr>
          <w:spacing w:val="-2"/>
          <w:w w:val="105"/>
        </w:rPr>
        <w:t>the</w:t>
      </w:r>
      <w:r>
        <w:rPr>
          <w:spacing w:val="-9"/>
          <w:w w:val="105"/>
        </w:rPr>
        <w:t> </w:t>
      </w:r>
      <w:r>
        <w:rPr>
          <w:spacing w:val="-2"/>
          <w:w w:val="105"/>
        </w:rPr>
        <w:t>remainder</w:t>
      </w:r>
      <w:r>
        <w:rPr>
          <w:spacing w:val="-9"/>
          <w:w w:val="105"/>
        </w:rPr>
        <w:t> </w:t>
      </w:r>
      <w:r>
        <w:rPr>
          <w:spacing w:val="-2"/>
          <w:w w:val="105"/>
        </w:rPr>
        <w:t>of</w:t>
      </w:r>
      <w:r>
        <w:rPr>
          <w:spacing w:val="-9"/>
          <w:w w:val="105"/>
        </w:rPr>
        <w:t> </w:t>
      </w:r>
      <w:r>
        <w:rPr>
          <w:spacing w:val="-2"/>
          <w:w w:val="105"/>
        </w:rPr>
        <w:t>the</w:t>
      </w:r>
      <w:r>
        <w:rPr>
          <w:spacing w:val="-9"/>
          <w:w w:val="105"/>
        </w:rPr>
        <w:t> </w:t>
      </w:r>
      <w:r>
        <w:rPr>
          <w:spacing w:val="-2"/>
          <w:w w:val="105"/>
        </w:rPr>
        <w:t>loan</w:t>
      </w:r>
      <w:r>
        <w:rPr>
          <w:spacing w:val="-9"/>
          <w:w w:val="105"/>
        </w:rPr>
        <w:t> </w:t>
      </w:r>
      <w:r>
        <w:rPr>
          <w:spacing w:val="-2"/>
          <w:w w:val="105"/>
        </w:rPr>
        <w:t>(the</w:t>
      </w:r>
      <w:r>
        <w:rPr>
          <w:spacing w:val="-9"/>
          <w:w w:val="105"/>
        </w:rPr>
        <w:t> </w:t>
      </w:r>
      <w:r>
        <w:rPr>
          <w:spacing w:val="-2"/>
          <w:w w:val="105"/>
        </w:rPr>
        <w:t>“B-loan”).</w:t>
      </w:r>
      <w:r>
        <w:rPr>
          <w:spacing w:val="-9"/>
          <w:w w:val="105"/>
        </w:rPr>
        <w:t> </w:t>
      </w:r>
      <w:r>
        <w:rPr>
          <w:spacing w:val="-2"/>
          <w:w w:val="105"/>
        </w:rPr>
        <w:t>A</w:t>
      </w:r>
      <w:r>
        <w:rPr>
          <w:spacing w:val="-9"/>
          <w:w w:val="105"/>
        </w:rPr>
        <w:t> </w:t>
      </w:r>
      <w:r>
        <w:rPr>
          <w:spacing w:val="-2"/>
          <w:w w:val="105"/>
        </w:rPr>
        <w:t>common </w:t>
      </w:r>
      <w:r>
        <w:rPr>
          <w:w w:val="105"/>
        </w:rPr>
        <w:t>feature</w:t>
      </w:r>
      <w:r>
        <w:rPr>
          <w:spacing w:val="-18"/>
          <w:w w:val="105"/>
        </w:rPr>
        <w:t> </w:t>
      </w:r>
      <w:r>
        <w:rPr>
          <w:w w:val="105"/>
        </w:rPr>
        <w:t>of</w:t>
      </w:r>
      <w:r>
        <w:rPr>
          <w:spacing w:val="-17"/>
          <w:w w:val="105"/>
        </w:rPr>
        <w:t> </w:t>
      </w:r>
      <w:r>
        <w:rPr>
          <w:w w:val="105"/>
        </w:rPr>
        <w:t>A/B</w:t>
      </w:r>
      <w:r>
        <w:rPr>
          <w:spacing w:val="-18"/>
          <w:w w:val="105"/>
        </w:rPr>
        <w:t> </w:t>
      </w:r>
      <w:r>
        <w:rPr>
          <w:w w:val="105"/>
        </w:rPr>
        <w:t>syndicated</w:t>
      </w:r>
      <w:r>
        <w:rPr>
          <w:spacing w:val="-18"/>
          <w:w w:val="105"/>
        </w:rPr>
        <w:t> </w:t>
      </w:r>
      <w:r>
        <w:rPr>
          <w:w w:val="105"/>
        </w:rPr>
        <w:t>loan</w:t>
      </w:r>
      <w:r>
        <w:rPr>
          <w:spacing w:val="-17"/>
          <w:w w:val="105"/>
        </w:rPr>
        <w:t> </w:t>
      </w:r>
      <w:r>
        <w:rPr>
          <w:w w:val="105"/>
        </w:rPr>
        <w:t>agreements</w:t>
      </w:r>
      <w:r>
        <w:rPr>
          <w:spacing w:val="-18"/>
          <w:w w:val="105"/>
        </w:rPr>
        <w:t> </w:t>
      </w:r>
      <w:r>
        <w:rPr>
          <w:w w:val="105"/>
        </w:rPr>
        <w:t>with</w:t>
      </w:r>
      <w:r>
        <w:rPr>
          <w:spacing w:val="-17"/>
          <w:w w:val="105"/>
        </w:rPr>
        <w:t> </w:t>
      </w:r>
      <w:r>
        <w:rPr>
          <w:w w:val="105"/>
        </w:rPr>
        <w:t>multilateral</w:t>
      </w:r>
      <w:r>
        <w:rPr>
          <w:spacing w:val="-18"/>
          <w:w w:val="105"/>
        </w:rPr>
        <w:t> </w:t>
      </w:r>
      <w:r>
        <w:rPr>
          <w:w w:val="105"/>
        </w:rPr>
        <w:t>arrangers</w:t>
      </w:r>
      <w:r>
        <w:rPr>
          <w:spacing w:val="-17"/>
          <w:w w:val="105"/>
        </w:rPr>
        <w:t> </w:t>
      </w:r>
      <w:r>
        <w:rPr>
          <w:w w:val="105"/>
        </w:rPr>
        <w:t>is</w:t>
      </w:r>
      <w:r>
        <w:rPr>
          <w:spacing w:val="-18"/>
          <w:w w:val="105"/>
        </w:rPr>
        <w:t> </w:t>
      </w:r>
      <w:r>
        <w:rPr>
          <w:w w:val="105"/>
        </w:rPr>
        <w:t>that</w:t>
      </w:r>
      <w:r>
        <w:rPr>
          <w:spacing w:val="-17"/>
          <w:w w:val="105"/>
        </w:rPr>
        <w:t> </w:t>
      </w:r>
      <w:r>
        <w:rPr>
          <w:w w:val="105"/>
        </w:rPr>
        <w:t>all B-loan</w:t>
      </w:r>
      <w:r>
        <w:rPr>
          <w:spacing w:val="-5"/>
          <w:w w:val="105"/>
        </w:rPr>
        <w:t> </w:t>
      </w:r>
      <w:r>
        <w:rPr>
          <w:w w:val="105"/>
        </w:rPr>
        <w:t>participants</w:t>
      </w:r>
      <w:r>
        <w:rPr>
          <w:spacing w:val="-5"/>
          <w:w w:val="105"/>
        </w:rPr>
        <w:t> </w:t>
      </w:r>
      <w:r>
        <w:rPr>
          <w:w w:val="105"/>
        </w:rPr>
        <w:t>yield</w:t>
      </w:r>
      <w:r>
        <w:rPr>
          <w:spacing w:val="-5"/>
          <w:w w:val="105"/>
        </w:rPr>
        <w:t> </w:t>
      </w:r>
      <w:r>
        <w:rPr>
          <w:w w:val="105"/>
        </w:rPr>
        <w:t>authority</w:t>
      </w:r>
      <w:r>
        <w:rPr>
          <w:spacing w:val="-5"/>
          <w:w w:val="105"/>
        </w:rPr>
        <w:t> </w:t>
      </w:r>
      <w:r>
        <w:rPr>
          <w:w w:val="105"/>
        </w:rPr>
        <w:t>to</w:t>
      </w:r>
      <w:r>
        <w:rPr>
          <w:spacing w:val="-5"/>
          <w:w w:val="105"/>
        </w:rPr>
        <w:t> </w:t>
      </w:r>
      <w:r>
        <w:rPr>
          <w:w w:val="105"/>
        </w:rPr>
        <w:t>the</w:t>
      </w:r>
      <w:r>
        <w:rPr>
          <w:spacing w:val="-5"/>
          <w:w w:val="105"/>
        </w:rPr>
        <w:t> </w:t>
      </w:r>
      <w:r>
        <w:rPr>
          <w:w w:val="105"/>
        </w:rPr>
        <w:t>A-loan</w:t>
      </w:r>
      <w:r>
        <w:rPr>
          <w:spacing w:val="-5"/>
          <w:w w:val="105"/>
        </w:rPr>
        <w:t> </w:t>
      </w:r>
      <w:r>
        <w:rPr>
          <w:w w:val="105"/>
        </w:rPr>
        <w:t>provider</w:t>
      </w:r>
      <w:r>
        <w:rPr>
          <w:spacing w:val="-5"/>
          <w:w w:val="105"/>
        </w:rPr>
        <w:t> </w:t>
      </w:r>
      <w:r>
        <w:rPr>
          <w:w w:val="105"/>
        </w:rPr>
        <w:t>for</w:t>
      </w:r>
      <w:r>
        <w:rPr>
          <w:spacing w:val="-5"/>
          <w:w w:val="105"/>
        </w:rPr>
        <w:t> </w:t>
      </w:r>
      <w:r>
        <w:rPr>
          <w:w w:val="105"/>
        </w:rPr>
        <w:t>risk</w:t>
      </w:r>
      <w:r>
        <w:rPr>
          <w:spacing w:val="-5"/>
          <w:w w:val="105"/>
        </w:rPr>
        <w:t> </w:t>
      </w:r>
      <w:r>
        <w:rPr>
          <w:w w:val="105"/>
        </w:rPr>
        <w:t>mitigation </w:t>
      </w:r>
      <w:r>
        <w:rPr/>
        <w:t>purposes (Esty and Megginson 2003; Bae and Goyal 2009; Hainz and Kleimer </w:t>
      </w:r>
      <w:r>
        <w:rPr>
          <w:w w:val="105"/>
        </w:rPr>
        <w:t>2012;</w:t>
      </w:r>
      <w:r>
        <w:rPr>
          <w:spacing w:val="-12"/>
          <w:w w:val="105"/>
        </w:rPr>
        <w:t> </w:t>
      </w:r>
      <w:r>
        <w:rPr>
          <w:w w:val="105"/>
        </w:rPr>
        <w:t>Broccolini</w:t>
      </w:r>
      <w:r>
        <w:rPr>
          <w:spacing w:val="-12"/>
          <w:w w:val="105"/>
        </w:rPr>
        <w:t> </w:t>
      </w:r>
      <w:r>
        <w:rPr>
          <w:w w:val="105"/>
        </w:rPr>
        <w:t>et</w:t>
      </w:r>
      <w:r>
        <w:rPr>
          <w:spacing w:val="-12"/>
          <w:w w:val="105"/>
        </w:rPr>
        <w:t> </w:t>
      </w:r>
      <w:r>
        <w:rPr>
          <w:w w:val="105"/>
        </w:rPr>
        <w:t>al.</w:t>
      </w:r>
      <w:r>
        <w:rPr>
          <w:spacing w:val="-12"/>
          <w:w w:val="105"/>
        </w:rPr>
        <w:t> </w:t>
      </w:r>
      <w:r>
        <w:rPr>
          <w:w w:val="105"/>
        </w:rPr>
        <w:t>2021;</w:t>
      </w:r>
      <w:r>
        <w:rPr>
          <w:spacing w:val="-12"/>
          <w:w w:val="105"/>
        </w:rPr>
        <w:t> </w:t>
      </w:r>
      <w:r>
        <w:rPr>
          <w:w w:val="105"/>
        </w:rPr>
        <w:t>Lu</w:t>
      </w:r>
      <w:r>
        <w:rPr>
          <w:spacing w:val="-12"/>
          <w:w w:val="105"/>
        </w:rPr>
        <w:t> </w:t>
      </w:r>
      <w:r>
        <w:rPr>
          <w:w w:val="105"/>
        </w:rPr>
        <w:t>et</w:t>
      </w:r>
      <w:r>
        <w:rPr>
          <w:spacing w:val="-12"/>
          <w:w w:val="105"/>
        </w:rPr>
        <w:t> </w:t>
      </w:r>
      <w:r>
        <w:rPr>
          <w:w w:val="105"/>
        </w:rPr>
        <w:t>al.</w:t>
      </w:r>
      <w:r>
        <w:rPr>
          <w:spacing w:val="-12"/>
          <w:w w:val="105"/>
        </w:rPr>
        <w:t> </w:t>
      </w:r>
      <w:r>
        <w:rPr>
          <w:w w:val="105"/>
        </w:rPr>
        <w:t>2023a).</w:t>
      </w:r>
    </w:p>
    <w:p>
      <w:pPr>
        <w:pStyle w:val="BodyText"/>
        <w:spacing w:before="4"/>
        <w:rPr>
          <w:sz w:val="27"/>
        </w:rPr>
      </w:pPr>
    </w:p>
    <w:p>
      <w:pPr>
        <w:pStyle w:val="BodyText"/>
        <w:spacing w:line="333" w:lineRule="auto"/>
        <w:ind w:left="560" w:right="642"/>
      </w:pPr>
      <w:r>
        <w:rPr/>
        <w:t>According to Table 3.2 above, Beijing has modestly increased its reliance upon multilateral institutions over time. The proportion of China’s infrastructure </w:t>
      </w:r>
      <w:r>
        <w:rPr/>
        <w:t>project portfolio in LICs and MICs ﬁnanced via syndicated loans with multilateral participants and PBOC/MOF loans and grants entrusted to multilateral</w:t>
      </w:r>
      <w:r>
        <w:rPr>
          <w:spacing w:val="40"/>
        </w:rPr>
        <w:t> </w:t>
      </w:r>
      <w:r>
        <w:rPr/>
        <w:t>institutions rose from 0.8% during the pre-BRI period (2000-2013) to 2.34% during the late BRI period (2018-2021). Despite the small size of this increase, it is noteworthy because PBOC and MOF grants and loans entrusted to</w:t>
      </w:r>
      <w:r>
        <w:rPr>
          <w:spacing w:val="80"/>
        </w:rPr>
        <w:t> </w:t>
      </w:r>
      <w:r>
        <w:rPr/>
        <w:t>multilateral institutions and syndicated loans with Chinese bank and multilateral institution participants have the most stringent ESG safeguards in our sample of infrastructure ﬁnancing agreements (see Table 3.1 in Section 3).</w:t>
      </w:r>
    </w:p>
    <w:p>
      <w:pPr>
        <w:spacing w:after="0" w:line="333" w:lineRule="auto"/>
        <w:sectPr>
          <w:pgSz w:w="12240" w:h="15840"/>
          <w:pgMar w:header="0" w:footer="720" w:top="1400" w:bottom="920" w:left="1240" w:right="1260"/>
        </w:sectPr>
      </w:pPr>
    </w:p>
    <w:p>
      <w:pPr>
        <w:pStyle w:val="BodyText"/>
        <w:spacing w:line="333" w:lineRule="auto" w:before="27"/>
        <w:ind w:left="560" w:right="629"/>
      </w:pPr>
      <w:r>
        <w:rPr/>
        <w:t>Syndicated loans with Chinese policy bank and state-owned commercial bank participants may be analogous to syndicated loans with multilateral participants</w:t>
      </w:r>
      <w:r>
        <w:rPr>
          <w:spacing w:val="40"/>
        </w:rPr>
        <w:t> </w:t>
      </w:r>
      <w:r>
        <w:rPr/>
        <w:t>if all members of the syndicate generally defer to the lending institution(s) with the strongest preference(s) for ESG risk mitigation. Consistent with this expectation, Table 3.1 above provides evidence that the ESG safeguards of state-owned commercial banks do indeed prevail over those of the policy </w:t>
      </w:r>
      <w:r>
        <w:rPr/>
        <w:t>banks in syndicated loan arrangements.</w:t>
      </w:r>
      <w:r>
        <w:rPr>
          <w:vertAlign w:val="superscript"/>
        </w:rPr>
        <w:t>299</w:t>
      </w:r>
    </w:p>
    <w:p>
      <w:pPr>
        <w:pStyle w:val="BodyText"/>
        <w:spacing w:before="5"/>
        <w:rPr>
          <w:sz w:val="27"/>
        </w:rPr>
      </w:pPr>
    </w:p>
    <w:p>
      <w:pPr>
        <w:pStyle w:val="BodyText"/>
        <w:spacing w:line="333" w:lineRule="auto" w:before="1"/>
        <w:ind w:left="560" w:right="680"/>
      </w:pPr>
      <w:r>
        <w:rPr/>
        <w:t>Beijing has also intensiﬁed its use of these bilateral infrastructure ﬁnancing instruments over time. Figure 3.13 presents the percentage of Chinese grant- and loan-ﬁnanced infrastructure projects with strong de jure ESG safeguards in conjunction with the percentage of China’s infrastructure project portfolio ﬁnanced via syndicated loans with Chinese policy bank and state-owned commercial bank participants from 2000 to 2021. Beijing’s use of these types </w:t>
      </w:r>
      <w:r>
        <w:rPr/>
        <w:t>of syndicated loan arrangements for infrastructure projects in LICs and MICs has increased dramatically—from 0% in 2000 to 41% in 2021—and in tandem with the usage of strong de jure ESG safeguards.</w:t>
      </w:r>
      <w:r>
        <w:rPr>
          <w:vertAlign w:val="superscript"/>
        </w:rPr>
        <w:t>300</w:t>
      </w:r>
      <w:r>
        <w:rPr>
          <w:vertAlign w:val="baseline"/>
        </w:rPr>
        <w:t> The year-on-year changes that took place over this twenty-two year period track closely with year-on-year changes in the percentage of China’s overseas infrastructure project portfolio bankrolled by institutions with strong de jure ESG safeguards.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3"/>
        </w:rPr>
      </w:pPr>
      <w:r>
        <w:rPr/>
        <w:pict>
          <v:shape style="position:absolute;margin-left:90pt;margin-top:9.198095pt;width:144pt;height:.1pt;mso-position-horizontal-relative:page;mso-position-vertical-relative:paragraph;z-index:-15691776;mso-wrap-distance-left:0;mso-wrap-distance-right:0" id="docshape61" coordorigin="1800,184" coordsize="2880,0" path="m1800,184l4680,184e" filled="false" stroked="true" strokeweight=".75pt" strokecolor="#000000">
            <v:path arrowok="t"/>
            <v:stroke dashstyle="solid"/>
            <w10:wrap type="topAndBottom"/>
          </v:shape>
        </w:pict>
      </w:r>
    </w:p>
    <w:p>
      <w:pPr>
        <w:spacing w:line="249" w:lineRule="auto" w:before="104"/>
        <w:ind w:left="560" w:right="561" w:firstLine="0"/>
        <w:jc w:val="left"/>
        <w:rPr>
          <w:sz w:val="18"/>
        </w:rPr>
      </w:pPr>
      <w:r>
        <w:rPr>
          <w:sz w:val="18"/>
          <w:vertAlign w:val="superscript"/>
        </w:rPr>
        <w:t>299</w:t>
      </w:r>
      <w:r>
        <w:rPr>
          <w:spacing w:val="-3"/>
          <w:sz w:val="18"/>
          <w:vertAlign w:val="baseline"/>
        </w:rPr>
        <w:t> </w:t>
      </w:r>
      <w:r>
        <w:rPr>
          <w:sz w:val="18"/>
          <w:vertAlign w:val="baseline"/>
        </w:rPr>
        <w:t>Suﬁ</w:t>
      </w:r>
      <w:r>
        <w:rPr>
          <w:spacing w:val="-2"/>
          <w:sz w:val="18"/>
          <w:vertAlign w:val="baseline"/>
        </w:rPr>
        <w:t> </w:t>
      </w:r>
      <w:r>
        <w:rPr>
          <w:sz w:val="18"/>
          <w:vertAlign w:val="baseline"/>
        </w:rPr>
        <w:t>(2007)</w:t>
      </w:r>
      <w:r>
        <w:rPr>
          <w:spacing w:val="-2"/>
          <w:sz w:val="18"/>
          <w:vertAlign w:val="baseline"/>
        </w:rPr>
        <w:t> </w:t>
      </w:r>
      <w:r>
        <w:rPr>
          <w:sz w:val="18"/>
          <w:vertAlign w:val="baseline"/>
        </w:rPr>
        <w:t>demonstrates</w:t>
      </w:r>
      <w:r>
        <w:rPr>
          <w:spacing w:val="-2"/>
          <w:sz w:val="18"/>
          <w:vertAlign w:val="baseline"/>
        </w:rPr>
        <w:t> </w:t>
      </w:r>
      <w:r>
        <w:rPr>
          <w:sz w:val="18"/>
          <w:vertAlign w:val="baseline"/>
        </w:rPr>
        <w:t>that</w:t>
      </w:r>
      <w:r>
        <w:rPr>
          <w:spacing w:val="-2"/>
          <w:sz w:val="18"/>
          <w:vertAlign w:val="baseline"/>
        </w:rPr>
        <w:t> </w:t>
      </w:r>
      <w:r>
        <w:rPr>
          <w:sz w:val="18"/>
          <w:vertAlign w:val="baseline"/>
        </w:rPr>
        <w:t>lead</w:t>
      </w:r>
      <w:r>
        <w:rPr>
          <w:spacing w:val="-2"/>
          <w:sz w:val="18"/>
          <w:vertAlign w:val="baseline"/>
        </w:rPr>
        <w:t> </w:t>
      </w:r>
      <w:r>
        <w:rPr>
          <w:sz w:val="18"/>
          <w:vertAlign w:val="baseline"/>
        </w:rPr>
        <w:t>arrangers</w:t>
      </w:r>
      <w:r>
        <w:rPr>
          <w:spacing w:val="-2"/>
          <w:sz w:val="18"/>
          <w:vertAlign w:val="baseline"/>
        </w:rPr>
        <w:t> </w:t>
      </w:r>
      <w:r>
        <w:rPr>
          <w:sz w:val="18"/>
          <w:vertAlign w:val="baseline"/>
        </w:rPr>
        <w:t>reduce</w:t>
      </w:r>
      <w:r>
        <w:rPr>
          <w:spacing w:val="-2"/>
          <w:sz w:val="18"/>
          <w:vertAlign w:val="baseline"/>
        </w:rPr>
        <w:t> </w:t>
      </w:r>
      <w:r>
        <w:rPr>
          <w:sz w:val="18"/>
          <w:vertAlign w:val="baseline"/>
        </w:rPr>
        <w:t>the</w:t>
      </w:r>
      <w:r>
        <w:rPr>
          <w:spacing w:val="-2"/>
          <w:sz w:val="18"/>
          <w:vertAlign w:val="baseline"/>
        </w:rPr>
        <w:t> </w:t>
      </w:r>
      <w:r>
        <w:rPr>
          <w:sz w:val="18"/>
          <w:vertAlign w:val="baseline"/>
        </w:rPr>
        <w:t>costs</w:t>
      </w:r>
      <w:r>
        <w:rPr>
          <w:spacing w:val="-2"/>
          <w:sz w:val="18"/>
          <w:vertAlign w:val="baseline"/>
        </w:rPr>
        <w:t> </w:t>
      </w:r>
      <w:r>
        <w:rPr>
          <w:sz w:val="18"/>
          <w:vertAlign w:val="baseline"/>
        </w:rPr>
        <w:t>of</w:t>
      </w:r>
      <w:r>
        <w:rPr>
          <w:spacing w:val="-2"/>
          <w:sz w:val="18"/>
          <w:vertAlign w:val="baseline"/>
        </w:rPr>
        <w:t> </w:t>
      </w:r>
      <w:r>
        <w:rPr>
          <w:sz w:val="18"/>
          <w:vertAlign w:val="baseline"/>
        </w:rPr>
        <w:t>due</w:t>
      </w:r>
      <w:r>
        <w:rPr>
          <w:spacing w:val="-2"/>
          <w:sz w:val="18"/>
          <w:vertAlign w:val="baseline"/>
        </w:rPr>
        <w:t> </w:t>
      </w:r>
      <w:r>
        <w:rPr>
          <w:sz w:val="18"/>
          <w:vertAlign w:val="baseline"/>
        </w:rPr>
        <w:t>diligence</w:t>
      </w:r>
      <w:r>
        <w:rPr>
          <w:spacing w:val="-2"/>
          <w:sz w:val="18"/>
          <w:vertAlign w:val="baseline"/>
        </w:rPr>
        <w:t> </w:t>
      </w:r>
      <w:r>
        <w:rPr>
          <w:sz w:val="18"/>
          <w:vertAlign w:val="baseline"/>
        </w:rPr>
        <w:t>for</w:t>
      </w:r>
      <w:r>
        <w:rPr>
          <w:spacing w:val="-2"/>
          <w:sz w:val="18"/>
          <w:vertAlign w:val="baseline"/>
        </w:rPr>
        <w:t> </w:t>
      </w:r>
      <w:r>
        <w:rPr>
          <w:sz w:val="18"/>
          <w:vertAlign w:val="baseline"/>
        </w:rPr>
        <w:t>all</w:t>
      </w:r>
      <w:r>
        <w:rPr>
          <w:spacing w:val="-2"/>
          <w:sz w:val="18"/>
          <w:vertAlign w:val="baseline"/>
        </w:rPr>
        <w:t> </w:t>
      </w:r>
      <w:r>
        <w:rPr>
          <w:sz w:val="18"/>
          <w:vertAlign w:val="baseline"/>
        </w:rPr>
        <w:t>other</w:t>
      </w:r>
      <w:r>
        <w:rPr>
          <w:spacing w:val="-2"/>
          <w:sz w:val="18"/>
          <w:vertAlign w:val="baseline"/>
        </w:rPr>
        <w:t> </w:t>
      </w:r>
      <w:r>
        <w:rPr>
          <w:sz w:val="18"/>
          <w:vertAlign w:val="baseline"/>
        </w:rPr>
        <w:t>syndicate </w:t>
      </w:r>
      <w:r>
        <w:rPr>
          <w:spacing w:val="-2"/>
          <w:sz w:val="18"/>
          <w:vertAlign w:val="baseline"/>
        </w:rPr>
        <w:t>participants.</w:t>
      </w:r>
    </w:p>
    <w:p>
      <w:pPr>
        <w:spacing w:line="249" w:lineRule="auto" w:before="2"/>
        <w:ind w:left="560" w:right="561" w:firstLine="0"/>
        <w:jc w:val="left"/>
        <w:rPr>
          <w:sz w:val="18"/>
        </w:rPr>
      </w:pPr>
      <w:r>
        <w:rPr>
          <w:sz w:val="18"/>
          <w:vertAlign w:val="superscript"/>
        </w:rPr>
        <w:t>300</w:t>
      </w:r>
      <w:r>
        <w:rPr>
          <w:spacing w:val="-1"/>
          <w:sz w:val="18"/>
          <w:vertAlign w:val="baseline"/>
        </w:rPr>
        <w:t> </w:t>
      </w:r>
      <w:r>
        <w:rPr>
          <w:sz w:val="18"/>
          <w:vertAlign w:val="baseline"/>
        </w:rPr>
        <w:t>According to Table 3.2 above, the percentage of China’s infrastructure project portfolio in LICs and </w:t>
      </w:r>
      <w:r>
        <w:rPr>
          <w:sz w:val="18"/>
          <w:vertAlign w:val="baseline"/>
        </w:rPr>
        <w:t>MICs ﬁnanced via syndicated loans involving state-owned policy banks and commercial banks increased from 8.86% during the pre-BRI period (2000-2013) to 16.91% during the early BRI period (2014-2017) and 20.39% during the late BRI period (2018-2021).</w: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6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3.13</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74">
            <wp:simplePos x="0" y="0"/>
            <wp:positionH relativeFrom="page">
              <wp:posOffset>1254964</wp:posOffset>
            </wp:positionH>
            <wp:positionV relativeFrom="paragraph">
              <wp:posOffset>116264</wp:posOffset>
            </wp:positionV>
            <wp:extent cx="5288826" cy="3236690"/>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288826" cy="3236690"/>
                    </a:xfrm>
                    <a:prstGeom prst="rect">
                      <a:avLst/>
                    </a:prstGeom>
                  </pic:spPr>
                </pic:pic>
              </a:graphicData>
            </a:graphic>
          </wp:anchor>
        </w:drawing>
      </w:r>
    </w:p>
    <w:p>
      <w:pPr>
        <w:pStyle w:val="BodyText"/>
        <w:spacing w:before="1"/>
        <w:rPr>
          <w:sz w:val="27"/>
        </w:rPr>
      </w:pPr>
    </w:p>
    <w:p>
      <w:pPr>
        <w:spacing w:before="72"/>
        <w:ind w:left="560" w:right="0" w:firstLine="0"/>
        <w:jc w:val="left"/>
        <w:rPr>
          <w:i/>
          <w:sz w:val="18"/>
        </w:rPr>
      </w:pPr>
      <w:r>
        <w:rPr>
          <w:i/>
          <w:sz w:val="18"/>
        </w:rPr>
        <w:t>Notes:</w:t>
      </w:r>
      <w:r>
        <w:rPr>
          <w:i/>
          <w:spacing w:val="-3"/>
          <w:sz w:val="18"/>
        </w:rPr>
        <w:t> </w:t>
      </w:r>
      <w:r>
        <w:rPr>
          <w:i/>
          <w:sz w:val="18"/>
        </w:rPr>
        <w:t>Strong</w:t>
      </w:r>
      <w:r>
        <w:rPr>
          <w:i/>
          <w:spacing w:val="-2"/>
          <w:sz w:val="18"/>
        </w:rPr>
        <w:t> </w:t>
      </w:r>
      <w:r>
        <w:rPr>
          <w:i/>
          <w:sz w:val="18"/>
        </w:rPr>
        <w:t>de</w:t>
      </w:r>
      <w:r>
        <w:rPr>
          <w:i/>
          <w:spacing w:val="-2"/>
          <w:sz w:val="18"/>
        </w:rPr>
        <w:t> </w:t>
      </w:r>
      <w:r>
        <w:rPr>
          <w:i/>
          <w:sz w:val="18"/>
        </w:rPr>
        <w:t>jure</w:t>
      </w:r>
      <w:r>
        <w:rPr>
          <w:i/>
          <w:spacing w:val="-2"/>
          <w:sz w:val="18"/>
        </w:rPr>
        <w:t> </w:t>
      </w:r>
      <w:r>
        <w:rPr>
          <w:i/>
          <w:sz w:val="18"/>
        </w:rPr>
        <w:t>ESG</w:t>
      </w:r>
      <w:r>
        <w:rPr>
          <w:i/>
          <w:spacing w:val="-2"/>
          <w:sz w:val="18"/>
        </w:rPr>
        <w:t> </w:t>
      </w:r>
      <w:r>
        <w:rPr>
          <w:i/>
          <w:sz w:val="18"/>
        </w:rPr>
        <w:t>safeguards</w:t>
      </w:r>
      <w:r>
        <w:rPr>
          <w:i/>
          <w:spacing w:val="-2"/>
          <w:sz w:val="18"/>
        </w:rPr>
        <w:t> </w:t>
      </w:r>
      <w:r>
        <w:rPr>
          <w:i/>
          <w:sz w:val="18"/>
        </w:rPr>
        <w:t>are</w:t>
      </w:r>
      <w:r>
        <w:rPr>
          <w:i/>
          <w:spacing w:val="-2"/>
          <w:sz w:val="18"/>
        </w:rPr>
        <w:t> </w:t>
      </w:r>
      <w:r>
        <w:rPr>
          <w:i/>
          <w:sz w:val="18"/>
        </w:rPr>
        <w:t>deﬁned</w:t>
      </w:r>
      <w:r>
        <w:rPr>
          <w:i/>
          <w:spacing w:val="-2"/>
          <w:sz w:val="18"/>
        </w:rPr>
        <w:t> </w:t>
      </w:r>
      <w:r>
        <w:rPr>
          <w:i/>
          <w:sz w:val="18"/>
        </w:rPr>
        <w:t>in</w:t>
      </w:r>
      <w:r>
        <w:rPr>
          <w:i/>
          <w:spacing w:val="-2"/>
          <w:sz w:val="18"/>
        </w:rPr>
        <w:t> </w:t>
      </w:r>
      <w:r>
        <w:rPr>
          <w:i/>
          <w:sz w:val="18"/>
        </w:rPr>
        <w:t>Section</w:t>
      </w:r>
      <w:r>
        <w:rPr>
          <w:i/>
          <w:spacing w:val="-2"/>
          <w:sz w:val="18"/>
        </w:rPr>
        <w:t> </w:t>
      </w:r>
      <w:r>
        <w:rPr>
          <w:i/>
          <w:sz w:val="18"/>
        </w:rPr>
        <w:t>A-9</w:t>
      </w:r>
      <w:r>
        <w:rPr>
          <w:i/>
          <w:spacing w:val="-3"/>
          <w:sz w:val="18"/>
        </w:rPr>
        <w:t> </w:t>
      </w:r>
      <w:r>
        <w:rPr>
          <w:i/>
          <w:sz w:val="18"/>
        </w:rPr>
        <w:t>of</w:t>
      </w:r>
      <w:r>
        <w:rPr>
          <w:i/>
          <w:spacing w:val="-2"/>
          <w:sz w:val="18"/>
        </w:rPr>
        <w:t> </w:t>
      </w:r>
      <w:r>
        <w:rPr>
          <w:i/>
          <w:sz w:val="18"/>
        </w:rPr>
        <w:t>the</w:t>
      </w:r>
      <w:r>
        <w:rPr>
          <w:i/>
          <w:spacing w:val="-2"/>
          <w:sz w:val="18"/>
        </w:rPr>
        <w:t> Appendix.</w:t>
      </w:r>
    </w:p>
    <w:p>
      <w:pPr>
        <w:pStyle w:val="BodyText"/>
        <w:rPr>
          <w:i/>
          <w:sz w:val="18"/>
        </w:rPr>
      </w:pPr>
    </w:p>
    <w:p>
      <w:pPr>
        <w:pStyle w:val="BodyText"/>
        <w:spacing w:before="10"/>
        <w:rPr>
          <w:i/>
          <w:sz w:val="16"/>
        </w:rPr>
      </w:pPr>
    </w:p>
    <w:p>
      <w:pPr>
        <w:pStyle w:val="Heading4"/>
        <w:spacing w:line="357" w:lineRule="auto"/>
      </w:pPr>
      <w:r>
        <w:rPr>
          <w:spacing w:val="-8"/>
        </w:rPr>
        <w:t>Risk mitigation strategy #4: Unwind relationships with high-risk </w:t>
      </w:r>
      <w:r>
        <w:rPr>
          <w:spacing w:val="-10"/>
        </w:rPr>
        <w:t>countries and</w:t>
      </w:r>
      <w:r>
        <w:rPr>
          <w:spacing w:val="-9"/>
        </w:rPr>
        <w:t> </w:t>
      </w:r>
      <w:r>
        <w:rPr>
          <w:spacing w:val="-10"/>
        </w:rPr>
        <w:t>double down</w:t>
      </w:r>
      <w:r>
        <w:rPr>
          <w:spacing w:val="-9"/>
        </w:rPr>
        <w:t> </w:t>
      </w:r>
      <w:r>
        <w:rPr>
          <w:spacing w:val="-10"/>
        </w:rPr>
        <w:t>on relationships</w:t>
      </w:r>
      <w:r>
        <w:rPr>
          <w:spacing w:val="-9"/>
        </w:rPr>
        <w:t> </w:t>
      </w:r>
      <w:r>
        <w:rPr>
          <w:spacing w:val="-10"/>
        </w:rPr>
        <w:t>with low-risk</w:t>
      </w:r>
      <w:r>
        <w:rPr>
          <w:spacing w:val="-9"/>
        </w:rPr>
        <w:t> </w:t>
      </w:r>
      <w:r>
        <w:rPr>
          <w:spacing w:val="-10"/>
        </w:rPr>
        <w:t>countries</w:t>
      </w:r>
    </w:p>
    <w:p>
      <w:pPr>
        <w:pStyle w:val="BodyText"/>
        <w:spacing w:line="333" w:lineRule="auto" w:before="81"/>
        <w:ind w:left="560" w:right="550"/>
      </w:pPr>
      <w:r>
        <w:rPr/>
        <w:t>One additional way to reduce the ESG risk proﬁle of an infrastructure project portfolio is to use information about the past performance of host countries to guide future lending and grant-giving activities. That is to say, once a donor or lender</w:t>
      </w:r>
      <w:r>
        <w:rPr>
          <w:spacing w:val="29"/>
        </w:rPr>
        <w:t> </w:t>
      </w:r>
      <w:r>
        <w:rPr/>
        <w:t>has</w:t>
      </w:r>
      <w:r>
        <w:rPr>
          <w:spacing w:val="29"/>
        </w:rPr>
        <w:t> </w:t>
      </w:r>
      <w:r>
        <w:rPr/>
        <w:t>identiﬁed</w:t>
      </w:r>
      <w:r>
        <w:rPr>
          <w:spacing w:val="29"/>
        </w:rPr>
        <w:t> </w:t>
      </w:r>
      <w:r>
        <w:rPr/>
        <w:t>the</w:t>
      </w:r>
      <w:r>
        <w:rPr>
          <w:spacing w:val="29"/>
        </w:rPr>
        <w:t> </w:t>
      </w:r>
      <w:r>
        <w:rPr/>
        <w:t>subset</w:t>
      </w:r>
      <w:r>
        <w:rPr>
          <w:spacing w:val="29"/>
        </w:rPr>
        <w:t> </w:t>
      </w:r>
      <w:r>
        <w:rPr/>
        <w:t>of</w:t>
      </w:r>
      <w:r>
        <w:rPr>
          <w:spacing w:val="29"/>
        </w:rPr>
        <w:t> </w:t>
      </w:r>
      <w:r>
        <w:rPr/>
        <w:t>infrastructure</w:t>
      </w:r>
      <w:r>
        <w:rPr>
          <w:spacing w:val="29"/>
        </w:rPr>
        <w:t> </w:t>
      </w:r>
      <w:r>
        <w:rPr/>
        <w:t>projects</w:t>
      </w:r>
      <w:r>
        <w:rPr>
          <w:spacing w:val="29"/>
        </w:rPr>
        <w:t> </w:t>
      </w:r>
      <w:r>
        <w:rPr/>
        <w:t>in</w:t>
      </w:r>
      <w:r>
        <w:rPr>
          <w:spacing w:val="29"/>
        </w:rPr>
        <w:t> </w:t>
      </w:r>
      <w:r>
        <w:rPr/>
        <w:t>its</w:t>
      </w:r>
      <w:r>
        <w:rPr>
          <w:spacing w:val="29"/>
        </w:rPr>
        <w:t> </w:t>
      </w:r>
      <w:r>
        <w:rPr/>
        <w:t>portfolio</w:t>
      </w:r>
      <w:r>
        <w:rPr>
          <w:spacing w:val="29"/>
        </w:rPr>
        <w:t> </w:t>
      </w:r>
      <w:r>
        <w:rPr/>
        <w:t>that have</w:t>
      </w:r>
      <w:r>
        <w:rPr>
          <w:spacing w:val="-5"/>
        </w:rPr>
        <w:t> </w:t>
      </w:r>
      <w:r>
        <w:rPr/>
        <w:t>presented</w:t>
      </w:r>
      <w:r>
        <w:rPr>
          <w:spacing w:val="-5"/>
        </w:rPr>
        <w:t> </w:t>
      </w:r>
      <w:r>
        <w:rPr/>
        <w:t>signiﬁcant</w:t>
      </w:r>
      <w:r>
        <w:rPr>
          <w:spacing w:val="-5"/>
        </w:rPr>
        <w:t> </w:t>
      </w:r>
      <w:r>
        <w:rPr/>
        <w:t>ESG</w:t>
      </w:r>
      <w:r>
        <w:rPr>
          <w:spacing w:val="-5"/>
        </w:rPr>
        <w:t> </w:t>
      </w:r>
      <w:r>
        <w:rPr/>
        <w:t>risks,</w:t>
      </w:r>
      <w:r>
        <w:rPr>
          <w:spacing w:val="-5"/>
        </w:rPr>
        <w:t> </w:t>
      </w:r>
      <w:r>
        <w:rPr/>
        <w:t>it</w:t>
      </w:r>
      <w:r>
        <w:rPr>
          <w:spacing w:val="-5"/>
        </w:rPr>
        <w:t> </w:t>
      </w:r>
      <w:r>
        <w:rPr/>
        <w:t>may</w:t>
      </w:r>
      <w:r>
        <w:rPr>
          <w:spacing w:val="-5"/>
        </w:rPr>
        <w:t> </w:t>
      </w:r>
      <w:r>
        <w:rPr/>
        <w:t>seek</w:t>
      </w:r>
      <w:r>
        <w:rPr>
          <w:spacing w:val="-5"/>
        </w:rPr>
        <w:t> </w:t>
      </w:r>
      <w:r>
        <w:rPr/>
        <w:t>to</w:t>
      </w:r>
      <w:r>
        <w:rPr>
          <w:spacing w:val="-5"/>
        </w:rPr>
        <w:t> </w:t>
      </w:r>
      <w:r>
        <w:rPr/>
        <w:t>identify</w:t>
      </w:r>
      <w:r>
        <w:rPr>
          <w:spacing w:val="-5"/>
        </w:rPr>
        <w:t> </w:t>
      </w:r>
      <w:r>
        <w:rPr/>
        <w:t>where</w:t>
      </w:r>
      <w:r>
        <w:rPr>
          <w:spacing w:val="-5"/>
        </w:rPr>
        <w:t> </w:t>
      </w:r>
      <w:r>
        <w:rPr/>
        <w:t>these</w:t>
      </w:r>
      <w:r>
        <w:rPr>
          <w:spacing w:val="-5"/>
        </w:rPr>
        <w:t> </w:t>
      </w:r>
      <w:r>
        <w:rPr/>
        <w:t>projects are geographically concentrated so that it can identify host countries posing especially high levels of ESG risk and redirect funding for future infrastructure projects elsewhere. This reallocation—or “selectivity”—practice is followed by several major MDBs, including the Asian Development Bank and the World Bank (Buntaine 2011, 2015, 2016).</w:t>
      </w:r>
    </w:p>
    <w:p>
      <w:pPr>
        <w:spacing w:after="0" w:line="333" w:lineRule="auto"/>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6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3.14</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76">
            <wp:simplePos x="0" y="0"/>
            <wp:positionH relativeFrom="page">
              <wp:posOffset>1250453</wp:posOffset>
            </wp:positionH>
            <wp:positionV relativeFrom="paragraph">
              <wp:posOffset>116313</wp:posOffset>
            </wp:positionV>
            <wp:extent cx="5275764" cy="1128141"/>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4" cstate="print"/>
                    <a:stretch>
                      <a:fillRect/>
                    </a:stretch>
                  </pic:blipFill>
                  <pic:spPr>
                    <a:xfrm>
                      <a:off x="0" y="0"/>
                      <a:ext cx="5275764" cy="1128141"/>
                    </a:xfrm>
                    <a:prstGeom prst="rect">
                      <a:avLst/>
                    </a:prstGeom>
                  </pic:spPr>
                </pic:pic>
              </a:graphicData>
            </a:graphic>
          </wp:anchor>
        </w:drawing>
      </w:r>
    </w:p>
    <w:p>
      <w:pPr>
        <w:pStyle w:val="BodyText"/>
        <w:rPr>
          <w:sz w:val="20"/>
        </w:rPr>
      </w:pPr>
    </w:p>
    <w:p>
      <w:pPr>
        <w:pStyle w:val="BodyText"/>
        <w:spacing w:before="5"/>
        <w:rPr>
          <w:sz w:val="16"/>
        </w:rPr>
      </w:pPr>
    </w:p>
    <w:p>
      <w:pPr>
        <w:spacing w:line="333" w:lineRule="auto" w:before="0"/>
        <w:ind w:left="560" w:right="561" w:firstLine="0"/>
        <w:jc w:val="left"/>
        <w:rPr>
          <w:i/>
          <w:sz w:val="18"/>
        </w:rPr>
      </w:pPr>
      <w:r>
        <w:rPr>
          <w:i/>
          <w:sz w:val="18"/>
        </w:rPr>
        <w:t>Notes:</w:t>
      </w:r>
      <w:r>
        <w:rPr>
          <w:i/>
          <w:spacing w:val="-2"/>
          <w:sz w:val="18"/>
        </w:rPr>
        <w:t> </w:t>
      </w:r>
      <w:r>
        <w:rPr>
          <w:i/>
          <w:sz w:val="18"/>
        </w:rPr>
        <w:t>This</w:t>
      </w:r>
      <w:r>
        <w:rPr>
          <w:i/>
          <w:spacing w:val="-2"/>
          <w:sz w:val="18"/>
        </w:rPr>
        <w:t> </w:t>
      </w:r>
      <w:r>
        <w:rPr>
          <w:i/>
          <w:sz w:val="18"/>
        </w:rPr>
        <w:t>ﬁgure</w:t>
      </w:r>
      <w:r>
        <w:rPr>
          <w:i/>
          <w:spacing w:val="-2"/>
          <w:sz w:val="18"/>
        </w:rPr>
        <w:t> </w:t>
      </w:r>
      <w:r>
        <w:rPr>
          <w:i/>
          <w:sz w:val="18"/>
        </w:rPr>
        <w:t>compares</w:t>
      </w:r>
      <w:r>
        <w:rPr>
          <w:i/>
          <w:spacing w:val="-2"/>
          <w:sz w:val="18"/>
        </w:rPr>
        <w:t> </w:t>
      </w:r>
      <w:r>
        <w:rPr>
          <w:i/>
          <w:sz w:val="18"/>
        </w:rPr>
        <w:t>the</w:t>
      </w:r>
      <w:r>
        <w:rPr>
          <w:i/>
          <w:spacing w:val="-2"/>
          <w:sz w:val="18"/>
        </w:rPr>
        <w:t> </w:t>
      </w:r>
      <w:r>
        <w:rPr>
          <w:i/>
          <w:sz w:val="18"/>
        </w:rPr>
        <w:t>overall</w:t>
      </w:r>
      <w:r>
        <w:rPr>
          <w:i/>
          <w:spacing w:val="-2"/>
          <w:sz w:val="18"/>
        </w:rPr>
        <w:t> </w:t>
      </w:r>
      <w:r>
        <w:rPr>
          <w:i/>
          <w:sz w:val="18"/>
        </w:rPr>
        <w:t>percentage</w:t>
      </w:r>
      <w:r>
        <w:rPr>
          <w:i/>
          <w:spacing w:val="-2"/>
          <w:sz w:val="18"/>
        </w:rPr>
        <w:t> </w:t>
      </w:r>
      <w:r>
        <w:rPr>
          <w:i/>
          <w:sz w:val="18"/>
        </w:rPr>
        <w:t>of</w:t>
      </w:r>
      <w:r>
        <w:rPr>
          <w:i/>
          <w:spacing w:val="-2"/>
          <w:sz w:val="18"/>
        </w:rPr>
        <w:t> </w:t>
      </w:r>
      <w:r>
        <w:rPr>
          <w:i/>
          <w:sz w:val="18"/>
        </w:rPr>
        <w:t>China’s</w:t>
      </w:r>
      <w:r>
        <w:rPr>
          <w:i/>
          <w:spacing w:val="-2"/>
          <w:sz w:val="18"/>
        </w:rPr>
        <w:t> </w:t>
      </w:r>
      <w:r>
        <w:rPr>
          <w:i/>
          <w:sz w:val="18"/>
        </w:rPr>
        <w:t>infrastructure</w:t>
      </w:r>
      <w:r>
        <w:rPr>
          <w:i/>
          <w:spacing w:val="-2"/>
          <w:sz w:val="18"/>
        </w:rPr>
        <w:t> </w:t>
      </w:r>
      <w:r>
        <w:rPr>
          <w:i/>
          <w:sz w:val="18"/>
        </w:rPr>
        <w:t>ﬁnancing</w:t>
      </w:r>
      <w:r>
        <w:rPr>
          <w:i/>
          <w:spacing w:val="-2"/>
          <w:sz w:val="18"/>
        </w:rPr>
        <w:t> </w:t>
      </w:r>
      <w:r>
        <w:rPr>
          <w:i/>
          <w:sz w:val="18"/>
        </w:rPr>
        <w:t>to</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that</w:t>
      </w:r>
      <w:r>
        <w:rPr>
          <w:i/>
          <w:sz w:val="18"/>
        </w:rPr>
        <w:t> was</w:t>
      </w:r>
      <w:r>
        <w:rPr>
          <w:i/>
          <w:spacing w:val="-2"/>
          <w:sz w:val="18"/>
        </w:rPr>
        <w:t> </w:t>
      </w:r>
      <w:r>
        <w:rPr>
          <w:i/>
          <w:sz w:val="18"/>
        </w:rPr>
        <w:t>allocated</w:t>
      </w:r>
      <w:r>
        <w:rPr>
          <w:i/>
          <w:spacing w:val="-2"/>
          <w:sz w:val="18"/>
        </w:rPr>
        <w:t> </w:t>
      </w:r>
      <w:r>
        <w:rPr>
          <w:i/>
          <w:sz w:val="18"/>
        </w:rPr>
        <w:t>to</w:t>
      </w:r>
      <w:r>
        <w:rPr>
          <w:i/>
          <w:spacing w:val="-2"/>
          <w:sz w:val="18"/>
        </w:rPr>
        <w:t> </w:t>
      </w:r>
      <w:r>
        <w:rPr>
          <w:i/>
          <w:sz w:val="18"/>
        </w:rPr>
        <w:t>countries</w:t>
      </w:r>
      <w:r>
        <w:rPr>
          <w:i/>
          <w:spacing w:val="-2"/>
          <w:sz w:val="18"/>
        </w:rPr>
        <w:t> </w:t>
      </w:r>
      <w:r>
        <w:rPr>
          <w:i/>
          <w:sz w:val="18"/>
        </w:rPr>
        <w:t>with</w:t>
      </w:r>
      <w:r>
        <w:rPr>
          <w:i/>
          <w:spacing w:val="-2"/>
          <w:sz w:val="18"/>
        </w:rPr>
        <w:t> </w:t>
      </w:r>
      <w:r>
        <w:rPr>
          <w:i/>
          <w:sz w:val="18"/>
        </w:rPr>
        <w:t>high</w:t>
      </w:r>
      <w:r>
        <w:rPr>
          <w:i/>
          <w:spacing w:val="-2"/>
          <w:sz w:val="18"/>
        </w:rPr>
        <w:t> </w:t>
      </w:r>
      <w:r>
        <w:rPr>
          <w:i/>
          <w:sz w:val="18"/>
        </w:rPr>
        <w:t>ESG</w:t>
      </w:r>
      <w:r>
        <w:rPr>
          <w:i/>
          <w:spacing w:val="-2"/>
          <w:sz w:val="18"/>
        </w:rPr>
        <w:t> </w:t>
      </w:r>
      <w:r>
        <w:rPr>
          <w:i/>
          <w:sz w:val="18"/>
        </w:rPr>
        <w:t>risk</w:t>
      </w:r>
      <w:r>
        <w:rPr>
          <w:i/>
          <w:spacing w:val="-2"/>
          <w:sz w:val="18"/>
        </w:rPr>
        <w:t> </w:t>
      </w:r>
      <w:r>
        <w:rPr>
          <w:i/>
          <w:sz w:val="18"/>
        </w:rPr>
        <w:t>prevalence</w:t>
      </w:r>
      <w:r>
        <w:rPr>
          <w:i/>
          <w:spacing w:val="-2"/>
          <w:sz w:val="18"/>
        </w:rPr>
        <w:t> </w:t>
      </w:r>
      <w:r>
        <w:rPr>
          <w:i/>
          <w:sz w:val="18"/>
        </w:rPr>
        <w:t>rates</w:t>
      </w:r>
      <w:r>
        <w:rPr>
          <w:i/>
          <w:spacing w:val="-2"/>
          <w:sz w:val="18"/>
        </w:rPr>
        <w:t> </w:t>
      </w:r>
      <w:r>
        <w:rPr>
          <w:i/>
          <w:sz w:val="18"/>
        </w:rPr>
        <w:t>in</w:t>
      </w:r>
      <w:r>
        <w:rPr>
          <w:i/>
          <w:spacing w:val="-2"/>
          <w:sz w:val="18"/>
        </w:rPr>
        <w:t> </w:t>
      </w:r>
      <w:r>
        <w:rPr>
          <w:i/>
          <w:sz w:val="18"/>
        </w:rPr>
        <w:t>two</w:t>
      </w:r>
      <w:r>
        <w:rPr>
          <w:i/>
          <w:spacing w:val="-2"/>
          <w:sz w:val="18"/>
        </w:rPr>
        <w:t> </w:t>
      </w:r>
      <w:r>
        <w:rPr>
          <w:i/>
          <w:sz w:val="18"/>
        </w:rPr>
        <w:t>time</w:t>
      </w:r>
      <w:r>
        <w:rPr>
          <w:i/>
          <w:spacing w:val="-2"/>
          <w:sz w:val="18"/>
        </w:rPr>
        <w:t> </w:t>
      </w:r>
      <w:r>
        <w:rPr>
          <w:i/>
          <w:sz w:val="18"/>
        </w:rPr>
        <w:t>periods:</w:t>
      </w:r>
      <w:r>
        <w:rPr>
          <w:i/>
          <w:spacing w:val="-2"/>
          <w:sz w:val="18"/>
        </w:rPr>
        <w:t> </w:t>
      </w:r>
      <w:r>
        <w:rPr>
          <w:i/>
          <w:sz w:val="18"/>
        </w:rPr>
        <w:t>(1)</w:t>
      </w:r>
      <w:r>
        <w:rPr>
          <w:i/>
          <w:spacing w:val="-2"/>
          <w:sz w:val="18"/>
        </w:rPr>
        <w:t> </w:t>
      </w:r>
      <w:r>
        <w:rPr>
          <w:i/>
          <w:sz w:val="18"/>
        </w:rPr>
        <w:t>the</w:t>
      </w:r>
      <w:r>
        <w:rPr>
          <w:i/>
          <w:spacing w:val="-2"/>
          <w:sz w:val="18"/>
        </w:rPr>
        <w:t> </w:t>
      </w:r>
      <w:r>
        <w:rPr>
          <w:i/>
          <w:sz w:val="18"/>
        </w:rPr>
        <w:t>pre-BRI</w:t>
      </w:r>
      <w:r>
        <w:rPr>
          <w:i/>
          <w:spacing w:val="-2"/>
          <w:sz w:val="18"/>
        </w:rPr>
        <w:t> </w:t>
      </w:r>
      <w:r>
        <w:rPr>
          <w:i/>
          <w:sz w:val="18"/>
        </w:rPr>
        <w:t>and</w:t>
      </w:r>
      <w:r>
        <w:rPr>
          <w:i/>
          <w:spacing w:val="-2"/>
          <w:sz w:val="18"/>
        </w:rPr>
        <w:t> </w:t>
      </w:r>
      <w:r>
        <w:rPr>
          <w:i/>
          <w:sz w:val="18"/>
        </w:rPr>
        <w:t>early BRI period (2000-2017) and (2) the late BRI period (2018-2021). Countries with a high ESG risk prevalence rate are deﬁned as those where at least 75% of China’s grant- and loan-ﬁnanced infrastructure project portfolio</w:t>
      </w:r>
      <w:r>
        <w:rPr>
          <w:i/>
          <w:spacing w:val="-4"/>
          <w:sz w:val="18"/>
        </w:rPr>
        <w:t> </w:t>
      </w:r>
      <w:r>
        <w:rPr>
          <w:i/>
          <w:sz w:val="18"/>
        </w:rPr>
        <w:t>between</w:t>
      </w:r>
      <w:r>
        <w:rPr>
          <w:i/>
          <w:spacing w:val="-4"/>
          <w:sz w:val="18"/>
        </w:rPr>
        <w:t> </w:t>
      </w:r>
      <w:r>
        <w:rPr>
          <w:i/>
          <w:sz w:val="18"/>
        </w:rPr>
        <w:t>2000</w:t>
      </w:r>
      <w:r>
        <w:rPr>
          <w:i/>
          <w:spacing w:val="-4"/>
          <w:sz w:val="18"/>
        </w:rPr>
        <w:t> </w:t>
      </w:r>
      <w:r>
        <w:rPr>
          <w:i/>
          <w:sz w:val="18"/>
        </w:rPr>
        <w:t>and</w:t>
      </w:r>
      <w:r>
        <w:rPr>
          <w:i/>
          <w:spacing w:val="-4"/>
          <w:sz w:val="18"/>
        </w:rPr>
        <w:t> </w:t>
      </w:r>
      <w:r>
        <w:rPr>
          <w:i/>
          <w:sz w:val="18"/>
        </w:rPr>
        <w:t>2017</w:t>
      </w:r>
      <w:r>
        <w:rPr>
          <w:i/>
          <w:spacing w:val="-4"/>
          <w:sz w:val="18"/>
        </w:rPr>
        <w:t> </w:t>
      </w:r>
      <w:r>
        <w:rPr>
          <w:i/>
          <w:sz w:val="18"/>
        </w:rPr>
        <w:t>faced</w:t>
      </w:r>
      <w:r>
        <w:rPr>
          <w:i/>
          <w:spacing w:val="-4"/>
          <w:sz w:val="18"/>
        </w:rPr>
        <w:t> </w:t>
      </w:r>
      <w:r>
        <w:rPr>
          <w:i/>
          <w:sz w:val="18"/>
        </w:rPr>
        <w:t>signiﬁcant</w:t>
      </w:r>
      <w:r>
        <w:rPr>
          <w:i/>
          <w:spacing w:val="-4"/>
          <w:sz w:val="18"/>
        </w:rPr>
        <w:t> </w:t>
      </w:r>
      <w:r>
        <w:rPr>
          <w:i/>
          <w:sz w:val="18"/>
        </w:rPr>
        <w:t>ESG</w:t>
      </w:r>
      <w:r>
        <w:rPr>
          <w:i/>
          <w:spacing w:val="-4"/>
          <w:sz w:val="18"/>
        </w:rPr>
        <w:t> </w:t>
      </w:r>
      <w:r>
        <w:rPr>
          <w:i/>
          <w:sz w:val="18"/>
        </w:rPr>
        <w:t>risks.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 is based on a project-level composite measure that is described in Section 2 of Chapter 3.</w:t>
      </w:r>
    </w:p>
    <w:p>
      <w:pPr>
        <w:pStyle w:val="BodyText"/>
        <w:rPr>
          <w:i/>
          <w:sz w:val="18"/>
        </w:rPr>
      </w:pPr>
    </w:p>
    <w:p>
      <w:pPr>
        <w:pStyle w:val="BodyText"/>
        <w:spacing w:line="333" w:lineRule="auto" w:before="111"/>
        <w:ind w:left="560" w:right="561"/>
      </w:pPr>
      <w:r>
        <w:rPr/>
        <w:t>In</w:t>
      </w:r>
      <w:r>
        <w:rPr>
          <w:spacing w:val="23"/>
        </w:rPr>
        <w:t> </w:t>
      </w:r>
      <w:r>
        <w:rPr/>
        <w:t>order</w:t>
      </w:r>
      <w:r>
        <w:rPr>
          <w:spacing w:val="23"/>
        </w:rPr>
        <w:t> </w:t>
      </w:r>
      <w:r>
        <w:rPr/>
        <w:t>to</w:t>
      </w:r>
      <w:r>
        <w:rPr>
          <w:spacing w:val="23"/>
        </w:rPr>
        <w:t> </w:t>
      </w:r>
      <w:r>
        <w:rPr/>
        <w:t>gauge</w:t>
      </w:r>
      <w:r>
        <w:rPr>
          <w:spacing w:val="23"/>
        </w:rPr>
        <w:t> </w:t>
      </w:r>
      <w:r>
        <w:rPr/>
        <w:t>whether</w:t>
      </w:r>
      <w:r>
        <w:rPr>
          <w:spacing w:val="23"/>
        </w:rPr>
        <w:t> </w:t>
      </w:r>
      <w:r>
        <w:rPr/>
        <w:t>Beijing</w:t>
      </w:r>
      <w:r>
        <w:rPr>
          <w:spacing w:val="23"/>
        </w:rPr>
        <w:t> </w:t>
      </w:r>
      <w:r>
        <w:rPr/>
        <w:t>moved</w:t>
      </w:r>
      <w:r>
        <w:rPr>
          <w:spacing w:val="23"/>
        </w:rPr>
        <w:t> </w:t>
      </w:r>
      <w:r>
        <w:rPr/>
        <w:t>in</w:t>
      </w:r>
      <w:r>
        <w:rPr>
          <w:spacing w:val="23"/>
        </w:rPr>
        <w:t> </w:t>
      </w:r>
      <w:r>
        <w:rPr/>
        <w:t>this</w:t>
      </w:r>
      <w:r>
        <w:rPr>
          <w:spacing w:val="23"/>
        </w:rPr>
        <w:t> </w:t>
      </w:r>
      <w:r>
        <w:rPr/>
        <w:t>direction</w:t>
      </w:r>
      <w:r>
        <w:rPr>
          <w:spacing w:val="23"/>
        </w:rPr>
        <w:t> </w:t>
      </w:r>
      <w:r>
        <w:rPr/>
        <w:t>during</w:t>
      </w:r>
      <w:r>
        <w:rPr>
          <w:spacing w:val="23"/>
        </w:rPr>
        <w:t> </w:t>
      </w:r>
      <w:r>
        <w:rPr/>
        <w:t>the</w:t>
      </w:r>
      <w:r>
        <w:rPr>
          <w:spacing w:val="23"/>
        </w:rPr>
        <w:t> </w:t>
      </w:r>
      <w:r>
        <w:rPr/>
        <w:t>late</w:t>
      </w:r>
      <w:r>
        <w:rPr>
          <w:spacing w:val="23"/>
        </w:rPr>
        <w:t> </w:t>
      </w:r>
      <w:r>
        <w:rPr/>
        <w:t>BRI era,</w:t>
      </w:r>
      <w:r>
        <w:rPr>
          <w:spacing w:val="-1"/>
        </w:rPr>
        <w:t> </w:t>
      </w:r>
      <w:r>
        <w:rPr/>
        <w:t>we</w:t>
      </w:r>
      <w:r>
        <w:rPr>
          <w:spacing w:val="-1"/>
        </w:rPr>
        <w:t> </w:t>
      </w:r>
      <w:r>
        <w:rPr/>
        <w:t>ﬁrst</w:t>
      </w:r>
      <w:r>
        <w:rPr>
          <w:spacing w:val="-1"/>
        </w:rPr>
        <w:t> </w:t>
      </w:r>
      <w:r>
        <w:rPr/>
        <w:t>create</w:t>
      </w:r>
      <w:r>
        <w:rPr>
          <w:spacing w:val="-1"/>
        </w:rPr>
        <w:t> </w:t>
      </w:r>
      <w:r>
        <w:rPr/>
        <w:t>two</w:t>
      </w:r>
      <w:r>
        <w:rPr>
          <w:spacing w:val="-1"/>
        </w:rPr>
        <w:t> </w:t>
      </w:r>
      <w:r>
        <w:rPr/>
        <w:t>cohorts</w:t>
      </w:r>
      <w:r>
        <w:rPr>
          <w:spacing w:val="-1"/>
        </w:rPr>
        <w:t> </w:t>
      </w:r>
      <w:r>
        <w:rPr/>
        <w:t>of</w:t>
      </w:r>
      <w:r>
        <w:rPr>
          <w:spacing w:val="-1"/>
        </w:rPr>
        <w:t> </w:t>
      </w:r>
      <w:r>
        <w:rPr/>
        <w:t>host</w:t>
      </w:r>
      <w:r>
        <w:rPr>
          <w:spacing w:val="-1"/>
        </w:rPr>
        <w:t> </w:t>
      </w:r>
      <w:r>
        <w:rPr/>
        <w:t>countries:</w:t>
      </w:r>
      <w:r>
        <w:rPr>
          <w:spacing w:val="-1"/>
        </w:rPr>
        <w:t> </w:t>
      </w:r>
      <w:r>
        <w:rPr/>
        <w:t>countries</w:t>
      </w:r>
      <w:r>
        <w:rPr>
          <w:spacing w:val="-1"/>
        </w:rPr>
        <w:t> </w:t>
      </w:r>
      <w:r>
        <w:rPr/>
        <w:t>where</w:t>
      </w:r>
      <w:r>
        <w:rPr>
          <w:spacing w:val="-1"/>
        </w:rPr>
        <w:t> </w:t>
      </w:r>
      <w:r>
        <w:rPr/>
        <w:t>at</w:t>
      </w:r>
      <w:r>
        <w:rPr>
          <w:spacing w:val="-1"/>
        </w:rPr>
        <w:t> </w:t>
      </w:r>
      <w:r>
        <w:rPr/>
        <w:t>least</w:t>
      </w:r>
      <w:r>
        <w:rPr>
          <w:spacing w:val="-1"/>
        </w:rPr>
        <w:t> </w:t>
      </w:r>
      <w:r>
        <w:rPr/>
        <w:t>75%</w:t>
      </w:r>
      <w:r>
        <w:rPr>
          <w:spacing w:val="-1"/>
        </w:rPr>
        <w:t> </w:t>
      </w:r>
      <w:r>
        <w:rPr/>
        <w:t>of China’s grant- and loan-ﬁnanced infrastructure project portfolio had signiﬁcant ESG risk exposure between 2000 and 2017 and countries where less than 75% of China’s grant- and loan-ﬁnanced infrastructure projects had signiﬁcant ESG risk exposure between 2000 and 2017. We then compare Beijing’s provision of infrastructure ﬁnancing to these two cohorts between 2018 and 2021. Figure</w:t>
      </w:r>
    </w:p>
    <w:p>
      <w:pPr>
        <w:pStyle w:val="BodyText"/>
        <w:spacing w:line="333" w:lineRule="auto"/>
        <w:ind w:left="560" w:right="540"/>
      </w:pPr>
      <w:r>
        <w:rPr/>
        <w:t>3.14 demonstrates that 2.8% of infrastructure ﬁnancing from Beijing during the late</w:t>
      </w:r>
      <w:r>
        <w:rPr>
          <w:spacing w:val="-9"/>
        </w:rPr>
        <w:t> </w:t>
      </w:r>
      <w:r>
        <w:rPr/>
        <w:t>BRI</w:t>
      </w:r>
      <w:r>
        <w:rPr>
          <w:spacing w:val="-9"/>
        </w:rPr>
        <w:t> </w:t>
      </w:r>
      <w:r>
        <w:rPr/>
        <w:t>era</w:t>
      </w:r>
      <w:r>
        <w:rPr>
          <w:spacing w:val="-9"/>
        </w:rPr>
        <w:t> </w:t>
      </w:r>
      <w:r>
        <w:rPr/>
        <w:t>was</w:t>
      </w:r>
      <w:r>
        <w:rPr>
          <w:spacing w:val="-9"/>
        </w:rPr>
        <w:t> </w:t>
      </w:r>
      <w:r>
        <w:rPr/>
        <w:t>directed</w:t>
      </w:r>
      <w:r>
        <w:rPr>
          <w:spacing w:val="-9"/>
        </w:rPr>
        <w:t> </w:t>
      </w:r>
      <w:r>
        <w:rPr/>
        <w:t>to</w:t>
      </w:r>
      <w:r>
        <w:rPr>
          <w:spacing w:val="-9"/>
        </w:rPr>
        <w:t> </w:t>
      </w:r>
      <w:r>
        <w:rPr/>
        <w:t>9</w:t>
      </w:r>
      <w:r>
        <w:rPr>
          <w:spacing w:val="-9"/>
        </w:rPr>
        <w:t> </w:t>
      </w:r>
      <w:r>
        <w:rPr/>
        <w:t>LICs</w:t>
      </w:r>
      <w:r>
        <w:rPr>
          <w:spacing w:val="-9"/>
        </w:rPr>
        <w:t> </w:t>
      </w:r>
      <w:r>
        <w:rPr/>
        <w:t>and</w:t>
      </w:r>
      <w:r>
        <w:rPr>
          <w:spacing w:val="-9"/>
        </w:rPr>
        <w:t> </w:t>
      </w:r>
      <w:r>
        <w:rPr/>
        <w:t>MICs</w:t>
      </w:r>
      <w:r>
        <w:rPr>
          <w:spacing w:val="-9"/>
        </w:rPr>
        <w:t> </w:t>
      </w:r>
      <w:r>
        <w:rPr/>
        <w:t>where</w:t>
      </w:r>
      <w:r>
        <w:rPr>
          <w:spacing w:val="-9"/>
        </w:rPr>
        <w:t> </w:t>
      </w:r>
      <w:r>
        <w:rPr/>
        <w:t>at</w:t>
      </w:r>
      <w:r>
        <w:rPr>
          <w:spacing w:val="-9"/>
        </w:rPr>
        <w:t> </w:t>
      </w:r>
      <w:r>
        <w:rPr/>
        <w:t>least</w:t>
      </w:r>
      <w:r>
        <w:rPr>
          <w:spacing w:val="-9"/>
        </w:rPr>
        <w:t> </w:t>
      </w:r>
      <w:r>
        <w:rPr/>
        <w:t>75%</w:t>
      </w:r>
      <w:r>
        <w:rPr>
          <w:spacing w:val="-9"/>
        </w:rPr>
        <w:t> </w:t>
      </w:r>
      <w:r>
        <w:rPr/>
        <w:t>of</w:t>
      </w:r>
      <w:r>
        <w:rPr>
          <w:spacing w:val="-9"/>
        </w:rPr>
        <w:t> </w:t>
      </w:r>
      <w:r>
        <w:rPr/>
        <w:t>China’s</w:t>
      </w:r>
      <w:r>
        <w:rPr>
          <w:spacing w:val="-9"/>
        </w:rPr>
        <w:t> </w:t>
      </w:r>
      <w:r>
        <w:rPr/>
        <w:t>grant-</w:t>
      </w:r>
      <w:r>
        <w:rPr/>
        <w:t> and loan-ﬁnanced infrastructure project portfolio had signiﬁcant ESG risk exposure between 2000 and 2017. By way of comparison, Beijing allocated a substantially larger proportion (6.83%) of its grant- and loan-ﬁnanced infrastructure project portfolio to the same 9 countries between 2000 and 2017.</w:t>
      </w:r>
    </w:p>
    <w:p>
      <w:pPr>
        <w:pStyle w:val="BodyText"/>
        <w:spacing w:line="273" w:lineRule="exact"/>
        <w:ind w:left="560"/>
      </w:pPr>
      <w:r>
        <w:rPr/>
        <w:t>This pattern is</w:t>
      </w:r>
      <w:r>
        <w:rPr>
          <w:spacing w:val="1"/>
        </w:rPr>
        <w:t> </w:t>
      </w:r>
      <w:r>
        <w:rPr/>
        <w:t>consistent with</w:t>
      </w:r>
      <w:r>
        <w:rPr>
          <w:spacing w:val="1"/>
        </w:rPr>
        <w:t> </w:t>
      </w:r>
      <w:r>
        <w:rPr/>
        <w:t>the idea</w:t>
      </w:r>
      <w:r>
        <w:rPr>
          <w:spacing w:val="1"/>
        </w:rPr>
        <w:t> </w:t>
      </w:r>
      <w:r>
        <w:rPr/>
        <w:t>that Beijing</w:t>
      </w:r>
      <w:r>
        <w:rPr>
          <w:spacing w:val="1"/>
        </w:rPr>
        <w:t> </w:t>
      </w:r>
      <w:r>
        <w:rPr/>
        <w:t>has rebalanced</w:t>
      </w:r>
      <w:r>
        <w:rPr>
          <w:spacing w:val="1"/>
        </w:rPr>
        <w:t> </w:t>
      </w:r>
      <w:r>
        <w:rPr>
          <w:spacing w:val="-5"/>
        </w:rPr>
        <w:t>the</w:t>
      </w:r>
    </w:p>
    <w:p>
      <w:pPr>
        <w:pStyle w:val="BodyText"/>
        <w:spacing w:line="333" w:lineRule="auto" w:before="103"/>
        <w:ind w:left="560" w:right="561"/>
      </w:pPr>
      <w:r>
        <w:rPr/>
        <w:t>cross-country allocation of aid and credit to reduce the ESG risk proﬁle of </w:t>
      </w:r>
      <w:r>
        <w:rPr/>
        <w:t>its overseas infrastructure project portfolio.</w:t>
      </w:r>
    </w:p>
    <w:p>
      <w:pPr>
        <w:pStyle w:val="BodyText"/>
        <w:spacing w:before="8"/>
        <w:rPr>
          <w:sz w:val="27"/>
        </w:rPr>
      </w:pPr>
    </w:p>
    <w:p>
      <w:pPr>
        <w:pStyle w:val="BodyText"/>
        <w:spacing w:line="333" w:lineRule="auto"/>
        <w:ind w:left="560" w:right="589"/>
      </w:pPr>
      <w:r>
        <w:rPr/>
        <w:t>Given that China has scaled back infrastructure spending in countries where its projects have faced particularly high levels of ESG risk exposure, another way that it could seek to recalibrate its portfolio is by ramping up support for infrastructure projects in countries where its projects have faced particularly </w:t>
      </w:r>
      <w:r>
        <w:rPr/>
        <w:t>low</w:t>
      </w:r>
    </w:p>
    <w:p>
      <w:pPr>
        <w:spacing w:after="0" w:line="333" w:lineRule="auto"/>
        <w:sectPr>
          <w:pgSz w:w="12240" w:h="15840"/>
          <w:pgMar w:header="0" w:footer="720" w:top="1560" w:bottom="920" w:left="1240" w:right="1260"/>
        </w:sectPr>
      </w:pPr>
    </w:p>
    <w:p>
      <w:pPr>
        <w:pStyle w:val="BodyText"/>
        <w:spacing w:line="333" w:lineRule="auto" w:before="27"/>
        <w:ind w:left="560" w:right="702"/>
      </w:pPr>
      <w:r>
        <w:rPr/>
        <w:t>levels</w:t>
      </w:r>
      <w:r>
        <w:rPr>
          <w:spacing w:val="-1"/>
        </w:rPr>
        <w:t> </w:t>
      </w:r>
      <w:r>
        <w:rPr/>
        <w:t>of</w:t>
      </w:r>
      <w:r>
        <w:rPr>
          <w:spacing w:val="-1"/>
        </w:rPr>
        <w:t> </w:t>
      </w:r>
      <w:r>
        <w:rPr/>
        <w:t>ESG</w:t>
      </w:r>
      <w:r>
        <w:rPr>
          <w:spacing w:val="-1"/>
        </w:rPr>
        <w:t> </w:t>
      </w:r>
      <w:r>
        <w:rPr/>
        <w:t>risk</w:t>
      </w:r>
      <w:r>
        <w:rPr>
          <w:spacing w:val="-1"/>
        </w:rPr>
        <w:t> </w:t>
      </w:r>
      <w:r>
        <w:rPr/>
        <w:t>exposure.</w:t>
      </w:r>
      <w:r>
        <w:rPr>
          <w:spacing w:val="-1"/>
        </w:rPr>
        <w:t> </w:t>
      </w:r>
      <w:r>
        <w:rPr/>
        <w:t>Figure</w:t>
      </w:r>
      <w:r>
        <w:rPr>
          <w:spacing w:val="-1"/>
        </w:rPr>
        <w:t> </w:t>
      </w:r>
      <w:r>
        <w:rPr/>
        <w:t>3.15</w:t>
      </w:r>
      <w:r>
        <w:rPr>
          <w:spacing w:val="-1"/>
        </w:rPr>
        <w:t> </w:t>
      </w:r>
      <w:r>
        <w:rPr/>
        <w:t>provides</w:t>
      </w:r>
      <w:r>
        <w:rPr>
          <w:spacing w:val="-1"/>
        </w:rPr>
        <w:t> </w:t>
      </w:r>
      <w:r>
        <w:rPr/>
        <w:t>evidence</w:t>
      </w:r>
      <w:r>
        <w:rPr>
          <w:spacing w:val="-1"/>
        </w:rPr>
        <w:t> </w:t>
      </w:r>
      <w:r>
        <w:rPr/>
        <w:t>that</w:t>
      </w:r>
      <w:r>
        <w:rPr>
          <w:spacing w:val="-1"/>
        </w:rPr>
        <w:t> </w:t>
      </w:r>
      <w:r>
        <w:rPr/>
        <w:t>Beijing</w:t>
      </w:r>
      <w:r>
        <w:rPr>
          <w:spacing w:val="-1"/>
        </w:rPr>
        <w:t> </w:t>
      </w:r>
      <w:r>
        <w:rPr/>
        <w:t>has</w:t>
      </w:r>
      <w:r>
        <w:rPr>
          <w:spacing w:val="-1"/>
        </w:rPr>
        <w:t> </w:t>
      </w:r>
      <w:r>
        <w:rPr/>
        <w:t>in fact moved in this direction. More speciﬁcally, it demonstrates that during </w:t>
      </w:r>
      <w:r>
        <w:rPr/>
        <w:t>the late BRI period (2018-2021) 7.6% of infrastructure ﬁnancing from China was directed to 6 LICs and MICs where less than 10% of Chinese grant- and</w:t>
      </w:r>
    </w:p>
    <w:p>
      <w:pPr>
        <w:pStyle w:val="BodyText"/>
        <w:spacing w:line="333" w:lineRule="auto"/>
        <w:ind w:left="560" w:right="720"/>
        <w:jc w:val="both"/>
      </w:pPr>
      <w:r>
        <w:rPr/>
        <w:t>loan-ﬁnanced</w:t>
      </w:r>
      <w:r>
        <w:rPr>
          <w:spacing w:val="-5"/>
        </w:rPr>
        <w:t> </w:t>
      </w:r>
      <w:r>
        <w:rPr/>
        <w:t>infrastructure</w:t>
      </w:r>
      <w:r>
        <w:rPr>
          <w:spacing w:val="-5"/>
        </w:rPr>
        <w:t> </w:t>
      </w:r>
      <w:r>
        <w:rPr/>
        <w:t>projects</w:t>
      </w:r>
      <w:r>
        <w:rPr>
          <w:spacing w:val="-5"/>
        </w:rPr>
        <w:t> </w:t>
      </w:r>
      <w:r>
        <w:rPr/>
        <w:t>had</w:t>
      </w:r>
      <w:r>
        <w:rPr>
          <w:spacing w:val="-5"/>
        </w:rPr>
        <w:t> </w:t>
      </w:r>
      <w:r>
        <w:rPr/>
        <w:t>signiﬁcant</w:t>
      </w:r>
      <w:r>
        <w:rPr>
          <w:spacing w:val="-5"/>
        </w:rPr>
        <w:t> </w:t>
      </w:r>
      <w:r>
        <w:rPr/>
        <w:t>ESG</w:t>
      </w:r>
      <w:r>
        <w:rPr>
          <w:spacing w:val="-5"/>
        </w:rPr>
        <w:t> </w:t>
      </w:r>
      <w:r>
        <w:rPr/>
        <w:t>risk</w:t>
      </w:r>
      <w:r>
        <w:rPr>
          <w:spacing w:val="-5"/>
        </w:rPr>
        <w:t> </w:t>
      </w:r>
      <w:r>
        <w:rPr/>
        <w:t>exposure</w:t>
      </w:r>
      <w:r>
        <w:rPr>
          <w:spacing w:val="-5"/>
        </w:rPr>
        <w:t> </w:t>
      </w:r>
      <w:r>
        <w:rPr/>
        <w:t>between 2000</w:t>
      </w:r>
      <w:r>
        <w:rPr>
          <w:spacing w:val="-5"/>
        </w:rPr>
        <w:t> </w:t>
      </w:r>
      <w:r>
        <w:rPr/>
        <w:t>and</w:t>
      </w:r>
      <w:r>
        <w:rPr>
          <w:spacing w:val="-5"/>
        </w:rPr>
        <w:t> </w:t>
      </w:r>
      <w:r>
        <w:rPr/>
        <w:t>2017.</w:t>
      </w:r>
      <w:r>
        <w:rPr>
          <w:spacing w:val="-5"/>
        </w:rPr>
        <w:t> </w:t>
      </w:r>
      <w:r>
        <w:rPr/>
        <w:t>This</w:t>
      </w:r>
      <w:r>
        <w:rPr>
          <w:spacing w:val="-5"/>
        </w:rPr>
        <w:t> </w:t>
      </w:r>
      <w:r>
        <w:rPr/>
        <w:t>represented</w:t>
      </w:r>
      <w:r>
        <w:rPr>
          <w:spacing w:val="-5"/>
        </w:rPr>
        <w:t> </w:t>
      </w:r>
      <w:r>
        <w:rPr/>
        <w:t>a</w:t>
      </w:r>
      <w:r>
        <w:rPr>
          <w:spacing w:val="-5"/>
        </w:rPr>
        <w:t> </w:t>
      </w:r>
      <w:r>
        <w:rPr/>
        <w:t>signiﬁcant</w:t>
      </w:r>
      <w:r>
        <w:rPr>
          <w:spacing w:val="-5"/>
        </w:rPr>
        <w:t> </w:t>
      </w:r>
      <w:r>
        <w:rPr/>
        <w:t>increase</w:t>
      </w:r>
      <w:r>
        <w:rPr>
          <w:spacing w:val="-5"/>
        </w:rPr>
        <w:t> </w:t>
      </w:r>
      <w:r>
        <w:rPr/>
        <w:t>in</w:t>
      </w:r>
      <w:r>
        <w:rPr>
          <w:spacing w:val="-5"/>
        </w:rPr>
        <w:t> </w:t>
      </w:r>
      <w:r>
        <w:rPr/>
        <w:t>late</w:t>
      </w:r>
      <w:r>
        <w:rPr>
          <w:spacing w:val="-5"/>
        </w:rPr>
        <w:t> </w:t>
      </w:r>
      <w:r>
        <w:rPr/>
        <w:t>BRI</w:t>
      </w:r>
      <w:r>
        <w:rPr>
          <w:spacing w:val="-5"/>
        </w:rPr>
        <w:t> </w:t>
      </w:r>
      <w:r>
        <w:rPr/>
        <w:t>era</w:t>
      </w:r>
      <w:r>
        <w:rPr>
          <w:spacing w:val="-5"/>
        </w:rPr>
        <w:t> </w:t>
      </w:r>
      <w:r>
        <w:rPr/>
        <w:t>spending for low-risk countries, as Beijing allocated only 1.73% of its grant- and</w:t>
      </w:r>
    </w:p>
    <w:p>
      <w:pPr>
        <w:pStyle w:val="BodyText"/>
        <w:spacing w:line="333" w:lineRule="auto"/>
        <w:ind w:left="560" w:right="876"/>
        <w:jc w:val="both"/>
      </w:pPr>
      <w:r>
        <w:rPr/>
        <w:t>loan-ﬁnanced infrastructure project portfolio to the same 6 countries </w:t>
      </w:r>
      <w:r>
        <w:rPr/>
        <w:t>between 2000 and 2017.</w:t>
      </w:r>
    </w:p>
    <w:p>
      <w:pPr>
        <w:pStyle w:val="BodyText"/>
        <w:rPr>
          <w:sz w:val="20"/>
        </w:rPr>
      </w:pPr>
    </w:p>
    <w:p>
      <w:pPr>
        <w:pStyle w:val="BodyText"/>
        <w:spacing w:before="2"/>
        <w:rPr>
          <w:sz w:val="16"/>
        </w:rPr>
      </w:pPr>
      <w:r>
        <w:rPr/>
        <w:pict>
          <v:shape style="position:absolute;margin-left:84pt;margin-top:10.528394pt;width:444pt;height:38pt;mso-position-horizontal-relative:page;mso-position-vertical-relative:paragraph;z-index:-15689216;mso-wrap-distance-left:0;mso-wrap-distance-right:0" type="#_x0000_t202" id="docshape64" filled="true" fillcolor="#5b666f" stroked="false">
            <v:textbox inset="0,0,0,0">
              <w:txbxContent>
                <w:p>
                  <w:pPr>
                    <w:spacing w:before="134"/>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3.15</w:t>
                  </w:r>
                </w:p>
              </w:txbxContent>
            </v:textbox>
            <v:fill type="solid"/>
            <w10:wrap type="topAndBottom"/>
          </v:shape>
        </w:pict>
      </w:r>
      <w:r>
        <w:rPr/>
        <w:drawing>
          <wp:anchor distT="0" distB="0" distL="0" distR="0" allowOverlap="1" layoutInCell="1" locked="0" behindDoc="0" simplePos="0" relativeHeight="78">
            <wp:simplePos x="0" y="0"/>
            <wp:positionH relativeFrom="page">
              <wp:posOffset>1250453</wp:posOffset>
            </wp:positionH>
            <wp:positionV relativeFrom="paragraph">
              <wp:posOffset>749729</wp:posOffset>
            </wp:positionV>
            <wp:extent cx="5297198" cy="1128140"/>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5297198" cy="1128140"/>
                    </a:xfrm>
                    <a:prstGeom prst="rect">
                      <a:avLst/>
                    </a:prstGeom>
                  </pic:spPr>
                </pic:pic>
              </a:graphicData>
            </a:graphic>
          </wp:anchor>
        </w:drawing>
      </w:r>
    </w:p>
    <w:p>
      <w:pPr>
        <w:pStyle w:val="BodyText"/>
        <w:spacing w:before="2"/>
        <w:rPr>
          <w:sz w:val="16"/>
        </w:rPr>
      </w:pPr>
    </w:p>
    <w:p>
      <w:pPr>
        <w:pStyle w:val="BodyText"/>
        <w:spacing w:before="8"/>
        <w:rPr>
          <w:sz w:val="27"/>
        </w:rPr>
      </w:pPr>
    </w:p>
    <w:p>
      <w:pPr>
        <w:spacing w:line="333" w:lineRule="auto" w:before="71"/>
        <w:ind w:left="560" w:right="561" w:firstLine="0"/>
        <w:jc w:val="left"/>
        <w:rPr>
          <w:i/>
          <w:sz w:val="18"/>
        </w:rPr>
      </w:pPr>
      <w:r>
        <w:rPr>
          <w:i/>
          <w:sz w:val="18"/>
        </w:rPr>
        <w:t>Notes:</w:t>
      </w:r>
      <w:r>
        <w:rPr>
          <w:i/>
          <w:spacing w:val="-2"/>
          <w:sz w:val="18"/>
        </w:rPr>
        <w:t> </w:t>
      </w:r>
      <w:r>
        <w:rPr>
          <w:i/>
          <w:sz w:val="18"/>
        </w:rPr>
        <w:t>This</w:t>
      </w:r>
      <w:r>
        <w:rPr>
          <w:i/>
          <w:spacing w:val="-2"/>
          <w:sz w:val="18"/>
        </w:rPr>
        <w:t> </w:t>
      </w:r>
      <w:r>
        <w:rPr>
          <w:i/>
          <w:sz w:val="18"/>
        </w:rPr>
        <w:t>ﬁgure</w:t>
      </w:r>
      <w:r>
        <w:rPr>
          <w:i/>
          <w:spacing w:val="-2"/>
          <w:sz w:val="18"/>
        </w:rPr>
        <w:t> </w:t>
      </w:r>
      <w:r>
        <w:rPr>
          <w:i/>
          <w:sz w:val="18"/>
        </w:rPr>
        <w:t>compares</w:t>
      </w:r>
      <w:r>
        <w:rPr>
          <w:i/>
          <w:spacing w:val="-2"/>
          <w:sz w:val="18"/>
        </w:rPr>
        <w:t> </w:t>
      </w:r>
      <w:r>
        <w:rPr>
          <w:i/>
          <w:sz w:val="18"/>
        </w:rPr>
        <w:t>the</w:t>
      </w:r>
      <w:r>
        <w:rPr>
          <w:i/>
          <w:spacing w:val="-2"/>
          <w:sz w:val="18"/>
        </w:rPr>
        <w:t> </w:t>
      </w:r>
      <w:r>
        <w:rPr>
          <w:i/>
          <w:sz w:val="18"/>
        </w:rPr>
        <w:t>overall</w:t>
      </w:r>
      <w:r>
        <w:rPr>
          <w:i/>
          <w:spacing w:val="-2"/>
          <w:sz w:val="18"/>
        </w:rPr>
        <w:t> </w:t>
      </w:r>
      <w:r>
        <w:rPr>
          <w:i/>
          <w:sz w:val="18"/>
        </w:rPr>
        <w:t>percentage</w:t>
      </w:r>
      <w:r>
        <w:rPr>
          <w:i/>
          <w:spacing w:val="-2"/>
          <w:sz w:val="18"/>
        </w:rPr>
        <w:t> </w:t>
      </w:r>
      <w:r>
        <w:rPr>
          <w:i/>
          <w:sz w:val="18"/>
        </w:rPr>
        <w:t>of</w:t>
      </w:r>
      <w:r>
        <w:rPr>
          <w:i/>
          <w:spacing w:val="-2"/>
          <w:sz w:val="18"/>
        </w:rPr>
        <w:t> </w:t>
      </w:r>
      <w:r>
        <w:rPr>
          <w:i/>
          <w:sz w:val="18"/>
        </w:rPr>
        <w:t>China’s</w:t>
      </w:r>
      <w:r>
        <w:rPr>
          <w:i/>
          <w:spacing w:val="-2"/>
          <w:sz w:val="18"/>
        </w:rPr>
        <w:t> </w:t>
      </w:r>
      <w:r>
        <w:rPr>
          <w:i/>
          <w:sz w:val="18"/>
        </w:rPr>
        <w:t>infrastructure</w:t>
      </w:r>
      <w:r>
        <w:rPr>
          <w:i/>
          <w:spacing w:val="-2"/>
          <w:sz w:val="18"/>
        </w:rPr>
        <w:t> </w:t>
      </w:r>
      <w:r>
        <w:rPr>
          <w:i/>
          <w:sz w:val="18"/>
        </w:rPr>
        <w:t>ﬁnancing</w:t>
      </w:r>
      <w:r>
        <w:rPr>
          <w:i/>
          <w:spacing w:val="-2"/>
          <w:sz w:val="18"/>
        </w:rPr>
        <w:t> </w:t>
      </w:r>
      <w:r>
        <w:rPr>
          <w:i/>
          <w:sz w:val="18"/>
        </w:rPr>
        <w:t>to</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that</w:t>
      </w:r>
      <w:r>
        <w:rPr>
          <w:i/>
          <w:sz w:val="18"/>
        </w:rPr>
        <w:t> was allocated to countries with low ESG risk prevalence rates in two time periods: (1) the pre-BRI and early BRI period (2000-2017) and (2) the late BRI period (2018-2021). Countries with a low ESG risk prevalence rate are deﬁned as those where less than 10% of China’s grant- and loan-ﬁnanced infrastructure project portfolio</w:t>
      </w:r>
      <w:r>
        <w:rPr>
          <w:i/>
          <w:spacing w:val="-4"/>
          <w:sz w:val="18"/>
        </w:rPr>
        <w:t> </w:t>
      </w:r>
      <w:r>
        <w:rPr>
          <w:i/>
          <w:sz w:val="18"/>
        </w:rPr>
        <w:t>between</w:t>
      </w:r>
      <w:r>
        <w:rPr>
          <w:i/>
          <w:spacing w:val="-4"/>
          <w:sz w:val="18"/>
        </w:rPr>
        <w:t> </w:t>
      </w:r>
      <w:r>
        <w:rPr>
          <w:i/>
          <w:sz w:val="18"/>
        </w:rPr>
        <w:t>2000</w:t>
      </w:r>
      <w:r>
        <w:rPr>
          <w:i/>
          <w:spacing w:val="-4"/>
          <w:sz w:val="18"/>
        </w:rPr>
        <w:t> </w:t>
      </w:r>
      <w:r>
        <w:rPr>
          <w:i/>
          <w:sz w:val="18"/>
        </w:rPr>
        <w:t>and</w:t>
      </w:r>
      <w:r>
        <w:rPr>
          <w:i/>
          <w:spacing w:val="-4"/>
          <w:sz w:val="18"/>
        </w:rPr>
        <w:t> </w:t>
      </w:r>
      <w:r>
        <w:rPr>
          <w:i/>
          <w:sz w:val="18"/>
        </w:rPr>
        <w:t>2017</w:t>
      </w:r>
      <w:r>
        <w:rPr>
          <w:i/>
          <w:spacing w:val="-4"/>
          <w:sz w:val="18"/>
        </w:rPr>
        <w:t> </w:t>
      </w:r>
      <w:r>
        <w:rPr>
          <w:i/>
          <w:sz w:val="18"/>
        </w:rPr>
        <w:t>faced</w:t>
      </w:r>
      <w:r>
        <w:rPr>
          <w:i/>
          <w:spacing w:val="-4"/>
          <w:sz w:val="18"/>
        </w:rPr>
        <w:t> </w:t>
      </w:r>
      <w:r>
        <w:rPr>
          <w:i/>
          <w:sz w:val="18"/>
        </w:rPr>
        <w:t>signiﬁcant</w:t>
      </w:r>
      <w:r>
        <w:rPr>
          <w:i/>
          <w:spacing w:val="-4"/>
          <w:sz w:val="18"/>
        </w:rPr>
        <w:t> </w:t>
      </w:r>
      <w:r>
        <w:rPr>
          <w:i/>
          <w:sz w:val="18"/>
        </w:rPr>
        <w:t>ESG</w:t>
      </w:r>
      <w:r>
        <w:rPr>
          <w:i/>
          <w:spacing w:val="-4"/>
          <w:sz w:val="18"/>
        </w:rPr>
        <w:t> </w:t>
      </w:r>
      <w:r>
        <w:rPr>
          <w:i/>
          <w:sz w:val="18"/>
        </w:rPr>
        <w:t>risks.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 is based on a project-level composite measure that is described in Section 2 of Chapter 3.</w:t>
      </w:r>
    </w:p>
    <w:p>
      <w:pPr>
        <w:pStyle w:val="BodyText"/>
        <w:rPr>
          <w:i/>
          <w:sz w:val="18"/>
        </w:rPr>
      </w:pPr>
    </w:p>
    <w:p>
      <w:pPr>
        <w:pStyle w:val="Heading3"/>
        <w:spacing w:before="113"/>
      </w:pPr>
      <w:r>
        <w:rPr/>
        <w:t>Section</w:t>
      </w:r>
      <w:r>
        <w:rPr>
          <w:spacing w:val="-8"/>
        </w:rPr>
        <w:t> </w:t>
      </w:r>
      <w:r>
        <w:rPr/>
        <w:t>6:</w:t>
      </w:r>
      <w:r>
        <w:rPr>
          <w:spacing w:val="-7"/>
        </w:rPr>
        <w:t> </w:t>
      </w:r>
      <w:r>
        <w:rPr/>
        <w:t>Is</w:t>
      </w:r>
      <w:r>
        <w:rPr>
          <w:spacing w:val="-8"/>
        </w:rPr>
        <w:t> </w:t>
      </w:r>
      <w:r>
        <w:rPr/>
        <w:t>Beijing</w:t>
      </w:r>
      <w:r>
        <w:rPr>
          <w:spacing w:val="-8"/>
        </w:rPr>
        <w:t> </w:t>
      </w:r>
      <w:r>
        <w:rPr/>
        <w:t>course-correcting</w:t>
      </w:r>
      <w:r>
        <w:rPr>
          <w:spacing w:val="-7"/>
        </w:rPr>
        <w:t> </w:t>
      </w:r>
      <w:r>
        <w:rPr/>
        <w:t>or</w:t>
      </w:r>
      <w:r>
        <w:rPr>
          <w:spacing w:val="-8"/>
        </w:rPr>
        <w:t> </w:t>
      </w:r>
      <w:r>
        <w:rPr/>
        <w:t>virtue-</w:t>
      </w:r>
      <w:r>
        <w:rPr>
          <w:spacing w:val="-2"/>
        </w:rPr>
        <w:t>signaling?</w:t>
      </w:r>
    </w:p>
    <w:p>
      <w:pPr>
        <w:pStyle w:val="BodyText"/>
        <w:spacing w:line="333" w:lineRule="auto" w:before="270"/>
        <w:ind w:left="560" w:right="573"/>
      </w:pPr>
      <w:r>
        <w:rPr/>
        <w:t>When Beijing ﬁrst signaled interest in subjecting its overseas infrastructure project portfolio to more stringent ESG safeguards, critics and rivals were quick</w:t>
      </w:r>
      <w:r>
        <w:rPr>
          <w:spacing w:val="40"/>
        </w:rPr>
        <w:t> </w:t>
      </w:r>
      <w:r>
        <w:rPr/>
        <w:t>to question its sincerity. Jonathan E. Hillman of the Center for Strategic &amp; International</w:t>
      </w:r>
      <w:r>
        <w:rPr>
          <w:spacing w:val="-6"/>
        </w:rPr>
        <w:t> </w:t>
      </w:r>
      <w:r>
        <w:rPr/>
        <w:t>Studies</w:t>
      </w:r>
      <w:r>
        <w:rPr>
          <w:spacing w:val="-6"/>
        </w:rPr>
        <w:t> </w:t>
      </w:r>
      <w:r>
        <w:rPr/>
        <w:t>(CSIS)</w:t>
      </w:r>
      <w:r>
        <w:rPr>
          <w:spacing w:val="-6"/>
        </w:rPr>
        <w:t> </w:t>
      </w:r>
      <w:r>
        <w:rPr/>
        <w:t>penned</w:t>
      </w:r>
      <w:r>
        <w:rPr>
          <w:spacing w:val="-6"/>
        </w:rPr>
        <w:t> </w:t>
      </w:r>
      <w:r>
        <w:rPr/>
        <w:t>an</w:t>
      </w:r>
      <w:r>
        <w:rPr>
          <w:spacing w:val="-6"/>
        </w:rPr>
        <w:t> </w:t>
      </w:r>
      <w:r>
        <w:rPr/>
        <w:t>op-ed,</w:t>
      </w:r>
      <w:r>
        <w:rPr>
          <w:spacing w:val="-6"/>
        </w:rPr>
        <w:t> </w:t>
      </w:r>
      <w:r>
        <w:rPr/>
        <w:t>in</w:t>
      </w:r>
      <w:r>
        <w:rPr>
          <w:spacing w:val="-6"/>
        </w:rPr>
        <w:t> </w:t>
      </w:r>
      <w:r>
        <w:rPr/>
        <w:t>which</w:t>
      </w:r>
      <w:r>
        <w:rPr>
          <w:spacing w:val="-6"/>
        </w:rPr>
        <w:t> </w:t>
      </w:r>
      <w:r>
        <w:rPr/>
        <w:t>he</w:t>
      </w:r>
      <w:r>
        <w:rPr>
          <w:spacing w:val="-6"/>
        </w:rPr>
        <w:t> </w:t>
      </w:r>
      <w:r>
        <w:rPr/>
        <w:t>argued</w:t>
      </w:r>
      <w:r>
        <w:rPr>
          <w:spacing w:val="-6"/>
        </w:rPr>
        <w:t> </w:t>
      </w:r>
      <w:r>
        <w:rPr/>
        <w:t>that</w:t>
      </w:r>
      <w:r>
        <w:rPr>
          <w:spacing w:val="-6"/>
        </w:rPr>
        <w:t> </w:t>
      </w:r>
      <w:r>
        <w:rPr/>
        <w:t>China</w:t>
      </w:r>
      <w:r>
        <w:rPr>
          <w:spacing w:val="-6"/>
        </w:rPr>
        <w:t> </w:t>
      </w:r>
      <w:r>
        <w:rPr/>
        <w:t>was engaged in a “greenwashing effort.” He wrote that “Xi knows that China is vulnerable on environmental issues. At a gathering of world leaders in Beijing</w:t>
      </w:r>
      <w:r>
        <w:rPr>
          <w:spacing w:val="40"/>
        </w:rPr>
        <w:t> </w:t>
      </w:r>
      <w:r>
        <w:rPr/>
        <w:t>last year, ‘green’ and ‘sustainable’ were the salt and pepper in his speech about the next phase of BRI. To address criticism, China unveiled no less than 11 new, green initiatives under BRI, all of which are voluntary, and none of which are</w:t>
      </w:r>
    </w:p>
    <w:p>
      <w:pPr>
        <w:spacing w:after="0" w:line="333" w:lineRule="auto"/>
        <w:sectPr>
          <w:pgSz w:w="12240" w:h="15840"/>
          <w:pgMar w:header="0" w:footer="720" w:top="1400" w:bottom="920" w:left="1240" w:right="1260"/>
        </w:sectPr>
      </w:pPr>
    </w:p>
    <w:p>
      <w:pPr>
        <w:pStyle w:val="BodyText"/>
        <w:spacing w:line="333" w:lineRule="auto" w:before="27"/>
        <w:ind w:left="560" w:right="561"/>
      </w:pPr>
      <w:r>
        <w:rPr/>
        <w:t>binding or transparent” (Hillman 2020b). Kelly Sims Gallagher and Qi Qi of Tufts </w:t>
      </w:r>
      <w:r>
        <w:rPr>
          <w:w w:val="105"/>
        </w:rPr>
        <w:t>University</w:t>
      </w:r>
      <w:r>
        <w:rPr>
          <w:spacing w:val="-14"/>
          <w:w w:val="105"/>
        </w:rPr>
        <w:t> </w:t>
      </w:r>
      <w:r>
        <w:rPr>
          <w:w w:val="105"/>
        </w:rPr>
        <w:t>wrote</w:t>
      </w:r>
      <w:r>
        <w:rPr>
          <w:spacing w:val="-14"/>
          <w:w w:val="105"/>
        </w:rPr>
        <w:t> </w:t>
      </w:r>
      <w:r>
        <w:rPr>
          <w:w w:val="105"/>
        </w:rPr>
        <w:t>that</w:t>
      </w:r>
      <w:r>
        <w:rPr>
          <w:spacing w:val="-14"/>
          <w:w w:val="105"/>
        </w:rPr>
        <w:t> </w:t>
      </w:r>
      <w:r>
        <w:rPr>
          <w:w w:val="105"/>
        </w:rPr>
        <w:t>“Chinese</w:t>
      </w:r>
      <w:r>
        <w:rPr>
          <w:spacing w:val="-14"/>
          <w:w w:val="105"/>
        </w:rPr>
        <w:t> </w:t>
      </w:r>
      <w:r>
        <w:rPr>
          <w:w w:val="105"/>
        </w:rPr>
        <w:t>government</w:t>
      </w:r>
      <w:r>
        <w:rPr>
          <w:spacing w:val="-14"/>
          <w:w w:val="105"/>
        </w:rPr>
        <w:t> </w:t>
      </w:r>
      <w:r>
        <w:rPr>
          <w:w w:val="105"/>
        </w:rPr>
        <w:t>rhetoric</w:t>
      </w:r>
      <w:r>
        <w:rPr>
          <w:spacing w:val="-14"/>
          <w:w w:val="105"/>
        </w:rPr>
        <w:t> </w:t>
      </w:r>
      <w:r>
        <w:rPr>
          <w:w w:val="105"/>
        </w:rPr>
        <w:t>about</w:t>
      </w:r>
      <w:r>
        <w:rPr>
          <w:spacing w:val="-14"/>
          <w:w w:val="105"/>
        </w:rPr>
        <w:t> </w:t>
      </w:r>
      <w:r>
        <w:rPr>
          <w:w w:val="105"/>
        </w:rPr>
        <w:t>greening</w:t>
      </w:r>
      <w:r>
        <w:rPr>
          <w:spacing w:val="-14"/>
          <w:w w:val="105"/>
        </w:rPr>
        <w:t> </w:t>
      </w:r>
      <w:r>
        <w:rPr>
          <w:w w:val="105"/>
        </w:rPr>
        <w:t>the</w:t>
      </w:r>
      <w:r>
        <w:rPr>
          <w:spacing w:val="-14"/>
          <w:w w:val="105"/>
        </w:rPr>
        <w:t> </w:t>
      </w:r>
      <w:r>
        <w:rPr>
          <w:w w:val="105"/>
        </w:rPr>
        <w:t>BRI</w:t>
      </w:r>
      <w:r>
        <w:rPr>
          <w:spacing w:val="-14"/>
          <w:w w:val="105"/>
        </w:rPr>
        <w:t> </w:t>
      </w:r>
      <w:r>
        <w:rPr>
          <w:w w:val="105"/>
        </w:rPr>
        <w:t>is </w:t>
      </w:r>
      <w:r>
        <w:rPr/>
        <w:t>laudable, but it has yet to make any substantive changes toward that goal” </w:t>
      </w:r>
      <w:r>
        <w:rPr/>
        <w:t>(Sims </w:t>
      </w:r>
      <w:r>
        <w:rPr>
          <w:w w:val="105"/>
        </w:rPr>
        <w:t>Gallagher</w:t>
      </w:r>
      <w:r>
        <w:rPr>
          <w:spacing w:val="-17"/>
          <w:w w:val="105"/>
        </w:rPr>
        <w:t> </w:t>
      </w:r>
      <w:r>
        <w:rPr>
          <w:w w:val="105"/>
        </w:rPr>
        <w:t>and</w:t>
      </w:r>
      <w:r>
        <w:rPr>
          <w:spacing w:val="-17"/>
          <w:w w:val="105"/>
        </w:rPr>
        <w:t> </w:t>
      </w:r>
      <w:r>
        <w:rPr>
          <w:w w:val="105"/>
        </w:rPr>
        <w:t>Qi</w:t>
      </w:r>
      <w:r>
        <w:rPr>
          <w:spacing w:val="-17"/>
          <w:w w:val="105"/>
        </w:rPr>
        <w:t> </w:t>
      </w:r>
      <w:r>
        <w:rPr>
          <w:w w:val="105"/>
        </w:rPr>
        <w:t>2021).</w:t>
      </w:r>
      <w:r>
        <w:rPr>
          <w:spacing w:val="-17"/>
          <w:w w:val="105"/>
        </w:rPr>
        <w:t> </w:t>
      </w:r>
      <w:r>
        <w:rPr>
          <w:w w:val="105"/>
        </w:rPr>
        <w:t>The</w:t>
      </w:r>
      <w:r>
        <w:rPr>
          <w:spacing w:val="-17"/>
          <w:w w:val="105"/>
        </w:rPr>
        <w:t> </w:t>
      </w:r>
      <w:r>
        <w:rPr>
          <w:w w:val="105"/>
        </w:rPr>
        <w:t>U.S.</w:t>
      </w:r>
      <w:r>
        <w:rPr>
          <w:spacing w:val="-17"/>
          <w:w w:val="105"/>
        </w:rPr>
        <w:t> </w:t>
      </w:r>
      <w:r>
        <w:rPr>
          <w:w w:val="105"/>
        </w:rPr>
        <w:t>and</w:t>
      </w:r>
      <w:r>
        <w:rPr>
          <w:spacing w:val="-17"/>
          <w:w w:val="105"/>
        </w:rPr>
        <w:t> </w:t>
      </w:r>
      <w:r>
        <w:rPr>
          <w:w w:val="105"/>
        </w:rPr>
        <w:t>its</w:t>
      </w:r>
      <w:r>
        <w:rPr>
          <w:spacing w:val="-17"/>
          <w:w w:val="105"/>
        </w:rPr>
        <w:t> </w:t>
      </w:r>
      <w:r>
        <w:rPr>
          <w:w w:val="105"/>
        </w:rPr>
        <w:t>allies</w:t>
      </w:r>
      <w:r>
        <w:rPr>
          <w:spacing w:val="-17"/>
          <w:w w:val="105"/>
        </w:rPr>
        <w:t> </w:t>
      </w:r>
      <w:r>
        <w:rPr>
          <w:w w:val="105"/>
        </w:rPr>
        <w:t>also</w:t>
      </w:r>
      <w:r>
        <w:rPr>
          <w:spacing w:val="-17"/>
          <w:w w:val="105"/>
        </w:rPr>
        <w:t> </w:t>
      </w:r>
      <w:r>
        <w:rPr>
          <w:w w:val="105"/>
        </w:rPr>
        <w:t>rejected</w:t>
      </w:r>
      <w:r>
        <w:rPr>
          <w:spacing w:val="-17"/>
          <w:w w:val="105"/>
        </w:rPr>
        <w:t> </w:t>
      </w:r>
      <w:r>
        <w:rPr>
          <w:w w:val="105"/>
        </w:rPr>
        <w:t>the</w:t>
      </w:r>
      <w:r>
        <w:rPr>
          <w:spacing w:val="-17"/>
          <w:w w:val="105"/>
        </w:rPr>
        <w:t> </w:t>
      </w:r>
      <w:r>
        <w:rPr>
          <w:w w:val="105"/>
        </w:rPr>
        <w:t>notion</w:t>
      </w:r>
      <w:r>
        <w:rPr>
          <w:spacing w:val="-17"/>
          <w:w w:val="105"/>
        </w:rPr>
        <w:t> </w:t>
      </w:r>
      <w:r>
        <w:rPr>
          <w:w w:val="105"/>
        </w:rPr>
        <w:t>that </w:t>
      </w:r>
      <w:r>
        <w:rPr/>
        <w:t>Beijing’s overseas infrastructure projects had robust ESG protections in place. In </w:t>
      </w:r>
      <w:r>
        <w:rPr>
          <w:spacing w:val="-2"/>
          <w:w w:val="105"/>
        </w:rPr>
        <w:t>November</w:t>
      </w:r>
      <w:r>
        <w:rPr>
          <w:spacing w:val="-9"/>
          <w:w w:val="105"/>
        </w:rPr>
        <w:t> </w:t>
      </w:r>
      <w:r>
        <w:rPr>
          <w:spacing w:val="-2"/>
          <w:w w:val="105"/>
        </w:rPr>
        <w:t>2019,</w:t>
      </w:r>
      <w:r>
        <w:rPr>
          <w:spacing w:val="-9"/>
          <w:w w:val="105"/>
        </w:rPr>
        <w:t> </w:t>
      </w:r>
      <w:r>
        <w:rPr>
          <w:spacing w:val="-2"/>
          <w:w w:val="105"/>
        </w:rPr>
        <w:t>the</w:t>
      </w:r>
      <w:r>
        <w:rPr>
          <w:spacing w:val="-9"/>
          <w:w w:val="105"/>
        </w:rPr>
        <w:t> </w:t>
      </w:r>
      <w:r>
        <w:rPr>
          <w:spacing w:val="-2"/>
          <w:w w:val="105"/>
        </w:rPr>
        <w:t>U.S.,</w:t>
      </w:r>
      <w:r>
        <w:rPr>
          <w:spacing w:val="-9"/>
          <w:w w:val="105"/>
        </w:rPr>
        <w:t> </w:t>
      </w:r>
      <w:r>
        <w:rPr>
          <w:spacing w:val="-2"/>
          <w:w w:val="105"/>
        </w:rPr>
        <w:t>Japan,</w:t>
      </w:r>
      <w:r>
        <w:rPr>
          <w:spacing w:val="-9"/>
          <w:w w:val="105"/>
        </w:rPr>
        <w:t> </w:t>
      </w:r>
      <w:r>
        <w:rPr>
          <w:spacing w:val="-2"/>
          <w:w w:val="105"/>
        </w:rPr>
        <w:t>and</w:t>
      </w:r>
      <w:r>
        <w:rPr>
          <w:spacing w:val="-9"/>
          <w:w w:val="105"/>
        </w:rPr>
        <w:t> </w:t>
      </w:r>
      <w:r>
        <w:rPr>
          <w:spacing w:val="-2"/>
          <w:w w:val="105"/>
        </w:rPr>
        <w:t>Australia</w:t>
      </w:r>
      <w:r>
        <w:rPr>
          <w:spacing w:val="-9"/>
          <w:w w:val="105"/>
        </w:rPr>
        <w:t> </w:t>
      </w:r>
      <w:r>
        <w:rPr>
          <w:spacing w:val="-2"/>
          <w:w w:val="105"/>
        </w:rPr>
        <w:t>announced</w:t>
      </w:r>
      <w:r>
        <w:rPr>
          <w:spacing w:val="-9"/>
          <w:w w:val="105"/>
        </w:rPr>
        <w:t> </w:t>
      </w:r>
      <w:r>
        <w:rPr>
          <w:spacing w:val="-2"/>
          <w:w w:val="105"/>
        </w:rPr>
        <w:t>that</w:t>
      </w:r>
      <w:r>
        <w:rPr>
          <w:spacing w:val="-9"/>
          <w:w w:val="105"/>
        </w:rPr>
        <w:t> </w:t>
      </w:r>
      <w:r>
        <w:rPr>
          <w:spacing w:val="-2"/>
          <w:w w:val="105"/>
        </w:rPr>
        <w:t>they</w:t>
      </w:r>
      <w:r>
        <w:rPr>
          <w:spacing w:val="-9"/>
          <w:w w:val="105"/>
        </w:rPr>
        <w:t> </w:t>
      </w:r>
      <w:r>
        <w:rPr>
          <w:spacing w:val="-2"/>
          <w:w w:val="105"/>
        </w:rPr>
        <w:t>were </w:t>
      </w:r>
      <w:r>
        <w:rPr>
          <w:w w:val="105"/>
        </w:rPr>
        <w:t>joining forces to establish a “Blue Dot Network” that would “evaluate and certify</w:t>
      </w:r>
      <w:r>
        <w:rPr>
          <w:spacing w:val="-17"/>
          <w:w w:val="105"/>
        </w:rPr>
        <w:t> </w:t>
      </w:r>
      <w:r>
        <w:rPr>
          <w:w w:val="105"/>
        </w:rPr>
        <w:t>nominated</w:t>
      </w:r>
      <w:r>
        <w:rPr>
          <w:spacing w:val="-17"/>
          <w:w w:val="105"/>
        </w:rPr>
        <w:t> </w:t>
      </w:r>
      <w:r>
        <w:rPr>
          <w:w w:val="105"/>
        </w:rPr>
        <w:t>infrastructure</w:t>
      </w:r>
      <w:r>
        <w:rPr>
          <w:spacing w:val="-17"/>
          <w:w w:val="105"/>
        </w:rPr>
        <w:t> </w:t>
      </w:r>
      <w:r>
        <w:rPr>
          <w:w w:val="105"/>
        </w:rPr>
        <w:t>projects</w:t>
      </w:r>
      <w:r>
        <w:rPr>
          <w:spacing w:val="-17"/>
          <w:w w:val="105"/>
        </w:rPr>
        <w:t> </w:t>
      </w:r>
      <w:r>
        <w:rPr>
          <w:w w:val="105"/>
        </w:rPr>
        <w:t>based</w:t>
      </w:r>
      <w:r>
        <w:rPr>
          <w:spacing w:val="-17"/>
          <w:w w:val="105"/>
        </w:rPr>
        <w:t> </w:t>
      </w:r>
      <w:r>
        <w:rPr>
          <w:w w:val="105"/>
        </w:rPr>
        <w:t>upon</w:t>
      </w:r>
      <w:r>
        <w:rPr>
          <w:spacing w:val="-17"/>
          <w:w w:val="105"/>
        </w:rPr>
        <w:t> </w:t>
      </w:r>
      <w:r>
        <w:rPr>
          <w:w w:val="105"/>
        </w:rPr>
        <w:t>adherence</w:t>
      </w:r>
      <w:r>
        <w:rPr>
          <w:spacing w:val="-17"/>
          <w:w w:val="105"/>
        </w:rPr>
        <w:t> </w:t>
      </w:r>
      <w:r>
        <w:rPr>
          <w:w w:val="105"/>
        </w:rPr>
        <w:t>to</w:t>
      </w:r>
      <w:r>
        <w:rPr>
          <w:spacing w:val="-17"/>
          <w:w w:val="105"/>
        </w:rPr>
        <w:t> </w:t>
      </w:r>
      <w:r>
        <w:rPr>
          <w:w w:val="105"/>
        </w:rPr>
        <w:t>commonly accepted</w:t>
      </w:r>
      <w:r>
        <w:rPr>
          <w:spacing w:val="-11"/>
          <w:w w:val="105"/>
        </w:rPr>
        <w:t> </w:t>
      </w:r>
      <w:r>
        <w:rPr>
          <w:w w:val="105"/>
        </w:rPr>
        <w:t>principles</w:t>
      </w:r>
      <w:r>
        <w:rPr>
          <w:spacing w:val="-11"/>
          <w:w w:val="105"/>
        </w:rPr>
        <w:t> </w:t>
      </w:r>
      <w:r>
        <w:rPr>
          <w:w w:val="105"/>
        </w:rPr>
        <w:t>and</w:t>
      </w:r>
      <w:r>
        <w:rPr>
          <w:spacing w:val="-11"/>
          <w:w w:val="105"/>
        </w:rPr>
        <w:t> </w:t>
      </w:r>
      <w:r>
        <w:rPr>
          <w:w w:val="105"/>
        </w:rPr>
        <w:t>standards”</w:t>
      </w:r>
      <w:r>
        <w:rPr>
          <w:spacing w:val="-11"/>
          <w:w w:val="105"/>
        </w:rPr>
        <w:t> </w:t>
      </w:r>
      <w:r>
        <w:rPr>
          <w:w w:val="105"/>
        </w:rPr>
        <w:t>and</w:t>
      </w:r>
      <w:r>
        <w:rPr>
          <w:spacing w:val="-11"/>
          <w:w w:val="105"/>
        </w:rPr>
        <w:t> </w:t>
      </w:r>
      <w:r>
        <w:rPr>
          <w:w w:val="105"/>
        </w:rPr>
        <w:t>“promote</w:t>
      </w:r>
      <w:r>
        <w:rPr>
          <w:spacing w:val="-11"/>
          <w:w w:val="105"/>
        </w:rPr>
        <w:t> </w:t>
      </w:r>
      <w:r>
        <w:rPr>
          <w:w w:val="105"/>
        </w:rPr>
        <w:t>market-driven,</w:t>
      </w:r>
      <w:r>
        <w:rPr>
          <w:spacing w:val="-11"/>
          <w:w w:val="105"/>
        </w:rPr>
        <w:t> </w:t>
      </w:r>
      <w:r>
        <w:rPr>
          <w:w w:val="105"/>
        </w:rPr>
        <w:t>transparent, </w:t>
      </w:r>
      <w:r>
        <w:rPr/>
        <w:t>and ﬁnancially sustainable infrastructure development in the Indo-Paciﬁc region </w:t>
      </w:r>
      <w:r>
        <w:rPr>
          <w:w w:val="105"/>
        </w:rPr>
        <w:t>and</w:t>
      </w:r>
      <w:r>
        <w:rPr>
          <w:spacing w:val="-8"/>
          <w:w w:val="105"/>
        </w:rPr>
        <w:t> </w:t>
      </w:r>
      <w:r>
        <w:rPr>
          <w:w w:val="105"/>
        </w:rPr>
        <w:t>around</w:t>
      </w:r>
      <w:r>
        <w:rPr>
          <w:spacing w:val="-8"/>
          <w:w w:val="105"/>
        </w:rPr>
        <w:t> </w:t>
      </w:r>
      <w:r>
        <w:rPr>
          <w:w w:val="105"/>
        </w:rPr>
        <w:t>the</w:t>
      </w:r>
      <w:r>
        <w:rPr>
          <w:spacing w:val="-8"/>
          <w:w w:val="105"/>
        </w:rPr>
        <w:t> </w:t>
      </w:r>
      <w:r>
        <w:rPr>
          <w:w w:val="105"/>
        </w:rPr>
        <w:t>world.”</w:t>
      </w:r>
      <w:r>
        <w:rPr>
          <w:spacing w:val="-8"/>
          <w:w w:val="105"/>
        </w:rPr>
        <w:t> </w:t>
      </w:r>
      <w:r>
        <w:rPr>
          <w:w w:val="105"/>
        </w:rPr>
        <w:t>More</w:t>
      </w:r>
      <w:r>
        <w:rPr>
          <w:spacing w:val="-8"/>
          <w:w w:val="105"/>
        </w:rPr>
        <w:t> </w:t>
      </w:r>
      <w:r>
        <w:rPr>
          <w:w w:val="105"/>
        </w:rPr>
        <w:t>recently,</w:t>
      </w:r>
      <w:r>
        <w:rPr>
          <w:spacing w:val="-8"/>
          <w:w w:val="105"/>
        </w:rPr>
        <w:t> </w:t>
      </w:r>
      <w:r>
        <w:rPr>
          <w:w w:val="105"/>
        </w:rPr>
        <w:t>the</w:t>
      </w:r>
      <w:r>
        <w:rPr>
          <w:spacing w:val="-8"/>
          <w:w w:val="105"/>
        </w:rPr>
        <w:t> </w:t>
      </w:r>
      <w:r>
        <w:rPr>
          <w:w w:val="105"/>
        </w:rPr>
        <w:t>U.S.,</w:t>
      </w:r>
      <w:r>
        <w:rPr>
          <w:spacing w:val="-8"/>
          <w:w w:val="105"/>
        </w:rPr>
        <w:t> </w:t>
      </w:r>
      <w:r>
        <w:rPr>
          <w:w w:val="105"/>
        </w:rPr>
        <w:t>the</w:t>
      </w:r>
      <w:r>
        <w:rPr>
          <w:spacing w:val="-8"/>
          <w:w w:val="105"/>
        </w:rPr>
        <w:t> </w:t>
      </w:r>
      <w:r>
        <w:rPr>
          <w:w w:val="105"/>
        </w:rPr>
        <w:t>U.K.,</w:t>
      </w:r>
      <w:r>
        <w:rPr>
          <w:spacing w:val="-8"/>
          <w:w w:val="105"/>
        </w:rPr>
        <w:t> </w:t>
      </w:r>
      <w:r>
        <w:rPr>
          <w:w w:val="105"/>
        </w:rPr>
        <w:t>and</w:t>
      </w:r>
      <w:r>
        <w:rPr>
          <w:spacing w:val="-8"/>
          <w:w w:val="105"/>
        </w:rPr>
        <w:t> </w:t>
      </w:r>
      <w:r>
        <w:rPr>
          <w:w w:val="105"/>
        </w:rPr>
        <w:t>the</w:t>
      </w:r>
      <w:r>
        <w:rPr>
          <w:spacing w:val="-8"/>
          <w:w w:val="105"/>
        </w:rPr>
        <w:t> </w:t>
      </w:r>
      <w:r>
        <w:rPr>
          <w:w w:val="105"/>
        </w:rPr>
        <w:t>other members</w:t>
      </w:r>
      <w:r>
        <w:rPr>
          <w:spacing w:val="-17"/>
          <w:w w:val="105"/>
        </w:rPr>
        <w:t> </w:t>
      </w:r>
      <w:r>
        <w:rPr>
          <w:w w:val="105"/>
        </w:rPr>
        <w:t>of</w:t>
      </w:r>
      <w:r>
        <w:rPr>
          <w:spacing w:val="-17"/>
          <w:w w:val="105"/>
        </w:rPr>
        <w:t> </w:t>
      </w:r>
      <w:r>
        <w:rPr>
          <w:w w:val="105"/>
        </w:rPr>
        <w:t>the</w:t>
      </w:r>
      <w:r>
        <w:rPr>
          <w:spacing w:val="-17"/>
          <w:w w:val="105"/>
        </w:rPr>
        <w:t> </w:t>
      </w:r>
      <w:r>
        <w:rPr>
          <w:w w:val="105"/>
        </w:rPr>
        <w:t>G7</w:t>
      </w:r>
      <w:r>
        <w:rPr>
          <w:spacing w:val="-17"/>
          <w:w w:val="105"/>
        </w:rPr>
        <w:t> </w:t>
      </w:r>
      <w:r>
        <w:rPr>
          <w:w w:val="105"/>
        </w:rPr>
        <w:t>have</w:t>
      </w:r>
      <w:r>
        <w:rPr>
          <w:spacing w:val="-17"/>
          <w:w w:val="105"/>
        </w:rPr>
        <w:t> </w:t>
      </w:r>
      <w:r>
        <w:rPr>
          <w:w w:val="105"/>
        </w:rPr>
        <w:t>promoted</w:t>
      </w:r>
      <w:r>
        <w:rPr>
          <w:spacing w:val="-17"/>
          <w:w w:val="105"/>
        </w:rPr>
        <w:t> </w:t>
      </w:r>
      <w:r>
        <w:rPr>
          <w:w w:val="105"/>
        </w:rPr>
        <w:t>a</w:t>
      </w:r>
      <w:r>
        <w:rPr>
          <w:spacing w:val="-17"/>
          <w:w w:val="105"/>
        </w:rPr>
        <w:t> </w:t>
      </w:r>
      <w:r>
        <w:rPr>
          <w:w w:val="105"/>
        </w:rPr>
        <w:t>Partnership</w:t>
      </w:r>
      <w:r>
        <w:rPr>
          <w:spacing w:val="-17"/>
          <w:w w:val="105"/>
        </w:rPr>
        <w:t> </w:t>
      </w:r>
      <w:r>
        <w:rPr>
          <w:w w:val="105"/>
        </w:rPr>
        <w:t>for</w:t>
      </w:r>
      <w:r>
        <w:rPr>
          <w:spacing w:val="-17"/>
          <w:w w:val="105"/>
        </w:rPr>
        <w:t> </w:t>
      </w:r>
      <w:r>
        <w:rPr>
          <w:w w:val="105"/>
        </w:rPr>
        <w:t>Global</w:t>
      </w:r>
      <w:r>
        <w:rPr>
          <w:spacing w:val="-17"/>
          <w:w w:val="105"/>
        </w:rPr>
        <w:t> </w:t>
      </w:r>
      <w:r>
        <w:rPr>
          <w:w w:val="105"/>
        </w:rPr>
        <w:t>Infrastructure</w:t>
      </w:r>
      <w:r>
        <w:rPr>
          <w:spacing w:val="-17"/>
          <w:w w:val="105"/>
        </w:rPr>
        <w:t> </w:t>
      </w:r>
      <w:r>
        <w:rPr>
          <w:w w:val="105"/>
        </w:rPr>
        <w:t>and </w:t>
      </w:r>
      <w:r>
        <w:rPr/>
        <w:t>Investment (PGII)—previously known as the Build Back Better World (B3W) </w:t>
      </w:r>
      <w:r>
        <w:rPr>
          <w:w w:val="105"/>
        </w:rPr>
        <w:t>initiative—that</w:t>
      </w:r>
      <w:r>
        <w:rPr>
          <w:spacing w:val="-17"/>
          <w:w w:val="105"/>
        </w:rPr>
        <w:t> </w:t>
      </w:r>
      <w:r>
        <w:rPr>
          <w:w w:val="105"/>
        </w:rPr>
        <w:t>they</w:t>
      </w:r>
      <w:r>
        <w:rPr>
          <w:spacing w:val="-17"/>
          <w:w w:val="105"/>
        </w:rPr>
        <w:t> </w:t>
      </w:r>
      <w:r>
        <w:rPr>
          <w:w w:val="105"/>
        </w:rPr>
        <w:t>characterize</w:t>
      </w:r>
      <w:r>
        <w:rPr>
          <w:spacing w:val="-17"/>
          <w:w w:val="105"/>
        </w:rPr>
        <w:t> </w:t>
      </w:r>
      <w:r>
        <w:rPr>
          <w:w w:val="105"/>
        </w:rPr>
        <w:t>as</w:t>
      </w:r>
      <w:r>
        <w:rPr>
          <w:spacing w:val="-17"/>
          <w:w w:val="105"/>
        </w:rPr>
        <w:t> </w:t>
      </w:r>
      <w:r>
        <w:rPr>
          <w:w w:val="105"/>
        </w:rPr>
        <w:t>an</w:t>
      </w:r>
      <w:r>
        <w:rPr>
          <w:spacing w:val="-17"/>
          <w:w w:val="105"/>
        </w:rPr>
        <w:t> </w:t>
      </w:r>
      <w:r>
        <w:rPr>
          <w:w w:val="105"/>
        </w:rPr>
        <w:t>alternative</w:t>
      </w:r>
      <w:r>
        <w:rPr>
          <w:spacing w:val="-17"/>
          <w:w w:val="105"/>
        </w:rPr>
        <w:t> </w:t>
      </w:r>
      <w:r>
        <w:rPr>
          <w:w w:val="105"/>
        </w:rPr>
        <w:t>to</w:t>
      </w:r>
      <w:r>
        <w:rPr>
          <w:spacing w:val="-17"/>
          <w:w w:val="105"/>
        </w:rPr>
        <w:t> </w:t>
      </w:r>
      <w:r>
        <w:rPr>
          <w:w w:val="105"/>
        </w:rPr>
        <w:t>the</w:t>
      </w:r>
      <w:r>
        <w:rPr>
          <w:spacing w:val="-17"/>
          <w:w w:val="105"/>
        </w:rPr>
        <w:t> </w:t>
      </w:r>
      <w:r>
        <w:rPr>
          <w:w w:val="105"/>
        </w:rPr>
        <w:t>BRI</w:t>
      </w:r>
      <w:r>
        <w:rPr>
          <w:spacing w:val="-17"/>
          <w:w w:val="105"/>
        </w:rPr>
        <w:t> </w:t>
      </w:r>
      <w:r>
        <w:rPr>
          <w:w w:val="105"/>
        </w:rPr>
        <w:t>and</w:t>
      </w:r>
      <w:r>
        <w:rPr>
          <w:spacing w:val="-17"/>
          <w:w w:val="105"/>
        </w:rPr>
        <w:t> </w:t>
      </w:r>
      <w:r>
        <w:rPr>
          <w:w w:val="105"/>
        </w:rPr>
        <w:t>an</w:t>
      </w:r>
      <w:r>
        <w:rPr>
          <w:spacing w:val="-17"/>
          <w:w w:val="105"/>
        </w:rPr>
        <w:t> </w:t>
      </w:r>
      <w:r>
        <w:rPr>
          <w:w w:val="105"/>
        </w:rPr>
        <w:t>option</w:t>
      </w:r>
      <w:r>
        <w:rPr>
          <w:spacing w:val="-17"/>
          <w:w w:val="105"/>
        </w:rPr>
        <w:t> </w:t>
      </w:r>
      <w:r>
        <w:rPr>
          <w:w w:val="105"/>
        </w:rPr>
        <w:t>for </w:t>
      </w:r>
      <w:r>
        <w:rPr/>
        <w:t>countries that want to undertake infrastructure projects in strict accordance with internationally accepted ESG safeguards.</w:t>
      </w:r>
      <w:r>
        <w:rPr>
          <w:vertAlign w:val="superscript"/>
        </w:rPr>
        <w:t>301</w:t>
      </w:r>
    </w:p>
    <w:p>
      <w:pPr>
        <w:pStyle w:val="BodyText"/>
        <w:spacing w:before="1"/>
        <w:rPr>
          <w:sz w:val="27"/>
        </w:rPr>
      </w:pPr>
    </w:p>
    <w:p>
      <w:pPr>
        <w:pStyle w:val="BodyText"/>
        <w:spacing w:line="333" w:lineRule="auto"/>
        <w:ind w:left="560" w:right="561"/>
      </w:pPr>
      <w:r>
        <w:rPr/>
        <w:t>However, this chapter demonstrates—with many new sources and types of evidence—that Beijing is not simply engaging in an international </w:t>
      </w:r>
      <w:r>
        <w:rPr/>
        <w:t>virtue-signaling exercise. It has taken meaningful steps to de-risk its overseas infrastructure project portfolio by ramping down the international lending activities of banks</w:t>
      </w:r>
      <w:r>
        <w:rPr>
          <w:spacing w:val="80"/>
          <w:w w:val="150"/>
        </w:rPr>
        <w:t> </w:t>
      </w:r>
      <w:r>
        <w:rPr/>
        <w:t>that lack strong ESG risk management guardrails, ramping up the provision of infrastructure ﬁnancing via institutions that have strong ESG safeguards in place, gradually unwinding aid and credit relationships with LICs and MICs that present high level of ESG risk, and redirecting new infrastructure ﬁnancing to lower-risk countries. At the same time, it is still at a relatively early stage in its journey from ESG skeptic to advocate and it will likely take many years—potentially even decades—to close the gap between the de jure and de facto application of ESG </w:t>
      </w:r>
      <w:r>
        <w:rPr>
          <w:spacing w:val="-2"/>
        </w:rPr>
        <w:t>safeguards.</w:t>
      </w:r>
      <w:r>
        <w:rPr>
          <w:spacing w:val="-2"/>
          <w:vertAlign w:val="superscript"/>
        </w:rPr>
        <w:t>302</w:t>
      </w:r>
    </w:p>
    <w:p>
      <w:pPr>
        <w:pStyle w:val="BodyText"/>
        <w:rPr>
          <w:sz w:val="20"/>
        </w:rPr>
      </w:pPr>
    </w:p>
    <w:p>
      <w:pPr>
        <w:pStyle w:val="BodyText"/>
        <w:rPr>
          <w:sz w:val="20"/>
        </w:rPr>
      </w:pPr>
    </w:p>
    <w:p>
      <w:pPr>
        <w:pStyle w:val="BodyText"/>
        <w:spacing w:before="6"/>
        <w:rPr>
          <w:sz w:val="14"/>
        </w:rPr>
      </w:pPr>
      <w:r>
        <w:rPr/>
        <w:pict>
          <v:shape style="position:absolute;margin-left:90pt;margin-top:9.559131pt;width:144pt;height:.1pt;mso-position-horizontal-relative:page;mso-position-vertical-relative:paragraph;z-index:-15688192;mso-wrap-distance-left:0;mso-wrap-distance-right:0" id="docshape65" coordorigin="1800,191" coordsize="2880,0" path="m1800,191l4680,191e" filled="false" stroked="true" strokeweight=".75pt" strokecolor="#000000">
            <v:path arrowok="t"/>
            <v:stroke dashstyle="solid"/>
            <w10:wrap type="topAndBottom"/>
          </v:shape>
        </w:pict>
      </w:r>
    </w:p>
    <w:p>
      <w:pPr>
        <w:spacing w:line="249" w:lineRule="auto" w:before="113"/>
        <w:ind w:left="560" w:right="561" w:firstLine="0"/>
        <w:jc w:val="left"/>
        <w:rPr>
          <w:sz w:val="18"/>
        </w:rPr>
      </w:pPr>
      <w:r>
        <w:rPr>
          <w:sz w:val="18"/>
          <w:vertAlign w:val="superscript"/>
        </w:rPr>
        <w:t>301</w:t>
      </w:r>
      <w:r>
        <w:rPr>
          <w:spacing w:val="-8"/>
          <w:sz w:val="18"/>
          <w:vertAlign w:val="baseline"/>
        </w:rPr>
        <w:t> </w:t>
      </w:r>
      <w:r>
        <w:rPr>
          <w:sz w:val="18"/>
          <w:vertAlign w:val="baseline"/>
        </w:rPr>
        <w:t>In</w:t>
      </w:r>
      <w:r>
        <w:rPr>
          <w:spacing w:val="-7"/>
          <w:sz w:val="18"/>
          <w:vertAlign w:val="baseline"/>
        </w:rPr>
        <w:t> </w:t>
      </w:r>
      <w:r>
        <w:rPr>
          <w:sz w:val="18"/>
          <w:vertAlign w:val="baseline"/>
        </w:rPr>
        <w:t>September</w:t>
      </w:r>
      <w:r>
        <w:rPr>
          <w:spacing w:val="-7"/>
          <w:sz w:val="18"/>
          <w:vertAlign w:val="baseline"/>
        </w:rPr>
        <w:t> </w:t>
      </w:r>
      <w:r>
        <w:rPr>
          <w:sz w:val="18"/>
          <w:vertAlign w:val="baseline"/>
        </w:rPr>
        <w:t>2023,</w:t>
      </w:r>
      <w:r>
        <w:rPr>
          <w:spacing w:val="-7"/>
          <w:sz w:val="18"/>
          <w:vertAlign w:val="baseline"/>
        </w:rPr>
        <w:t> </w:t>
      </w:r>
      <w:r>
        <w:rPr>
          <w:sz w:val="18"/>
          <w:vertAlign w:val="baseline"/>
        </w:rPr>
        <w:t>the</w:t>
      </w:r>
      <w:r>
        <w:rPr>
          <w:spacing w:val="-7"/>
          <w:sz w:val="18"/>
          <w:vertAlign w:val="baseline"/>
        </w:rPr>
        <w:t> </w:t>
      </w:r>
      <w:r>
        <w:rPr>
          <w:sz w:val="18"/>
          <w:vertAlign w:val="baseline"/>
        </w:rPr>
        <w:t>U.S.,</w:t>
      </w:r>
      <w:r>
        <w:rPr>
          <w:spacing w:val="-7"/>
          <w:sz w:val="18"/>
          <w:vertAlign w:val="baseline"/>
        </w:rPr>
        <w:t> </w:t>
      </w:r>
      <w:r>
        <w:rPr>
          <w:sz w:val="18"/>
          <w:vertAlign w:val="baseline"/>
        </w:rPr>
        <w:t>France,</w:t>
      </w:r>
      <w:r>
        <w:rPr>
          <w:spacing w:val="-7"/>
          <w:sz w:val="18"/>
          <w:vertAlign w:val="baseline"/>
        </w:rPr>
        <w:t> </w:t>
      </w:r>
      <w:r>
        <w:rPr>
          <w:sz w:val="18"/>
          <w:vertAlign w:val="baseline"/>
        </w:rPr>
        <w:t>Germany,</w:t>
      </w:r>
      <w:r>
        <w:rPr>
          <w:spacing w:val="-7"/>
          <w:sz w:val="18"/>
          <w:vertAlign w:val="baseline"/>
        </w:rPr>
        <w:t> </w:t>
      </w:r>
      <w:r>
        <w:rPr>
          <w:sz w:val="18"/>
          <w:vertAlign w:val="baseline"/>
        </w:rPr>
        <w:t>Italy,</w:t>
      </w:r>
      <w:r>
        <w:rPr>
          <w:spacing w:val="-7"/>
          <w:sz w:val="18"/>
          <w:vertAlign w:val="baseline"/>
        </w:rPr>
        <w:t> </w:t>
      </w:r>
      <w:r>
        <w:rPr>
          <w:sz w:val="18"/>
          <w:vertAlign w:val="baseline"/>
        </w:rPr>
        <w:t>the</w:t>
      </w:r>
      <w:r>
        <w:rPr>
          <w:spacing w:val="-7"/>
          <w:sz w:val="18"/>
          <w:vertAlign w:val="baseline"/>
        </w:rPr>
        <w:t> </w:t>
      </w:r>
      <w:r>
        <w:rPr>
          <w:sz w:val="18"/>
          <w:vertAlign w:val="baseline"/>
        </w:rPr>
        <w:t>EU,</w:t>
      </w:r>
      <w:r>
        <w:rPr>
          <w:spacing w:val="-7"/>
          <w:sz w:val="18"/>
          <w:vertAlign w:val="baseline"/>
        </w:rPr>
        <w:t> </w:t>
      </w:r>
      <w:r>
        <w:rPr>
          <w:sz w:val="18"/>
          <w:vertAlign w:val="baseline"/>
        </w:rPr>
        <w:t>India,</w:t>
      </w:r>
      <w:r>
        <w:rPr>
          <w:spacing w:val="-7"/>
          <w:sz w:val="18"/>
          <w:vertAlign w:val="baseline"/>
        </w:rPr>
        <w:t> </w:t>
      </w:r>
      <w:r>
        <w:rPr>
          <w:sz w:val="18"/>
          <w:vertAlign w:val="baseline"/>
        </w:rPr>
        <w:t>the</w:t>
      </w:r>
      <w:r>
        <w:rPr>
          <w:spacing w:val="-7"/>
          <w:sz w:val="18"/>
          <w:vertAlign w:val="baseline"/>
        </w:rPr>
        <w:t> </w:t>
      </w:r>
      <w:r>
        <w:rPr>
          <w:sz w:val="18"/>
          <w:vertAlign w:val="baseline"/>
        </w:rPr>
        <w:t>UAE,</w:t>
      </w:r>
      <w:r>
        <w:rPr>
          <w:spacing w:val="-7"/>
          <w:sz w:val="18"/>
          <w:vertAlign w:val="baseline"/>
        </w:rPr>
        <w:t> </w:t>
      </w:r>
      <w:r>
        <w:rPr>
          <w:sz w:val="18"/>
          <w:vertAlign w:val="baseline"/>
        </w:rPr>
        <w:t>and</w:t>
      </w:r>
      <w:r>
        <w:rPr>
          <w:spacing w:val="-7"/>
          <w:sz w:val="18"/>
          <w:vertAlign w:val="baseline"/>
        </w:rPr>
        <w:t> </w:t>
      </w:r>
      <w:r>
        <w:rPr>
          <w:sz w:val="18"/>
          <w:vertAlign w:val="baseline"/>
        </w:rPr>
        <w:t>Saudi</w:t>
      </w:r>
      <w:r>
        <w:rPr>
          <w:spacing w:val="-7"/>
          <w:sz w:val="18"/>
          <w:vertAlign w:val="baseline"/>
        </w:rPr>
        <w:t> </w:t>
      </w:r>
      <w:r>
        <w:rPr>
          <w:sz w:val="18"/>
          <w:vertAlign w:val="baseline"/>
        </w:rPr>
        <w:t>Arabia</w:t>
      </w:r>
      <w:r>
        <w:rPr>
          <w:spacing w:val="-7"/>
          <w:sz w:val="18"/>
          <w:vertAlign w:val="baseline"/>
        </w:rPr>
        <w:t> </w:t>
      </w:r>
      <w:r>
        <w:rPr>
          <w:sz w:val="18"/>
          <w:vertAlign w:val="baseline"/>
        </w:rPr>
        <w:t>also announced plans to develop an India-Middle East-Europe Economic Corridor (IMEC).</w:t>
      </w:r>
    </w:p>
    <w:p>
      <w:pPr>
        <w:spacing w:line="249" w:lineRule="auto" w:before="1"/>
        <w:ind w:left="560" w:right="589" w:firstLine="0"/>
        <w:jc w:val="left"/>
        <w:rPr>
          <w:sz w:val="18"/>
        </w:rPr>
      </w:pPr>
      <w:r>
        <w:rPr>
          <w:sz w:val="18"/>
          <w:vertAlign w:val="superscript"/>
        </w:rPr>
        <w:t>302</w:t>
      </w:r>
      <w:r>
        <w:rPr>
          <w:spacing w:val="-2"/>
          <w:sz w:val="18"/>
          <w:vertAlign w:val="baseline"/>
        </w:rPr>
        <w:t> </w:t>
      </w:r>
      <w:r>
        <w:rPr>
          <w:sz w:val="18"/>
          <w:vertAlign w:val="baseline"/>
        </w:rPr>
        <w:t>It</w:t>
      </w:r>
      <w:r>
        <w:rPr>
          <w:spacing w:val="-1"/>
          <w:sz w:val="18"/>
          <w:vertAlign w:val="baseline"/>
        </w:rPr>
        <w:t> </w:t>
      </w:r>
      <w:r>
        <w:rPr>
          <w:sz w:val="18"/>
          <w:vertAlign w:val="baseline"/>
        </w:rPr>
        <w:t>is</w:t>
      </w:r>
      <w:r>
        <w:rPr>
          <w:spacing w:val="-1"/>
          <w:sz w:val="18"/>
          <w:vertAlign w:val="baseline"/>
        </w:rPr>
        <w:t> </w:t>
      </w:r>
      <w:r>
        <w:rPr>
          <w:sz w:val="18"/>
          <w:vertAlign w:val="baseline"/>
        </w:rPr>
        <w:t>also</w:t>
      </w:r>
      <w:r>
        <w:rPr>
          <w:spacing w:val="-1"/>
          <w:sz w:val="18"/>
          <w:vertAlign w:val="baseline"/>
        </w:rPr>
        <w:t> </w:t>
      </w:r>
      <w:r>
        <w:rPr>
          <w:sz w:val="18"/>
          <w:vertAlign w:val="baseline"/>
        </w:rPr>
        <w:t>important</w:t>
      </w:r>
      <w:r>
        <w:rPr>
          <w:spacing w:val="-1"/>
          <w:sz w:val="18"/>
          <w:vertAlign w:val="baseline"/>
        </w:rPr>
        <w:t> </w:t>
      </w:r>
      <w:r>
        <w:rPr>
          <w:sz w:val="18"/>
          <w:vertAlign w:val="baseline"/>
        </w:rPr>
        <w:t>to</w:t>
      </w:r>
      <w:r>
        <w:rPr>
          <w:spacing w:val="-1"/>
          <w:sz w:val="18"/>
          <w:vertAlign w:val="baseline"/>
        </w:rPr>
        <w:t> </w:t>
      </w:r>
      <w:r>
        <w:rPr>
          <w:sz w:val="18"/>
          <w:vertAlign w:val="baseline"/>
        </w:rPr>
        <w:t>keep</w:t>
      </w:r>
      <w:r>
        <w:rPr>
          <w:spacing w:val="-1"/>
          <w:sz w:val="18"/>
          <w:vertAlign w:val="baseline"/>
        </w:rPr>
        <w:t> </w:t>
      </w:r>
      <w:r>
        <w:rPr>
          <w:sz w:val="18"/>
          <w:vertAlign w:val="baseline"/>
        </w:rPr>
        <w:t>in</w:t>
      </w:r>
      <w:r>
        <w:rPr>
          <w:spacing w:val="-1"/>
          <w:sz w:val="18"/>
          <w:vertAlign w:val="baseline"/>
        </w:rPr>
        <w:t> </w:t>
      </w:r>
      <w:r>
        <w:rPr>
          <w:sz w:val="18"/>
          <w:vertAlign w:val="baseline"/>
        </w:rPr>
        <w:t>mind</w:t>
      </w:r>
      <w:r>
        <w:rPr>
          <w:spacing w:val="-1"/>
          <w:sz w:val="18"/>
          <w:vertAlign w:val="baseline"/>
        </w:rPr>
        <w:t> </w:t>
      </w:r>
      <w:r>
        <w:rPr>
          <w:sz w:val="18"/>
          <w:vertAlign w:val="baseline"/>
        </w:rPr>
        <w:t>that,</w:t>
      </w:r>
      <w:r>
        <w:rPr>
          <w:spacing w:val="-1"/>
          <w:sz w:val="18"/>
          <w:vertAlign w:val="baseline"/>
        </w:rPr>
        <w:t> </w:t>
      </w:r>
      <w:r>
        <w:rPr>
          <w:sz w:val="18"/>
          <w:vertAlign w:val="baseline"/>
        </w:rPr>
        <w:t>as</w:t>
      </w:r>
      <w:r>
        <w:rPr>
          <w:spacing w:val="-1"/>
          <w:sz w:val="18"/>
          <w:vertAlign w:val="baseline"/>
        </w:rPr>
        <w:t> </w:t>
      </w:r>
      <w:r>
        <w:rPr>
          <w:sz w:val="18"/>
          <w:vertAlign w:val="baseline"/>
        </w:rPr>
        <w:t>of</w:t>
      </w:r>
      <w:r>
        <w:rPr>
          <w:spacing w:val="-1"/>
          <w:sz w:val="18"/>
          <w:vertAlign w:val="baseline"/>
        </w:rPr>
        <w:t> </w:t>
      </w:r>
      <w:r>
        <w:rPr>
          <w:sz w:val="18"/>
          <w:vertAlign w:val="baseline"/>
        </w:rPr>
        <w:t>2021,</w:t>
      </w:r>
      <w:r>
        <w:rPr>
          <w:spacing w:val="-1"/>
          <w:sz w:val="18"/>
          <w:vertAlign w:val="baseline"/>
        </w:rPr>
        <w:t> </w:t>
      </w:r>
      <w:r>
        <w:rPr>
          <w:sz w:val="18"/>
          <w:vertAlign w:val="baseline"/>
        </w:rPr>
        <w:t>40%</w:t>
      </w:r>
      <w:r>
        <w:rPr>
          <w:spacing w:val="-1"/>
          <w:sz w:val="18"/>
          <w:vertAlign w:val="baseline"/>
        </w:rPr>
        <w:t> </w:t>
      </w:r>
      <w:r>
        <w:rPr>
          <w:sz w:val="18"/>
          <w:vertAlign w:val="baseline"/>
        </w:rPr>
        <w:t>of</w:t>
      </w:r>
      <w:r>
        <w:rPr>
          <w:spacing w:val="-1"/>
          <w:sz w:val="18"/>
          <w:vertAlign w:val="baseline"/>
        </w:rPr>
        <w:t> </w:t>
      </w:r>
      <w:r>
        <w:rPr>
          <w:sz w:val="18"/>
          <w:vertAlign w:val="baseline"/>
        </w:rPr>
        <w:t>Chinese</w:t>
      </w:r>
      <w:r>
        <w:rPr>
          <w:spacing w:val="-1"/>
          <w:sz w:val="18"/>
          <w:vertAlign w:val="baseline"/>
        </w:rPr>
        <w:t> </w:t>
      </w:r>
      <w:r>
        <w:rPr>
          <w:sz w:val="18"/>
          <w:vertAlign w:val="baseline"/>
        </w:rPr>
        <w:t>infrastructure</w:t>
      </w:r>
      <w:r>
        <w:rPr>
          <w:spacing w:val="-1"/>
          <w:sz w:val="18"/>
          <w:vertAlign w:val="baseline"/>
        </w:rPr>
        <w:t> </w:t>
      </w:r>
      <w:r>
        <w:rPr>
          <w:sz w:val="18"/>
          <w:vertAlign w:val="baseline"/>
        </w:rPr>
        <w:t>ﬁnancing</w:t>
      </w:r>
      <w:r>
        <w:rPr>
          <w:spacing w:val="-1"/>
          <w:sz w:val="18"/>
          <w:vertAlign w:val="baseline"/>
        </w:rPr>
        <w:t> </w:t>
      </w:r>
      <w:r>
        <w:rPr>
          <w:sz w:val="18"/>
          <w:vertAlign w:val="baseline"/>
        </w:rPr>
        <w:t>to</w:t>
      </w:r>
      <w:r>
        <w:rPr>
          <w:spacing w:val="-1"/>
          <w:sz w:val="18"/>
          <w:vertAlign w:val="baseline"/>
        </w:rPr>
        <w:t> </w:t>
      </w:r>
      <w:r>
        <w:rPr>
          <w:sz w:val="18"/>
          <w:vertAlign w:val="baseline"/>
        </w:rPr>
        <w:t>LICs</w:t>
      </w:r>
      <w:r>
        <w:rPr>
          <w:spacing w:val="-1"/>
          <w:sz w:val="18"/>
          <w:vertAlign w:val="baseline"/>
        </w:rPr>
        <w:t> </w:t>
      </w:r>
      <w:r>
        <w:rPr>
          <w:sz w:val="18"/>
          <w:vertAlign w:val="baseline"/>
        </w:rPr>
        <w:t>and MICs was still being channeled via bilateral CDB and China Eximbank grants and loans. This is signiﬁcant, </w:t>
      </w:r>
      <w:r>
        <w:rPr>
          <w:w w:val="105"/>
          <w:sz w:val="18"/>
          <w:vertAlign w:val="baseline"/>
        </w:rPr>
        <w:t>since</w:t>
      </w:r>
      <w:r>
        <w:rPr>
          <w:spacing w:val="-12"/>
          <w:w w:val="105"/>
          <w:sz w:val="18"/>
          <w:vertAlign w:val="baseline"/>
        </w:rPr>
        <w:t> </w:t>
      </w:r>
      <w:r>
        <w:rPr>
          <w:w w:val="105"/>
          <w:sz w:val="18"/>
          <w:vertAlign w:val="baseline"/>
        </w:rPr>
        <w:t>this</w:t>
      </w:r>
      <w:r>
        <w:rPr>
          <w:spacing w:val="-12"/>
          <w:w w:val="105"/>
          <w:sz w:val="18"/>
          <w:vertAlign w:val="baseline"/>
        </w:rPr>
        <w:t> </w:t>
      </w:r>
      <w:r>
        <w:rPr>
          <w:w w:val="105"/>
          <w:sz w:val="18"/>
          <w:vertAlign w:val="baseline"/>
        </w:rPr>
        <w:t>chapter</w:t>
      </w:r>
      <w:r>
        <w:rPr>
          <w:spacing w:val="-12"/>
          <w:w w:val="105"/>
          <w:sz w:val="18"/>
          <w:vertAlign w:val="baseline"/>
        </w:rPr>
        <w:t> </w:t>
      </w:r>
      <w:r>
        <w:rPr>
          <w:w w:val="105"/>
          <w:sz w:val="18"/>
          <w:vertAlign w:val="baseline"/>
        </w:rPr>
        <w:t>provides</w:t>
      </w:r>
      <w:r>
        <w:rPr>
          <w:spacing w:val="-12"/>
          <w:w w:val="105"/>
          <w:sz w:val="18"/>
          <w:vertAlign w:val="baseline"/>
        </w:rPr>
        <w:t> </w:t>
      </w:r>
      <w:r>
        <w:rPr>
          <w:w w:val="105"/>
          <w:sz w:val="18"/>
          <w:vertAlign w:val="baseline"/>
        </w:rPr>
        <w:t>evidence</w:t>
      </w:r>
      <w:r>
        <w:rPr>
          <w:spacing w:val="-12"/>
          <w:w w:val="105"/>
          <w:sz w:val="18"/>
          <w:vertAlign w:val="baseline"/>
        </w:rPr>
        <w:t> </w:t>
      </w:r>
      <w:r>
        <w:rPr>
          <w:w w:val="105"/>
          <w:sz w:val="18"/>
          <w:vertAlign w:val="baseline"/>
        </w:rPr>
        <w:t>that</w:t>
      </w:r>
      <w:r>
        <w:rPr>
          <w:spacing w:val="-12"/>
          <w:w w:val="105"/>
          <w:sz w:val="18"/>
          <w:vertAlign w:val="baseline"/>
        </w:rPr>
        <w:t> </w:t>
      </w:r>
      <w:r>
        <w:rPr>
          <w:w w:val="105"/>
          <w:sz w:val="18"/>
          <w:vertAlign w:val="baseline"/>
        </w:rPr>
        <w:t>CDB</w:t>
      </w:r>
      <w:r>
        <w:rPr>
          <w:spacing w:val="-12"/>
          <w:w w:val="105"/>
          <w:sz w:val="18"/>
          <w:vertAlign w:val="baseline"/>
        </w:rPr>
        <w:t> </w:t>
      </w:r>
      <w:r>
        <w:rPr>
          <w:w w:val="105"/>
          <w:sz w:val="18"/>
          <w:vertAlign w:val="baseline"/>
        </w:rPr>
        <w:t>and</w:t>
      </w:r>
      <w:r>
        <w:rPr>
          <w:spacing w:val="-12"/>
          <w:w w:val="105"/>
          <w:sz w:val="18"/>
          <w:vertAlign w:val="baseline"/>
        </w:rPr>
        <w:t> </w:t>
      </w:r>
      <w:r>
        <w:rPr>
          <w:w w:val="105"/>
          <w:sz w:val="18"/>
          <w:vertAlign w:val="baseline"/>
        </w:rPr>
        <w:t>China</w:t>
      </w:r>
      <w:r>
        <w:rPr>
          <w:spacing w:val="-12"/>
          <w:w w:val="105"/>
          <w:sz w:val="18"/>
          <w:vertAlign w:val="baseline"/>
        </w:rPr>
        <w:t> </w:t>
      </w:r>
      <w:r>
        <w:rPr>
          <w:w w:val="105"/>
          <w:sz w:val="18"/>
          <w:vertAlign w:val="baseline"/>
        </w:rPr>
        <w:t>Eximbank</w:t>
      </w:r>
      <w:r>
        <w:rPr>
          <w:spacing w:val="-12"/>
          <w:w w:val="105"/>
          <w:sz w:val="18"/>
          <w:vertAlign w:val="baseline"/>
        </w:rPr>
        <w:t> </w:t>
      </w:r>
      <w:r>
        <w:rPr>
          <w:w w:val="105"/>
          <w:sz w:val="18"/>
          <w:vertAlign w:val="baseline"/>
        </w:rPr>
        <w:t>have</w:t>
      </w:r>
      <w:r>
        <w:rPr>
          <w:spacing w:val="-12"/>
          <w:w w:val="105"/>
          <w:sz w:val="18"/>
          <w:vertAlign w:val="baseline"/>
        </w:rPr>
        <w:t> </w:t>
      </w:r>
      <w:r>
        <w:rPr>
          <w:w w:val="105"/>
          <w:sz w:val="18"/>
          <w:vertAlign w:val="baseline"/>
        </w:rPr>
        <w:t>for</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most</w:t>
      </w:r>
      <w:r>
        <w:rPr>
          <w:spacing w:val="-12"/>
          <w:w w:val="105"/>
          <w:sz w:val="18"/>
          <w:vertAlign w:val="baseline"/>
        </w:rPr>
        <w:t> </w:t>
      </w:r>
      <w:r>
        <w:rPr>
          <w:w w:val="105"/>
          <w:sz w:val="18"/>
          <w:vertAlign w:val="baseline"/>
        </w:rPr>
        <w:t>part</w:t>
      </w:r>
      <w:r>
        <w:rPr>
          <w:spacing w:val="-12"/>
          <w:w w:val="105"/>
          <w:sz w:val="18"/>
          <w:vertAlign w:val="baseline"/>
        </w:rPr>
        <w:t> </w:t>
      </w:r>
      <w:r>
        <w:rPr>
          <w:w w:val="105"/>
          <w:sz w:val="18"/>
          <w:vertAlign w:val="baseline"/>
        </w:rPr>
        <w:t>not reformed/modernized</w:t>
      </w:r>
      <w:r>
        <w:rPr>
          <w:spacing w:val="-11"/>
          <w:w w:val="105"/>
          <w:sz w:val="18"/>
          <w:vertAlign w:val="baseline"/>
        </w:rPr>
        <w:t> </w:t>
      </w:r>
      <w:r>
        <w:rPr>
          <w:w w:val="105"/>
          <w:sz w:val="18"/>
          <w:vertAlign w:val="baseline"/>
        </w:rPr>
        <w:t>their</w:t>
      </w:r>
      <w:r>
        <w:rPr>
          <w:spacing w:val="-11"/>
          <w:w w:val="105"/>
          <w:sz w:val="18"/>
          <w:vertAlign w:val="baseline"/>
        </w:rPr>
        <w:t> </w:t>
      </w:r>
      <w:r>
        <w:rPr>
          <w:w w:val="105"/>
          <w:sz w:val="18"/>
          <w:vertAlign w:val="baseline"/>
        </w:rPr>
        <w:t>de</w:t>
      </w:r>
      <w:r>
        <w:rPr>
          <w:spacing w:val="-11"/>
          <w:w w:val="105"/>
          <w:sz w:val="18"/>
          <w:vertAlign w:val="baseline"/>
        </w:rPr>
        <w:t> </w:t>
      </w:r>
      <w:r>
        <w:rPr>
          <w:w w:val="105"/>
          <w:sz w:val="18"/>
          <w:vertAlign w:val="baseline"/>
        </w:rPr>
        <w:t>jure</w:t>
      </w:r>
      <w:r>
        <w:rPr>
          <w:spacing w:val="-11"/>
          <w:w w:val="105"/>
          <w:sz w:val="18"/>
          <w:vertAlign w:val="baseline"/>
        </w:rPr>
        <w:t> </w:t>
      </w:r>
      <w:r>
        <w:rPr>
          <w:w w:val="105"/>
          <w:sz w:val="18"/>
          <w:vertAlign w:val="baseline"/>
        </w:rPr>
        <w:t>ESG</w:t>
      </w:r>
      <w:r>
        <w:rPr>
          <w:spacing w:val="-11"/>
          <w:w w:val="105"/>
          <w:sz w:val="18"/>
          <w:vertAlign w:val="baseline"/>
        </w:rPr>
        <w:t> </w:t>
      </w:r>
      <w:r>
        <w:rPr>
          <w:w w:val="105"/>
          <w:sz w:val="18"/>
          <w:vertAlign w:val="baseline"/>
        </w:rPr>
        <w:t>safeguards</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a</w:t>
      </w:r>
      <w:r>
        <w:rPr>
          <w:spacing w:val="-11"/>
          <w:w w:val="105"/>
          <w:sz w:val="18"/>
          <w:vertAlign w:val="baseline"/>
        </w:rPr>
        <w:t> </w:t>
      </w:r>
      <w:r>
        <w:rPr>
          <w:w w:val="105"/>
          <w:sz w:val="18"/>
          <w:vertAlign w:val="baseline"/>
        </w:rPr>
        <w:t>way</w:t>
      </w:r>
      <w:r>
        <w:rPr>
          <w:spacing w:val="-11"/>
          <w:w w:val="105"/>
          <w:sz w:val="18"/>
          <w:vertAlign w:val="baseline"/>
        </w:rPr>
        <w:t> </w:t>
      </w:r>
      <w:r>
        <w:rPr>
          <w:w w:val="105"/>
          <w:sz w:val="18"/>
          <w:vertAlign w:val="baseline"/>
        </w:rPr>
        <w:t>that</w:t>
      </w:r>
      <w:r>
        <w:rPr>
          <w:spacing w:val="-11"/>
          <w:w w:val="105"/>
          <w:sz w:val="18"/>
          <w:vertAlign w:val="baseline"/>
        </w:rPr>
        <w:t> </w:t>
      </w:r>
      <w:r>
        <w:rPr>
          <w:w w:val="105"/>
          <w:sz w:val="18"/>
          <w:vertAlign w:val="baseline"/>
        </w:rPr>
        <w:t>is</w:t>
      </w:r>
      <w:r>
        <w:rPr>
          <w:spacing w:val="-11"/>
          <w:w w:val="105"/>
          <w:sz w:val="18"/>
          <w:vertAlign w:val="baseline"/>
        </w:rPr>
        <w:t> </w:t>
      </w:r>
      <w:r>
        <w:rPr>
          <w:w w:val="105"/>
          <w:sz w:val="18"/>
          <w:vertAlign w:val="baseline"/>
        </w:rPr>
        <w:t>comparable</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practices</w:t>
      </w:r>
      <w:r>
        <w:rPr>
          <w:spacing w:val="-11"/>
          <w:w w:val="105"/>
          <w:sz w:val="18"/>
          <w:vertAlign w:val="baseline"/>
        </w:rPr>
        <w:t> </w:t>
      </w:r>
      <w:r>
        <w:rPr>
          <w:w w:val="105"/>
          <w:sz w:val="18"/>
          <w:vertAlign w:val="baseline"/>
        </w:rPr>
        <w:t>of multilateral</w:t>
      </w:r>
      <w:r>
        <w:rPr>
          <w:spacing w:val="-14"/>
          <w:w w:val="105"/>
          <w:sz w:val="18"/>
          <w:vertAlign w:val="baseline"/>
        </w:rPr>
        <w:t> </w:t>
      </w:r>
      <w:r>
        <w:rPr>
          <w:w w:val="105"/>
          <w:sz w:val="18"/>
          <w:vertAlign w:val="baseline"/>
        </w:rPr>
        <w:t>institutions,</w:t>
      </w:r>
      <w:r>
        <w:rPr>
          <w:spacing w:val="-13"/>
          <w:w w:val="105"/>
          <w:sz w:val="18"/>
          <w:vertAlign w:val="baseline"/>
        </w:rPr>
        <w:t> </w:t>
      </w:r>
      <w:r>
        <w:rPr>
          <w:w w:val="105"/>
          <w:sz w:val="18"/>
          <w:vertAlign w:val="baseline"/>
        </w:rPr>
        <w:t>state-owned</w:t>
      </w:r>
      <w:r>
        <w:rPr>
          <w:spacing w:val="-13"/>
          <w:w w:val="105"/>
          <w:sz w:val="18"/>
          <w:vertAlign w:val="baseline"/>
        </w:rPr>
        <w:t> </w:t>
      </w:r>
      <w:r>
        <w:rPr>
          <w:w w:val="105"/>
          <w:sz w:val="18"/>
          <w:vertAlign w:val="baseline"/>
        </w:rPr>
        <w:t>commercial</w:t>
      </w:r>
      <w:r>
        <w:rPr>
          <w:spacing w:val="-13"/>
          <w:w w:val="105"/>
          <w:sz w:val="18"/>
          <w:vertAlign w:val="baseline"/>
        </w:rPr>
        <w:t> </w:t>
      </w:r>
      <w:r>
        <w:rPr>
          <w:w w:val="105"/>
          <w:sz w:val="18"/>
          <w:vertAlign w:val="baseline"/>
        </w:rPr>
        <w:t>banks,</w:t>
      </w:r>
      <w:r>
        <w:rPr>
          <w:spacing w:val="-13"/>
          <w:w w:val="105"/>
          <w:sz w:val="18"/>
          <w:vertAlign w:val="baseline"/>
        </w:rPr>
        <w:t> </w:t>
      </w:r>
      <w:r>
        <w:rPr>
          <w:w w:val="105"/>
          <w:sz w:val="18"/>
          <w:vertAlign w:val="baseline"/>
        </w:rPr>
        <w:t>or</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lead</w:t>
      </w:r>
      <w:r>
        <w:rPr>
          <w:spacing w:val="-14"/>
          <w:w w:val="105"/>
          <w:sz w:val="18"/>
          <w:vertAlign w:val="baseline"/>
        </w:rPr>
        <w:t> </w:t>
      </w:r>
      <w:r>
        <w:rPr>
          <w:w w:val="105"/>
          <w:sz w:val="18"/>
          <w:vertAlign w:val="baseline"/>
        </w:rPr>
        <w:t>arrangers</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syndicated</w:t>
      </w:r>
      <w:r>
        <w:rPr>
          <w:spacing w:val="-13"/>
          <w:w w:val="105"/>
          <w:sz w:val="18"/>
          <w:vertAlign w:val="baseline"/>
        </w:rPr>
        <w:t> </w:t>
      </w:r>
      <w:r>
        <w:rPr>
          <w:w w:val="105"/>
          <w:sz w:val="18"/>
          <w:vertAlign w:val="baseline"/>
        </w:rPr>
        <w:t>loans.</w: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63"/>
      </w:pPr>
      <w:r>
        <w:rPr/>
        <w:t>We do not see evidence of Chinese development ﬁnance institutions uniformly complying with international ESG safeguards. Rather, we see evidence that some Chinese lenders and donors are gradually and selectively harmonizing their ESG safeguard policies and practices with those of traditional donors and lenders.</w:t>
      </w:r>
      <w:r>
        <w:rPr>
          <w:vertAlign w:val="superscript"/>
        </w:rPr>
        <w:t>303</w:t>
      </w:r>
      <w:r>
        <w:rPr>
          <w:vertAlign w:val="baseline"/>
        </w:rPr>
        <w:t> These changes should give pause to Beijing’s competitors in the global infrastructure ﬁnancing market. The G7 and some MDBs are currently trying to convince would-be partners in the developing world that (a) the BRI is </w:t>
      </w:r>
      <w:r>
        <w:rPr>
          <w:vertAlign w:val="baseline"/>
        </w:rPr>
        <w:t>a low-quality infrastructure option (privileging speed and convenience over safety and long-term sustainability) and (b) they can provide alternative, high-quality ﬁnancing options for countries that want to undertake infrastructure projects based on strict adherence to “international best practice” ESG safeguards.</w:t>
      </w:r>
    </w:p>
    <w:p>
      <w:pPr>
        <w:pStyle w:val="BodyText"/>
        <w:spacing w:line="333" w:lineRule="auto"/>
        <w:ind w:left="560" w:right="572"/>
      </w:pPr>
      <w:r>
        <w:rPr/>
        <w:t>However, this black-and-white branding strategy may lack resonance with its target</w:t>
      </w:r>
      <w:r>
        <w:rPr>
          <w:spacing w:val="-6"/>
        </w:rPr>
        <w:t> </w:t>
      </w:r>
      <w:r>
        <w:rPr/>
        <w:t>audience,</w:t>
      </w:r>
      <w:r>
        <w:rPr>
          <w:spacing w:val="-6"/>
        </w:rPr>
        <w:t> </w:t>
      </w:r>
      <w:r>
        <w:rPr/>
        <w:t>as</w:t>
      </w:r>
      <w:r>
        <w:rPr>
          <w:spacing w:val="-6"/>
        </w:rPr>
        <w:t> </w:t>
      </w:r>
      <w:r>
        <w:rPr/>
        <w:t>LICs</w:t>
      </w:r>
      <w:r>
        <w:rPr>
          <w:spacing w:val="-6"/>
        </w:rPr>
        <w:t> </w:t>
      </w:r>
      <w:r>
        <w:rPr/>
        <w:t>and</w:t>
      </w:r>
      <w:r>
        <w:rPr>
          <w:spacing w:val="-6"/>
        </w:rPr>
        <w:t> </w:t>
      </w:r>
      <w:r>
        <w:rPr/>
        <w:t>MICs</w:t>
      </w:r>
      <w:r>
        <w:rPr>
          <w:spacing w:val="-6"/>
        </w:rPr>
        <w:t> </w:t>
      </w:r>
      <w:r>
        <w:rPr/>
        <w:t>have</w:t>
      </w:r>
      <w:r>
        <w:rPr>
          <w:spacing w:val="-6"/>
        </w:rPr>
        <w:t> </w:t>
      </w:r>
      <w:r>
        <w:rPr/>
        <w:t>already</w:t>
      </w:r>
      <w:r>
        <w:rPr>
          <w:spacing w:val="-6"/>
        </w:rPr>
        <w:t> </w:t>
      </w:r>
      <w:r>
        <w:rPr/>
        <w:t>made</w:t>
      </w:r>
      <w:r>
        <w:rPr>
          <w:spacing w:val="-6"/>
        </w:rPr>
        <w:t> </w:t>
      </w:r>
      <w:r>
        <w:rPr/>
        <w:t>it</w:t>
      </w:r>
      <w:r>
        <w:rPr>
          <w:spacing w:val="-6"/>
        </w:rPr>
        <w:t> </w:t>
      </w:r>
      <w:r>
        <w:rPr/>
        <w:t>very</w:t>
      </w:r>
      <w:r>
        <w:rPr>
          <w:spacing w:val="-6"/>
        </w:rPr>
        <w:t> </w:t>
      </w:r>
      <w:r>
        <w:rPr/>
        <w:t>clear</w:t>
      </w:r>
      <w:r>
        <w:rPr>
          <w:spacing w:val="-6"/>
        </w:rPr>
        <w:t> </w:t>
      </w:r>
      <w:r>
        <w:rPr/>
        <w:t>that</w:t>
      </w:r>
      <w:r>
        <w:rPr>
          <w:spacing w:val="-6"/>
        </w:rPr>
        <w:t> </w:t>
      </w:r>
      <w:r>
        <w:rPr/>
        <w:t>they</w:t>
      </w:r>
      <w:r>
        <w:rPr>
          <w:spacing w:val="-6"/>
        </w:rPr>
        <w:t> </w:t>
      </w:r>
      <w:r>
        <w:rPr/>
        <w:t>have low levels of appetite for “gold standard” ESG safeguards. They want ﬁnancing partners that can quickly design and implement big-ticket, high-impact infrastructure projects without unreasonably high levels of ESG risk.</w:t>
      </w:r>
      <w:r>
        <w:rPr>
          <w:vertAlign w:val="superscript"/>
        </w:rPr>
        <w:t>304</w:t>
      </w:r>
      <w:r>
        <w:rPr>
          <w:vertAlign w:val="baseline"/>
        </w:rPr>
        <w:t> The evidence in this chapter suggests that Beijing may be better-positioned to</w:t>
      </w:r>
      <w:r>
        <w:rPr>
          <w:spacing w:val="80"/>
          <w:vertAlign w:val="baseline"/>
        </w:rPr>
        <w:t> </w:t>
      </w:r>
      <w:r>
        <w:rPr>
          <w:vertAlign w:val="baseline"/>
        </w:rPr>
        <w:t>answer this call than its competitors realize. It is now delivering large-scale infrastructure projects with increasingly robust ESG safeguards but without the lengthy implementation delays that often hobble similar projects backed by G7 members and MDB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r>
        <w:rPr/>
        <w:pict>
          <v:shape style="position:absolute;margin-left:90pt;margin-top:9.908106pt;width:144pt;height:.1pt;mso-position-horizontal-relative:page;mso-position-vertical-relative:paragraph;z-index:-15687680;mso-wrap-distance-left:0;mso-wrap-distance-right:0" id="docshape66" coordorigin="1800,198" coordsize="2880,0" path="m1800,198l4680,198e" filled="false" stroked="true" strokeweight=".75pt" strokecolor="#000000">
            <v:path arrowok="t"/>
            <v:stroke dashstyle="solid"/>
            <w10:wrap type="topAndBottom"/>
          </v:shape>
        </w:pict>
      </w:r>
    </w:p>
    <w:p>
      <w:pPr>
        <w:spacing w:line="249" w:lineRule="auto" w:before="113"/>
        <w:ind w:left="560" w:right="848" w:firstLine="0"/>
        <w:jc w:val="left"/>
        <w:rPr>
          <w:sz w:val="18"/>
        </w:rPr>
      </w:pPr>
      <w:r>
        <w:rPr>
          <w:sz w:val="18"/>
          <w:vertAlign w:val="superscript"/>
        </w:rPr>
        <w:t>303</w:t>
      </w:r>
      <w:r>
        <w:rPr>
          <w:sz w:val="18"/>
          <w:vertAlign w:val="baseline"/>
        </w:rPr>
        <w:t> There are reasons to believe that this approach of gradual and selective harmonization will be a longer-term process. On July 16, 2021, China’s Ministry of Commerce and the Ministry of Ecology and Environment issued “Green Development Guidelines for Overseas Investment and Cooperation,” </w:t>
      </w:r>
      <w:r>
        <w:rPr>
          <w:sz w:val="18"/>
          <w:vertAlign w:val="baseline"/>
        </w:rPr>
        <w:t>which recommend that project sponsors and contractors comply with international standards or Chinese standards when the laws and regulations of host countries are vague or weak.</w:t>
      </w:r>
    </w:p>
    <w:p>
      <w:pPr>
        <w:spacing w:before="4"/>
        <w:ind w:left="560" w:right="0" w:firstLine="0"/>
        <w:jc w:val="left"/>
        <w:rPr>
          <w:sz w:val="18"/>
        </w:rPr>
      </w:pPr>
      <w:r>
        <w:rPr>
          <w:sz w:val="18"/>
          <w:vertAlign w:val="superscript"/>
        </w:rPr>
        <w:t>304</w:t>
      </w:r>
      <w:r>
        <w:rPr>
          <w:spacing w:val="-2"/>
          <w:sz w:val="18"/>
          <w:vertAlign w:val="baseline"/>
        </w:rPr>
        <w:t> </w:t>
      </w:r>
      <w:r>
        <w:rPr>
          <w:sz w:val="18"/>
          <w:vertAlign w:val="baseline"/>
        </w:rPr>
        <w:t>On this point, see Humphrey 2015; Dollar 2016; Swedlund 2017;</w:t>
      </w:r>
      <w:r>
        <w:rPr>
          <w:spacing w:val="-1"/>
          <w:sz w:val="18"/>
          <w:vertAlign w:val="baseline"/>
        </w:rPr>
        <w:t> </w:t>
      </w:r>
      <w:r>
        <w:rPr>
          <w:sz w:val="18"/>
          <w:vertAlign w:val="baseline"/>
        </w:rPr>
        <w:t>Humphrey and Michaelowa 2019; </w:t>
      </w:r>
      <w:r>
        <w:rPr>
          <w:spacing w:val="-5"/>
          <w:sz w:val="18"/>
          <w:vertAlign w:val="baseline"/>
        </w:rPr>
        <w:t>and</w:t>
      </w:r>
    </w:p>
    <w:p>
      <w:pPr>
        <w:spacing w:before="8"/>
        <w:ind w:left="560" w:right="0" w:firstLine="0"/>
        <w:jc w:val="left"/>
        <w:rPr>
          <w:sz w:val="18"/>
        </w:rPr>
      </w:pPr>
      <w:r>
        <w:rPr>
          <w:sz w:val="18"/>
        </w:rPr>
        <w:t>Zeitz</w:t>
      </w:r>
      <w:r>
        <w:rPr>
          <w:spacing w:val="-12"/>
          <w:sz w:val="18"/>
        </w:rPr>
        <w:t> </w:t>
      </w:r>
      <w:r>
        <w:rPr>
          <w:spacing w:val="-2"/>
          <w:sz w:val="18"/>
        </w:rPr>
        <w:t>2021.</w:t>
      </w:r>
    </w:p>
    <w:p>
      <w:pPr>
        <w:spacing w:after="0"/>
        <w:jc w:val="left"/>
        <w:rPr>
          <w:sz w:val="18"/>
        </w:rPr>
        <w:sectPr>
          <w:pgSz w:w="12240" w:h="15840"/>
          <w:pgMar w:header="0" w:footer="720" w:top="1400" w:bottom="920" w:left="1240" w:right="1260"/>
        </w:sectPr>
      </w:pPr>
    </w:p>
    <w:p>
      <w:pPr>
        <w:pStyle w:val="Heading1"/>
        <w:spacing w:before="27"/>
      </w:pPr>
      <w:r>
        <w:rPr>
          <w:spacing w:val="-2"/>
        </w:rPr>
        <w:t>References</w:t>
      </w:r>
    </w:p>
    <w:p>
      <w:pPr>
        <w:pStyle w:val="BodyText"/>
        <w:spacing w:before="1"/>
        <w:rPr>
          <w:sz w:val="32"/>
        </w:rPr>
      </w:pPr>
    </w:p>
    <w:p>
      <w:pPr>
        <w:spacing w:line="288" w:lineRule="auto" w:before="0"/>
        <w:ind w:left="200" w:right="252" w:firstLine="0"/>
        <w:jc w:val="left"/>
        <w:rPr>
          <w:sz w:val="22"/>
        </w:rPr>
      </w:pPr>
      <w:r>
        <w:rPr>
          <w:sz w:val="22"/>
        </w:rPr>
        <w:t>Anaxagorou,</w:t>
      </w:r>
      <w:r>
        <w:rPr>
          <w:spacing w:val="-14"/>
          <w:sz w:val="22"/>
        </w:rPr>
        <w:t> </w:t>
      </w:r>
      <w:r>
        <w:rPr>
          <w:sz w:val="22"/>
        </w:rPr>
        <w:t>Christiana,</w:t>
      </w:r>
      <w:r>
        <w:rPr>
          <w:spacing w:val="-12"/>
          <w:sz w:val="22"/>
        </w:rPr>
        <w:t> </w:t>
      </w:r>
      <w:r>
        <w:rPr>
          <w:sz w:val="22"/>
        </w:rPr>
        <w:t>Georgios</w:t>
      </w:r>
      <w:r>
        <w:rPr>
          <w:spacing w:val="-12"/>
          <w:sz w:val="22"/>
        </w:rPr>
        <w:t> </w:t>
      </w:r>
      <w:r>
        <w:rPr>
          <w:sz w:val="22"/>
        </w:rPr>
        <w:t>Efthyvoulou,</w:t>
      </w:r>
      <w:r>
        <w:rPr>
          <w:spacing w:val="-12"/>
          <w:sz w:val="22"/>
        </w:rPr>
        <w:t> </w:t>
      </w:r>
      <w:r>
        <w:rPr>
          <w:sz w:val="22"/>
        </w:rPr>
        <w:t>and</w:t>
      </w:r>
      <w:r>
        <w:rPr>
          <w:spacing w:val="-12"/>
          <w:sz w:val="22"/>
        </w:rPr>
        <w:t> </w:t>
      </w:r>
      <w:r>
        <w:rPr>
          <w:sz w:val="22"/>
        </w:rPr>
        <w:t>Vassilis</w:t>
      </w:r>
      <w:r>
        <w:rPr>
          <w:spacing w:val="-12"/>
          <w:sz w:val="22"/>
        </w:rPr>
        <w:t> </w:t>
      </w:r>
      <w:r>
        <w:rPr>
          <w:sz w:val="22"/>
        </w:rPr>
        <w:t>Sarantides.</w:t>
      </w:r>
      <w:r>
        <w:rPr>
          <w:spacing w:val="-12"/>
          <w:sz w:val="22"/>
        </w:rPr>
        <w:t> </w:t>
      </w:r>
      <w:r>
        <w:rPr>
          <w:sz w:val="22"/>
        </w:rPr>
        <w:t>2020.</w:t>
      </w:r>
      <w:r>
        <w:rPr>
          <w:spacing w:val="-12"/>
          <w:sz w:val="22"/>
        </w:rPr>
        <w:t> </w:t>
      </w:r>
      <w:r>
        <w:rPr>
          <w:sz w:val="22"/>
        </w:rPr>
        <w:t>Electoral</w:t>
      </w:r>
      <w:r>
        <w:rPr>
          <w:spacing w:val="-12"/>
          <w:sz w:val="22"/>
        </w:rPr>
        <w:t> </w:t>
      </w:r>
      <w:r>
        <w:rPr>
          <w:sz w:val="22"/>
        </w:rPr>
        <w:t>Motives and the Subnational Allocation of Foreign Aid in Sub-Saharan Africa. </w:t>
      </w:r>
      <w:r>
        <w:rPr>
          <w:i/>
          <w:sz w:val="22"/>
        </w:rPr>
        <w:t>European Economic</w:t>
      </w:r>
      <w:r>
        <w:rPr>
          <w:i/>
          <w:sz w:val="22"/>
        </w:rPr>
        <w:t> Review </w:t>
      </w:r>
      <w:r>
        <w:rPr>
          <w:sz w:val="22"/>
        </w:rPr>
        <w:t>127: 103430.</w:t>
      </w:r>
    </w:p>
    <w:p>
      <w:pPr>
        <w:pStyle w:val="BodyText"/>
        <w:spacing w:before="6"/>
      </w:pPr>
    </w:p>
    <w:p>
      <w:pPr>
        <w:spacing w:line="288" w:lineRule="auto" w:before="0"/>
        <w:ind w:left="200" w:right="252" w:firstLine="0"/>
        <w:jc w:val="left"/>
        <w:rPr>
          <w:sz w:val="22"/>
        </w:rPr>
      </w:pPr>
      <w:r>
        <w:rPr>
          <w:sz w:val="22"/>
        </w:rPr>
        <w:t>Ang,</w:t>
      </w:r>
      <w:r>
        <w:rPr>
          <w:spacing w:val="-6"/>
          <w:sz w:val="22"/>
        </w:rPr>
        <w:t> </w:t>
      </w:r>
      <w:r>
        <w:rPr>
          <w:sz w:val="22"/>
        </w:rPr>
        <w:t>Yuen</w:t>
      </w:r>
      <w:r>
        <w:rPr>
          <w:spacing w:val="-6"/>
          <w:sz w:val="22"/>
        </w:rPr>
        <w:t> </w:t>
      </w:r>
      <w:r>
        <w:rPr>
          <w:sz w:val="22"/>
        </w:rPr>
        <w:t>Yuen.</w:t>
      </w:r>
      <w:r>
        <w:rPr>
          <w:spacing w:val="-6"/>
          <w:sz w:val="22"/>
        </w:rPr>
        <w:t> </w:t>
      </w:r>
      <w:r>
        <w:rPr>
          <w:sz w:val="22"/>
        </w:rPr>
        <w:t>2019.</w:t>
      </w:r>
      <w:r>
        <w:rPr>
          <w:spacing w:val="-6"/>
          <w:sz w:val="22"/>
        </w:rPr>
        <w:t> </w:t>
      </w:r>
      <w:r>
        <w:rPr>
          <w:sz w:val="22"/>
        </w:rPr>
        <w:t>Demystifying</w:t>
      </w:r>
      <w:r>
        <w:rPr>
          <w:spacing w:val="-6"/>
          <w:sz w:val="22"/>
        </w:rPr>
        <w:t> </w:t>
      </w:r>
      <w:r>
        <w:rPr>
          <w:sz w:val="22"/>
        </w:rPr>
        <w:t>Belt</w:t>
      </w:r>
      <w:r>
        <w:rPr>
          <w:spacing w:val="-6"/>
          <w:sz w:val="22"/>
        </w:rPr>
        <w:t> </w:t>
      </w:r>
      <w:r>
        <w:rPr>
          <w:sz w:val="22"/>
        </w:rPr>
        <w:t>and</w:t>
      </w:r>
      <w:r>
        <w:rPr>
          <w:spacing w:val="-6"/>
          <w:sz w:val="22"/>
        </w:rPr>
        <w:t> </w:t>
      </w:r>
      <w:r>
        <w:rPr>
          <w:sz w:val="22"/>
        </w:rPr>
        <w:t>Road</w:t>
      </w:r>
      <w:r>
        <w:rPr>
          <w:spacing w:val="-6"/>
          <w:sz w:val="22"/>
        </w:rPr>
        <w:t> </w:t>
      </w:r>
      <w:r>
        <w:rPr>
          <w:sz w:val="22"/>
        </w:rPr>
        <w:t>The</w:t>
      </w:r>
      <w:r>
        <w:rPr>
          <w:spacing w:val="-6"/>
          <w:sz w:val="22"/>
        </w:rPr>
        <w:t> </w:t>
      </w:r>
      <w:r>
        <w:rPr>
          <w:sz w:val="22"/>
        </w:rPr>
        <w:t>Struggle</w:t>
      </w:r>
      <w:r>
        <w:rPr>
          <w:spacing w:val="-6"/>
          <w:sz w:val="22"/>
        </w:rPr>
        <w:t> </w:t>
      </w:r>
      <w:r>
        <w:rPr>
          <w:sz w:val="22"/>
        </w:rPr>
        <w:t>to</w:t>
      </w:r>
      <w:r>
        <w:rPr>
          <w:spacing w:val="-6"/>
          <w:sz w:val="22"/>
        </w:rPr>
        <w:t> </w:t>
      </w:r>
      <w:r>
        <w:rPr>
          <w:sz w:val="22"/>
        </w:rPr>
        <w:t>Deﬁne</w:t>
      </w:r>
      <w:r>
        <w:rPr>
          <w:spacing w:val="-6"/>
          <w:sz w:val="22"/>
        </w:rPr>
        <w:t> </w:t>
      </w:r>
      <w:r>
        <w:rPr>
          <w:sz w:val="22"/>
        </w:rPr>
        <w:t>China’s</w:t>
      </w:r>
      <w:r>
        <w:rPr>
          <w:spacing w:val="-6"/>
          <w:sz w:val="22"/>
        </w:rPr>
        <w:t> </w:t>
      </w:r>
      <w:r>
        <w:rPr>
          <w:sz w:val="22"/>
        </w:rPr>
        <w:t>Project</w:t>
      </w:r>
      <w:r>
        <w:rPr>
          <w:spacing w:val="-6"/>
          <w:sz w:val="22"/>
        </w:rPr>
        <w:t> </w:t>
      </w:r>
      <w:r>
        <w:rPr>
          <w:sz w:val="22"/>
        </w:rPr>
        <w:t>of the Century. </w:t>
      </w:r>
      <w:r>
        <w:rPr>
          <w:i/>
          <w:sz w:val="22"/>
        </w:rPr>
        <w:t>Foreign Affairs</w:t>
      </w:r>
      <w:r>
        <w:rPr>
          <w:sz w:val="22"/>
        </w:rPr>
        <w:t>. 22 May 2019.</w:t>
      </w:r>
    </w:p>
    <w:p>
      <w:pPr>
        <w:pStyle w:val="BodyText"/>
        <w:spacing w:before="5"/>
      </w:pPr>
    </w:p>
    <w:p>
      <w:pPr>
        <w:spacing w:before="0"/>
        <w:ind w:left="200" w:right="0" w:firstLine="0"/>
        <w:jc w:val="left"/>
        <w:rPr>
          <w:sz w:val="22"/>
        </w:rPr>
      </w:pPr>
      <w:r>
        <w:rPr>
          <w:spacing w:val="-2"/>
          <w:sz w:val="22"/>
        </w:rPr>
        <w:t>Asian</w:t>
      </w:r>
      <w:r>
        <w:rPr>
          <w:spacing w:val="-7"/>
          <w:sz w:val="22"/>
        </w:rPr>
        <w:t> </w:t>
      </w:r>
      <w:r>
        <w:rPr>
          <w:spacing w:val="-2"/>
          <w:sz w:val="22"/>
        </w:rPr>
        <w:t>Infrastructure</w:t>
      </w:r>
      <w:r>
        <w:rPr>
          <w:spacing w:val="-6"/>
          <w:sz w:val="22"/>
        </w:rPr>
        <w:t> </w:t>
      </w:r>
      <w:r>
        <w:rPr>
          <w:spacing w:val="-2"/>
          <w:sz w:val="22"/>
        </w:rPr>
        <w:t>Investment</w:t>
      </w:r>
      <w:r>
        <w:rPr>
          <w:spacing w:val="-6"/>
          <w:sz w:val="22"/>
        </w:rPr>
        <w:t> </w:t>
      </w:r>
      <w:r>
        <w:rPr>
          <w:spacing w:val="-2"/>
          <w:sz w:val="22"/>
        </w:rPr>
        <w:t>Bank</w:t>
      </w:r>
      <w:r>
        <w:rPr>
          <w:spacing w:val="-7"/>
          <w:sz w:val="22"/>
        </w:rPr>
        <w:t> </w:t>
      </w:r>
      <w:r>
        <w:rPr>
          <w:spacing w:val="-2"/>
          <w:sz w:val="22"/>
        </w:rPr>
        <w:t>(AIIB).</w:t>
      </w:r>
      <w:r>
        <w:rPr>
          <w:spacing w:val="-6"/>
          <w:sz w:val="22"/>
        </w:rPr>
        <w:t> </w:t>
      </w:r>
      <w:r>
        <w:rPr>
          <w:spacing w:val="-2"/>
          <w:sz w:val="22"/>
        </w:rPr>
        <w:t>2021.</w:t>
      </w:r>
      <w:r>
        <w:rPr>
          <w:spacing w:val="-6"/>
          <w:sz w:val="22"/>
        </w:rPr>
        <w:t> </w:t>
      </w:r>
      <w:r>
        <w:rPr>
          <w:spacing w:val="-2"/>
          <w:sz w:val="22"/>
        </w:rPr>
        <w:t>AIIB,</w:t>
      </w:r>
      <w:r>
        <w:rPr>
          <w:spacing w:val="-7"/>
          <w:sz w:val="22"/>
        </w:rPr>
        <w:t> </w:t>
      </w:r>
      <w:r>
        <w:rPr>
          <w:spacing w:val="-2"/>
          <w:sz w:val="22"/>
        </w:rPr>
        <w:t>MCDF</w:t>
      </w:r>
      <w:r>
        <w:rPr>
          <w:spacing w:val="-6"/>
          <w:sz w:val="22"/>
        </w:rPr>
        <w:t> </w:t>
      </w:r>
      <w:r>
        <w:rPr>
          <w:spacing w:val="-2"/>
          <w:sz w:val="22"/>
        </w:rPr>
        <w:t>Partnership</w:t>
      </w:r>
      <w:r>
        <w:rPr>
          <w:spacing w:val="-6"/>
          <w:sz w:val="22"/>
        </w:rPr>
        <w:t> </w:t>
      </w:r>
      <w:r>
        <w:rPr>
          <w:spacing w:val="-2"/>
          <w:sz w:val="22"/>
        </w:rPr>
        <w:t>to</w:t>
      </w:r>
      <w:r>
        <w:rPr>
          <w:spacing w:val="-7"/>
          <w:sz w:val="22"/>
        </w:rPr>
        <w:t> </w:t>
      </w:r>
      <w:r>
        <w:rPr>
          <w:spacing w:val="-2"/>
          <w:sz w:val="22"/>
        </w:rPr>
        <w:t>Foster</w:t>
      </w:r>
    </w:p>
    <w:p>
      <w:pPr>
        <w:spacing w:line="288" w:lineRule="auto" w:before="51"/>
        <w:ind w:left="200" w:right="0" w:firstLine="0"/>
        <w:jc w:val="left"/>
        <w:rPr>
          <w:sz w:val="22"/>
        </w:rPr>
      </w:pPr>
      <w:r>
        <w:rPr>
          <w:sz w:val="22"/>
        </w:rPr>
        <w:t>High-Quality</w:t>
      </w:r>
      <w:r>
        <w:rPr>
          <w:spacing w:val="-2"/>
          <w:sz w:val="22"/>
        </w:rPr>
        <w:t> </w:t>
      </w:r>
      <w:r>
        <w:rPr>
          <w:sz w:val="22"/>
        </w:rPr>
        <w:t>Infrastructure</w:t>
      </w:r>
      <w:r>
        <w:rPr>
          <w:spacing w:val="-2"/>
          <w:sz w:val="22"/>
        </w:rPr>
        <w:t> </w:t>
      </w:r>
      <w:r>
        <w:rPr>
          <w:sz w:val="22"/>
        </w:rPr>
        <w:t>Investments.</w:t>
      </w:r>
      <w:r>
        <w:rPr>
          <w:spacing w:val="-2"/>
          <w:sz w:val="22"/>
        </w:rPr>
        <w:t> </w:t>
      </w:r>
      <w:r>
        <w:rPr>
          <w:sz w:val="22"/>
        </w:rPr>
        <w:t>25</w:t>
      </w:r>
      <w:r>
        <w:rPr>
          <w:spacing w:val="-2"/>
          <w:sz w:val="22"/>
        </w:rPr>
        <w:t> </w:t>
      </w:r>
      <w:r>
        <w:rPr>
          <w:sz w:val="22"/>
        </w:rPr>
        <w:t>August</w:t>
      </w:r>
      <w:r>
        <w:rPr>
          <w:spacing w:val="-2"/>
          <w:sz w:val="22"/>
        </w:rPr>
        <w:t> </w:t>
      </w:r>
      <w:r>
        <w:rPr>
          <w:sz w:val="22"/>
        </w:rPr>
        <w:t>2021.</w:t>
      </w:r>
      <w:r>
        <w:rPr>
          <w:spacing w:val="-2"/>
          <w:sz w:val="22"/>
        </w:rPr>
        <w:t> </w:t>
      </w:r>
      <w:r>
        <w:rPr>
          <w:sz w:val="22"/>
        </w:rPr>
        <w:t>Beijing:</w:t>
      </w:r>
      <w:r>
        <w:rPr>
          <w:spacing w:val="-2"/>
          <w:sz w:val="22"/>
        </w:rPr>
        <w:t> </w:t>
      </w:r>
      <w:r>
        <w:rPr>
          <w:sz w:val="22"/>
        </w:rPr>
        <w:t>AIIB.</w:t>
      </w:r>
      <w:r>
        <w:rPr>
          <w:spacing w:val="-2"/>
          <w:sz w:val="22"/>
        </w:rPr>
        <w:t> </w:t>
      </w:r>
      <w:r>
        <w:rPr>
          <w:sz w:val="22"/>
        </w:rPr>
        <w:t>Accessed</w:t>
      </w:r>
      <w:r>
        <w:rPr>
          <w:spacing w:val="-2"/>
          <w:sz w:val="22"/>
        </w:rPr>
        <w:t> </w:t>
      </w:r>
      <w:r>
        <w:rPr>
          <w:sz w:val="22"/>
        </w:rPr>
        <w:t>on</w:t>
      </w:r>
      <w:r>
        <w:rPr>
          <w:spacing w:val="-2"/>
          <w:sz w:val="22"/>
        </w:rPr>
        <w:t> </w:t>
      </w:r>
      <w:r>
        <w:rPr>
          <w:sz w:val="22"/>
        </w:rPr>
        <w:t>15</w:t>
      </w:r>
      <w:r>
        <w:rPr>
          <w:spacing w:val="-2"/>
          <w:sz w:val="22"/>
        </w:rPr>
        <w:t> </w:t>
      </w:r>
      <w:r>
        <w:rPr>
          <w:sz w:val="22"/>
        </w:rPr>
        <w:t>August 2023 at</w:t>
      </w:r>
    </w:p>
    <w:p>
      <w:pPr>
        <w:spacing w:line="288" w:lineRule="auto" w:before="0"/>
        <w:ind w:left="200" w:right="238" w:firstLine="0"/>
        <w:jc w:val="left"/>
        <w:rPr>
          <w:sz w:val="22"/>
        </w:rPr>
      </w:pPr>
      <w:hyperlink r:id="rId27">
        <w:r>
          <w:rPr>
            <w:color w:val="1154CC"/>
            <w:spacing w:val="-2"/>
            <w:sz w:val="22"/>
            <w:u w:val="thick" w:color="1154CC"/>
          </w:rPr>
          <w:t>https://www.aiib.org/en/news-events/news/2021/AIIB-MCDF-Partnership-to-Foster-High-Qualit</w:t>
        </w:r>
      </w:hyperlink>
      <w:r>
        <w:rPr>
          <w:color w:val="1154CC"/>
          <w:spacing w:val="40"/>
          <w:w w:val="105"/>
          <w:sz w:val="22"/>
        </w:rPr>
        <w:t>  </w:t>
      </w:r>
      <w:hyperlink r:id="rId27">
        <w:r>
          <w:rPr>
            <w:color w:val="1154CC"/>
            <w:spacing w:val="-2"/>
            <w:w w:val="105"/>
            <w:sz w:val="22"/>
            <w:u w:val="thick" w:color="1154CC"/>
          </w:rPr>
          <w:t>y-Infrastructure-Investments.html</w:t>
        </w:r>
      </w:hyperlink>
    </w:p>
    <w:p>
      <w:pPr>
        <w:pStyle w:val="BodyText"/>
      </w:pPr>
    </w:p>
    <w:p>
      <w:pPr>
        <w:spacing w:before="1"/>
        <w:ind w:left="200" w:right="0" w:firstLine="0"/>
        <w:jc w:val="left"/>
        <w:rPr>
          <w:sz w:val="22"/>
        </w:rPr>
      </w:pPr>
      <w:r>
        <w:rPr>
          <w:sz w:val="22"/>
        </w:rPr>
        <w:t>Bae,</w:t>
      </w:r>
      <w:r>
        <w:rPr>
          <w:spacing w:val="-7"/>
          <w:sz w:val="22"/>
        </w:rPr>
        <w:t> </w:t>
      </w:r>
      <w:r>
        <w:rPr>
          <w:sz w:val="22"/>
        </w:rPr>
        <w:t>Kee</w:t>
      </w:r>
      <w:r>
        <w:rPr>
          <w:rFonts w:ascii="Calibri" w:hAnsi="Calibri"/>
          <w:sz w:val="22"/>
        </w:rPr>
        <w:t>‐</w:t>
      </w:r>
      <w:r>
        <w:rPr>
          <w:sz w:val="22"/>
        </w:rPr>
        <w:t>Hong</w:t>
      </w:r>
      <w:r>
        <w:rPr>
          <w:spacing w:val="-7"/>
          <w:sz w:val="22"/>
        </w:rPr>
        <w:t> </w:t>
      </w:r>
      <w:r>
        <w:rPr>
          <w:sz w:val="22"/>
        </w:rPr>
        <w:t>and</w:t>
      </w:r>
      <w:r>
        <w:rPr>
          <w:spacing w:val="-7"/>
          <w:sz w:val="22"/>
        </w:rPr>
        <w:t> </w:t>
      </w:r>
      <w:r>
        <w:rPr>
          <w:sz w:val="22"/>
        </w:rPr>
        <w:t>Vidhan</w:t>
      </w:r>
      <w:r>
        <w:rPr>
          <w:spacing w:val="-6"/>
          <w:sz w:val="22"/>
        </w:rPr>
        <w:t> </w:t>
      </w:r>
      <w:r>
        <w:rPr>
          <w:sz w:val="22"/>
        </w:rPr>
        <w:t>K.</w:t>
      </w:r>
      <w:r>
        <w:rPr>
          <w:spacing w:val="-7"/>
          <w:sz w:val="22"/>
        </w:rPr>
        <w:t> </w:t>
      </w:r>
      <w:r>
        <w:rPr>
          <w:sz w:val="22"/>
        </w:rPr>
        <w:t>Goyal.</w:t>
      </w:r>
      <w:r>
        <w:rPr>
          <w:spacing w:val="-7"/>
          <w:sz w:val="22"/>
        </w:rPr>
        <w:t> </w:t>
      </w:r>
      <w:r>
        <w:rPr>
          <w:sz w:val="22"/>
        </w:rPr>
        <w:t>2009.</w:t>
      </w:r>
      <w:r>
        <w:rPr>
          <w:spacing w:val="-7"/>
          <w:sz w:val="22"/>
        </w:rPr>
        <w:t> </w:t>
      </w:r>
      <w:r>
        <w:rPr>
          <w:sz w:val="22"/>
        </w:rPr>
        <w:t>Creditor</w:t>
      </w:r>
      <w:r>
        <w:rPr>
          <w:spacing w:val="-6"/>
          <w:sz w:val="22"/>
        </w:rPr>
        <w:t> </w:t>
      </w:r>
      <w:r>
        <w:rPr>
          <w:sz w:val="22"/>
        </w:rPr>
        <w:t>Rights,</w:t>
      </w:r>
      <w:r>
        <w:rPr>
          <w:spacing w:val="-7"/>
          <w:sz w:val="22"/>
        </w:rPr>
        <w:t> </w:t>
      </w:r>
      <w:r>
        <w:rPr>
          <w:sz w:val="22"/>
        </w:rPr>
        <w:t>Enforcement,</w:t>
      </w:r>
      <w:r>
        <w:rPr>
          <w:spacing w:val="-7"/>
          <w:sz w:val="22"/>
        </w:rPr>
        <w:t> </w:t>
      </w:r>
      <w:r>
        <w:rPr>
          <w:sz w:val="22"/>
        </w:rPr>
        <w:t>and</w:t>
      </w:r>
      <w:r>
        <w:rPr>
          <w:spacing w:val="-7"/>
          <w:sz w:val="22"/>
        </w:rPr>
        <w:t> </w:t>
      </w:r>
      <w:r>
        <w:rPr>
          <w:sz w:val="22"/>
        </w:rPr>
        <w:t>Bank</w:t>
      </w:r>
      <w:r>
        <w:rPr>
          <w:spacing w:val="-6"/>
          <w:sz w:val="22"/>
        </w:rPr>
        <w:t> </w:t>
      </w:r>
      <w:r>
        <w:rPr>
          <w:spacing w:val="-2"/>
          <w:sz w:val="22"/>
        </w:rPr>
        <w:t>Loans.</w:t>
      </w:r>
    </w:p>
    <w:p>
      <w:pPr>
        <w:spacing w:before="39"/>
        <w:ind w:left="200" w:right="0" w:firstLine="0"/>
        <w:jc w:val="left"/>
        <w:rPr>
          <w:sz w:val="22"/>
        </w:rPr>
      </w:pPr>
      <w:r>
        <w:rPr>
          <w:i/>
          <w:spacing w:val="-2"/>
          <w:sz w:val="22"/>
        </w:rPr>
        <w:t>Journal</w:t>
      </w:r>
      <w:r>
        <w:rPr>
          <w:i/>
          <w:spacing w:val="-8"/>
          <w:sz w:val="22"/>
        </w:rPr>
        <w:t> </w:t>
      </w:r>
      <w:r>
        <w:rPr>
          <w:i/>
          <w:spacing w:val="-2"/>
          <w:sz w:val="22"/>
        </w:rPr>
        <w:t>of</w:t>
      </w:r>
      <w:r>
        <w:rPr>
          <w:i/>
          <w:spacing w:val="-7"/>
          <w:sz w:val="22"/>
        </w:rPr>
        <w:t> </w:t>
      </w:r>
      <w:r>
        <w:rPr>
          <w:i/>
          <w:spacing w:val="-2"/>
          <w:sz w:val="22"/>
        </w:rPr>
        <w:t>Finance</w:t>
      </w:r>
      <w:r>
        <w:rPr>
          <w:i/>
          <w:spacing w:val="-7"/>
          <w:sz w:val="22"/>
        </w:rPr>
        <w:t> </w:t>
      </w:r>
      <w:r>
        <w:rPr>
          <w:spacing w:val="-2"/>
          <w:sz w:val="22"/>
        </w:rPr>
        <w:t>64(2):</w:t>
      </w:r>
      <w:r>
        <w:rPr>
          <w:spacing w:val="-8"/>
          <w:sz w:val="22"/>
        </w:rPr>
        <w:t> </w:t>
      </w:r>
      <w:r>
        <w:rPr>
          <w:spacing w:val="-2"/>
          <w:sz w:val="22"/>
        </w:rPr>
        <w:t>823-</w:t>
      </w:r>
      <w:r>
        <w:rPr>
          <w:spacing w:val="-4"/>
          <w:sz w:val="22"/>
        </w:rPr>
        <w:t>860.</w:t>
      </w:r>
    </w:p>
    <w:p>
      <w:pPr>
        <w:pStyle w:val="BodyText"/>
        <w:spacing w:before="8"/>
        <w:rPr>
          <w:sz w:val="28"/>
        </w:rPr>
      </w:pPr>
    </w:p>
    <w:p>
      <w:pPr>
        <w:spacing w:line="288" w:lineRule="auto" w:before="0"/>
        <w:ind w:left="200" w:right="561" w:firstLine="0"/>
        <w:jc w:val="left"/>
        <w:rPr>
          <w:sz w:val="22"/>
        </w:rPr>
      </w:pPr>
      <w:r>
        <w:rPr>
          <w:sz w:val="22"/>
        </w:rPr>
        <w:t>Baehr,</w:t>
      </w:r>
      <w:r>
        <w:rPr>
          <w:spacing w:val="-16"/>
          <w:sz w:val="22"/>
        </w:rPr>
        <w:t> </w:t>
      </w:r>
      <w:r>
        <w:rPr>
          <w:sz w:val="22"/>
        </w:rPr>
        <w:t>Christian,</w:t>
      </w:r>
      <w:r>
        <w:rPr>
          <w:spacing w:val="-15"/>
          <w:sz w:val="22"/>
        </w:rPr>
        <w:t> </w:t>
      </w:r>
      <w:r>
        <w:rPr>
          <w:sz w:val="22"/>
        </w:rPr>
        <w:t>Ariel</w:t>
      </w:r>
      <w:r>
        <w:rPr>
          <w:spacing w:val="-15"/>
          <w:sz w:val="22"/>
        </w:rPr>
        <w:t> </w:t>
      </w:r>
      <w:r>
        <w:rPr>
          <w:sz w:val="22"/>
        </w:rPr>
        <w:t>BenYishay,</w:t>
      </w:r>
      <w:r>
        <w:rPr>
          <w:spacing w:val="-16"/>
          <w:sz w:val="22"/>
        </w:rPr>
        <w:t> </w:t>
      </w:r>
      <w:r>
        <w:rPr>
          <w:sz w:val="22"/>
        </w:rPr>
        <w:t>and</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6"/>
          <w:sz w:val="22"/>
        </w:rPr>
        <w:t> </w:t>
      </w:r>
      <w:r>
        <w:rPr>
          <w:sz w:val="22"/>
        </w:rPr>
        <w:t>2022.</w:t>
      </w:r>
      <w:r>
        <w:rPr>
          <w:spacing w:val="-15"/>
          <w:sz w:val="22"/>
        </w:rPr>
        <w:t> </w:t>
      </w:r>
      <w:r>
        <w:rPr>
          <w:sz w:val="22"/>
        </w:rPr>
        <w:t>Environmental</w:t>
      </w:r>
      <w:r>
        <w:rPr>
          <w:spacing w:val="-15"/>
          <w:sz w:val="22"/>
        </w:rPr>
        <w:t> </w:t>
      </w:r>
      <w:r>
        <w:rPr>
          <w:sz w:val="22"/>
        </w:rPr>
        <w:t>Impacts</w:t>
      </w:r>
      <w:r>
        <w:rPr>
          <w:spacing w:val="-16"/>
          <w:sz w:val="22"/>
        </w:rPr>
        <w:t> </w:t>
      </w:r>
      <w:r>
        <w:rPr>
          <w:sz w:val="22"/>
        </w:rPr>
        <w:t>of Chinese Government-Funded Infrastructure Projects: Evidence from Road Building in Cambodia. Working Paper #115. Williamsburg, VA: AidData at William &amp; Mary.</w:t>
      </w:r>
    </w:p>
    <w:p>
      <w:pPr>
        <w:pStyle w:val="BodyText"/>
        <w:spacing w:before="4"/>
      </w:pPr>
    </w:p>
    <w:p>
      <w:pPr>
        <w:spacing w:line="288" w:lineRule="auto" w:before="0"/>
        <w:ind w:left="200" w:right="252" w:firstLine="0"/>
        <w:jc w:val="left"/>
        <w:rPr>
          <w:sz w:val="22"/>
        </w:rPr>
      </w:pPr>
      <w:r>
        <w:rPr>
          <w:sz w:val="22"/>
        </w:rPr>
        <w:t>Belt</w:t>
      </w:r>
      <w:r>
        <w:rPr>
          <w:spacing w:val="15"/>
          <w:sz w:val="22"/>
        </w:rPr>
        <w:t> </w:t>
      </w:r>
      <w:r>
        <w:rPr>
          <w:sz w:val="22"/>
        </w:rPr>
        <w:t>and</w:t>
      </w:r>
      <w:r>
        <w:rPr>
          <w:spacing w:val="15"/>
          <w:sz w:val="22"/>
        </w:rPr>
        <w:t> </w:t>
      </w:r>
      <w:r>
        <w:rPr>
          <w:sz w:val="22"/>
        </w:rPr>
        <w:t>Road</w:t>
      </w:r>
      <w:r>
        <w:rPr>
          <w:spacing w:val="15"/>
          <w:sz w:val="22"/>
        </w:rPr>
        <w:t> </w:t>
      </w:r>
      <w:r>
        <w:rPr>
          <w:sz w:val="22"/>
        </w:rPr>
        <w:t>Forum</w:t>
      </w:r>
      <w:r>
        <w:rPr>
          <w:spacing w:val="15"/>
          <w:sz w:val="22"/>
        </w:rPr>
        <w:t> </w:t>
      </w:r>
      <w:r>
        <w:rPr>
          <w:sz w:val="22"/>
        </w:rPr>
        <w:t>for</w:t>
      </w:r>
      <w:r>
        <w:rPr>
          <w:spacing w:val="15"/>
          <w:sz w:val="22"/>
        </w:rPr>
        <w:t> </w:t>
      </w:r>
      <w:r>
        <w:rPr>
          <w:sz w:val="22"/>
        </w:rPr>
        <w:t>International</w:t>
      </w:r>
      <w:r>
        <w:rPr>
          <w:spacing w:val="15"/>
          <w:sz w:val="22"/>
        </w:rPr>
        <w:t> </w:t>
      </w:r>
      <w:r>
        <w:rPr>
          <w:sz w:val="22"/>
        </w:rPr>
        <w:t>Cooperation.</w:t>
      </w:r>
      <w:r>
        <w:rPr>
          <w:spacing w:val="15"/>
          <w:sz w:val="22"/>
        </w:rPr>
        <w:t> </w:t>
      </w:r>
      <w:r>
        <w:rPr>
          <w:sz w:val="22"/>
        </w:rPr>
        <w:t>2017.</w:t>
      </w:r>
      <w:r>
        <w:rPr>
          <w:spacing w:val="15"/>
          <w:sz w:val="22"/>
        </w:rPr>
        <w:t> </w:t>
      </w:r>
      <w:r>
        <w:rPr>
          <w:sz w:val="22"/>
        </w:rPr>
        <w:t>Speech</w:t>
      </w:r>
      <w:r>
        <w:rPr>
          <w:spacing w:val="15"/>
          <w:sz w:val="22"/>
        </w:rPr>
        <w:t> </w:t>
      </w:r>
      <w:r>
        <w:rPr>
          <w:sz w:val="22"/>
        </w:rPr>
        <w:t>by</w:t>
      </w:r>
      <w:r>
        <w:rPr>
          <w:spacing w:val="15"/>
          <w:sz w:val="22"/>
        </w:rPr>
        <w:t> </w:t>
      </w:r>
      <w:r>
        <w:rPr>
          <w:sz w:val="22"/>
        </w:rPr>
        <w:t>Xi</w:t>
      </w:r>
      <w:r>
        <w:rPr>
          <w:spacing w:val="15"/>
          <w:sz w:val="22"/>
        </w:rPr>
        <w:t> </w:t>
      </w:r>
      <w:r>
        <w:rPr>
          <w:sz w:val="22"/>
        </w:rPr>
        <w:t>Jinping</w:t>
      </w:r>
      <w:r>
        <w:rPr>
          <w:spacing w:val="15"/>
          <w:sz w:val="22"/>
        </w:rPr>
        <w:t> </w:t>
      </w:r>
      <w:r>
        <w:rPr>
          <w:sz w:val="22"/>
        </w:rPr>
        <w:t>at</w:t>
      </w:r>
      <w:r>
        <w:rPr>
          <w:spacing w:val="15"/>
          <w:sz w:val="22"/>
        </w:rPr>
        <w:t> </w:t>
      </w:r>
      <w:r>
        <w:rPr>
          <w:sz w:val="22"/>
        </w:rPr>
        <w:t>the</w:t>
      </w:r>
      <w:r>
        <w:rPr>
          <w:sz w:val="22"/>
        </w:rPr>
        <w:t> Opening Ceremony of the Belt and Road Forum for International Cooperation on May 14, 2017 in Beijing. Accessed on 15 August 2023 at</w:t>
      </w:r>
    </w:p>
    <w:p>
      <w:pPr>
        <w:spacing w:before="1"/>
        <w:ind w:left="200" w:right="0" w:firstLine="0"/>
        <w:jc w:val="left"/>
        <w:rPr>
          <w:sz w:val="22"/>
        </w:rPr>
      </w:pPr>
      <w:hyperlink r:id="rId28">
        <w:r>
          <w:rPr>
            <w:color w:val="1154CC"/>
            <w:sz w:val="22"/>
            <w:u w:val="thick" w:color="1154CC"/>
          </w:rPr>
          <w:t>www.beltandroadforum.org/n100/2017/0514/c24-</w:t>
        </w:r>
        <w:r>
          <w:rPr>
            <w:color w:val="1154CC"/>
            <w:spacing w:val="-2"/>
            <w:sz w:val="22"/>
            <w:u w:val="thick" w:color="1154CC"/>
          </w:rPr>
          <w:t>407.html</w:t>
        </w:r>
      </w:hyperlink>
    </w:p>
    <w:p>
      <w:pPr>
        <w:pStyle w:val="BodyText"/>
        <w:spacing w:before="8"/>
        <w:rPr>
          <w:sz w:val="28"/>
        </w:rPr>
      </w:pPr>
    </w:p>
    <w:p>
      <w:pPr>
        <w:spacing w:line="288" w:lineRule="auto" w:before="0"/>
        <w:ind w:left="200" w:right="561" w:firstLine="0"/>
        <w:jc w:val="left"/>
        <w:rPr>
          <w:sz w:val="22"/>
        </w:rPr>
      </w:pPr>
      <w:r>
        <w:rPr>
          <w:sz w:val="22"/>
        </w:rPr>
        <w:t>Blair,</w:t>
      </w:r>
      <w:r>
        <w:rPr>
          <w:spacing w:val="-11"/>
          <w:sz w:val="22"/>
        </w:rPr>
        <w:t> </w:t>
      </w:r>
      <w:r>
        <w:rPr>
          <w:sz w:val="22"/>
        </w:rPr>
        <w:t>Robert</w:t>
      </w:r>
      <w:r>
        <w:rPr>
          <w:spacing w:val="-11"/>
          <w:sz w:val="22"/>
        </w:rPr>
        <w:t> </w:t>
      </w:r>
      <w:r>
        <w:rPr>
          <w:sz w:val="22"/>
        </w:rPr>
        <w:t>A.,</w:t>
      </w:r>
      <w:r>
        <w:rPr>
          <w:spacing w:val="-11"/>
          <w:sz w:val="22"/>
        </w:rPr>
        <w:t> </w:t>
      </w:r>
      <w:r>
        <w:rPr>
          <w:sz w:val="22"/>
        </w:rPr>
        <w:t>Samantha</w:t>
      </w:r>
      <w:r>
        <w:rPr>
          <w:spacing w:val="-11"/>
          <w:sz w:val="22"/>
        </w:rPr>
        <w:t> </w:t>
      </w:r>
      <w:r>
        <w:rPr>
          <w:sz w:val="22"/>
        </w:rPr>
        <w:t>Custer,</w:t>
      </w:r>
      <w:r>
        <w:rPr>
          <w:spacing w:val="-11"/>
          <w:sz w:val="22"/>
        </w:rPr>
        <w:t> </w:t>
      </w:r>
      <w:r>
        <w:rPr>
          <w:sz w:val="22"/>
        </w:rPr>
        <w:t>Philip</w:t>
      </w:r>
      <w:r>
        <w:rPr>
          <w:spacing w:val="-11"/>
          <w:sz w:val="22"/>
        </w:rPr>
        <w:t> </w:t>
      </w:r>
      <w:r>
        <w:rPr>
          <w:sz w:val="22"/>
        </w:rPr>
        <w:t>Roessler.</w:t>
      </w:r>
      <w:r>
        <w:rPr>
          <w:spacing w:val="-11"/>
          <w:sz w:val="22"/>
        </w:rPr>
        <w:t> </w:t>
      </w:r>
      <w:r>
        <w:rPr>
          <w:sz w:val="22"/>
        </w:rPr>
        <w:t>2022b.</w:t>
      </w:r>
      <w:r>
        <w:rPr>
          <w:spacing w:val="-11"/>
          <w:sz w:val="22"/>
        </w:rPr>
        <w:t> </w:t>
      </w:r>
      <w:r>
        <w:rPr>
          <w:sz w:val="22"/>
        </w:rPr>
        <w:t>Dueling</w:t>
      </w:r>
      <w:r>
        <w:rPr>
          <w:spacing w:val="-11"/>
          <w:sz w:val="22"/>
        </w:rPr>
        <w:t> </w:t>
      </w:r>
      <w:r>
        <w:rPr>
          <w:sz w:val="22"/>
        </w:rPr>
        <w:t>Aid</w:t>
      </w:r>
      <w:r>
        <w:rPr>
          <w:spacing w:val="-11"/>
          <w:sz w:val="22"/>
        </w:rPr>
        <w:t> </w:t>
      </w:r>
      <w:r>
        <w:rPr>
          <w:sz w:val="22"/>
        </w:rPr>
        <w:t>Regimes:</w:t>
      </w:r>
      <w:r>
        <w:rPr>
          <w:spacing w:val="-11"/>
          <w:sz w:val="22"/>
        </w:rPr>
        <w:t> </w:t>
      </w:r>
      <w:r>
        <w:rPr>
          <w:sz w:val="22"/>
        </w:rPr>
        <w:t>A</w:t>
      </w:r>
      <w:r>
        <w:rPr>
          <w:spacing w:val="-11"/>
          <w:sz w:val="22"/>
        </w:rPr>
        <w:t> </w:t>
      </w:r>
      <w:r>
        <w:rPr>
          <w:sz w:val="22"/>
        </w:rPr>
        <w:t>Conjoint Survey Experiment on Elites’ Development Finance Preferences in 141 Low- and</w:t>
      </w:r>
    </w:p>
    <w:p>
      <w:pPr>
        <w:spacing w:before="0"/>
        <w:ind w:left="200" w:right="0" w:firstLine="0"/>
        <w:jc w:val="left"/>
        <w:rPr>
          <w:sz w:val="22"/>
        </w:rPr>
      </w:pPr>
      <w:r>
        <w:rPr>
          <w:sz w:val="22"/>
        </w:rPr>
        <w:t>Middle-Income</w:t>
      </w:r>
      <w:r>
        <w:rPr>
          <w:spacing w:val="-1"/>
          <w:sz w:val="22"/>
        </w:rPr>
        <w:t> </w:t>
      </w:r>
      <w:r>
        <w:rPr>
          <w:sz w:val="22"/>
        </w:rPr>
        <w:t>Countries.</w:t>
      </w:r>
      <w:r>
        <w:rPr>
          <w:spacing w:val="-1"/>
          <w:sz w:val="22"/>
        </w:rPr>
        <w:t> </w:t>
      </w:r>
      <w:r>
        <w:rPr>
          <w:sz w:val="22"/>
        </w:rPr>
        <w:t>Working Paper</w:t>
      </w:r>
      <w:r>
        <w:rPr>
          <w:spacing w:val="-1"/>
          <w:sz w:val="22"/>
        </w:rPr>
        <w:t> </w:t>
      </w:r>
      <w:r>
        <w:rPr>
          <w:sz w:val="22"/>
        </w:rPr>
        <w:t>#119.</w:t>
      </w:r>
      <w:r>
        <w:rPr>
          <w:spacing w:val="-1"/>
          <w:sz w:val="22"/>
        </w:rPr>
        <w:t> </w:t>
      </w:r>
      <w:r>
        <w:rPr>
          <w:sz w:val="22"/>
        </w:rPr>
        <w:t>Williamsburg, VA:</w:t>
      </w:r>
      <w:r>
        <w:rPr>
          <w:spacing w:val="-1"/>
          <w:sz w:val="22"/>
        </w:rPr>
        <w:t> </w:t>
      </w:r>
      <w:r>
        <w:rPr>
          <w:sz w:val="22"/>
        </w:rPr>
        <w:t>AidData</w:t>
      </w:r>
      <w:r>
        <w:rPr>
          <w:spacing w:val="-1"/>
          <w:sz w:val="22"/>
        </w:rPr>
        <w:t> </w:t>
      </w:r>
      <w:r>
        <w:rPr>
          <w:sz w:val="22"/>
        </w:rPr>
        <w:t>at William</w:t>
      </w:r>
      <w:r>
        <w:rPr>
          <w:spacing w:val="-1"/>
          <w:sz w:val="22"/>
        </w:rPr>
        <w:t> </w:t>
      </w:r>
      <w:r>
        <w:rPr>
          <w:sz w:val="22"/>
        </w:rPr>
        <w:t>&amp;</w:t>
      </w:r>
      <w:r>
        <w:rPr>
          <w:spacing w:val="-1"/>
          <w:sz w:val="22"/>
        </w:rPr>
        <w:t> </w:t>
      </w:r>
      <w:r>
        <w:rPr>
          <w:spacing w:val="-2"/>
          <w:sz w:val="22"/>
        </w:rPr>
        <w:t>Mary.</w:t>
      </w:r>
    </w:p>
    <w:p>
      <w:pPr>
        <w:pStyle w:val="BodyText"/>
        <w:spacing w:before="9"/>
        <w:rPr>
          <w:sz w:val="28"/>
        </w:rPr>
      </w:pPr>
    </w:p>
    <w:p>
      <w:pPr>
        <w:spacing w:line="288" w:lineRule="auto" w:before="0"/>
        <w:ind w:left="200" w:right="285" w:firstLine="0"/>
        <w:jc w:val="both"/>
        <w:rPr>
          <w:sz w:val="22"/>
        </w:rPr>
      </w:pPr>
      <w:r>
        <w:rPr>
          <w:sz w:val="22"/>
        </w:rPr>
        <w:t>Bluhm,</w:t>
      </w:r>
      <w:r>
        <w:rPr>
          <w:spacing w:val="-4"/>
          <w:sz w:val="22"/>
        </w:rPr>
        <w:t> </w:t>
      </w:r>
      <w:r>
        <w:rPr>
          <w:sz w:val="22"/>
        </w:rPr>
        <w:t>Robert,</w:t>
      </w:r>
      <w:r>
        <w:rPr>
          <w:spacing w:val="-4"/>
          <w:sz w:val="22"/>
        </w:rPr>
        <w:t> </w:t>
      </w:r>
      <w:r>
        <w:rPr>
          <w:sz w:val="22"/>
        </w:rPr>
        <w:t>Axel</w:t>
      </w:r>
      <w:r>
        <w:rPr>
          <w:spacing w:val="-4"/>
          <w:sz w:val="22"/>
        </w:rPr>
        <w:t> </w:t>
      </w:r>
      <w:r>
        <w:rPr>
          <w:sz w:val="22"/>
        </w:rPr>
        <w:t>Fuchs,</w:t>
      </w:r>
      <w:r>
        <w:rPr>
          <w:spacing w:val="-4"/>
          <w:sz w:val="22"/>
        </w:rPr>
        <w:t> </w:t>
      </w:r>
      <w:r>
        <w:rPr>
          <w:sz w:val="22"/>
        </w:rPr>
        <w:t>Bradley</w:t>
      </w:r>
      <w:r>
        <w:rPr>
          <w:spacing w:val="-4"/>
          <w:sz w:val="22"/>
        </w:rPr>
        <w:t> </w:t>
      </w:r>
      <w:r>
        <w:rPr>
          <w:sz w:val="22"/>
        </w:rPr>
        <w:t>C.</w:t>
      </w:r>
      <w:r>
        <w:rPr>
          <w:spacing w:val="-4"/>
          <w:sz w:val="22"/>
        </w:rPr>
        <w:t> </w:t>
      </w:r>
      <w:r>
        <w:rPr>
          <w:sz w:val="22"/>
        </w:rPr>
        <w:t>Parks,</w:t>
      </w:r>
      <w:r>
        <w:rPr>
          <w:spacing w:val="-4"/>
          <w:sz w:val="22"/>
        </w:rPr>
        <w:t> </w:t>
      </w:r>
      <w:r>
        <w:rPr>
          <w:sz w:val="22"/>
        </w:rPr>
        <w:t>Austin</w:t>
      </w:r>
      <w:r>
        <w:rPr>
          <w:spacing w:val="-4"/>
          <w:sz w:val="22"/>
        </w:rPr>
        <w:t> </w:t>
      </w:r>
      <w:r>
        <w:rPr>
          <w:sz w:val="22"/>
        </w:rPr>
        <w:t>M.</w:t>
      </w:r>
      <w:r>
        <w:rPr>
          <w:spacing w:val="-4"/>
          <w:sz w:val="22"/>
        </w:rPr>
        <w:t> </w:t>
      </w:r>
      <w:r>
        <w:rPr>
          <w:sz w:val="22"/>
        </w:rPr>
        <w:t>Strange,</w:t>
      </w:r>
      <w:r>
        <w:rPr>
          <w:spacing w:val="-4"/>
          <w:sz w:val="22"/>
        </w:rPr>
        <w:t> </w:t>
      </w:r>
      <w:r>
        <w:rPr>
          <w:sz w:val="22"/>
        </w:rPr>
        <w:t>and</w:t>
      </w:r>
      <w:r>
        <w:rPr>
          <w:spacing w:val="-4"/>
          <w:sz w:val="22"/>
        </w:rPr>
        <w:t> </w:t>
      </w:r>
      <w:r>
        <w:rPr>
          <w:sz w:val="22"/>
        </w:rPr>
        <w:t>Michael</w:t>
      </w:r>
      <w:r>
        <w:rPr>
          <w:spacing w:val="-4"/>
          <w:sz w:val="22"/>
        </w:rPr>
        <w:t> </w:t>
      </w:r>
      <w:r>
        <w:rPr>
          <w:sz w:val="22"/>
        </w:rPr>
        <w:t>J.</w:t>
      </w:r>
      <w:r>
        <w:rPr>
          <w:spacing w:val="-4"/>
          <w:sz w:val="22"/>
        </w:rPr>
        <w:t> </w:t>
      </w:r>
      <w:r>
        <w:rPr>
          <w:sz w:val="22"/>
        </w:rPr>
        <w:t>Tierney.</w:t>
      </w:r>
      <w:r>
        <w:rPr>
          <w:spacing w:val="-4"/>
          <w:sz w:val="22"/>
        </w:rPr>
        <w:t> </w:t>
      </w:r>
      <w:r>
        <w:rPr>
          <w:sz w:val="22"/>
        </w:rPr>
        <w:t>2020. Connective</w:t>
      </w:r>
      <w:r>
        <w:rPr>
          <w:spacing w:val="-2"/>
          <w:sz w:val="22"/>
        </w:rPr>
        <w:t> </w:t>
      </w:r>
      <w:r>
        <w:rPr>
          <w:sz w:val="22"/>
        </w:rPr>
        <w:t>Financing:</w:t>
      </w:r>
      <w:r>
        <w:rPr>
          <w:spacing w:val="-2"/>
          <w:sz w:val="22"/>
        </w:rPr>
        <w:t> </w:t>
      </w:r>
      <w:r>
        <w:rPr>
          <w:sz w:val="22"/>
        </w:rPr>
        <w:t>Chinese</w:t>
      </w:r>
      <w:r>
        <w:rPr>
          <w:spacing w:val="-2"/>
          <w:sz w:val="22"/>
        </w:rPr>
        <w:t> </w:t>
      </w:r>
      <w:r>
        <w:rPr>
          <w:sz w:val="22"/>
        </w:rPr>
        <w:t>Infrastructure</w:t>
      </w:r>
      <w:r>
        <w:rPr>
          <w:spacing w:val="-2"/>
          <w:sz w:val="22"/>
        </w:rPr>
        <w:t> </w:t>
      </w:r>
      <w:r>
        <w:rPr>
          <w:sz w:val="22"/>
        </w:rPr>
        <w:t>Projects</w:t>
      </w:r>
      <w:r>
        <w:rPr>
          <w:spacing w:val="-2"/>
          <w:sz w:val="22"/>
        </w:rPr>
        <w:t> </w:t>
      </w:r>
      <w:r>
        <w:rPr>
          <w:sz w:val="22"/>
        </w:rPr>
        <w:t>and</w:t>
      </w:r>
      <w:r>
        <w:rPr>
          <w:spacing w:val="-2"/>
          <w:sz w:val="22"/>
        </w:rPr>
        <w:t> </w:t>
      </w:r>
      <w:r>
        <w:rPr>
          <w:sz w:val="22"/>
        </w:rPr>
        <w:t>the</w:t>
      </w:r>
      <w:r>
        <w:rPr>
          <w:spacing w:val="-2"/>
          <w:sz w:val="22"/>
        </w:rPr>
        <w:t> </w:t>
      </w:r>
      <w:r>
        <w:rPr>
          <w:sz w:val="22"/>
        </w:rPr>
        <w:t>Diffusion</w:t>
      </w:r>
      <w:r>
        <w:rPr>
          <w:spacing w:val="-2"/>
          <w:sz w:val="22"/>
        </w:rPr>
        <w:t> </w:t>
      </w:r>
      <w:r>
        <w:rPr>
          <w:sz w:val="22"/>
        </w:rPr>
        <w:t>of</w:t>
      </w:r>
      <w:r>
        <w:rPr>
          <w:spacing w:val="-2"/>
          <w:sz w:val="22"/>
        </w:rPr>
        <w:t> </w:t>
      </w:r>
      <w:r>
        <w:rPr>
          <w:sz w:val="22"/>
        </w:rPr>
        <w:t>Economic</w:t>
      </w:r>
      <w:r>
        <w:rPr>
          <w:spacing w:val="-2"/>
          <w:sz w:val="22"/>
        </w:rPr>
        <w:t> </w:t>
      </w:r>
      <w:r>
        <w:rPr>
          <w:sz w:val="22"/>
        </w:rPr>
        <w:t>Activity</w:t>
      </w:r>
      <w:r>
        <w:rPr>
          <w:spacing w:val="-2"/>
          <w:sz w:val="22"/>
        </w:rPr>
        <w:t> </w:t>
      </w:r>
      <w:r>
        <w:rPr>
          <w:sz w:val="22"/>
        </w:rPr>
        <w:t>in Developing</w:t>
      </w:r>
      <w:r>
        <w:rPr>
          <w:spacing w:val="-6"/>
          <w:sz w:val="22"/>
        </w:rPr>
        <w:t> </w:t>
      </w:r>
      <w:r>
        <w:rPr>
          <w:sz w:val="22"/>
        </w:rPr>
        <w:t>Countries.</w:t>
      </w:r>
      <w:r>
        <w:rPr>
          <w:spacing w:val="-6"/>
          <w:sz w:val="22"/>
        </w:rPr>
        <w:t> </w:t>
      </w:r>
      <w:r>
        <w:rPr>
          <w:sz w:val="22"/>
        </w:rPr>
        <w:t>CEPR</w:t>
      </w:r>
      <w:r>
        <w:rPr>
          <w:spacing w:val="-6"/>
          <w:sz w:val="22"/>
        </w:rPr>
        <w:t> </w:t>
      </w:r>
      <w:r>
        <w:rPr>
          <w:sz w:val="22"/>
        </w:rPr>
        <w:t>Discussion</w:t>
      </w:r>
      <w:r>
        <w:rPr>
          <w:spacing w:val="-6"/>
          <w:sz w:val="22"/>
        </w:rPr>
        <w:t> </w:t>
      </w:r>
      <w:r>
        <w:rPr>
          <w:sz w:val="22"/>
        </w:rPr>
        <w:t>Paper</w:t>
      </w:r>
      <w:r>
        <w:rPr>
          <w:spacing w:val="-6"/>
          <w:sz w:val="22"/>
        </w:rPr>
        <w:t> </w:t>
      </w:r>
      <w:r>
        <w:rPr>
          <w:sz w:val="22"/>
        </w:rPr>
        <w:t>14818.</w:t>
      </w:r>
      <w:r>
        <w:rPr>
          <w:spacing w:val="-6"/>
          <w:sz w:val="22"/>
        </w:rPr>
        <w:t> </w:t>
      </w:r>
      <w:r>
        <w:rPr>
          <w:sz w:val="22"/>
        </w:rPr>
        <w:t>London,</w:t>
      </w:r>
      <w:r>
        <w:rPr>
          <w:spacing w:val="-6"/>
          <w:sz w:val="22"/>
        </w:rPr>
        <w:t> </w:t>
      </w:r>
      <w:r>
        <w:rPr>
          <w:sz w:val="22"/>
        </w:rPr>
        <w:t>UK:</w:t>
      </w:r>
      <w:r>
        <w:rPr>
          <w:spacing w:val="-6"/>
          <w:sz w:val="22"/>
        </w:rPr>
        <w:t> </w:t>
      </w:r>
      <w:r>
        <w:rPr>
          <w:sz w:val="22"/>
        </w:rPr>
        <w:t>CEPR.</w:t>
      </w:r>
    </w:p>
    <w:p>
      <w:pPr>
        <w:pStyle w:val="BodyText"/>
        <w:spacing w:before="4"/>
      </w:pPr>
    </w:p>
    <w:p>
      <w:pPr>
        <w:spacing w:line="288" w:lineRule="auto" w:before="0"/>
        <w:ind w:left="200" w:right="368" w:firstLine="0"/>
        <w:jc w:val="both"/>
        <w:rPr>
          <w:sz w:val="22"/>
        </w:rPr>
      </w:pPr>
      <w:r>
        <w:rPr>
          <w:spacing w:val="-2"/>
          <w:sz w:val="22"/>
        </w:rPr>
        <w:t>Bomprezzi,</w:t>
      </w:r>
      <w:r>
        <w:rPr>
          <w:spacing w:val="-9"/>
          <w:sz w:val="22"/>
        </w:rPr>
        <w:t> </w:t>
      </w:r>
      <w:r>
        <w:rPr>
          <w:spacing w:val="-2"/>
          <w:sz w:val="22"/>
        </w:rPr>
        <w:t>Pietro,</w:t>
      </w:r>
      <w:r>
        <w:rPr>
          <w:spacing w:val="-9"/>
          <w:sz w:val="22"/>
        </w:rPr>
        <w:t> </w:t>
      </w:r>
      <w:r>
        <w:rPr>
          <w:spacing w:val="-2"/>
          <w:sz w:val="22"/>
        </w:rPr>
        <w:t>Axel</w:t>
      </w:r>
      <w:r>
        <w:rPr>
          <w:spacing w:val="-9"/>
          <w:sz w:val="22"/>
        </w:rPr>
        <w:t> </w:t>
      </w:r>
      <w:r>
        <w:rPr>
          <w:spacing w:val="-2"/>
          <w:sz w:val="22"/>
        </w:rPr>
        <w:t>Dreher,</w:t>
      </w:r>
      <w:r>
        <w:rPr>
          <w:spacing w:val="-9"/>
          <w:sz w:val="22"/>
        </w:rPr>
        <w:t> </w:t>
      </w:r>
      <w:r>
        <w:rPr>
          <w:spacing w:val="-2"/>
          <w:sz w:val="22"/>
        </w:rPr>
        <w:t>Andreas</w:t>
      </w:r>
      <w:r>
        <w:rPr>
          <w:spacing w:val="-9"/>
          <w:sz w:val="22"/>
        </w:rPr>
        <w:t> </w:t>
      </w:r>
      <w:r>
        <w:rPr>
          <w:spacing w:val="-2"/>
          <w:sz w:val="22"/>
        </w:rPr>
        <w:t>Fuchs,</w:t>
      </w:r>
      <w:r>
        <w:rPr>
          <w:spacing w:val="-9"/>
          <w:sz w:val="22"/>
        </w:rPr>
        <w:t> </w:t>
      </w:r>
      <w:r>
        <w:rPr>
          <w:spacing w:val="-2"/>
          <w:sz w:val="22"/>
        </w:rPr>
        <w:t>Teresa</w:t>
      </w:r>
      <w:r>
        <w:rPr>
          <w:spacing w:val="-9"/>
          <w:sz w:val="22"/>
        </w:rPr>
        <w:t> </w:t>
      </w:r>
      <w:r>
        <w:rPr>
          <w:spacing w:val="-2"/>
          <w:sz w:val="22"/>
        </w:rPr>
        <w:t>Hailer.</w:t>
      </w:r>
      <w:r>
        <w:rPr>
          <w:spacing w:val="-9"/>
          <w:sz w:val="22"/>
        </w:rPr>
        <w:t> </w:t>
      </w:r>
      <w:r>
        <w:rPr>
          <w:spacing w:val="-2"/>
          <w:sz w:val="22"/>
        </w:rPr>
        <w:t>Andreas</w:t>
      </w:r>
      <w:r>
        <w:rPr>
          <w:spacing w:val="-9"/>
          <w:sz w:val="22"/>
        </w:rPr>
        <w:t> </w:t>
      </w:r>
      <w:r>
        <w:rPr>
          <w:spacing w:val="-2"/>
          <w:sz w:val="22"/>
        </w:rPr>
        <w:t>Kammerlander,</w:t>
      </w:r>
      <w:r>
        <w:rPr>
          <w:spacing w:val="-9"/>
          <w:sz w:val="22"/>
        </w:rPr>
        <w:t> </w:t>
      </w:r>
      <w:r>
        <w:rPr>
          <w:spacing w:val="-2"/>
          <w:sz w:val="22"/>
        </w:rPr>
        <w:t>Lennart </w:t>
      </w:r>
      <w:r>
        <w:rPr>
          <w:sz w:val="22"/>
        </w:rPr>
        <w:t>Kaplan,</w:t>
      </w:r>
      <w:r>
        <w:rPr>
          <w:spacing w:val="-4"/>
          <w:sz w:val="22"/>
        </w:rPr>
        <w:t> </w:t>
      </w:r>
      <w:r>
        <w:rPr>
          <w:sz w:val="22"/>
        </w:rPr>
        <w:t>Silvia</w:t>
      </w:r>
      <w:r>
        <w:rPr>
          <w:spacing w:val="-4"/>
          <w:sz w:val="22"/>
        </w:rPr>
        <w:t> </w:t>
      </w:r>
      <w:r>
        <w:rPr>
          <w:sz w:val="22"/>
        </w:rPr>
        <w:t>Marchesi,</w:t>
      </w:r>
      <w:r>
        <w:rPr>
          <w:spacing w:val="-4"/>
          <w:sz w:val="22"/>
        </w:rPr>
        <w:t> </w:t>
      </w:r>
      <w:r>
        <w:rPr>
          <w:sz w:val="22"/>
        </w:rPr>
        <w:t>Tania</w:t>
      </w:r>
      <w:r>
        <w:rPr>
          <w:spacing w:val="-4"/>
          <w:sz w:val="22"/>
        </w:rPr>
        <w:t> </w:t>
      </w:r>
      <w:r>
        <w:rPr>
          <w:sz w:val="22"/>
        </w:rPr>
        <w:t>Masi,</w:t>
      </w:r>
      <w:r>
        <w:rPr>
          <w:spacing w:val="-4"/>
          <w:sz w:val="22"/>
        </w:rPr>
        <w:t> </w:t>
      </w:r>
      <w:r>
        <w:rPr>
          <w:sz w:val="22"/>
        </w:rPr>
        <w:t>Charlotte</w:t>
      </w:r>
      <w:r>
        <w:rPr>
          <w:spacing w:val="-4"/>
          <w:sz w:val="22"/>
        </w:rPr>
        <w:t> </w:t>
      </w:r>
      <w:r>
        <w:rPr>
          <w:sz w:val="22"/>
        </w:rPr>
        <w:t>Robert</w:t>
      </w:r>
      <w:r>
        <w:rPr>
          <w:spacing w:val="-4"/>
          <w:sz w:val="22"/>
        </w:rPr>
        <w:t> </w:t>
      </w:r>
      <w:r>
        <w:rPr>
          <w:sz w:val="22"/>
        </w:rPr>
        <w:t>and</w:t>
      </w:r>
      <w:r>
        <w:rPr>
          <w:spacing w:val="-4"/>
          <w:sz w:val="22"/>
        </w:rPr>
        <w:t> </w:t>
      </w:r>
      <w:r>
        <w:rPr>
          <w:sz w:val="22"/>
        </w:rPr>
        <w:t>Kerstin</w:t>
      </w:r>
      <w:r>
        <w:rPr>
          <w:spacing w:val="-4"/>
          <w:sz w:val="22"/>
        </w:rPr>
        <w:t> </w:t>
      </w:r>
      <w:r>
        <w:rPr>
          <w:sz w:val="22"/>
        </w:rPr>
        <w:t>Unfried.</w:t>
      </w:r>
      <w:r>
        <w:rPr>
          <w:spacing w:val="-4"/>
          <w:sz w:val="22"/>
        </w:rPr>
        <w:t> </w:t>
      </w:r>
      <w:r>
        <w:rPr>
          <w:sz w:val="22"/>
        </w:rPr>
        <w:t>2023.</w:t>
      </w:r>
      <w:r>
        <w:rPr>
          <w:spacing w:val="-4"/>
          <w:sz w:val="22"/>
        </w:rPr>
        <w:t> </w:t>
      </w:r>
      <w:r>
        <w:rPr>
          <w:sz w:val="22"/>
        </w:rPr>
        <w:t>Light</w:t>
      </w:r>
      <w:r>
        <w:rPr>
          <w:spacing w:val="-4"/>
          <w:sz w:val="22"/>
        </w:rPr>
        <w:t> </w:t>
      </w:r>
      <w:r>
        <w:rPr>
          <w:sz w:val="22"/>
        </w:rPr>
        <w:t>of</w:t>
      </w:r>
      <w:r>
        <w:rPr>
          <w:spacing w:val="-4"/>
          <w:sz w:val="22"/>
        </w:rPr>
        <w:t> </w:t>
      </w:r>
      <w:r>
        <w:rPr>
          <w:sz w:val="22"/>
        </w:rPr>
        <w:t>Their Lives: Country Leaders’ Spouses and Regional Favoritism. Mimeo.</w:t>
      </w:r>
    </w:p>
    <w:p>
      <w:pPr>
        <w:pStyle w:val="BodyText"/>
        <w:spacing w:before="4"/>
      </w:pPr>
    </w:p>
    <w:p>
      <w:pPr>
        <w:spacing w:line="288" w:lineRule="auto" w:before="0"/>
        <w:ind w:left="200" w:right="0" w:firstLine="0"/>
        <w:jc w:val="left"/>
        <w:rPr>
          <w:sz w:val="22"/>
        </w:rPr>
      </w:pPr>
      <w:r>
        <w:rPr>
          <w:sz w:val="22"/>
        </w:rPr>
        <w:t>Bourguignon,</w:t>
      </w:r>
      <w:r>
        <w:rPr>
          <w:spacing w:val="-1"/>
          <w:sz w:val="22"/>
        </w:rPr>
        <w:t> </w:t>
      </w:r>
      <w:r>
        <w:rPr>
          <w:sz w:val="22"/>
        </w:rPr>
        <w:t>François</w:t>
      </w:r>
      <w:r>
        <w:rPr>
          <w:spacing w:val="-2"/>
          <w:sz w:val="22"/>
        </w:rPr>
        <w:t> </w:t>
      </w:r>
      <w:r>
        <w:rPr>
          <w:sz w:val="22"/>
        </w:rPr>
        <w:t>and</w:t>
      </w:r>
      <w:r>
        <w:rPr>
          <w:spacing w:val="-1"/>
          <w:sz w:val="22"/>
        </w:rPr>
        <w:t> </w:t>
      </w:r>
      <w:r>
        <w:rPr>
          <w:sz w:val="22"/>
        </w:rPr>
        <w:t>Jean-Philippe</w:t>
      </w:r>
      <w:r>
        <w:rPr>
          <w:spacing w:val="-2"/>
          <w:sz w:val="22"/>
        </w:rPr>
        <w:t> </w:t>
      </w:r>
      <w:r>
        <w:rPr>
          <w:sz w:val="22"/>
        </w:rPr>
        <w:t>Platteau.</w:t>
      </w:r>
      <w:r>
        <w:rPr>
          <w:spacing w:val="-1"/>
          <w:sz w:val="22"/>
        </w:rPr>
        <w:t> </w:t>
      </w:r>
      <w:r>
        <w:rPr>
          <w:sz w:val="22"/>
        </w:rPr>
        <w:t>2015.</w:t>
      </w:r>
      <w:r>
        <w:rPr>
          <w:spacing w:val="-2"/>
          <w:sz w:val="22"/>
        </w:rPr>
        <w:t> </w:t>
      </w:r>
      <w:r>
        <w:rPr>
          <w:sz w:val="22"/>
        </w:rPr>
        <w:t>The</w:t>
      </w:r>
      <w:r>
        <w:rPr>
          <w:spacing w:val="-1"/>
          <w:sz w:val="22"/>
        </w:rPr>
        <w:t> </w:t>
      </w:r>
      <w:r>
        <w:rPr>
          <w:sz w:val="22"/>
        </w:rPr>
        <w:t>Hard</w:t>
      </w:r>
      <w:r>
        <w:rPr>
          <w:spacing w:val="-2"/>
          <w:sz w:val="22"/>
        </w:rPr>
        <w:t> </w:t>
      </w:r>
      <w:r>
        <w:rPr>
          <w:sz w:val="22"/>
        </w:rPr>
        <w:t>Challenge</w:t>
      </w:r>
      <w:r>
        <w:rPr>
          <w:spacing w:val="-1"/>
          <w:sz w:val="22"/>
        </w:rPr>
        <w:t> </w:t>
      </w:r>
      <w:r>
        <w:rPr>
          <w:sz w:val="22"/>
        </w:rPr>
        <w:t>of</w:t>
      </w:r>
      <w:r>
        <w:rPr>
          <w:spacing w:val="-2"/>
          <w:sz w:val="22"/>
        </w:rPr>
        <w:t> </w:t>
      </w:r>
      <w:r>
        <w:rPr>
          <w:sz w:val="22"/>
        </w:rPr>
        <w:t>Aid </w:t>
      </w:r>
      <w:r>
        <w:rPr>
          <w:w w:val="105"/>
          <w:sz w:val="22"/>
        </w:rPr>
        <w:t>Coordination.</w:t>
      </w:r>
      <w:r>
        <w:rPr>
          <w:spacing w:val="-11"/>
          <w:w w:val="105"/>
          <w:sz w:val="22"/>
        </w:rPr>
        <w:t> </w:t>
      </w:r>
      <w:r>
        <w:rPr>
          <w:i/>
          <w:w w:val="105"/>
          <w:sz w:val="22"/>
        </w:rPr>
        <w:t>World</w:t>
      </w:r>
      <w:r>
        <w:rPr>
          <w:i/>
          <w:spacing w:val="-11"/>
          <w:w w:val="105"/>
          <w:sz w:val="22"/>
        </w:rPr>
        <w:t> </w:t>
      </w:r>
      <w:r>
        <w:rPr>
          <w:i/>
          <w:w w:val="105"/>
          <w:sz w:val="22"/>
        </w:rPr>
        <w:t>Development</w:t>
      </w:r>
      <w:r>
        <w:rPr>
          <w:i/>
          <w:spacing w:val="-11"/>
          <w:w w:val="105"/>
          <w:sz w:val="22"/>
        </w:rPr>
        <w:t> </w:t>
      </w:r>
      <w:r>
        <w:rPr>
          <w:w w:val="105"/>
          <w:sz w:val="22"/>
        </w:rPr>
        <w:t>69</w:t>
      </w:r>
      <w:r>
        <w:rPr>
          <w:spacing w:val="-11"/>
          <w:w w:val="105"/>
          <w:sz w:val="22"/>
        </w:rPr>
        <w:t> </w:t>
      </w:r>
      <w:r>
        <w:rPr>
          <w:w w:val="105"/>
          <w:sz w:val="22"/>
        </w:rPr>
        <w:t>(C):</w:t>
      </w:r>
      <w:r>
        <w:rPr>
          <w:spacing w:val="-11"/>
          <w:w w:val="105"/>
          <w:sz w:val="22"/>
        </w:rPr>
        <w:t> </w:t>
      </w:r>
      <w:r>
        <w:rPr>
          <w:w w:val="105"/>
          <w:sz w:val="22"/>
        </w:rPr>
        <w:t>86-97.</w:t>
      </w:r>
    </w:p>
    <w:p>
      <w:pPr>
        <w:spacing w:after="0" w:line="288" w:lineRule="auto"/>
        <w:jc w:val="left"/>
        <w:rPr>
          <w:sz w:val="22"/>
        </w:rPr>
        <w:sectPr>
          <w:footerReference w:type="default" r:id="rId26"/>
          <w:pgSz w:w="12240" w:h="15840"/>
          <w:pgMar w:footer="0" w:header="0" w:top="1820" w:bottom="280" w:left="1240" w:right="1260"/>
        </w:sectPr>
      </w:pPr>
    </w:p>
    <w:p>
      <w:pPr>
        <w:spacing w:line="288" w:lineRule="auto" w:before="44"/>
        <w:ind w:left="200" w:right="0" w:firstLine="0"/>
        <w:jc w:val="left"/>
        <w:rPr>
          <w:sz w:val="22"/>
        </w:rPr>
      </w:pPr>
      <w:r>
        <w:rPr>
          <w:sz w:val="22"/>
        </w:rPr>
        <w:t>Brauneder,</w:t>
      </w:r>
      <w:r>
        <w:rPr>
          <w:spacing w:val="-2"/>
          <w:sz w:val="22"/>
        </w:rPr>
        <w:t> </w:t>
      </w:r>
      <w:r>
        <w:rPr>
          <w:sz w:val="22"/>
        </w:rPr>
        <w:t>Kerstin</w:t>
      </w:r>
      <w:r>
        <w:rPr>
          <w:spacing w:val="-2"/>
          <w:sz w:val="22"/>
        </w:rPr>
        <w:t> </w:t>
      </w:r>
      <w:r>
        <w:rPr>
          <w:sz w:val="22"/>
        </w:rPr>
        <w:t>M.,</w:t>
      </w:r>
      <w:r>
        <w:rPr>
          <w:spacing w:val="-2"/>
          <w:sz w:val="22"/>
        </w:rPr>
        <w:t> </w:t>
      </w:r>
      <w:r>
        <w:rPr>
          <w:sz w:val="22"/>
        </w:rPr>
        <w:t>Chloe</w:t>
      </w:r>
      <w:r>
        <w:rPr>
          <w:spacing w:val="-2"/>
          <w:sz w:val="22"/>
        </w:rPr>
        <w:t> </w:t>
      </w:r>
      <w:r>
        <w:rPr>
          <w:sz w:val="22"/>
        </w:rPr>
        <w:t>Monte,</w:t>
      </w:r>
      <w:r>
        <w:rPr>
          <w:spacing w:val="-2"/>
          <w:sz w:val="22"/>
        </w:rPr>
        <w:t> </w:t>
      </w:r>
      <w:r>
        <w:rPr>
          <w:sz w:val="22"/>
        </w:rPr>
        <w:t>Simon</w:t>
      </w:r>
      <w:r>
        <w:rPr>
          <w:spacing w:val="-2"/>
          <w:sz w:val="22"/>
        </w:rPr>
        <w:t> </w:t>
      </w:r>
      <w:r>
        <w:rPr>
          <w:sz w:val="22"/>
        </w:rPr>
        <w:t>Blyth,</w:t>
      </w:r>
      <w:r>
        <w:rPr>
          <w:spacing w:val="-2"/>
          <w:sz w:val="22"/>
        </w:rPr>
        <w:t> </w:t>
      </w:r>
      <w:r>
        <w:rPr>
          <w:sz w:val="22"/>
        </w:rPr>
        <w:t>Leon</w:t>
      </w:r>
      <w:r>
        <w:rPr>
          <w:spacing w:val="-2"/>
          <w:sz w:val="22"/>
        </w:rPr>
        <w:t> </w:t>
      </w:r>
      <w:r>
        <w:rPr>
          <w:sz w:val="22"/>
        </w:rPr>
        <w:t>Bennun,</w:t>
      </w:r>
      <w:r>
        <w:rPr>
          <w:spacing w:val="-2"/>
          <w:sz w:val="22"/>
        </w:rPr>
        <w:t> </w:t>
      </w:r>
      <w:r>
        <w:rPr>
          <w:sz w:val="22"/>
        </w:rPr>
        <w:t>Stuart</w:t>
      </w:r>
      <w:r>
        <w:rPr>
          <w:spacing w:val="-2"/>
          <w:sz w:val="22"/>
        </w:rPr>
        <w:t> </w:t>
      </w:r>
      <w:r>
        <w:rPr>
          <w:sz w:val="22"/>
        </w:rPr>
        <w:t>H</w:t>
      </w:r>
      <w:r>
        <w:rPr>
          <w:spacing w:val="-2"/>
          <w:sz w:val="22"/>
        </w:rPr>
        <w:t> </w:t>
      </w:r>
      <w:r>
        <w:rPr>
          <w:sz w:val="22"/>
        </w:rPr>
        <w:t>M</w:t>
      </w:r>
      <w:r>
        <w:rPr>
          <w:spacing w:val="-2"/>
          <w:sz w:val="22"/>
        </w:rPr>
        <w:t> </w:t>
      </w:r>
      <w:r>
        <w:rPr>
          <w:sz w:val="22"/>
        </w:rPr>
        <w:t>Butchart,</w:t>
      </w:r>
      <w:r>
        <w:rPr>
          <w:spacing w:val="-2"/>
          <w:sz w:val="22"/>
        </w:rPr>
        <w:t> </w:t>
      </w:r>
      <w:r>
        <w:rPr>
          <w:sz w:val="22"/>
        </w:rPr>
        <w:t>Michael Hoffmann, Neil D Burgess, Annabelle Cuttelod, Matt I. Jones, Val Kapos, John Pilgrim, and Melissa</w:t>
      </w:r>
      <w:r>
        <w:rPr>
          <w:spacing w:val="-4"/>
          <w:sz w:val="22"/>
        </w:rPr>
        <w:t> </w:t>
      </w:r>
      <w:r>
        <w:rPr>
          <w:sz w:val="22"/>
        </w:rPr>
        <w:t>J</w:t>
      </w:r>
      <w:r>
        <w:rPr>
          <w:spacing w:val="-4"/>
          <w:sz w:val="22"/>
        </w:rPr>
        <w:t> </w:t>
      </w:r>
      <w:r>
        <w:rPr>
          <w:sz w:val="22"/>
        </w:rPr>
        <w:t>Toll.</w:t>
      </w:r>
      <w:r>
        <w:rPr>
          <w:spacing w:val="-4"/>
          <w:sz w:val="22"/>
        </w:rPr>
        <w:t> </w:t>
      </w:r>
      <w:r>
        <w:rPr>
          <w:sz w:val="22"/>
        </w:rPr>
        <w:t>2018.Global</w:t>
      </w:r>
      <w:r>
        <w:rPr>
          <w:spacing w:val="-4"/>
          <w:sz w:val="22"/>
        </w:rPr>
        <w:t> </w:t>
      </w:r>
      <w:r>
        <w:rPr>
          <w:sz w:val="22"/>
        </w:rPr>
        <w:t>screening</w:t>
      </w:r>
      <w:r>
        <w:rPr>
          <w:spacing w:val="-4"/>
          <w:sz w:val="22"/>
        </w:rPr>
        <w:t> </w:t>
      </w:r>
      <w:r>
        <w:rPr>
          <w:sz w:val="22"/>
        </w:rPr>
        <w:t>for</w:t>
      </w:r>
      <w:r>
        <w:rPr>
          <w:spacing w:val="-4"/>
          <w:sz w:val="22"/>
        </w:rPr>
        <w:t> </w:t>
      </w:r>
      <w:r>
        <w:rPr>
          <w:sz w:val="22"/>
        </w:rPr>
        <w:t>Critical</w:t>
      </w:r>
      <w:r>
        <w:rPr>
          <w:spacing w:val="-4"/>
          <w:sz w:val="22"/>
        </w:rPr>
        <w:t> </w:t>
      </w:r>
      <w:r>
        <w:rPr>
          <w:sz w:val="22"/>
        </w:rPr>
        <w:t>Habitat</w:t>
      </w:r>
      <w:r>
        <w:rPr>
          <w:spacing w:val="-4"/>
          <w:sz w:val="22"/>
        </w:rPr>
        <w:t> </w:t>
      </w:r>
      <w:r>
        <w:rPr>
          <w:sz w:val="22"/>
        </w:rPr>
        <w:t>in</w:t>
      </w:r>
      <w:r>
        <w:rPr>
          <w:spacing w:val="-4"/>
          <w:sz w:val="22"/>
        </w:rPr>
        <w:t> </w:t>
      </w:r>
      <w:r>
        <w:rPr>
          <w:sz w:val="22"/>
        </w:rPr>
        <w:t>the</w:t>
      </w:r>
      <w:r>
        <w:rPr>
          <w:spacing w:val="-4"/>
          <w:sz w:val="22"/>
        </w:rPr>
        <w:t> </w:t>
      </w:r>
      <w:r>
        <w:rPr>
          <w:sz w:val="22"/>
        </w:rPr>
        <w:t>terrestrial</w:t>
      </w:r>
      <w:r>
        <w:rPr>
          <w:spacing w:val="-4"/>
          <w:sz w:val="22"/>
        </w:rPr>
        <w:t> </w:t>
      </w:r>
      <w:r>
        <w:rPr>
          <w:sz w:val="22"/>
        </w:rPr>
        <w:t>realm.</w:t>
      </w:r>
      <w:r>
        <w:rPr>
          <w:spacing w:val="-4"/>
          <w:sz w:val="22"/>
        </w:rPr>
        <w:t> </w:t>
      </w:r>
      <w:r>
        <w:rPr>
          <w:i/>
          <w:sz w:val="22"/>
        </w:rPr>
        <w:t>PLOS</w:t>
      </w:r>
      <w:r>
        <w:rPr>
          <w:i/>
          <w:spacing w:val="-4"/>
          <w:sz w:val="22"/>
        </w:rPr>
        <w:t> </w:t>
      </w:r>
      <w:r>
        <w:rPr>
          <w:i/>
          <w:sz w:val="22"/>
        </w:rPr>
        <w:t>ONE</w:t>
      </w:r>
      <w:r>
        <w:rPr>
          <w:i/>
          <w:spacing w:val="-4"/>
          <w:sz w:val="22"/>
        </w:rPr>
        <w:t> </w:t>
      </w:r>
      <w:r>
        <w:rPr>
          <w:sz w:val="22"/>
        </w:rPr>
        <w:t>13</w:t>
      </w:r>
    </w:p>
    <w:p>
      <w:pPr>
        <w:spacing w:before="1"/>
        <w:ind w:left="200" w:right="0" w:firstLine="0"/>
        <w:jc w:val="left"/>
        <w:rPr>
          <w:sz w:val="22"/>
        </w:rPr>
      </w:pPr>
      <w:r>
        <w:rPr>
          <w:spacing w:val="-6"/>
          <w:sz w:val="22"/>
        </w:rPr>
        <w:t>(3): 1-16.</w:t>
      </w:r>
    </w:p>
    <w:p>
      <w:pPr>
        <w:pStyle w:val="BodyText"/>
        <w:spacing w:before="9"/>
        <w:rPr>
          <w:sz w:val="28"/>
        </w:rPr>
      </w:pPr>
    </w:p>
    <w:p>
      <w:pPr>
        <w:spacing w:line="288" w:lineRule="auto" w:before="0"/>
        <w:ind w:left="200" w:right="574" w:firstLine="0"/>
        <w:jc w:val="left"/>
        <w:rPr>
          <w:sz w:val="22"/>
        </w:rPr>
      </w:pPr>
      <w:r>
        <w:rPr>
          <w:sz w:val="22"/>
        </w:rPr>
        <w:t>Bräutigam, Deborah. 2019. Misdiagnosing the Chinese Infrastructure Push. </w:t>
      </w:r>
      <w:r>
        <w:rPr>
          <w:i/>
          <w:sz w:val="22"/>
        </w:rPr>
        <w:t>The American</w:t>
      </w:r>
      <w:r>
        <w:rPr>
          <w:i/>
          <w:sz w:val="22"/>
        </w:rPr>
        <w:t> Interest</w:t>
      </w:r>
      <w:r>
        <w:rPr>
          <w:sz w:val="22"/>
        </w:rPr>
        <w:t>. 4 April 2019. Accessed on 1 August 2023 at </w:t>
      </w:r>
      <w:hyperlink r:id="rId30">
        <w:r>
          <w:rPr>
            <w:sz w:val="22"/>
          </w:rPr>
          <w:t>www.the-american-interest.com/2019/</w:t>
        </w:r>
      </w:hyperlink>
      <w:r>
        <w:rPr>
          <w:sz w:val="22"/>
        </w:rPr>
        <w:t> </w:t>
      </w:r>
      <w:r>
        <w:rPr>
          <w:spacing w:val="-2"/>
          <w:sz w:val="22"/>
        </w:rPr>
        <w:t>04/04/misdiagnosing-the-chinese-infrastructure-push</w:t>
      </w:r>
    </w:p>
    <w:p>
      <w:pPr>
        <w:pStyle w:val="BodyText"/>
        <w:spacing w:before="5"/>
      </w:pPr>
    </w:p>
    <w:p>
      <w:pPr>
        <w:spacing w:line="288" w:lineRule="auto" w:before="1"/>
        <w:ind w:left="200" w:right="0" w:firstLine="0"/>
        <w:jc w:val="left"/>
        <w:rPr>
          <w:sz w:val="22"/>
        </w:rPr>
      </w:pPr>
      <w:r>
        <w:rPr>
          <w:sz w:val="22"/>
        </w:rPr>
        <w:t>Broccolini, Chiara, Giulia Lotti, Alessandro Mafﬁoli, Andrea F. Presbitero and Rodolfo Stucchi. 2021. Mobilization Effects of Multilateral Development Banks. </w:t>
      </w:r>
      <w:r>
        <w:rPr>
          <w:i/>
          <w:sz w:val="22"/>
        </w:rPr>
        <w:t>World Bank Economic Review </w:t>
      </w:r>
      <w:r>
        <w:rPr>
          <w:sz w:val="22"/>
        </w:rPr>
        <w:t>35</w:t>
      </w:r>
    </w:p>
    <w:p>
      <w:pPr>
        <w:spacing w:before="1"/>
        <w:ind w:left="200" w:right="0" w:firstLine="0"/>
        <w:jc w:val="left"/>
        <w:rPr>
          <w:sz w:val="22"/>
        </w:rPr>
      </w:pPr>
      <w:r>
        <w:rPr>
          <w:w w:val="90"/>
          <w:sz w:val="22"/>
        </w:rPr>
        <w:t>(2):</w:t>
      </w:r>
      <w:r>
        <w:rPr>
          <w:spacing w:val="-5"/>
          <w:sz w:val="22"/>
        </w:rPr>
        <w:t> </w:t>
      </w:r>
      <w:r>
        <w:rPr>
          <w:spacing w:val="-2"/>
          <w:sz w:val="22"/>
        </w:rPr>
        <w:t>521–543.</w:t>
      </w:r>
    </w:p>
    <w:p>
      <w:pPr>
        <w:pStyle w:val="BodyText"/>
        <w:spacing w:before="8"/>
        <w:rPr>
          <w:sz w:val="28"/>
        </w:rPr>
      </w:pPr>
    </w:p>
    <w:p>
      <w:pPr>
        <w:spacing w:line="288" w:lineRule="auto" w:before="0"/>
        <w:ind w:left="200" w:right="0" w:firstLine="0"/>
        <w:jc w:val="left"/>
        <w:rPr>
          <w:sz w:val="22"/>
        </w:rPr>
      </w:pPr>
      <w:r>
        <w:rPr>
          <w:sz w:val="22"/>
        </w:rPr>
        <w:t>Buchanan,</w:t>
      </w:r>
      <w:r>
        <w:rPr>
          <w:spacing w:val="-16"/>
          <w:sz w:val="22"/>
        </w:rPr>
        <w:t> </w:t>
      </w:r>
      <w:r>
        <w:rPr>
          <w:sz w:val="22"/>
        </w:rPr>
        <w:t>Graeme</w:t>
      </w:r>
      <w:r>
        <w:rPr>
          <w:spacing w:val="-15"/>
          <w:sz w:val="22"/>
        </w:rPr>
        <w:t> </w:t>
      </w:r>
      <w:r>
        <w:rPr>
          <w:sz w:val="22"/>
        </w:rPr>
        <w:t>M.,</w:t>
      </w:r>
      <w:r>
        <w:rPr>
          <w:spacing w:val="-15"/>
          <w:sz w:val="22"/>
        </w:rPr>
        <w:t> </w:t>
      </w:r>
      <w:r>
        <w:rPr>
          <w:sz w:val="22"/>
        </w:rPr>
        <w:t>Paul</w:t>
      </w:r>
      <w:r>
        <w:rPr>
          <w:spacing w:val="-16"/>
          <w:sz w:val="22"/>
        </w:rPr>
        <w:t> </w:t>
      </w:r>
      <w:r>
        <w:rPr>
          <w:sz w:val="22"/>
        </w:rPr>
        <w:t>F.</w:t>
      </w:r>
      <w:r>
        <w:rPr>
          <w:spacing w:val="-15"/>
          <w:sz w:val="22"/>
        </w:rPr>
        <w:t> </w:t>
      </w:r>
      <w:r>
        <w:rPr>
          <w:sz w:val="22"/>
        </w:rPr>
        <w:t>Donald,</w:t>
      </w:r>
      <w:r>
        <w:rPr>
          <w:spacing w:val="-15"/>
          <w:sz w:val="22"/>
        </w:rPr>
        <w:t> </w:t>
      </w:r>
      <w:r>
        <w:rPr>
          <w:sz w:val="22"/>
        </w:rPr>
        <w:t>Bradley</w:t>
      </w:r>
      <w:r>
        <w:rPr>
          <w:spacing w:val="-15"/>
          <w:sz w:val="22"/>
        </w:rPr>
        <w:t> </w:t>
      </w:r>
      <w:r>
        <w:rPr>
          <w:sz w:val="22"/>
        </w:rPr>
        <w:t>Parks,</w:t>
      </w:r>
      <w:r>
        <w:rPr>
          <w:spacing w:val="-16"/>
          <w:sz w:val="22"/>
        </w:rPr>
        <w:t> </w:t>
      </w:r>
      <w:r>
        <w:rPr>
          <w:sz w:val="22"/>
        </w:rPr>
        <w:t>Brian</w:t>
      </w:r>
      <w:r>
        <w:rPr>
          <w:spacing w:val="-15"/>
          <w:sz w:val="22"/>
        </w:rPr>
        <w:t> </w:t>
      </w:r>
      <w:r>
        <w:rPr>
          <w:sz w:val="22"/>
        </w:rPr>
        <w:t>O’Donnell,</w:t>
      </w:r>
      <w:r>
        <w:rPr>
          <w:spacing w:val="-15"/>
          <w:sz w:val="22"/>
        </w:rPr>
        <w:t> </w:t>
      </w:r>
      <w:r>
        <w:rPr>
          <w:sz w:val="22"/>
        </w:rPr>
        <w:t>John</w:t>
      </w:r>
      <w:r>
        <w:rPr>
          <w:spacing w:val="-16"/>
          <w:sz w:val="22"/>
        </w:rPr>
        <w:t> </w:t>
      </w:r>
      <w:r>
        <w:rPr>
          <w:sz w:val="22"/>
        </w:rPr>
        <w:t>Swaddle,</w:t>
      </w:r>
      <w:r>
        <w:rPr>
          <w:spacing w:val="-15"/>
          <w:sz w:val="22"/>
        </w:rPr>
        <w:t> </w:t>
      </w:r>
      <w:r>
        <w:rPr>
          <w:sz w:val="22"/>
        </w:rPr>
        <w:t>Lukasz Tracewski,</w:t>
      </w:r>
      <w:r>
        <w:rPr>
          <w:spacing w:val="-5"/>
          <w:sz w:val="22"/>
        </w:rPr>
        <w:t> </w:t>
      </w:r>
      <w:r>
        <w:rPr>
          <w:sz w:val="22"/>
        </w:rPr>
        <w:t>Daniel</w:t>
      </w:r>
      <w:r>
        <w:rPr>
          <w:spacing w:val="-5"/>
          <w:sz w:val="22"/>
        </w:rPr>
        <w:t> </w:t>
      </w:r>
      <w:r>
        <w:rPr>
          <w:sz w:val="22"/>
        </w:rPr>
        <w:t>Runfola,</w:t>
      </w:r>
      <w:r>
        <w:rPr>
          <w:spacing w:val="-5"/>
          <w:sz w:val="22"/>
        </w:rPr>
        <w:t> </w:t>
      </w:r>
      <w:r>
        <w:rPr>
          <w:sz w:val="22"/>
        </w:rPr>
        <w:t>and</w:t>
      </w:r>
      <w:r>
        <w:rPr>
          <w:spacing w:val="-5"/>
          <w:sz w:val="22"/>
        </w:rPr>
        <w:t> </w:t>
      </w:r>
      <w:r>
        <w:rPr>
          <w:sz w:val="22"/>
        </w:rPr>
        <w:t>Stuart</w:t>
      </w:r>
      <w:r>
        <w:rPr>
          <w:spacing w:val="-5"/>
          <w:sz w:val="22"/>
        </w:rPr>
        <w:t> </w:t>
      </w:r>
      <w:r>
        <w:rPr>
          <w:sz w:val="22"/>
        </w:rPr>
        <w:t>H.</w:t>
      </w:r>
      <w:r>
        <w:rPr>
          <w:spacing w:val="-5"/>
          <w:sz w:val="22"/>
        </w:rPr>
        <w:t> </w:t>
      </w:r>
      <w:r>
        <w:rPr>
          <w:sz w:val="22"/>
        </w:rPr>
        <w:t>M.</w:t>
      </w:r>
      <w:r>
        <w:rPr>
          <w:spacing w:val="-5"/>
          <w:sz w:val="22"/>
        </w:rPr>
        <w:t> </w:t>
      </w:r>
      <w:r>
        <w:rPr>
          <w:sz w:val="22"/>
        </w:rPr>
        <w:t>Butchart.</w:t>
      </w:r>
      <w:r>
        <w:rPr>
          <w:spacing w:val="-5"/>
          <w:sz w:val="22"/>
        </w:rPr>
        <w:t> </w:t>
      </w:r>
      <w:r>
        <w:rPr>
          <w:sz w:val="22"/>
        </w:rPr>
        <w:t>2018.</w:t>
      </w:r>
      <w:r>
        <w:rPr>
          <w:spacing w:val="-5"/>
          <w:sz w:val="22"/>
        </w:rPr>
        <w:t> </w:t>
      </w:r>
      <w:r>
        <w:rPr>
          <w:sz w:val="22"/>
        </w:rPr>
        <w:t>The</w:t>
      </w:r>
      <w:r>
        <w:rPr>
          <w:spacing w:val="-5"/>
          <w:sz w:val="22"/>
        </w:rPr>
        <w:t> </w:t>
      </w:r>
      <w:r>
        <w:rPr>
          <w:sz w:val="22"/>
        </w:rPr>
        <w:t>Local</w:t>
      </w:r>
      <w:r>
        <w:rPr>
          <w:spacing w:val="-5"/>
          <w:sz w:val="22"/>
        </w:rPr>
        <w:t> </w:t>
      </w:r>
      <w:r>
        <w:rPr>
          <w:sz w:val="22"/>
        </w:rPr>
        <w:t>Impacts</w:t>
      </w:r>
      <w:r>
        <w:rPr>
          <w:spacing w:val="-5"/>
          <w:sz w:val="22"/>
        </w:rPr>
        <w:t> </w:t>
      </w:r>
      <w:r>
        <w:rPr>
          <w:sz w:val="22"/>
        </w:rPr>
        <w:t>of</w:t>
      </w:r>
      <w:r>
        <w:rPr>
          <w:spacing w:val="-5"/>
          <w:sz w:val="22"/>
        </w:rPr>
        <w:t> </w:t>
      </w:r>
      <w:r>
        <w:rPr>
          <w:sz w:val="22"/>
        </w:rPr>
        <w:t>World</w:t>
      </w:r>
      <w:r>
        <w:rPr>
          <w:spacing w:val="-5"/>
          <w:sz w:val="22"/>
        </w:rPr>
        <w:t> </w:t>
      </w:r>
      <w:r>
        <w:rPr>
          <w:sz w:val="22"/>
        </w:rPr>
        <w:t>Bank Development Projects Near Sites of Conservation Signiﬁcance. </w:t>
      </w:r>
      <w:r>
        <w:rPr>
          <w:i/>
          <w:sz w:val="22"/>
        </w:rPr>
        <w:t>Journal of Environment and</w:t>
      </w:r>
      <w:r>
        <w:rPr>
          <w:i/>
          <w:sz w:val="22"/>
        </w:rPr>
        <w:t> Development </w:t>
      </w:r>
      <w:r>
        <w:rPr>
          <w:sz w:val="22"/>
        </w:rPr>
        <w:t>27 (3): 299–322.</w:t>
      </w:r>
    </w:p>
    <w:p>
      <w:pPr>
        <w:pStyle w:val="BodyText"/>
        <w:spacing w:before="6"/>
      </w:pPr>
    </w:p>
    <w:p>
      <w:pPr>
        <w:spacing w:line="288" w:lineRule="auto" w:before="0"/>
        <w:ind w:left="200" w:right="0" w:firstLine="0"/>
        <w:jc w:val="left"/>
        <w:rPr>
          <w:sz w:val="22"/>
        </w:rPr>
      </w:pPr>
      <w:r>
        <w:rPr>
          <w:sz w:val="22"/>
        </w:rPr>
        <w:t>Bulman, David, Walter Kolkma, and Aart Kraay. 2017. Good countries or good projects? Comparing macro and micro correlates of World Bank and Asian Development Bank project performance. </w:t>
      </w:r>
      <w:r>
        <w:rPr>
          <w:i/>
          <w:sz w:val="22"/>
        </w:rPr>
        <w:t>The Review of International Organizations </w:t>
      </w:r>
      <w:r>
        <w:rPr>
          <w:sz w:val="22"/>
        </w:rPr>
        <w:t>12(3): 335-363.</w:t>
      </w:r>
    </w:p>
    <w:p>
      <w:pPr>
        <w:pStyle w:val="BodyText"/>
        <w:spacing w:before="5"/>
      </w:pPr>
    </w:p>
    <w:p>
      <w:pPr>
        <w:spacing w:line="288" w:lineRule="auto" w:before="1"/>
        <w:ind w:left="200" w:right="0" w:firstLine="0"/>
        <w:jc w:val="left"/>
        <w:rPr>
          <w:sz w:val="22"/>
        </w:rPr>
      </w:pPr>
      <w:r>
        <w:rPr>
          <w:sz w:val="22"/>
        </w:rPr>
        <w:t>Buntaine, Mark T. 2015. Accountability in Global Governance: Civil Society Claims for Environmental</w:t>
      </w:r>
      <w:r>
        <w:rPr>
          <w:spacing w:val="-6"/>
          <w:sz w:val="22"/>
        </w:rPr>
        <w:t> </w:t>
      </w:r>
      <w:r>
        <w:rPr>
          <w:sz w:val="22"/>
        </w:rPr>
        <w:t>Performance</w:t>
      </w:r>
      <w:r>
        <w:rPr>
          <w:spacing w:val="-6"/>
          <w:sz w:val="22"/>
        </w:rPr>
        <w:t> </w:t>
      </w:r>
      <w:r>
        <w:rPr>
          <w:sz w:val="22"/>
        </w:rPr>
        <w:t>at</w:t>
      </w:r>
      <w:r>
        <w:rPr>
          <w:spacing w:val="-6"/>
          <w:sz w:val="22"/>
        </w:rPr>
        <w:t> </w:t>
      </w:r>
      <w:r>
        <w:rPr>
          <w:sz w:val="22"/>
        </w:rPr>
        <w:t>the</w:t>
      </w:r>
      <w:r>
        <w:rPr>
          <w:spacing w:val="-6"/>
          <w:sz w:val="22"/>
        </w:rPr>
        <w:t> </w:t>
      </w:r>
      <w:r>
        <w:rPr>
          <w:sz w:val="22"/>
        </w:rPr>
        <w:t>World</w:t>
      </w:r>
      <w:r>
        <w:rPr>
          <w:spacing w:val="-6"/>
          <w:sz w:val="22"/>
        </w:rPr>
        <w:t> </w:t>
      </w:r>
      <w:r>
        <w:rPr>
          <w:sz w:val="22"/>
        </w:rPr>
        <w:t>Bank.</w:t>
      </w:r>
      <w:r>
        <w:rPr>
          <w:spacing w:val="-6"/>
          <w:sz w:val="22"/>
        </w:rPr>
        <w:t> </w:t>
      </w:r>
      <w:r>
        <w:rPr>
          <w:i/>
          <w:sz w:val="22"/>
        </w:rPr>
        <w:t>International</w:t>
      </w:r>
      <w:r>
        <w:rPr>
          <w:i/>
          <w:spacing w:val="-6"/>
          <w:sz w:val="22"/>
        </w:rPr>
        <w:t> </w:t>
      </w:r>
      <w:r>
        <w:rPr>
          <w:i/>
          <w:sz w:val="22"/>
        </w:rPr>
        <w:t>Studies</w:t>
      </w:r>
      <w:r>
        <w:rPr>
          <w:i/>
          <w:spacing w:val="-6"/>
          <w:sz w:val="22"/>
        </w:rPr>
        <w:t> </w:t>
      </w:r>
      <w:r>
        <w:rPr>
          <w:i/>
          <w:sz w:val="22"/>
        </w:rPr>
        <w:t>Quarterly</w:t>
      </w:r>
      <w:r>
        <w:rPr>
          <w:i/>
          <w:spacing w:val="-6"/>
          <w:sz w:val="22"/>
        </w:rPr>
        <w:t> </w:t>
      </w:r>
      <w:r>
        <w:rPr>
          <w:sz w:val="22"/>
        </w:rPr>
        <w:t>59</w:t>
      </w:r>
      <w:r>
        <w:rPr>
          <w:spacing w:val="-6"/>
          <w:sz w:val="22"/>
        </w:rPr>
        <w:t> </w:t>
      </w:r>
      <w:r>
        <w:rPr>
          <w:sz w:val="22"/>
        </w:rPr>
        <w:t>(1):</w:t>
      </w:r>
      <w:r>
        <w:rPr>
          <w:spacing w:val="-6"/>
          <w:sz w:val="22"/>
        </w:rPr>
        <w:t> </w:t>
      </w:r>
      <w:r>
        <w:rPr>
          <w:sz w:val="22"/>
        </w:rPr>
        <w:t>99–111.</w:t>
      </w:r>
    </w:p>
    <w:p>
      <w:pPr>
        <w:pStyle w:val="BodyText"/>
        <w:spacing w:before="4"/>
      </w:pPr>
    </w:p>
    <w:p>
      <w:pPr>
        <w:spacing w:line="288" w:lineRule="auto" w:before="1"/>
        <w:ind w:left="200" w:right="615" w:firstLine="0"/>
        <w:jc w:val="both"/>
        <w:rPr>
          <w:sz w:val="22"/>
        </w:rPr>
      </w:pPr>
      <w:r>
        <w:rPr>
          <w:sz w:val="22"/>
        </w:rPr>
        <w:t>Buntaine,</w:t>
      </w:r>
      <w:r>
        <w:rPr>
          <w:spacing w:val="-8"/>
          <w:sz w:val="22"/>
        </w:rPr>
        <w:t> </w:t>
      </w:r>
      <w:r>
        <w:rPr>
          <w:sz w:val="22"/>
        </w:rPr>
        <w:t>Mark</w:t>
      </w:r>
      <w:r>
        <w:rPr>
          <w:spacing w:val="-8"/>
          <w:sz w:val="22"/>
        </w:rPr>
        <w:t> </w:t>
      </w:r>
      <w:r>
        <w:rPr>
          <w:sz w:val="22"/>
        </w:rPr>
        <w:t>T.</w:t>
      </w:r>
      <w:r>
        <w:rPr>
          <w:spacing w:val="-8"/>
          <w:sz w:val="22"/>
        </w:rPr>
        <w:t> </w:t>
      </w:r>
      <w:r>
        <w:rPr>
          <w:sz w:val="22"/>
        </w:rPr>
        <w:t>2011.</w:t>
      </w:r>
      <w:r>
        <w:rPr>
          <w:spacing w:val="-8"/>
          <w:sz w:val="22"/>
        </w:rPr>
        <w:t> </w:t>
      </w:r>
      <w:r>
        <w:rPr>
          <w:sz w:val="22"/>
        </w:rPr>
        <w:t>Does</w:t>
      </w:r>
      <w:r>
        <w:rPr>
          <w:spacing w:val="-8"/>
          <w:sz w:val="22"/>
        </w:rPr>
        <w:t> </w:t>
      </w:r>
      <w:r>
        <w:rPr>
          <w:sz w:val="22"/>
        </w:rPr>
        <w:t>the</w:t>
      </w:r>
      <w:r>
        <w:rPr>
          <w:spacing w:val="-8"/>
          <w:sz w:val="22"/>
        </w:rPr>
        <w:t> </w:t>
      </w:r>
      <w:r>
        <w:rPr>
          <w:sz w:val="22"/>
        </w:rPr>
        <w:t>Asian</w:t>
      </w:r>
      <w:r>
        <w:rPr>
          <w:spacing w:val="-8"/>
          <w:sz w:val="22"/>
        </w:rPr>
        <w:t> </w:t>
      </w:r>
      <w:r>
        <w:rPr>
          <w:sz w:val="22"/>
        </w:rPr>
        <w:t>Development</w:t>
      </w:r>
      <w:r>
        <w:rPr>
          <w:spacing w:val="-8"/>
          <w:sz w:val="22"/>
        </w:rPr>
        <w:t> </w:t>
      </w:r>
      <w:r>
        <w:rPr>
          <w:sz w:val="22"/>
        </w:rPr>
        <w:t>Bank</w:t>
      </w:r>
      <w:r>
        <w:rPr>
          <w:spacing w:val="-8"/>
          <w:sz w:val="22"/>
        </w:rPr>
        <w:t> </w:t>
      </w:r>
      <w:r>
        <w:rPr>
          <w:sz w:val="22"/>
        </w:rPr>
        <w:t>Respond</w:t>
      </w:r>
      <w:r>
        <w:rPr>
          <w:spacing w:val="-8"/>
          <w:sz w:val="22"/>
        </w:rPr>
        <w:t> </w:t>
      </w:r>
      <w:r>
        <w:rPr>
          <w:sz w:val="22"/>
        </w:rPr>
        <w:t>to</w:t>
      </w:r>
      <w:r>
        <w:rPr>
          <w:spacing w:val="-8"/>
          <w:sz w:val="22"/>
        </w:rPr>
        <w:t> </w:t>
      </w:r>
      <w:r>
        <w:rPr>
          <w:sz w:val="22"/>
        </w:rPr>
        <w:t>Past</w:t>
      </w:r>
      <w:r>
        <w:rPr>
          <w:spacing w:val="-8"/>
          <w:sz w:val="22"/>
        </w:rPr>
        <w:t> </w:t>
      </w:r>
      <w:r>
        <w:rPr>
          <w:sz w:val="22"/>
        </w:rPr>
        <w:t>Environmental Performance</w:t>
      </w:r>
      <w:r>
        <w:rPr>
          <w:spacing w:val="-4"/>
          <w:sz w:val="22"/>
        </w:rPr>
        <w:t> </w:t>
      </w:r>
      <w:r>
        <w:rPr>
          <w:sz w:val="22"/>
        </w:rPr>
        <w:t>when</w:t>
      </w:r>
      <w:r>
        <w:rPr>
          <w:spacing w:val="-4"/>
          <w:sz w:val="22"/>
        </w:rPr>
        <w:t> </w:t>
      </w:r>
      <w:r>
        <w:rPr>
          <w:sz w:val="22"/>
        </w:rPr>
        <w:t>Allocating</w:t>
      </w:r>
      <w:r>
        <w:rPr>
          <w:spacing w:val="-4"/>
          <w:sz w:val="22"/>
        </w:rPr>
        <w:t> </w:t>
      </w:r>
      <w:r>
        <w:rPr>
          <w:sz w:val="22"/>
        </w:rPr>
        <w:t>Environmentally</w:t>
      </w:r>
      <w:r>
        <w:rPr>
          <w:spacing w:val="-4"/>
          <w:sz w:val="22"/>
        </w:rPr>
        <w:t> </w:t>
      </w:r>
      <w:r>
        <w:rPr>
          <w:sz w:val="22"/>
        </w:rPr>
        <w:t>Risky</w:t>
      </w:r>
      <w:r>
        <w:rPr>
          <w:spacing w:val="-4"/>
          <w:sz w:val="22"/>
        </w:rPr>
        <w:t> </w:t>
      </w:r>
      <w:r>
        <w:rPr>
          <w:sz w:val="22"/>
        </w:rPr>
        <w:t>Financing?</w:t>
      </w:r>
      <w:r>
        <w:rPr>
          <w:spacing w:val="-4"/>
          <w:sz w:val="22"/>
        </w:rPr>
        <w:t> </w:t>
      </w:r>
      <w:r>
        <w:rPr>
          <w:i/>
          <w:sz w:val="22"/>
        </w:rPr>
        <w:t>World</w:t>
      </w:r>
      <w:r>
        <w:rPr>
          <w:i/>
          <w:spacing w:val="-4"/>
          <w:sz w:val="22"/>
        </w:rPr>
        <w:t> </w:t>
      </w:r>
      <w:r>
        <w:rPr>
          <w:i/>
          <w:sz w:val="22"/>
        </w:rPr>
        <w:t>Development</w:t>
      </w:r>
      <w:r>
        <w:rPr>
          <w:i/>
          <w:spacing w:val="-4"/>
          <w:sz w:val="22"/>
        </w:rPr>
        <w:t> </w:t>
      </w:r>
      <w:r>
        <w:rPr>
          <w:sz w:val="22"/>
        </w:rPr>
        <w:t>39</w:t>
      </w:r>
      <w:r>
        <w:rPr>
          <w:spacing w:val="-4"/>
          <w:sz w:val="22"/>
        </w:rPr>
        <w:t> </w:t>
      </w:r>
      <w:r>
        <w:rPr>
          <w:sz w:val="22"/>
        </w:rPr>
        <w:t>(3): </w:t>
      </w:r>
      <w:r>
        <w:rPr>
          <w:spacing w:val="-2"/>
          <w:sz w:val="22"/>
        </w:rPr>
        <w:t>336-350.</w:t>
      </w:r>
    </w:p>
    <w:p>
      <w:pPr>
        <w:pStyle w:val="BodyText"/>
        <w:spacing w:before="5"/>
      </w:pPr>
    </w:p>
    <w:p>
      <w:pPr>
        <w:spacing w:line="288" w:lineRule="auto" w:before="1"/>
        <w:ind w:left="200" w:right="526" w:firstLine="0"/>
        <w:jc w:val="both"/>
        <w:rPr>
          <w:sz w:val="22"/>
        </w:rPr>
      </w:pPr>
      <w:r>
        <w:rPr>
          <w:sz w:val="22"/>
        </w:rPr>
        <w:t>Buntaine,</w:t>
      </w:r>
      <w:r>
        <w:rPr>
          <w:spacing w:val="-3"/>
          <w:sz w:val="22"/>
        </w:rPr>
        <w:t> </w:t>
      </w:r>
      <w:r>
        <w:rPr>
          <w:sz w:val="22"/>
        </w:rPr>
        <w:t>Mark.</w:t>
      </w:r>
      <w:r>
        <w:rPr>
          <w:spacing w:val="-3"/>
          <w:sz w:val="22"/>
        </w:rPr>
        <w:t> </w:t>
      </w:r>
      <w:r>
        <w:rPr>
          <w:sz w:val="22"/>
        </w:rPr>
        <w:t>2016.</w:t>
      </w:r>
      <w:r>
        <w:rPr>
          <w:spacing w:val="-3"/>
          <w:sz w:val="22"/>
        </w:rPr>
        <w:t> </w:t>
      </w:r>
      <w:r>
        <w:rPr>
          <w:i/>
          <w:sz w:val="22"/>
        </w:rPr>
        <w:t>Giving</w:t>
      </w:r>
      <w:r>
        <w:rPr>
          <w:i/>
          <w:spacing w:val="-3"/>
          <w:sz w:val="22"/>
        </w:rPr>
        <w:t> </w:t>
      </w:r>
      <w:r>
        <w:rPr>
          <w:i/>
          <w:sz w:val="22"/>
        </w:rPr>
        <w:t>Aid</w:t>
      </w:r>
      <w:r>
        <w:rPr>
          <w:i/>
          <w:spacing w:val="-3"/>
          <w:sz w:val="22"/>
        </w:rPr>
        <w:t> </w:t>
      </w:r>
      <w:r>
        <w:rPr>
          <w:i/>
          <w:sz w:val="22"/>
        </w:rPr>
        <w:t>Effectively:</w:t>
      </w:r>
      <w:r>
        <w:rPr>
          <w:i/>
          <w:spacing w:val="-3"/>
          <w:sz w:val="22"/>
        </w:rPr>
        <w:t> </w:t>
      </w:r>
      <w:r>
        <w:rPr>
          <w:i/>
          <w:sz w:val="22"/>
        </w:rPr>
        <w:t>The</w:t>
      </w:r>
      <w:r>
        <w:rPr>
          <w:i/>
          <w:spacing w:val="-3"/>
          <w:sz w:val="22"/>
        </w:rPr>
        <w:t> </w:t>
      </w:r>
      <w:r>
        <w:rPr>
          <w:i/>
          <w:sz w:val="22"/>
        </w:rPr>
        <w:t>Politics</w:t>
      </w:r>
      <w:r>
        <w:rPr>
          <w:i/>
          <w:spacing w:val="-3"/>
          <w:sz w:val="22"/>
        </w:rPr>
        <w:t> </w:t>
      </w:r>
      <w:r>
        <w:rPr>
          <w:i/>
          <w:sz w:val="22"/>
        </w:rPr>
        <w:t>of</w:t>
      </w:r>
      <w:r>
        <w:rPr>
          <w:i/>
          <w:spacing w:val="-3"/>
          <w:sz w:val="22"/>
        </w:rPr>
        <w:t> </w:t>
      </w:r>
      <w:r>
        <w:rPr>
          <w:i/>
          <w:sz w:val="22"/>
        </w:rPr>
        <w:t>Environmental</w:t>
      </w:r>
      <w:r>
        <w:rPr>
          <w:i/>
          <w:spacing w:val="-3"/>
          <w:sz w:val="22"/>
        </w:rPr>
        <w:t> </w:t>
      </w:r>
      <w:r>
        <w:rPr>
          <w:i/>
          <w:sz w:val="22"/>
        </w:rPr>
        <w:t>Performance</w:t>
      </w:r>
      <w:r>
        <w:rPr>
          <w:i/>
          <w:spacing w:val="-3"/>
          <w:sz w:val="22"/>
        </w:rPr>
        <w:t> </w:t>
      </w:r>
      <w:r>
        <w:rPr>
          <w:i/>
          <w:sz w:val="22"/>
        </w:rPr>
        <w:t>and</w:t>
      </w:r>
      <w:r>
        <w:rPr>
          <w:i/>
          <w:sz w:val="22"/>
        </w:rPr>
        <w:t> Selectivity at Multilateral Development Banks. </w:t>
      </w:r>
      <w:r>
        <w:rPr>
          <w:sz w:val="22"/>
        </w:rPr>
        <w:t>Oxford: Oxford University Press.</w:t>
      </w:r>
    </w:p>
    <w:p>
      <w:pPr>
        <w:pStyle w:val="BodyText"/>
        <w:spacing w:before="5"/>
      </w:pPr>
    </w:p>
    <w:p>
      <w:pPr>
        <w:spacing w:line="288" w:lineRule="auto" w:before="0"/>
        <w:ind w:left="200" w:right="589" w:firstLine="0"/>
        <w:jc w:val="left"/>
        <w:rPr>
          <w:sz w:val="22"/>
        </w:rPr>
      </w:pPr>
      <w:r>
        <w:rPr>
          <w:sz w:val="22"/>
        </w:rPr>
        <w:t>Chen,</w:t>
      </w:r>
      <w:r>
        <w:rPr>
          <w:spacing w:val="-4"/>
          <w:sz w:val="22"/>
        </w:rPr>
        <w:t> </w:t>
      </w:r>
      <w:r>
        <w:rPr>
          <w:sz w:val="22"/>
        </w:rPr>
        <w:t>Yunnan</w:t>
      </w:r>
      <w:r>
        <w:rPr>
          <w:spacing w:val="-4"/>
          <w:sz w:val="22"/>
        </w:rPr>
        <w:t> </w:t>
      </w:r>
      <w:r>
        <w:rPr>
          <w:sz w:val="22"/>
        </w:rPr>
        <w:t>and</w:t>
      </w:r>
      <w:r>
        <w:rPr>
          <w:spacing w:val="-4"/>
          <w:sz w:val="22"/>
        </w:rPr>
        <w:t> </w:t>
      </w:r>
      <w:r>
        <w:rPr>
          <w:sz w:val="22"/>
        </w:rPr>
        <w:t>David</w:t>
      </w:r>
      <w:r>
        <w:rPr>
          <w:spacing w:val="-4"/>
          <w:sz w:val="22"/>
        </w:rPr>
        <w:t> </w:t>
      </w:r>
      <w:r>
        <w:rPr>
          <w:sz w:val="22"/>
        </w:rPr>
        <w:t>Landry.</w:t>
      </w:r>
      <w:r>
        <w:rPr>
          <w:spacing w:val="-4"/>
          <w:sz w:val="22"/>
        </w:rPr>
        <w:t> </w:t>
      </w:r>
      <w:r>
        <w:rPr>
          <w:sz w:val="22"/>
        </w:rPr>
        <w:t>2018.</w:t>
      </w:r>
      <w:r>
        <w:rPr>
          <w:spacing w:val="-4"/>
          <w:sz w:val="22"/>
        </w:rPr>
        <w:t> </w:t>
      </w:r>
      <w:r>
        <w:rPr>
          <w:sz w:val="22"/>
        </w:rPr>
        <w:t>Capturing</w:t>
      </w:r>
      <w:r>
        <w:rPr>
          <w:spacing w:val="-4"/>
          <w:sz w:val="22"/>
        </w:rPr>
        <w:t> </w:t>
      </w:r>
      <w:r>
        <w:rPr>
          <w:sz w:val="22"/>
        </w:rPr>
        <w:t>the</w:t>
      </w:r>
      <w:r>
        <w:rPr>
          <w:spacing w:val="-4"/>
          <w:sz w:val="22"/>
        </w:rPr>
        <w:t> </w:t>
      </w:r>
      <w:r>
        <w:rPr>
          <w:sz w:val="22"/>
        </w:rPr>
        <w:t>rains:</w:t>
      </w:r>
      <w:r>
        <w:rPr>
          <w:spacing w:val="-4"/>
          <w:sz w:val="22"/>
        </w:rPr>
        <w:t> </w:t>
      </w:r>
      <w:r>
        <w:rPr>
          <w:sz w:val="22"/>
        </w:rPr>
        <w:t>Comparing</w:t>
      </w:r>
      <w:r>
        <w:rPr>
          <w:spacing w:val="-4"/>
          <w:sz w:val="22"/>
        </w:rPr>
        <w:t> </w:t>
      </w:r>
      <w:r>
        <w:rPr>
          <w:sz w:val="22"/>
        </w:rPr>
        <w:t>Chinese</w:t>
      </w:r>
      <w:r>
        <w:rPr>
          <w:spacing w:val="-4"/>
          <w:sz w:val="22"/>
        </w:rPr>
        <w:t> </w:t>
      </w:r>
      <w:r>
        <w:rPr>
          <w:sz w:val="22"/>
        </w:rPr>
        <w:t>and</w:t>
      </w:r>
      <w:r>
        <w:rPr>
          <w:spacing w:val="-4"/>
          <w:sz w:val="22"/>
        </w:rPr>
        <w:t> </w:t>
      </w:r>
      <w:r>
        <w:rPr>
          <w:sz w:val="22"/>
        </w:rPr>
        <w:t>World Bank hydropower projects in Cameroon and pathways for South-South and North South technology transfer. </w:t>
      </w:r>
      <w:r>
        <w:rPr>
          <w:i/>
          <w:sz w:val="22"/>
        </w:rPr>
        <w:t>Energy Policy </w:t>
      </w:r>
      <w:r>
        <w:rPr>
          <w:sz w:val="22"/>
        </w:rPr>
        <w:t>115: 561–571.</w:t>
      </w:r>
    </w:p>
    <w:p>
      <w:pPr>
        <w:pStyle w:val="BodyText"/>
        <w:spacing w:before="5"/>
      </w:pPr>
    </w:p>
    <w:p>
      <w:pPr>
        <w:spacing w:line="288" w:lineRule="auto" w:before="0"/>
        <w:ind w:left="200" w:right="327" w:firstLine="0"/>
        <w:jc w:val="left"/>
        <w:rPr>
          <w:sz w:val="22"/>
        </w:rPr>
      </w:pPr>
      <w:r>
        <w:rPr>
          <w:sz w:val="22"/>
        </w:rPr>
        <w:t>Cheng, Wenting, and Kai Zhang. 2023. Setting ‘green’ boundaries for Chinese green ﬁnance: Multi-level governance and regulatory stringency. </w:t>
      </w:r>
      <w:r>
        <w:rPr>
          <w:i/>
          <w:sz w:val="22"/>
        </w:rPr>
        <w:t>Environmental Policy and Governance </w:t>
      </w:r>
      <w:r>
        <w:rPr>
          <w:sz w:val="22"/>
        </w:rPr>
        <w:t>1-13.</w:t>
      </w:r>
    </w:p>
    <w:p>
      <w:pPr>
        <w:pStyle w:val="BodyText"/>
        <w:spacing w:before="5"/>
      </w:pPr>
    </w:p>
    <w:p>
      <w:pPr>
        <w:spacing w:line="288" w:lineRule="auto" w:before="0"/>
        <w:ind w:left="200" w:right="252" w:firstLine="0"/>
        <w:jc w:val="left"/>
        <w:rPr>
          <w:sz w:val="22"/>
        </w:rPr>
      </w:pPr>
      <w:r>
        <w:rPr>
          <w:sz w:val="22"/>
        </w:rPr>
        <w:t>China</w:t>
      </w:r>
      <w:r>
        <w:rPr>
          <w:spacing w:val="-4"/>
          <w:sz w:val="22"/>
        </w:rPr>
        <w:t> </w:t>
      </w:r>
      <w:r>
        <w:rPr>
          <w:sz w:val="22"/>
        </w:rPr>
        <w:t>Banking</w:t>
      </w:r>
      <w:r>
        <w:rPr>
          <w:spacing w:val="-4"/>
          <w:sz w:val="22"/>
        </w:rPr>
        <w:t> </w:t>
      </w:r>
      <w:r>
        <w:rPr>
          <w:sz w:val="22"/>
        </w:rPr>
        <w:t>Regulatory</w:t>
      </w:r>
      <w:r>
        <w:rPr>
          <w:spacing w:val="-4"/>
          <w:sz w:val="22"/>
        </w:rPr>
        <w:t> </w:t>
      </w:r>
      <w:r>
        <w:rPr>
          <w:sz w:val="22"/>
        </w:rPr>
        <w:t>Commission</w:t>
      </w:r>
      <w:r>
        <w:rPr>
          <w:spacing w:val="-4"/>
          <w:sz w:val="22"/>
        </w:rPr>
        <w:t> </w:t>
      </w:r>
      <w:r>
        <w:rPr>
          <w:sz w:val="22"/>
        </w:rPr>
        <w:t>(CBRC).</w:t>
      </w:r>
      <w:r>
        <w:rPr>
          <w:spacing w:val="-4"/>
          <w:sz w:val="22"/>
        </w:rPr>
        <w:t> </w:t>
      </w:r>
      <w:r>
        <w:rPr>
          <w:sz w:val="22"/>
        </w:rPr>
        <w:t>2017a.</w:t>
      </w:r>
      <w:r>
        <w:rPr>
          <w:spacing w:val="-4"/>
          <w:sz w:val="22"/>
        </w:rPr>
        <w:t> </w:t>
      </w:r>
      <w:r>
        <w:rPr>
          <w:sz w:val="22"/>
        </w:rPr>
        <w:t>Measures</w:t>
      </w:r>
      <w:r>
        <w:rPr>
          <w:spacing w:val="-4"/>
          <w:sz w:val="22"/>
        </w:rPr>
        <w:t> </w:t>
      </w:r>
      <w:r>
        <w:rPr>
          <w:sz w:val="22"/>
        </w:rPr>
        <w:t>for</w:t>
      </w:r>
      <w:r>
        <w:rPr>
          <w:spacing w:val="-4"/>
          <w:sz w:val="22"/>
        </w:rPr>
        <w:t> </w:t>
      </w:r>
      <w:r>
        <w:rPr>
          <w:sz w:val="22"/>
        </w:rPr>
        <w:t>the</w:t>
      </w:r>
      <w:r>
        <w:rPr>
          <w:spacing w:val="-4"/>
          <w:sz w:val="22"/>
        </w:rPr>
        <w:t> </w:t>
      </w:r>
      <w:r>
        <w:rPr>
          <w:sz w:val="22"/>
        </w:rPr>
        <w:t>Supervision</w:t>
      </w:r>
      <w:r>
        <w:rPr>
          <w:spacing w:val="-4"/>
          <w:sz w:val="22"/>
        </w:rPr>
        <w:t> </w:t>
      </w:r>
      <w:r>
        <w:rPr>
          <w:sz w:val="22"/>
        </w:rPr>
        <w:t>and Administration of China Development Bank. 15 November 2017. Beijing: CBRC. Accessed on </w:t>
      </w:r>
      <w:r>
        <w:rPr>
          <w:w w:val="105"/>
          <w:sz w:val="22"/>
        </w:rPr>
        <w:t>15</w:t>
      </w:r>
      <w:r>
        <w:rPr>
          <w:spacing w:val="-17"/>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w:t>
      </w:r>
      <w:r>
        <w:rPr>
          <w:spacing w:val="-16"/>
          <w:w w:val="105"/>
          <w:sz w:val="22"/>
        </w:rPr>
        <w:t> </w:t>
      </w:r>
      <w:r>
        <w:rPr>
          <w:w w:val="105"/>
          <w:sz w:val="22"/>
        </w:rPr>
        <w:t>https://</w:t>
      </w:r>
      <w:hyperlink r:id="rId31">
        <w:r>
          <w:rPr>
            <w:w w:val="105"/>
            <w:sz w:val="22"/>
          </w:rPr>
          <w:t>www.gov.cn/gongbao/content/2018/content_5260809.htm</w:t>
        </w:r>
      </w:hyperlink>
    </w:p>
    <w:p>
      <w:pPr>
        <w:spacing w:after="0" w:line="288" w:lineRule="auto"/>
        <w:jc w:val="left"/>
        <w:rPr>
          <w:sz w:val="22"/>
        </w:rPr>
        <w:sectPr>
          <w:footerReference w:type="default" r:id="rId29"/>
          <w:pgSz w:w="12240" w:h="15840"/>
          <w:pgMar w:footer="0" w:header="0" w:top="1400" w:bottom="280" w:left="1240" w:right="1260"/>
        </w:sectPr>
      </w:pPr>
    </w:p>
    <w:p>
      <w:pPr>
        <w:spacing w:line="288" w:lineRule="auto" w:before="44"/>
        <w:ind w:left="200" w:right="0" w:firstLine="0"/>
        <w:jc w:val="left"/>
        <w:rPr>
          <w:sz w:val="22"/>
        </w:rPr>
      </w:pPr>
      <w:r>
        <w:rPr>
          <w:sz w:val="22"/>
        </w:rPr>
        <w:t>China</w:t>
      </w:r>
      <w:r>
        <w:rPr>
          <w:spacing w:val="-16"/>
          <w:sz w:val="22"/>
        </w:rPr>
        <w:t> </w:t>
      </w:r>
      <w:r>
        <w:rPr>
          <w:sz w:val="22"/>
        </w:rPr>
        <w:t>Banking</w:t>
      </w:r>
      <w:r>
        <w:rPr>
          <w:spacing w:val="-15"/>
          <w:sz w:val="22"/>
        </w:rPr>
        <w:t> </w:t>
      </w:r>
      <w:r>
        <w:rPr>
          <w:sz w:val="22"/>
        </w:rPr>
        <w:t>Regulatory</w:t>
      </w:r>
      <w:r>
        <w:rPr>
          <w:spacing w:val="-15"/>
          <w:sz w:val="22"/>
        </w:rPr>
        <w:t> </w:t>
      </w:r>
      <w:r>
        <w:rPr>
          <w:sz w:val="22"/>
        </w:rPr>
        <w:t>Commission</w:t>
      </w:r>
      <w:r>
        <w:rPr>
          <w:spacing w:val="-15"/>
          <w:sz w:val="22"/>
        </w:rPr>
        <w:t> </w:t>
      </w:r>
      <w:r>
        <w:rPr>
          <w:sz w:val="22"/>
        </w:rPr>
        <w:t>(CBRC).</w:t>
      </w:r>
      <w:r>
        <w:rPr>
          <w:spacing w:val="-16"/>
          <w:sz w:val="22"/>
        </w:rPr>
        <w:t> </w:t>
      </w:r>
      <w:r>
        <w:rPr>
          <w:sz w:val="22"/>
        </w:rPr>
        <w:t>2017b.</w:t>
      </w:r>
      <w:r>
        <w:rPr>
          <w:spacing w:val="-15"/>
          <w:sz w:val="22"/>
        </w:rPr>
        <w:t> </w:t>
      </w:r>
      <w:r>
        <w:rPr>
          <w:sz w:val="22"/>
        </w:rPr>
        <w:t>Measures</w:t>
      </w:r>
      <w:r>
        <w:rPr>
          <w:spacing w:val="-15"/>
          <w:sz w:val="22"/>
        </w:rPr>
        <w:t> </w:t>
      </w:r>
      <w:r>
        <w:rPr>
          <w:sz w:val="22"/>
        </w:rPr>
        <w:t>for</w:t>
      </w:r>
      <w:r>
        <w:rPr>
          <w:spacing w:val="-15"/>
          <w:sz w:val="22"/>
        </w:rPr>
        <w:t> </w:t>
      </w:r>
      <w:r>
        <w:rPr>
          <w:sz w:val="22"/>
        </w:rPr>
        <w:t>the</w:t>
      </w:r>
      <w:r>
        <w:rPr>
          <w:spacing w:val="-16"/>
          <w:sz w:val="22"/>
        </w:rPr>
        <w:t> </w:t>
      </w:r>
      <w:r>
        <w:rPr>
          <w:sz w:val="22"/>
        </w:rPr>
        <w:t>Supervision</w:t>
      </w:r>
      <w:r>
        <w:rPr>
          <w:spacing w:val="-15"/>
          <w:sz w:val="22"/>
        </w:rPr>
        <w:t> </w:t>
      </w:r>
      <w:r>
        <w:rPr>
          <w:sz w:val="22"/>
        </w:rPr>
        <w:t>and </w:t>
      </w:r>
      <w:r>
        <w:rPr>
          <w:spacing w:val="-2"/>
          <w:w w:val="105"/>
          <w:sz w:val="22"/>
        </w:rPr>
        <w:t>Administration</w:t>
      </w:r>
      <w:r>
        <w:rPr>
          <w:spacing w:val="-9"/>
          <w:w w:val="105"/>
          <w:sz w:val="22"/>
        </w:rPr>
        <w:t> </w:t>
      </w:r>
      <w:r>
        <w:rPr>
          <w:spacing w:val="-2"/>
          <w:w w:val="105"/>
          <w:sz w:val="22"/>
        </w:rPr>
        <w:t>of</w:t>
      </w:r>
      <w:r>
        <w:rPr>
          <w:spacing w:val="-9"/>
          <w:w w:val="105"/>
          <w:sz w:val="22"/>
        </w:rPr>
        <w:t> </w:t>
      </w:r>
      <w:r>
        <w:rPr>
          <w:spacing w:val="-2"/>
          <w:w w:val="105"/>
          <w:sz w:val="22"/>
        </w:rPr>
        <w:t>the</w:t>
      </w:r>
      <w:r>
        <w:rPr>
          <w:spacing w:val="-9"/>
          <w:w w:val="105"/>
          <w:sz w:val="22"/>
        </w:rPr>
        <w:t> </w:t>
      </w:r>
      <w:r>
        <w:rPr>
          <w:spacing w:val="-2"/>
          <w:w w:val="105"/>
          <w:sz w:val="22"/>
        </w:rPr>
        <w:t>Export-Import</w:t>
      </w:r>
      <w:r>
        <w:rPr>
          <w:spacing w:val="-9"/>
          <w:w w:val="105"/>
          <w:sz w:val="22"/>
        </w:rPr>
        <w:t> </w:t>
      </w:r>
      <w:r>
        <w:rPr>
          <w:spacing w:val="-2"/>
          <w:w w:val="105"/>
          <w:sz w:val="22"/>
        </w:rPr>
        <w:t>Bank</w:t>
      </w:r>
      <w:r>
        <w:rPr>
          <w:spacing w:val="-9"/>
          <w:w w:val="105"/>
          <w:sz w:val="22"/>
        </w:rPr>
        <w:t> </w:t>
      </w:r>
      <w:r>
        <w:rPr>
          <w:spacing w:val="-2"/>
          <w:w w:val="105"/>
          <w:sz w:val="22"/>
        </w:rPr>
        <w:t>of</w:t>
      </w:r>
      <w:r>
        <w:rPr>
          <w:spacing w:val="-9"/>
          <w:w w:val="105"/>
          <w:sz w:val="22"/>
        </w:rPr>
        <w:t> </w:t>
      </w:r>
      <w:r>
        <w:rPr>
          <w:spacing w:val="-2"/>
          <w:w w:val="105"/>
          <w:sz w:val="22"/>
        </w:rPr>
        <w:t>China.</w:t>
      </w:r>
      <w:r>
        <w:rPr>
          <w:spacing w:val="-9"/>
          <w:w w:val="105"/>
          <w:sz w:val="22"/>
        </w:rPr>
        <w:t> </w:t>
      </w:r>
      <w:r>
        <w:rPr>
          <w:spacing w:val="-2"/>
          <w:w w:val="105"/>
          <w:sz w:val="22"/>
        </w:rPr>
        <w:t>15</w:t>
      </w:r>
      <w:r>
        <w:rPr>
          <w:spacing w:val="-9"/>
          <w:w w:val="105"/>
          <w:sz w:val="22"/>
        </w:rPr>
        <w:t> </w:t>
      </w:r>
      <w:r>
        <w:rPr>
          <w:spacing w:val="-2"/>
          <w:w w:val="105"/>
          <w:sz w:val="22"/>
        </w:rPr>
        <w:t>November</w:t>
      </w:r>
      <w:r>
        <w:rPr>
          <w:spacing w:val="-9"/>
          <w:w w:val="105"/>
          <w:sz w:val="22"/>
        </w:rPr>
        <w:t> </w:t>
      </w:r>
      <w:r>
        <w:rPr>
          <w:spacing w:val="-2"/>
          <w:w w:val="105"/>
          <w:sz w:val="22"/>
        </w:rPr>
        <w:t>2017.</w:t>
      </w:r>
      <w:r>
        <w:rPr>
          <w:spacing w:val="-9"/>
          <w:w w:val="105"/>
          <w:sz w:val="22"/>
        </w:rPr>
        <w:t> </w:t>
      </w:r>
      <w:r>
        <w:rPr>
          <w:spacing w:val="-2"/>
          <w:w w:val="105"/>
          <w:sz w:val="22"/>
        </w:rPr>
        <w:t>Beijing:</w:t>
      </w:r>
      <w:r>
        <w:rPr>
          <w:spacing w:val="-9"/>
          <w:w w:val="105"/>
          <w:sz w:val="22"/>
        </w:rPr>
        <w:t> </w:t>
      </w:r>
      <w:r>
        <w:rPr>
          <w:spacing w:val="-2"/>
          <w:w w:val="105"/>
          <w:sz w:val="22"/>
        </w:rPr>
        <w:t>CBRC. </w:t>
      </w:r>
      <w:r>
        <w:rPr>
          <w:w w:val="105"/>
          <w:sz w:val="22"/>
        </w:rPr>
        <w:t>Accessed</w:t>
      </w:r>
      <w:r>
        <w:rPr>
          <w:spacing w:val="-4"/>
          <w:w w:val="105"/>
          <w:sz w:val="22"/>
        </w:rPr>
        <w:t> </w:t>
      </w:r>
      <w:r>
        <w:rPr>
          <w:w w:val="105"/>
          <w:sz w:val="22"/>
        </w:rPr>
        <w:t>on</w:t>
      </w:r>
      <w:r>
        <w:rPr>
          <w:spacing w:val="-4"/>
          <w:w w:val="105"/>
          <w:sz w:val="22"/>
        </w:rPr>
        <w:t> </w:t>
      </w:r>
      <w:r>
        <w:rPr>
          <w:w w:val="105"/>
          <w:sz w:val="22"/>
        </w:rPr>
        <w:t>15</w:t>
      </w:r>
      <w:r>
        <w:rPr>
          <w:spacing w:val="-4"/>
          <w:w w:val="105"/>
          <w:sz w:val="22"/>
        </w:rPr>
        <w:t> </w:t>
      </w:r>
      <w:r>
        <w:rPr>
          <w:w w:val="105"/>
          <w:sz w:val="22"/>
        </w:rPr>
        <w:t>August</w:t>
      </w:r>
      <w:r>
        <w:rPr>
          <w:spacing w:val="-4"/>
          <w:w w:val="105"/>
          <w:sz w:val="22"/>
        </w:rPr>
        <w:t> </w:t>
      </w:r>
      <w:r>
        <w:rPr>
          <w:w w:val="105"/>
          <w:sz w:val="22"/>
        </w:rPr>
        <w:t>2023</w:t>
      </w:r>
      <w:r>
        <w:rPr>
          <w:spacing w:val="-4"/>
          <w:w w:val="105"/>
          <w:sz w:val="22"/>
        </w:rPr>
        <w:t> </w:t>
      </w:r>
      <w:r>
        <w:rPr>
          <w:w w:val="105"/>
          <w:sz w:val="22"/>
        </w:rPr>
        <w:t>at </w:t>
      </w:r>
      <w:hyperlink r:id="rId33">
        <w:r>
          <w:rPr>
            <w:color w:val="1154CC"/>
            <w:spacing w:val="-2"/>
            <w:w w:val="105"/>
            <w:sz w:val="22"/>
            <w:u w:val="thick" w:color="1154CC"/>
          </w:rPr>
          <w:t>https://www.gov.cn/gongbao/content/2018/content_5264999.htm</w:t>
        </w:r>
      </w:hyperlink>
    </w:p>
    <w:p>
      <w:pPr>
        <w:pStyle w:val="BodyText"/>
        <w:spacing w:before="4"/>
      </w:pPr>
    </w:p>
    <w:p>
      <w:pPr>
        <w:spacing w:line="288" w:lineRule="auto" w:before="0"/>
        <w:ind w:left="200" w:right="252" w:firstLine="0"/>
        <w:jc w:val="left"/>
        <w:rPr>
          <w:sz w:val="22"/>
        </w:rPr>
      </w:pPr>
      <w:r>
        <w:rPr>
          <w:sz w:val="22"/>
        </w:rPr>
        <w:t>Custer,</w:t>
      </w:r>
      <w:r>
        <w:rPr>
          <w:spacing w:val="-1"/>
          <w:sz w:val="22"/>
        </w:rPr>
        <w:t> </w:t>
      </w:r>
      <w:r>
        <w:rPr>
          <w:sz w:val="22"/>
        </w:rPr>
        <w:t>Samantha,</w:t>
      </w:r>
      <w:r>
        <w:rPr>
          <w:spacing w:val="-1"/>
          <w:sz w:val="22"/>
        </w:rPr>
        <w:t> </w:t>
      </w:r>
      <w:r>
        <w:rPr>
          <w:sz w:val="22"/>
        </w:rPr>
        <w:t>Tanya</w:t>
      </w:r>
      <w:r>
        <w:rPr>
          <w:spacing w:val="-1"/>
          <w:sz w:val="22"/>
        </w:rPr>
        <w:t> </w:t>
      </w:r>
      <w:r>
        <w:rPr>
          <w:sz w:val="22"/>
        </w:rPr>
        <w:t>Sethi,</w:t>
      </w:r>
      <w:r>
        <w:rPr>
          <w:spacing w:val="-1"/>
          <w:sz w:val="22"/>
        </w:rPr>
        <w:t> </w:t>
      </w:r>
      <w:r>
        <w:rPr>
          <w:sz w:val="22"/>
        </w:rPr>
        <w:t>Rodney</w:t>
      </w:r>
      <w:r>
        <w:rPr>
          <w:spacing w:val="-1"/>
          <w:sz w:val="22"/>
        </w:rPr>
        <w:t> </w:t>
      </w:r>
      <w:r>
        <w:rPr>
          <w:sz w:val="22"/>
        </w:rPr>
        <w:t>Knight,</w:t>
      </w:r>
      <w:r>
        <w:rPr>
          <w:spacing w:val="-1"/>
          <w:sz w:val="22"/>
        </w:rPr>
        <w:t> </w:t>
      </w:r>
      <w:r>
        <w:rPr>
          <w:sz w:val="22"/>
        </w:rPr>
        <w:t>Amber</w:t>
      </w:r>
      <w:r>
        <w:rPr>
          <w:spacing w:val="-1"/>
          <w:sz w:val="22"/>
        </w:rPr>
        <w:t> </w:t>
      </w:r>
      <w:r>
        <w:rPr>
          <w:sz w:val="22"/>
        </w:rPr>
        <w:t>Hutchinson,</w:t>
      </w:r>
      <w:r>
        <w:rPr>
          <w:spacing w:val="-1"/>
          <w:sz w:val="22"/>
        </w:rPr>
        <w:t> </w:t>
      </w:r>
      <w:r>
        <w:rPr>
          <w:sz w:val="22"/>
        </w:rPr>
        <w:t>Vera</w:t>
      </w:r>
      <w:r>
        <w:rPr>
          <w:spacing w:val="-1"/>
          <w:sz w:val="22"/>
        </w:rPr>
        <w:t> </w:t>
      </w:r>
      <w:r>
        <w:rPr>
          <w:sz w:val="22"/>
        </w:rPr>
        <w:t>Choo,</w:t>
      </w:r>
      <w:r>
        <w:rPr>
          <w:spacing w:val="-1"/>
          <w:sz w:val="22"/>
        </w:rPr>
        <w:t> </w:t>
      </w:r>
      <w:r>
        <w:rPr>
          <w:sz w:val="22"/>
        </w:rPr>
        <w:t>Mengfan Cheng. 2021. Listening to Leaders 2021: A report card for development partners in an era of contested cooperation. Williamsburg, VA: AidData at the College of William &amp; Mary.</w:t>
      </w:r>
    </w:p>
    <w:p>
      <w:pPr>
        <w:pStyle w:val="BodyText"/>
        <w:spacing w:before="4"/>
      </w:pPr>
    </w:p>
    <w:p>
      <w:pPr>
        <w:spacing w:line="288" w:lineRule="auto" w:before="0"/>
        <w:ind w:left="200" w:right="0" w:firstLine="0"/>
        <w:jc w:val="left"/>
        <w:rPr>
          <w:sz w:val="22"/>
        </w:rPr>
      </w:pPr>
      <w:r>
        <w:rPr>
          <w:sz w:val="22"/>
        </w:rPr>
        <w:t>Dollar,</w:t>
      </w:r>
      <w:r>
        <w:rPr>
          <w:spacing w:val="-6"/>
          <w:sz w:val="22"/>
        </w:rPr>
        <w:t> </w:t>
      </w:r>
      <w:r>
        <w:rPr>
          <w:sz w:val="22"/>
        </w:rPr>
        <w:t>David.</w:t>
      </w:r>
      <w:r>
        <w:rPr>
          <w:spacing w:val="-6"/>
          <w:sz w:val="22"/>
        </w:rPr>
        <w:t> </w:t>
      </w:r>
      <w:r>
        <w:rPr>
          <w:sz w:val="22"/>
        </w:rPr>
        <w:t>2016.</w:t>
      </w:r>
      <w:r>
        <w:rPr>
          <w:spacing w:val="-6"/>
          <w:sz w:val="22"/>
        </w:rPr>
        <w:t> </w:t>
      </w:r>
      <w:r>
        <w:rPr>
          <w:sz w:val="22"/>
        </w:rPr>
        <w:t>China</w:t>
      </w:r>
      <w:r>
        <w:rPr>
          <w:spacing w:val="-6"/>
          <w:sz w:val="22"/>
        </w:rPr>
        <w:t> </w:t>
      </w:r>
      <w:r>
        <w:rPr>
          <w:sz w:val="22"/>
        </w:rPr>
        <w:t>As</w:t>
      </w:r>
      <w:r>
        <w:rPr>
          <w:spacing w:val="-6"/>
          <w:sz w:val="22"/>
        </w:rPr>
        <w:t> </w:t>
      </w:r>
      <w:r>
        <w:rPr>
          <w:sz w:val="22"/>
        </w:rPr>
        <w:t>a</w:t>
      </w:r>
      <w:r>
        <w:rPr>
          <w:spacing w:val="-6"/>
          <w:sz w:val="22"/>
        </w:rPr>
        <w:t> </w:t>
      </w:r>
      <w:r>
        <w:rPr>
          <w:sz w:val="22"/>
        </w:rPr>
        <w:t>Global</w:t>
      </w:r>
      <w:r>
        <w:rPr>
          <w:spacing w:val="-6"/>
          <w:sz w:val="22"/>
        </w:rPr>
        <w:t> </w:t>
      </w:r>
      <w:r>
        <w:rPr>
          <w:sz w:val="22"/>
        </w:rPr>
        <w:t>Investor.</w:t>
      </w:r>
      <w:r>
        <w:rPr>
          <w:spacing w:val="-6"/>
          <w:sz w:val="22"/>
        </w:rPr>
        <w:t> </w:t>
      </w:r>
      <w:r>
        <w:rPr>
          <w:sz w:val="22"/>
        </w:rPr>
        <w:t>Asia</w:t>
      </w:r>
      <w:r>
        <w:rPr>
          <w:spacing w:val="-6"/>
          <w:sz w:val="22"/>
        </w:rPr>
        <w:t> </w:t>
      </w:r>
      <w:r>
        <w:rPr>
          <w:sz w:val="22"/>
        </w:rPr>
        <w:t>Working</w:t>
      </w:r>
      <w:r>
        <w:rPr>
          <w:spacing w:val="-6"/>
          <w:sz w:val="22"/>
        </w:rPr>
        <w:t> </w:t>
      </w:r>
      <w:r>
        <w:rPr>
          <w:sz w:val="22"/>
        </w:rPr>
        <w:t>Group</w:t>
      </w:r>
      <w:r>
        <w:rPr>
          <w:spacing w:val="-6"/>
          <w:sz w:val="22"/>
        </w:rPr>
        <w:t> </w:t>
      </w:r>
      <w:r>
        <w:rPr>
          <w:sz w:val="22"/>
        </w:rPr>
        <w:t>Paper</w:t>
      </w:r>
      <w:r>
        <w:rPr>
          <w:spacing w:val="-6"/>
          <w:sz w:val="22"/>
        </w:rPr>
        <w:t> </w:t>
      </w:r>
      <w:r>
        <w:rPr>
          <w:sz w:val="22"/>
        </w:rPr>
        <w:t>4.</w:t>
      </w:r>
      <w:r>
        <w:rPr>
          <w:spacing w:val="-6"/>
          <w:sz w:val="22"/>
        </w:rPr>
        <w:t> </w:t>
      </w:r>
      <w:r>
        <w:rPr>
          <w:sz w:val="22"/>
        </w:rPr>
        <w:t>Washington</w:t>
      </w:r>
      <w:r>
        <w:rPr>
          <w:spacing w:val="-6"/>
          <w:sz w:val="22"/>
        </w:rPr>
        <w:t> </w:t>
      </w:r>
      <w:r>
        <w:rPr>
          <w:sz w:val="22"/>
        </w:rPr>
        <w:t>DC: Brookings Institution.</w:t>
      </w:r>
    </w:p>
    <w:p>
      <w:pPr>
        <w:pStyle w:val="BodyText"/>
        <w:spacing w:before="4"/>
      </w:pPr>
    </w:p>
    <w:p>
      <w:pPr>
        <w:spacing w:line="288" w:lineRule="auto" w:before="0"/>
        <w:ind w:left="200" w:right="0" w:firstLine="0"/>
        <w:jc w:val="left"/>
        <w:rPr>
          <w:sz w:val="22"/>
        </w:rPr>
      </w:pPr>
      <w:r>
        <w:rPr>
          <w:sz w:val="22"/>
        </w:rPr>
        <w:t>Dreher,</w:t>
      </w:r>
      <w:r>
        <w:rPr>
          <w:spacing w:val="-11"/>
          <w:sz w:val="22"/>
        </w:rPr>
        <w:t> </w:t>
      </w:r>
      <w:r>
        <w:rPr>
          <w:sz w:val="22"/>
        </w:rPr>
        <w:t>Axel,</w:t>
      </w:r>
      <w:r>
        <w:rPr>
          <w:spacing w:val="-11"/>
          <w:sz w:val="22"/>
        </w:rPr>
        <w:t> </w:t>
      </w:r>
      <w:r>
        <w:rPr>
          <w:sz w:val="22"/>
        </w:rPr>
        <w:t>Andreas</w:t>
      </w:r>
      <w:r>
        <w:rPr>
          <w:spacing w:val="-11"/>
          <w:sz w:val="22"/>
        </w:rPr>
        <w:t> </w:t>
      </w:r>
      <w:r>
        <w:rPr>
          <w:sz w:val="22"/>
        </w:rPr>
        <w:t>Fuchs,</w:t>
      </w:r>
      <w:r>
        <w:rPr>
          <w:spacing w:val="-11"/>
          <w:sz w:val="22"/>
        </w:rPr>
        <w:t> </w:t>
      </w:r>
      <w:r>
        <w:rPr>
          <w:sz w:val="22"/>
        </w:rPr>
        <w:t>Bradley</w:t>
      </w:r>
      <w:r>
        <w:rPr>
          <w:spacing w:val="-11"/>
          <w:sz w:val="22"/>
        </w:rPr>
        <w:t> </w:t>
      </w:r>
      <w:r>
        <w:rPr>
          <w:sz w:val="22"/>
        </w:rPr>
        <w:t>Parks,</w:t>
      </w:r>
      <w:r>
        <w:rPr>
          <w:spacing w:val="-11"/>
          <w:sz w:val="22"/>
        </w:rPr>
        <w:t> </w:t>
      </w:r>
      <w:r>
        <w:rPr>
          <w:sz w:val="22"/>
        </w:rPr>
        <w:t>Austin</w:t>
      </w:r>
      <w:r>
        <w:rPr>
          <w:spacing w:val="-11"/>
          <w:sz w:val="22"/>
        </w:rPr>
        <w:t> </w:t>
      </w:r>
      <w:r>
        <w:rPr>
          <w:sz w:val="22"/>
        </w:rPr>
        <w:t>Strange,</w:t>
      </w:r>
      <w:r>
        <w:rPr>
          <w:spacing w:val="-11"/>
          <w:sz w:val="22"/>
        </w:rPr>
        <w:t> </w:t>
      </w:r>
      <w:r>
        <w:rPr>
          <w:sz w:val="22"/>
        </w:rPr>
        <w:t>and</w:t>
      </w:r>
      <w:r>
        <w:rPr>
          <w:spacing w:val="-11"/>
          <w:sz w:val="22"/>
        </w:rPr>
        <w:t> </w:t>
      </w:r>
      <w:r>
        <w:rPr>
          <w:sz w:val="22"/>
        </w:rPr>
        <w:t>Michael</w:t>
      </w:r>
      <w:r>
        <w:rPr>
          <w:spacing w:val="-11"/>
          <w:sz w:val="22"/>
        </w:rPr>
        <w:t> </w:t>
      </w:r>
      <w:r>
        <w:rPr>
          <w:sz w:val="22"/>
        </w:rPr>
        <w:t>J.</w:t>
      </w:r>
      <w:r>
        <w:rPr>
          <w:spacing w:val="-11"/>
          <w:sz w:val="22"/>
        </w:rPr>
        <w:t> </w:t>
      </w:r>
      <w:r>
        <w:rPr>
          <w:sz w:val="22"/>
        </w:rPr>
        <w:t>Tierney.</w:t>
      </w:r>
      <w:r>
        <w:rPr>
          <w:spacing w:val="-11"/>
          <w:sz w:val="22"/>
        </w:rPr>
        <w:t> </w:t>
      </w:r>
      <w:r>
        <w:rPr>
          <w:sz w:val="22"/>
        </w:rPr>
        <w:t>2021.</w:t>
      </w:r>
      <w:r>
        <w:rPr>
          <w:spacing w:val="-11"/>
          <w:sz w:val="22"/>
        </w:rPr>
        <w:t> </w:t>
      </w:r>
      <w:r>
        <w:rPr>
          <w:sz w:val="22"/>
        </w:rPr>
        <w:t>Aid, China, and Growth: Evidence from a New Global Development Finance Dataset. </w:t>
      </w:r>
      <w:r>
        <w:rPr>
          <w:i/>
          <w:sz w:val="22"/>
        </w:rPr>
        <w:t>American</w:t>
      </w:r>
      <w:r>
        <w:rPr>
          <w:i/>
          <w:sz w:val="22"/>
        </w:rPr>
        <w:t> Economic Journal: Economic Policy </w:t>
      </w:r>
      <w:r>
        <w:rPr>
          <w:sz w:val="22"/>
        </w:rPr>
        <w:t>13 (2): 135-174.</w:t>
      </w:r>
    </w:p>
    <w:p>
      <w:pPr>
        <w:pStyle w:val="BodyText"/>
        <w:spacing w:before="6"/>
      </w:pPr>
    </w:p>
    <w:p>
      <w:pPr>
        <w:spacing w:before="0"/>
        <w:ind w:left="200" w:right="0" w:firstLine="0"/>
        <w:jc w:val="left"/>
        <w:rPr>
          <w:sz w:val="22"/>
        </w:rPr>
      </w:pPr>
      <w:r>
        <w:rPr>
          <w:spacing w:val="-2"/>
          <w:sz w:val="22"/>
        </w:rPr>
        <w:t>Dreher,</w:t>
      </w:r>
      <w:r>
        <w:rPr>
          <w:spacing w:val="-8"/>
          <w:sz w:val="22"/>
        </w:rPr>
        <w:t> </w:t>
      </w:r>
      <w:r>
        <w:rPr>
          <w:spacing w:val="-2"/>
          <w:sz w:val="22"/>
        </w:rPr>
        <w:t>Axel,</w:t>
      </w:r>
      <w:r>
        <w:rPr>
          <w:spacing w:val="-7"/>
          <w:sz w:val="22"/>
        </w:rPr>
        <w:t> </w:t>
      </w:r>
      <w:r>
        <w:rPr>
          <w:spacing w:val="-2"/>
          <w:sz w:val="22"/>
        </w:rPr>
        <w:t>Andreas</w:t>
      </w:r>
      <w:r>
        <w:rPr>
          <w:spacing w:val="-8"/>
          <w:sz w:val="22"/>
        </w:rPr>
        <w:t> </w:t>
      </w:r>
      <w:r>
        <w:rPr>
          <w:spacing w:val="-2"/>
          <w:sz w:val="22"/>
        </w:rPr>
        <w:t>Fuchs,</w:t>
      </w:r>
      <w:r>
        <w:rPr>
          <w:spacing w:val="-7"/>
          <w:sz w:val="22"/>
        </w:rPr>
        <w:t> </w:t>
      </w:r>
      <w:r>
        <w:rPr>
          <w:spacing w:val="-2"/>
          <w:sz w:val="22"/>
        </w:rPr>
        <w:t>Bradley</w:t>
      </w:r>
      <w:r>
        <w:rPr>
          <w:spacing w:val="-8"/>
          <w:sz w:val="22"/>
        </w:rPr>
        <w:t> </w:t>
      </w:r>
      <w:r>
        <w:rPr>
          <w:spacing w:val="-2"/>
          <w:sz w:val="22"/>
        </w:rPr>
        <w:t>Parks,</w:t>
      </w:r>
      <w:r>
        <w:rPr>
          <w:spacing w:val="-7"/>
          <w:sz w:val="22"/>
        </w:rPr>
        <w:t> </w:t>
      </w:r>
      <w:r>
        <w:rPr>
          <w:spacing w:val="-2"/>
          <w:sz w:val="22"/>
        </w:rPr>
        <w:t>Austin</w:t>
      </w:r>
      <w:r>
        <w:rPr>
          <w:spacing w:val="-8"/>
          <w:sz w:val="22"/>
        </w:rPr>
        <w:t> </w:t>
      </w:r>
      <w:r>
        <w:rPr>
          <w:spacing w:val="-2"/>
          <w:sz w:val="22"/>
        </w:rPr>
        <w:t>Strange,</w:t>
      </w:r>
      <w:r>
        <w:rPr>
          <w:spacing w:val="-7"/>
          <w:sz w:val="22"/>
        </w:rPr>
        <w:t> </w:t>
      </w:r>
      <w:r>
        <w:rPr>
          <w:spacing w:val="-2"/>
          <w:sz w:val="22"/>
        </w:rPr>
        <w:t>and</w:t>
      </w:r>
      <w:r>
        <w:rPr>
          <w:spacing w:val="-8"/>
          <w:sz w:val="22"/>
        </w:rPr>
        <w:t> </w:t>
      </w:r>
      <w:r>
        <w:rPr>
          <w:spacing w:val="-2"/>
          <w:sz w:val="22"/>
        </w:rPr>
        <w:t>Michael</w:t>
      </w:r>
      <w:r>
        <w:rPr>
          <w:spacing w:val="-7"/>
          <w:sz w:val="22"/>
        </w:rPr>
        <w:t> </w:t>
      </w:r>
      <w:r>
        <w:rPr>
          <w:spacing w:val="-2"/>
          <w:sz w:val="22"/>
        </w:rPr>
        <w:t>J.</w:t>
      </w:r>
      <w:r>
        <w:rPr>
          <w:spacing w:val="-8"/>
          <w:sz w:val="22"/>
        </w:rPr>
        <w:t> </w:t>
      </w:r>
      <w:r>
        <w:rPr>
          <w:spacing w:val="-2"/>
          <w:sz w:val="22"/>
        </w:rPr>
        <w:t>Tierney.</w:t>
      </w:r>
      <w:r>
        <w:rPr>
          <w:spacing w:val="-7"/>
          <w:sz w:val="22"/>
        </w:rPr>
        <w:t> </w:t>
      </w:r>
      <w:r>
        <w:rPr>
          <w:spacing w:val="-2"/>
          <w:sz w:val="22"/>
        </w:rPr>
        <w:t>2022.</w:t>
      </w:r>
    </w:p>
    <w:p>
      <w:pPr>
        <w:spacing w:before="52"/>
        <w:ind w:left="200" w:right="0" w:firstLine="0"/>
        <w:jc w:val="left"/>
        <w:rPr>
          <w:i/>
          <w:sz w:val="22"/>
        </w:rPr>
      </w:pPr>
      <w:r>
        <w:rPr>
          <w:i/>
          <w:sz w:val="22"/>
        </w:rPr>
        <w:t>Banking</w:t>
      </w:r>
      <w:r>
        <w:rPr>
          <w:i/>
          <w:spacing w:val="-11"/>
          <w:sz w:val="22"/>
        </w:rPr>
        <w:t> </w:t>
      </w:r>
      <w:r>
        <w:rPr>
          <w:i/>
          <w:sz w:val="22"/>
        </w:rPr>
        <w:t>on</w:t>
      </w:r>
      <w:r>
        <w:rPr>
          <w:i/>
          <w:spacing w:val="-10"/>
          <w:sz w:val="22"/>
        </w:rPr>
        <w:t> </w:t>
      </w:r>
      <w:r>
        <w:rPr>
          <w:i/>
          <w:sz w:val="22"/>
        </w:rPr>
        <w:t>Beijing:</w:t>
      </w:r>
      <w:r>
        <w:rPr>
          <w:i/>
          <w:spacing w:val="-11"/>
          <w:sz w:val="22"/>
        </w:rPr>
        <w:t> </w:t>
      </w:r>
      <w:r>
        <w:rPr>
          <w:i/>
          <w:sz w:val="22"/>
        </w:rPr>
        <w:t>The</w:t>
      </w:r>
      <w:r>
        <w:rPr>
          <w:i/>
          <w:spacing w:val="-10"/>
          <w:sz w:val="22"/>
        </w:rPr>
        <w:t> </w:t>
      </w:r>
      <w:r>
        <w:rPr>
          <w:i/>
          <w:sz w:val="22"/>
        </w:rPr>
        <w:t>Aims</w:t>
      </w:r>
      <w:r>
        <w:rPr>
          <w:i/>
          <w:spacing w:val="-11"/>
          <w:sz w:val="22"/>
        </w:rPr>
        <w:t> </w:t>
      </w:r>
      <w:r>
        <w:rPr>
          <w:i/>
          <w:sz w:val="22"/>
        </w:rPr>
        <w:t>and</w:t>
      </w:r>
      <w:r>
        <w:rPr>
          <w:i/>
          <w:spacing w:val="-10"/>
          <w:sz w:val="22"/>
        </w:rPr>
        <w:t> </w:t>
      </w:r>
      <w:r>
        <w:rPr>
          <w:i/>
          <w:sz w:val="22"/>
        </w:rPr>
        <w:t>Impacts</w:t>
      </w:r>
      <w:r>
        <w:rPr>
          <w:i/>
          <w:spacing w:val="-11"/>
          <w:sz w:val="22"/>
        </w:rPr>
        <w:t> </w:t>
      </w:r>
      <w:r>
        <w:rPr>
          <w:i/>
          <w:sz w:val="22"/>
        </w:rPr>
        <w:t>of</w:t>
      </w:r>
      <w:r>
        <w:rPr>
          <w:i/>
          <w:spacing w:val="-10"/>
          <w:sz w:val="22"/>
        </w:rPr>
        <w:t> </w:t>
      </w:r>
      <w:r>
        <w:rPr>
          <w:i/>
          <w:sz w:val="22"/>
        </w:rPr>
        <w:t>China’s</w:t>
      </w:r>
      <w:r>
        <w:rPr>
          <w:i/>
          <w:spacing w:val="-11"/>
          <w:sz w:val="22"/>
        </w:rPr>
        <w:t> </w:t>
      </w:r>
      <w:r>
        <w:rPr>
          <w:i/>
          <w:sz w:val="22"/>
        </w:rPr>
        <w:t>Overseas</w:t>
      </w:r>
      <w:r>
        <w:rPr>
          <w:i/>
          <w:spacing w:val="-10"/>
          <w:sz w:val="22"/>
        </w:rPr>
        <w:t> </w:t>
      </w:r>
      <w:r>
        <w:rPr>
          <w:i/>
          <w:sz w:val="22"/>
        </w:rPr>
        <w:t>Development</w:t>
      </w:r>
      <w:r>
        <w:rPr>
          <w:i/>
          <w:spacing w:val="-11"/>
          <w:sz w:val="22"/>
        </w:rPr>
        <w:t> </w:t>
      </w:r>
      <w:r>
        <w:rPr>
          <w:i/>
          <w:spacing w:val="-2"/>
          <w:sz w:val="22"/>
        </w:rPr>
        <w:t>Program.</w:t>
      </w:r>
    </w:p>
    <w:p>
      <w:pPr>
        <w:spacing w:before="50"/>
        <w:ind w:left="200" w:right="0" w:firstLine="0"/>
        <w:jc w:val="left"/>
        <w:rPr>
          <w:sz w:val="22"/>
        </w:rPr>
      </w:pPr>
      <w:r>
        <w:rPr>
          <w:sz w:val="22"/>
        </w:rPr>
        <w:t>Cambridge,</w:t>
      </w:r>
      <w:r>
        <w:rPr>
          <w:spacing w:val="-5"/>
          <w:sz w:val="22"/>
        </w:rPr>
        <w:t> </w:t>
      </w:r>
      <w:r>
        <w:rPr>
          <w:sz w:val="22"/>
        </w:rPr>
        <w:t>UK:</w:t>
      </w:r>
      <w:r>
        <w:rPr>
          <w:spacing w:val="-5"/>
          <w:sz w:val="22"/>
        </w:rPr>
        <w:t> </w:t>
      </w:r>
      <w:r>
        <w:rPr>
          <w:sz w:val="22"/>
        </w:rPr>
        <w:t>Cambridge</w:t>
      </w:r>
      <w:r>
        <w:rPr>
          <w:spacing w:val="-4"/>
          <w:sz w:val="22"/>
        </w:rPr>
        <w:t> </w:t>
      </w:r>
      <w:r>
        <w:rPr>
          <w:sz w:val="22"/>
        </w:rPr>
        <w:t>University</w:t>
      </w:r>
      <w:r>
        <w:rPr>
          <w:spacing w:val="-5"/>
          <w:sz w:val="22"/>
        </w:rPr>
        <w:t> </w:t>
      </w:r>
      <w:r>
        <w:rPr>
          <w:spacing w:val="-2"/>
          <w:sz w:val="22"/>
        </w:rPr>
        <w:t>Press.</w:t>
      </w:r>
    </w:p>
    <w:p>
      <w:pPr>
        <w:pStyle w:val="BodyText"/>
        <w:spacing w:before="9"/>
        <w:rPr>
          <w:sz w:val="28"/>
        </w:rPr>
      </w:pPr>
    </w:p>
    <w:p>
      <w:pPr>
        <w:spacing w:line="288" w:lineRule="auto" w:before="0"/>
        <w:ind w:left="200" w:right="0" w:firstLine="0"/>
        <w:jc w:val="left"/>
        <w:rPr>
          <w:sz w:val="22"/>
        </w:rPr>
      </w:pPr>
      <w:r>
        <w:rPr>
          <w:spacing w:val="-2"/>
          <w:sz w:val="22"/>
        </w:rPr>
        <w:t>Dreher,</w:t>
      </w:r>
      <w:r>
        <w:rPr>
          <w:spacing w:val="-7"/>
          <w:sz w:val="22"/>
        </w:rPr>
        <w:t> </w:t>
      </w:r>
      <w:r>
        <w:rPr>
          <w:spacing w:val="-2"/>
          <w:sz w:val="22"/>
        </w:rPr>
        <w:t>Axel,</w:t>
      </w:r>
      <w:r>
        <w:rPr>
          <w:spacing w:val="-7"/>
          <w:sz w:val="22"/>
        </w:rPr>
        <w:t> </w:t>
      </w:r>
      <w:r>
        <w:rPr>
          <w:spacing w:val="-2"/>
          <w:sz w:val="22"/>
        </w:rPr>
        <w:t>Andreas</w:t>
      </w:r>
      <w:r>
        <w:rPr>
          <w:spacing w:val="-7"/>
          <w:sz w:val="22"/>
        </w:rPr>
        <w:t> </w:t>
      </w:r>
      <w:r>
        <w:rPr>
          <w:spacing w:val="-2"/>
          <w:sz w:val="22"/>
        </w:rPr>
        <w:t>Fuchs,</w:t>
      </w:r>
      <w:r>
        <w:rPr>
          <w:spacing w:val="-7"/>
          <w:sz w:val="22"/>
        </w:rPr>
        <w:t> </w:t>
      </w:r>
      <w:r>
        <w:rPr>
          <w:spacing w:val="-2"/>
          <w:sz w:val="22"/>
        </w:rPr>
        <w:t>Roland</w:t>
      </w:r>
      <w:r>
        <w:rPr>
          <w:spacing w:val="-7"/>
          <w:sz w:val="22"/>
        </w:rPr>
        <w:t> </w:t>
      </w:r>
      <w:r>
        <w:rPr>
          <w:spacing w:val="-2"/>
          <w:sz w:val="22"/>
        </w:rPr>
        <w:t>Hodler,</w:t>
      </w:r>
      <w:r>
        <w:rPr>
          <w:spacing w:val="-7"/>
          <w:sz w:val="22"/>
        </w:rPr>
        <w:t> </w:t>
      </w:r>
      <w:r>
        <w:rPr>
          <w:spacing w:val="-2"/>
          <w:sz w:val="22"/>
        </w:rPr>
        <w:t>Bradley</w:t>
      </w:r>
      <w:r>
        <w:rPr>
          <w:spacing w:val="-7"/>
          <w:sz w:val="22"/>
        </w:rPr>
        <w:t> </w:t>
      </w:r>
      <w:r>
        <w:rPr>
          <w:spacing w:val="-2"/>
          <w:sz w:val="22"/>
        </w:rPr>
        <w:t>C.</w:t>
      </w:r>
      <w:r>
        <w:rPr>
          <w:spacing w:val="-7"/>
          <w:sz w:val="22"/>
        </w:rPr>
        <w:t> </w:t>
      </w:r>
      <w:r>
        <w:rPr>
          <w:spacing w:val="-2"/>
          <w:sz w:val="22"/>
        </w:rPr>
        <w:t>Parks,</w:t>
      </w:r>
      <w:r>
        <w:rPr>
          <w:spacing w:val="-7"/>
          <w:sz w:val="22"/>
        </w:rPr>
        <w:t> </w:t>
      </w:r>
      <w:r>
        <w:rPr>
          <w:spacing w:val="-2"/>
          <w:sz w:val="22"/>
        </w:rPr>
        <w:t>Paul</w:t>
      </w:r>
      <w:r>
        <w:rPr>
          <w:spacing w:val="-7"/>
          <w:sz w:val="22"/>
        </w:rPr>
        <w:t> </w:t>
      </w:r>
      <w:r>
        <w:rPr>
          <w:spacing w:val="-2"/>
          <w:sz w:val="22"/>
        </w:rPr>
        <w:t>A.</w:t>
      </w:r>
      <w:r>
        <w:rPr>
          <w:spacing w:val="-7"/>
          <w:sz w:val="22"/>
        </w:rPr>
        <w:t> </w:t>
      </w:r>
      <w:r>
        <w:rPr>
          <w:spacing w:val="-2"/>
          <w:sz w:val="22"/>
        </w:rPr>
        <w:t>Raschky,</w:t>
      </w:r>
      <w:r>
        <w:rPr>
          <w:spacing w:val="-7"/>
          <w:sz w:val="22"/>
        </w:rPr>
        <w:t> </w:t>
      </w:r>
      <w:r>
        <w:rPr>
          <w:spacing w:val="-2"/>
          <w:sz w:val="22"/>
        </w:rPr>
        <w:t>and</w:t>
      </w:r>
      <w:r>
        <w:rPr>
          <w:spacing w:val="-7"/>
          <w:sz w:val="22"/>
        </w:rPr>
        <w:t> </w:t>
      </w:r>
      <w:r>
        <w:rPr>
          <w:spacing w:val="-2"/>
          <w:sz w:val="22"/>
        </w:rPr>
        <w:t>Michael</w:t>
      </w:r>
      <w:r>
        <w:rPr>
          <w:spacing w:val="-7"/>
          <w:sz w:val="22"/>
        </w:rPr>
        <w:t> </w:t>
      </w:r>
      <w:r>
        <w:rPr>
          <w:spacing w:val="-2"/>
          <w:sz w:val="22"/>
        </w:rPr>
        <w:t>J. </w:t>
      </w:r>
      <w:r>
        <w:rPr>
          <w:sz w:val="22"/>
        </w:rPr>
        <w:t>Tierney. 2019. African Leaders and the Geography of China’s Foreign Assistance. </w:t>
      </w:r>
      <w:r>
        <w:rPr>
          <w:i/>
          <w:sz w:val="22"/>
        </w:rPr>
        <w:t>Journal of</w:t>
      </w:r>
      <w:r>
        <w:rPr>
          <w:i/>
          <w:sz w:val="22"/>
        </w:rPr>
        <w:t> Development Economics </w:t>
      </w:r>
      <w:r>
        <w:rPr>
          <w:sz w:val="22"/>
        </w:rPr>
        <w:t>140: 44–71.</w:t>
      </w:r>
    </w:p>
    <w:p>
      <w:pPr>
        <w:pStyle w:val="BodyText"/>
        <w:spacing w:before="6"/>
      </w:pPr>
    </w:p>
    <w:p>
      <w:pPr>
        <w:spacing w:line="288" w:lineRule="auto" w:before="0"/>
        <w:ind w:left="200" w:right="252" w:firstLine="0"/>
        <w:jc w:val="left"/>
        <w:rPr>
          <w:sz w:val="22"/>
        </w:rPr>
      </w:pPr>
      <w:r>
        <w:rPr>
          <w:sz w:val="22"/>
        </w:rPr>
        <w:t>Duggan, Julian, Scott Morris, Justin Sandefur, and George Yang. 2020. Is the World Bank’s COVID-19 crisis lending big enough, fast enough? New evidence on loan disbursements. CGD Working Paper 554. Washington, DC: Center for Global Development.</w:t>
      </w:r>
    </w:p>
    <w:p>
      <w:pPr>
        <w:pStyle w:val="BodyText"/>
        <w:spacing w:before="4"/>
      </w:pPr>
    </w:p>
    <w:p>
      <w:pPr>
        <w:spacing w:line="288" w:lineRule="auto" w:before="0"/>
        <w:ind w:left="200" w:right="179" w:firstLine="0"/>
        <w:jc w:val="left"/>
        <w:rPr>
          <w:sz w:val="22"/>
        </w:rPr>
      </w:pPr>
      <w:r>
        <w:rPr>
          <w:sz w:val="22"/>
        </w:rPr>
        <w:t>Esty, Benjamin C., and William L. Megginson. 2003. Creditor rights, enforcement, and debt ownership structure: Evidence from the global syndicate loan market. </w:t>
      </w:r>
      <w:r>
        <w:rPr>
          <w:i/>
          <w:sz w:val="22"/>
        </w:rPr>
        <w:t>Journal of Financial and</w:t>
      </w:r>
      <w:r>
        <w:rPr>
          <w:i/>
          <w:sz w:val="22"/>
        </w:rPr>
        <w:t> Quantitative Analysis </w:t>
      </w:r>
      <w:r>
        <w:rPr>
          <w:sz w:val="22"/>
        </w:rPr>
        <w:t>38: 37–59.</w:t>
      </w:r>
    </w:p>
    <w:p>
      <w:pPr>
        <w:pStyle w:val="BodyText"/>
        <w:spacing w:before="7"/>
      </w:pPr>
    </w:p>
    <w:p>
      <w:pPr>
        <w:spacing w:line="338" w:lineRule="auto" w:before="0"/>
        <w:ind w:left="200" w:right="243" w:firstLine="0"/>
        <w:jc w:val="left"/>
        <w:rPr>
          <w:sz w:val="22"/>
        </w:rPr>
      </w:pPr>
      <w:r>
        <w:rPr>
          <w:sz w:val="22"/>
        </w:rPr>
        <w:t>Express</w:t>
      </w:r>
      <w:r>
        <w:rPr>
          <w:spacing w:val="-5"/>
          <w:sz w:val="22"/>
        </w:rPr>
        <w:t> </w:t>
      </w:r>
      <w:r>
        <w:rPr>
          <w:sz w:val="22"/>
        </w:rPr>
        <w:t>Tribune.</w:t>
      </w:r>
      <w:r>
        <w:rPr>
          <w:spacing w:val="-5"/>
          <w:sz w:val="22"/>
        </w:rPr>
        <w:t> </w:t>
      </w:r>
      <w:r>
        <w:rPr>
          <w:sz w:val="22"/>
        </w:rPr>
        <w:t>2016.</w:t>
      </w:r>
      <w:r>
        <w:rPr>
          <w:spacing w:val="-5"/>
          <w:sz w:val="22"/>
        </w:rPr>
        <w:t> </w:t>
      </w:r>
      <w:r>
        <w:rPr>
          <w:sz w:val="22"/>
        </w:rPr>
        <w:t>Chinese</w:t>
      </w:r>
      <w:r>
        <w:rPr>
          <w:spacing w:val="-5"/>
          <w:sz w:val="22"/>
        </w:rPr>
        <w:t> </w:t>
      </w:r>
      <w:r>
        <w:rPr>
          <w:sz w:val="22"/>
        </w:rPr>
        <w:t>Diplomat</w:t>
      </w:r>
      <w:r>
        <w:rPr>
          <w:spacing w:val="-5"/>
          <w:sz w:val="22"/>
        </w:rPr>
        <w:t> </w:t>
      </w:r>
      <w:r>
        <w:rPr>
          <w:sz w:val="22"/>
        </w:rPr>
        <w:t>Calls</w:t>
      </w:r>
      <w:r>
        <w:rPr>
          <w:spacing w:val="-5"/>
          <w:sz w:val="22"/>
        </w:rPr>
        <w:t> </w:t>
      </w:r>
      <w:r>
        <w:rPr>
          <w:sz w:val="22"/>
        </w:rPr>
        <w:t>CM</w:t>
      </w:r>
      <w:r>
        <w:rPr>
          <w:spacing w:val="-5"/>
          <w:sz w:val="22"/>
        </w:rPr>
        <w:t> </w:t>
      </w:r>
      <w:r>
        <w:rPr>
          <w:sz w:val="22"/>
        </w:rPr>
        <w:t>‘Shahbaz</w:t>
      </w:r>
      <w:r>
        <w:rPr>
          <w:spacing w:val="-5"/>
          <w:sz w:val="22"/>
        </w:rPr>
        <w:t> </w:t>
      </w:r>
      <w:r>
        <w:rPr>
          <w:sz w:val="22"/>
        </w:rPr>
        <w:t>Speed.’</w:t>
      </w:r>
      <w:r>
        <w:rPr>
          <w:spacing w:val="-5"/>
          <w:sz w:val="22"/>
        </w:rPr>
        <w:t> </w:t>
      </w:r>
      <w:r>
        <w:rPr>
          <w:i/>
          <w:sz w:val="22"/>
        </w:rPr>
        <w:t>Express</w:t>
      </w:r>
      <w:r>
        <w:rPr>
          <w:i/>
          <w:spacing w:val="-5"/>
          <w:sz w:val="22"/>
        </w:rPr>
        <w:t> </w:t>
      </w:r>
      <w:r>
        <w:rPr>
          <w:i/>
          <w:sz w:val="22"/>
        </w:rPr>
        <w:t>Tribune</w:t>
      </w:r>
      <w:r>
        <w:rPr>
          <w:sz w:val="22"/>
        </w:rPr>
        <w:t>.</w:t>
      </w:r>
      <w:r>
        <w:rPr>
          <w:spacing w:val="-5"/>
          <w:sz w:val="22"/>
        </w:rPr>
        <w:t> </w:t>
      </w:r>
      <w:r>
        <w:rPr>
          <w:sz w:val="22"/>
        </w:rPr>
        <w:t>20 December 2016. Accessed on 20 September 2023 at </w:t>
      </w:r>
      <w:hyperlink r:id="rId34">
        <w:r>
          <w:rPr>
            <w:color w:val="1154CC"/>
            <w:spacing w:val="-2"/>
            <w:sz w:val="22"/>
            <w:u w:val="thick" w:color="1154CC"/>
          </w:rPr>
          <w:t>https://tribune.com.pk/story/1268314/unprecedented-development-chinesediplomat-calls-cm-</w:t>
        </w:r>
      </w:hyperlink>
      <w:r>
        <w:rPr>
          <w:color w:val="1154CC"/>
          <w:spacing w:val="40"/>
          <w:sz w:val="22"/>
        </w:rPr>
        <w:t>  </w:t>
      </w:r>
      <w:hyperlink r:id="rId34">
        <w:r>
          <w:rPr>
            <w:color w:val="1154CC"/>
            <w:spacing w:val="-2"/>
            <w:sz w:val="22"/>
            <w:u w:val="thick" w:color="1154CC"/>
          </w:rPr>
          <w:t>shahbaz-speed</w:t>
        </w:r>
      </w:hyperlink>
      <w:r>
        <w:rPr>
          <w:spacing w:val="-2"/>
          <w:sz w:val="22"/>
        </w:rPr>
        <w:t>.</w:t>
      </w:r>
    </w:p>
    <w:p>
      <w:pPr>
        <w:pStyle w:val="BodyText"/>
        <w:spacing w:before="3"/>
      </w:pPr>
    </w:p>
    <w:p>
      <w:pPr>
        <w:spacing w:line="288" w:lineRule="auto" w:before="0"/>
        <w:ind w:left="200" w:right="0" w:firstLine="0"/>
        <w:jc w:val="left"/>
        <w:rPr>
          <w:sz w:val="22"/>
        </w:rPr>
      </w:pPr>
      <w:r>
        <w:rPr>
          <w:sz w:val="22"/>
        </w:rPr>
        <w:t>Flyvbjerg,</w:t>
      </w:r>
      <w:r>
        <w:rPr>
          <w:spacing w:val="-5"/>
          <w:sz w:val="22"/>
        </w:rPr>
        <w:t> </w:t>
      </w:r>
      <w:r>
        <w:rPr>
          <w:sz w:val="22"/>
        </w:rPr>
        <w:t>Bent,</w:t>
      </w:r>
      <w:r>
        <w:rPr>
          <w:spacing w:val="-5"/>
          <w:sz w:val="22"/>
        </w:rPr>
        <w:t> </w:t>
      </w:r>
      <w:r>
        <w:rPr>
          <w:sz w:val="22"/>
        </w:rPr>
        <w:t>Mette</w:t>
      </w:r>
      <w:r>
        <w:rPr>
          <w:spacing w:val="-5"/>
          <w:sz w:val="22"/>
        </w:rPr>
        <w:t> </w:t>
      </w:r>
      <w:r>
        <w:rPr>
          <w:sz w:val="22"/>
        </w:rPr>
        <w:t>Skamris</w:t>
      </w:r>
      <w:r>
        <w:rPr>
          <w:spacing w:val="-5"/>
          <w:sz w:val="22"/>
        </w:rPr>
        <w:t> </w:t>
      </w:r>
      <w:r>
        <w:rPr>
          <w:sz w:val="22"/>
        </w:rPr>
        <w:t>Holm,</w:t>
      </w:r>
      <w:r>
        <w:rPr>
          <w:spacing w:val="-5"/>
          <w:sz w:val="22"/>
        </w:rPr>
        <w:t> </w:t>
      </w:r>
      <w:r>
        <w:rPr>
          <w:sz w:val="22"/>
        </w:rPr>
        <w:t>and</w:t>
      </w:r>
      <w:r>
        <w:rPr>
          <w:spacing w:val="-5"/>
          <w:sz w:val="22"/>
        </w:rPr>
        <w:t> </w:t>
      </w:r>
      <w:r>
        <w:rPr>
          <w:sz w:val="22"/>
        </w:rPr>
        <w:t>Søren</w:t>
      </w:r>
      <w:r>
        <w:rPr>
          <w:spacing w:val="-5"/>
          <w:sz w:val="22"/>
        </w:rPr>
        <w:t> </w:t>
      </w:r>
      <w:r>
        <w:rPr>
          <w:sz w:val="22"/>
        </w:rPr>
        <w:t>Buhl.</w:t>
      </w:r>
      <w:r>
        <w:rPr>
          <w:spacing w:val="-5"/>
          <w:sz w:val="22"/>
        </w:rPr>
        <w:t> </w:t>
      </w:r>
      <w:r>
        <w:rPr>
          <w:sz w:val="22"/>
        </w:rPr>
        <w:t>2002.</w:t>
      </w:r>
      <w:r>
        <w:rPr>
          <w:spacing w:val="-5"/>
          <w:sz w:val="22"/>
        </w:rPr>
        <w:t> </w:t>
      </w:r>
      <w:r>
        <w:rPr>
          <w:sz w:val="22"/>
        </w:rPr>
        <w:t>Underestimating</w:t>
      </w:r>
      <w:r>
        <w:rPr>
          <w:spacing w:val="-5"/>
          <w:sz w:val="22"/>
        </w:rPr>
        <w:t> </w:t>
      </w:r>
      <w:r>
        <w:rPr>
          <w:sz w:val="22"/>
        </w:rPr>
        <w:t>Costs</w:t>
      </w:r>
      <w:r>
        <w:rPr>
          <w:spacing w:val="-5"/>
          <w:sz w:val="22"/>
        </w:rPr>
        <w:t> </w:t>
      </w:r>
      <w:r>
        <w:rPr>
          <w:sz w:val="22"/>
        </w:rPr>
        <w:t>in</w:t>
      </w:r>
      <w:r>
        <w:rPr>
          <w:spacing w:val="-5"/>
          <w:sz w:val="22"/>
        </w:rPr>
        <w:t> </w:t>
      </w:r>
      <w:r>
        <w:rPr>
          <w:sz w:val="22"/>
        </w:rPr>
        <w:t>Public Works</w:t>
      </w:r>
      <w:r>
        <w:rPr>
          <w:spacing w:val="-2"/>
          <w:sz w:val="22"/>
        </w:rPr>
        <w:t> </w:t>
      </w:r>
      <w:r>
        <w:rPr>
          <w:sz w:val="22"/>
        </w:rPr>
        <w:t>Projects:</w:t>
      </w:r>
      <w:r>
        <w:rPr>
          <w:spacing w:val="-2"/>
          <w:sz w:val="22"/>
        </w:rPr>
        <w:t> </w:t>
      </w:r>
      <w:r>
        <w:rPr>
          <w:sz w:val="22"/>
        </w:rPr>
        <w:t>Error</w:t>
      </w:r>
      <w:r>
        <w:rPr>
          <w:spacing w:val="-2"/>
          <w:sz w:val="22"/>
        </w:rPr>
        <w:t> </w:t>
      </w:r>
      <w:r>
        <w:rPr>
          <w:sz w:val="22"/>
        </w:rPr>
        <w:t>or</w:t>
      </w:r>
      <w:r>
        <w:rPr>
          <w:spacing w:val="-2"/>
          <w:sz w:val="22"/>
        </w:rPr>
        <w:t> </w:t>
      </w:r>
      <w:r>
        <w:rPr>
          <w:sz w:val="22"/>
        </w:rPr>
        <w:t>Lie?</w:t>
      </w:r>
      <w:r>
        <w:rPr>
          <w:spacing w:val="-2"/>
          <w:sz w:val="22"/>
        </w:rPr>
        <w:t> </w:t>
      </w:r>
      <w:r>
        <w:rPr>
          <w:i/>
          <w:sz w:val="22"/>
        </w:rPr>
        <w:t>Journal</w:t>
      </w:r>
      <w:r>
        <w:rPr>
          <w:i/>
          <w:spacing w:val="-2"/>
          <w:sz w:val="22"/>
        </w:rPr>
        <w:t> </w:t>
      </w:r>
      <w:r>
        <w:rPr>
          <w:i/>
          <w:sz w:val="22"/>
        </w:rPr>
        <w:t>of</w:t>
      </w:r>
      <w:r>
        <w:rPr>
          <w:i/>
          <w:spacing w:val="-2"/>
          <w:sz w:val="22"/>
        </w:rPr>
        <w:t> </w:t>
      </w:r>
      <w:r>
        <w:rPr>
          <w:i/>
          <w:sz w:val="22"/>
        </w:rPr>
        <w:t>the</w:t>
      </w:r>
      <w:r>
        <w:rPr>
          <w:i/>
          <w:spacing w:val="-2"/>
          <w:sz w:val="22"/>
        </w:rPr>
        <w:t> </w:t>
      </w:r>
      <w:r>
        <w:rPr>
          <w:i/>
          <w:sz w:val="22"/>
        </w:rPr>
        <w:t>American</w:t>
      </w:r>
      <w:r>
        <w:rPr>
          <w:i/>
          <w:spacing w:val="-2"/>
          <w:sz w:val="22"/>
        </w:rPr>
        <w:t> </w:t>
      </w:r>
      <w:r>
        <w:rPr>
          <w:i/>
          <w:sz w:val="22"/>
        </w:rPr>
        <w:t>Planning</w:t>
      </w:r>
      <w:r>
        <w:rPr>
          <w:i/>
          <w:spacing w:val="-2"/>
          <w:sz w:val="22"/>
        </w:rPr>
        <w:t> </w:t>
      </w:r>
      <w:r>
        <w:rPr>
          <w:i/>
          <w:sz w:val="22"/>
        </w:rPr>
        <w:t>Associatio</w:t>
      </w:r>
      <w:r>
        <w:rPr>
          <w:sz w:val="22"/>
        </w:rPr>
        <w:t>n</w:t>
      </w:r>
      <w:r>
        <w:rPr>
          <w:spacing w:val="-2"/>
          <w:sz w:val="22"/>
        </w:rPr>
        <w:t> </w:t>
      </w:r>
      <w:r>
        <w:rPr>
          <w:sz w:val="22"/>
        </w:rPr>
        <w:t>68(3):</w:t>
      </w:r>
      <w:r>
        <w:rPr>
          <w:spacing w:val="-2"/>
          <w:sz w:val="22"/>
        </w:rPr>
        <w:t> </w:t>
      </w:r>
      <w:r>
        <w:rPr>
          <w:sz w:val="22"/>
        </w:rPr>
        <w:t>279–295.</w:t>
      </w:r>
    </w:p>
    <w:p>
      <w:pPr>
        <w:pStyle w:val="BodyText"/>
        <w:spacing w:before="5"/>
      </w:pPr>
    </w:p>
    <w:p>
      <w:pPr>
        <w:spacing w:line="288" w:lineRule="auto" w:before="0"/>
        <w:ind w:left="200" w:right="561" w:firstLine="0"/>
        <w:jc w:val="left"/>
        <w:rPr>
          <w:sz w:val="22"/>
        </w:rPr>
      </w:pPr>
      <w:r>
        <w:rPr>
          <w:sz w:val="22"/>
        </w:rPr>
        <w:t>Furukawa, Mitsuaki. 2018. Management of the International Development Aid System: The Case</w:t>
      </w:r>
      <w:r>
        <w:rPr>
          <w:spacing w:val="-3"/>
          <w:sz w:val="22"/>
        </w:rPr>
        <w:t> </w:t>
      </w:r>
      <w:r>
        <w:rPr>
          <w:sz w:val="22"/>
        </w:rPr>
        <w:t>of</w:t>
      </w:r>
      <w:r>
        <w:rPr>
          <w:spacing w:val="-4"/>
          <w:sz w:val="22"/>
        </w:rPr>
        <w:t> </w:t>
      </w:r>
      <w:r>
        <w:rPr>
          <w:sz w:val="22"/>
        </w:rPr>
        <w:t>Tanzania.</w:t>
      </w:r>
      <w:r>
        <w:rPr>
          <w:spacing w:val="-3"/>
          <w:sz w:val="22"/>
        </w:rPr>
        <w:t> </w:t>
      </w:r>
      <w:r>
        <w:rPr>
          <w:i/>
          <w:sz w:val="22"/>
        </w:rPr>
        <w:t>Development</w:t>
      </w:r>
      <w:r>
        <w:rPr>
          <w:i/>
          <w:spacing w:val="-4"/>
          <w:sz w:val="22"/>
        </w:rPr>
        <w:t> </w:t>
      </w:r>
      <w:r>
        <w:rPr>
          <w:i/>
          <w:sz w:val="22"/>
        </w:rPr>
        <w:t>Policy</w:t>
      </w:r>
      <w:r>
        <w:rPr>
          <w:i/>
          <w:spacing w:val="-3"/>
          <w:sz w:val="22"/>
        </w:rPr>
        <w:t> </w:t>
      </w:r>
      <w:r>
        <w:rPr>
          <w:i/>
          <w:sz w:val="22"/>
        </w:rPr>
        <w:t>Review</w:t>
      </w:r>
      <w:r>
        <w:rPr>
          <w:i/>
          <w:spacing w:val="-4"/>
          <w:sz w:val="22"/>
        </w:rPr>
        <w:t> </w:t>
      </w:r>
      <w:r>
        <w:rPr>
          <w:sz w:val="22"/>
        </w:rPr>
        <w:t>36(1):</w:t>
      </w:r>
      <w:r>
        <w:rPr>
          <w:spacing w:val="-3"/>
          <w:sz w:val="22"/>
        </w:rPr>
        <w:t> </w:t>
      </w:r>
      <w:r>
        <w:rPr>
          <w:sz w:val="22"/>
        </w:rPr>
        <w:t>270–284.</w:t>
      </w:r>
    </w:p>
    <w:p>
      <w:pPr>
        <w:spacing w:after="0" w:line="288" w:lineRule="auto"/>
        <w:jc w:val="left"/>
        <w:rPr>
          <w:sz w:val="22"/>
        </w:rPr>
        <w:sectPr>
          <w:footerReference w:type="default" r:id="rId32"/>
          <w:pgSz w:w="12240" w:h="15840"/>
          <w:pgMar w:footer="0" w:header="0" w:top="1400" w:bottom="280" w:left="1240" w:right="1260"/>
        </w:sectPr>
      </w:pPr>
    </w:p>
    <w:p>
      <w:pPr>
        <w:spacing w:line="288" w:lineRule="auto" w:before="44"/>
        <w:ind w:left="200" w:right="219" w:firstLine="0"/>
        <w:jc w:val="left"/>
        <w:rPr>
          <w:sz w:val="22"/>
        </w:rPr>
      </w:pPr>
      <w:r>
        <w:rPr>
          <w:sz w:val="22"/>
        </w:rPr>
        <w:t>Garnett,</w:t>
      </w:r>
      <w:r>
        <w:rPr>
          <w:spacing w:val="-6"/>
          <w:sz w:val="22"/>
        </w:rPr>
        <w:t> </w:t>
      </w:r>
      <w:r>
        <w:rPr>
          <w:sz w:val="22"/>
        </w:rPr>
        <w:t>Stephen</w:t>
      </w:r>
      <w:r>
        <w:rPr>
          <w:spacing w:val="-6"/>
          <w:sz w:val="22"/>
        </w:rPr>
        <w:t> </w:t>
      </w:r>
      <w:r>
        <w:rPr>
          <w:sz w:val="22"/>
        </w:rPr>
        <w:t>T.,</w:t>
      </w:r>
      <w:r>
        <w:rPr>
          <w:spacing w:val="-6"/>
          <w:sz w:val="22"/>
        </w:rPr>
        <w:t> </w:t>
      </w:r>
      <w:r>
        <w:rPr>
          <w:sz w:val="22"/>
        </w:rPr>
        <w:t>Neil</w:t>
      </w:r>
      <w:r>
        <w:rPr>
          <w:spacing w:val="-6"/>
          <w:sz w:val="22"/>
        </w:rPr>
        <w:t> </w:t>
      </w:r>
      <w:r>
        <w:rPr>
          <w:sz w:val="22"/>
        </w:rPr>
        <w:t>D.</w:t>
      </w:r>
      <w:r>
        <w:rPr>
          <w:spacing w:val="-6"/>
          <w:sz w:val="22"/>
        </w:rPr>
        <w:t> </w:t>
      </w:r>
      <w:r>
        <w:rPr>
          <w:sz w:val="22"/>
        </w:rPr>
        <w:t>Burgess,</w:t>
      </w:r>
      <w:r>
        <w:rPr>
          <w:spacing w:val="-6"/>
          <w:sz w:val="22"/>
        </w:rPr>
        <w:t> </w:t>
      </w:r>
      <w:r>
        <w:rPr>
          <w:sz w:val="22"/>
        </w:rPr>
        <w:t>John</w:t>
      </w:r>
      <w:r>
        <w:rPr>
          <w:spacing w:val="-6"/>
          <w:sz w:val="22"/>
        </w:rPr>
        <w:t> </w:t>
      </w:r>
      <w:r>
        <w:rPr>
          <w:sz w:val="22"/>
        </w:rPr>
        <w:t>E.</w:t>
      </w:r>
      <w:r>
        <w:rPr>
          <w:spacing w:val="-6"/>
          <w:sz w:val="22"/>
        </w:rPr>
        <w:t> </w:t>
      </w:r>
      <w:r>
        <w:rPr>
          <w:sz w:val="22"/>
        </w:rPr>
        <w:t>Fa,</w:t>
      </w:r>
      <w:r>
        <w:rPr>
          <w:spacing w:val="-6"/>
          <w:sz w:val="22"/>
        </w:rPr>
        <w:t> </w:t>
      </w:r>
      <w:r>
        <w:rPr>
          <w:sz w:val="22"/>
        </w:rPr>
        <w:t>Alvaro</w:t>
      </w:r>
      <w:r>
        <w:rPr>
          <w:spacing w:val="-6"/>
          <w:sz w:val="22"/>
        </w:rPr>
        <w:t> </w:t>
      </w:r>
      <w:r>
        <w:rPr>
          <w:sz w:val="22"/>
        </w:rPr>
        <w:t>Fernandez-Llamazares,</w:t>
      </w:r>
      <w:r>
        <w:rPr>
          <w:spacing w:val="-6"/>
          <w:sz w:val="22"/>
        </w:rPr>
        <w:t> </w:t>
      </w:r>
      <w:r>
        <w:rPr>
          <w:sz w:val="22"/>
        </w:rPr>
        <w:t>Zsolt</w:t>
      </w:r>
      <w:r>
        <w:rPr>
          <w:spacing w:val="-6"/>
          <w:sz w:val="22"/>
        </w:rPr>
        <w:t> </w:t>
      </w:r>
      <w:r>
        <w:rPr>
          <w:sz w:val="22"/>
        </w:rPr>
        <w:t>Molnar, Cathy</w:t>
      </w:r>
      <w:r>
        <w:rPr>
          <w:spacing w:val="-12"/>
          <w:sz w:val="22"/>
        </w:rPr>
        <w:t> </w:t>
      </w:r>
      <w:r>
        <w:rPr>
          <w:sz w:val="22"/>
        </w:rPr>
        <w:t>J.</w:t>
      </w:r>
      <w:r>
        <w:rPr>
          <w:spacing w:val="-12"/>
          <w:sz w:val="22"/>
        </w:rPr>
        <w:t> </w:t>
      </w:r>
      <w:r>
        <w:rPr>
          <w:sz w:val="22"/>
        </w:rPr>
        <w:t>Robinson,</w:t>
      </w:r>
      <w:r>
        <w:rPr>
          <w:spacing w:val="-12"/>
          <w:sz w:val="22"/>
        </w:rPr>
        <w:t> </w:t>
      </w:r>
      <w:r>
        <w:rPr>
          <w:sz w:val="22"/>
        </w:rPr>
        <w:t>James</w:t>
      </w:r>
      <w:r>
        <w:rPr>
          <w:spacing w:val="-12"/>
          <w:sz w:val="22"/>
        </w:rPr>
        <w:t> </w:t>
      </w:r>
      <w:r>
        <w:rPr>
          <w:sz w:val="22"/>
        </w:rPr>
        <w:t>E.</w:t>
      </w:r>
      <w:r>
        <w:rPr>
          <w:spacing w:val="-12"/>
          <w:sz w:val="22"/>
        </w:rPr>
        <w:t> </w:t>
      </w:r>
      <w:r>
        <w:rPr>
          <w:sz w:val="22"/>
        </w:rPr>
        <w:t>M.</w:t>
      </w:r>
      <w:r>
        <w:rPr>
          <w:spacing w:val="-12"/>
          <w:sz w:val="22"/>
        </w:rPr>
        <w:t> </w:t>
      </w:r>
      <w:r>
        <w:rPr>
          <w:sz w:val="22"/>
        </w:rPr>
        <w:t>Watson,</w:t>
      </w:r>
      <w:r>
        <w:rPr>
          <w:spacing w:val="-12"/>
          <w:sz w:val="22"/>
        </w:rPr>
        <w:t> </w:t>
      </w:r>
      <w:r>
        <w:rPr>
          <w:sz w:val="22"/>
        </w:rPr>
        <w:t>Kerstin</w:t>
      </w:r>
      <w:r>
        <w:rPr>
          <w:spacing w:val="-12"/>
          <w:sz w:val="22"/>
        </w:rPr>
        <w:t> </w:t>
      </w:r>
      <w:r>
        <w:rPr>
          <w:sz w:val="22"/>
        </w:rPr>
        <w:t>K.</w:t>
      </w:r>
      <w:r>
        <w:rPr>
          <w:spacing w:val="-12"/>
          <w:sz w:val="22"/>
        </w:rPr>
        <w:t> </w:t>
      </w:r>
      <w:r>
        <w:rPr>
          <w:sz w:val="22"/>
        </w:rPr>
        <w:t>Zander,</w:t>
      </w:r>
      <w:r>
        <w:rPr>
          <w:spacing w:val="-12"/>
          <w:sz w:val="22"/>
        </w:rPr>
        <w:t> </w:t>
      </w:r>
      <w:r>
        <w:rPr>
          <w:sz w:val="22"/>
        </w:rPr>
        <w:t>Beau</w:t>
      </w:r>
      <w:r>
        <w:rPr>
          <w:spacing w:val="-12"/>
          <w:sz w:val="22"/>
        </w:rPr>
        <w:t> </w:t>
      </w:r>
      <w:r>
        <w:rPr>
          <w:sz w:val="22"/>
        </w:rPr>
        <w:t>Austin,</w:t>
      </w:r>
      <w:r>
        <w:rPr>
          <w:spacing w:val="-12"/>
          <w:sz w:val="22"/>
        </w:rPr>
        <w:t> </w:t>
      </w:r>
      <w:r>
        <w:rPr>
          <w:sz w:val="22"/>
        </w:rPr>
        <w:t>Eduardo</w:t>
      </w:r>
      <w:r>
        <w:rPr>
          <w:spacing w:val="-12"/>
          <w:sz w:val="22"/>
        </w:rPr>
        <w:t> </w:t>
      </w:r>
      <w:r>
        <w:rPr>
          <w:sz w:val="22"/>
        </w:rPr>
        <w:t>S.</w:t>
      </w:r>
      <w:r>
        <w:rPr>
          <w:spacing w:val="-12"/>
          <w:sz w:val="22"/>
        </w:rPr>
        <w:t> </w:t>
      </w:r>
      <w:r>
        <w:rPr>
          <w:sz w:val="22"/>
        </w:rPr>
        <w:t>Brondizio, Neil</w:t>
      </w:r>
      <w:r>
        <w:rPr>
          <w:spacing w:val="-7"/>
          <w:sz w:val="22"/>
        </w:rPr>
        <w:t> </w:t>
      </w:r>
      <w:r>
        <w:rPr>
          <w:sz w:val="22"/>
        </w:rPr>
        <w:t>French</w:t>
      </w:r>
      <w:r>
        <w:rPr>
          <w:spacing w:val="-7"/>
          <w:sz w:val="22"/>
        </w:rPr>
        <w:t> </w:t>
      </w:r>
      <w:r>
        <w:rPr>
          <w:sz w:val="22"/>
        </w:rPr>
        <w:t>Collier,</w:t>
      </w:r>
      <w:r>
        <w:rPr>
          <w:spacing w:val="-7"/>
          <w:sz w:val="22"/>
        </w:rPr>
        <w:t> </w:t>
      </w:r>
      <w:r>
        <w:rPr>
          <w:sz w:val="22"/>
        </w:rPr>
        <w:t>Tom</w:t>
      </w:r>
      <w:r>
        <w:rPr>
          <w:spacing w:val="-7"/>
          <w:sz w:val="22"/>
        </w:rPr>
        <w:t> </w:t>
      </w:r>
      <w:r>
        <w:rPr>
          <w:sz w:val="22"/>
        </w:rPr>
        <w:t>Duncan,</w:t>
      </w:r>
      <w:r>
        <w:rPr>
          <w:spacing w:val="-7"/>
          <w:sz w:val="22"/>
        </w:rPr>
        <w:t> </w:t>
      </w:r>
      <w:r>
        <w:rPr>
          <w:sz w:val="22"/>
        </w:rPr>
        <w:t>Erle</w:t>
      </w:r>
      <w:r>
        <w:rPr>
          <w:spacing w:val="-7"/>
          <w:sz w:val="22"/>
        </w:rPr>
        <w:t> </w:t>
      </w:r>
      <w:r>
        <w:rPr>
          <w:sz w:val="22"/>
        </w:rPr>
        <w:t>Ellis,</w:t>
      </w:r>
      <w:r>
        <w:rPr>
          <w:spacing w:val="-7"/>
          <w:sz w:val="22"/>
        </w:rPr>
        <w:t> </w:t>
      </w:r>
      <w:r>
        <w:rPr>
          <w:sz w:val="22"/>
        </w:rPr>
        <w:t>Hayley</w:t>
      </w:r>
      <w:r>
        <w:rPr>
          <w:spacing w:val="-7"/>
          <w:sz w:val="22"/>
        </w:rPr>
        <w:t> </w:t>
      </w:r>
      <w:r>
        <w:rPr>
          <w:sz w:val="22"/>
        </w:rPr>
        <w:t>Geyle,</w:t>
      </w:r>
      <w:r>
        <w:rPr>
          <w:spacing w:val="-7"/>
          <w:sz w:val="22"/>
        </w:rPr>
        <w:t> </w:t>
      </w:r>
      <w:r>
        <w:rPr>
          <w:sz w:val="22"/>
        </w:rPr>
        <w:t>Micha</w:t>
      </w:r>
      <w:r>
        <w:rPr>
          <w:spacing w:val="-7"/>
          <w:sz w:val="22"/>
        </w:rPr>
        <w:t> </w:t>
      </w:r>
      <w:r>
        <w:rPr>
          <w:sz w:val="22"/>
        </w:rPr>
        <w:t>V.</w:t>
      </w:r>
      <w:r>
        <w:rPr>
          <w:spacing w:val="-7"/>
          <w:sz w:val="22"/>
        </w:rPr>
        <w:t> </w:t>
      </w:r>
      <w:r>
        <w:rPr>
          <w:sz w:val="22"/>
        </w:rPr>
        <w:t>Jackson,</w:t>
      </w:r>
      <w:r>
        <w:rPr>
          <w:spacing w:val="-7"/>
          <w:sz w:val="22"/>
        </w:rPr>
        <w:t> </w:t>
      </w:r>
      <w:r>
        <w:rPr>
          <w:sz w:val="22"/>
        </w:rPr>
        <w:t>Harry</w:t>
      </w:r>
      <w:r>
        <w:rPr>
          <w:spacing w:val="-7"/>
          <w:sz w:val="22"/>
        </w:rPr>
        <w:t> </w:t>
      </w:r>
      <w:r>
        <w:rPr>
          <w:sz w:val="22"/>
        </w:rPr>
        <w:t>Jonas, Pernilla</w:t>
      </w:r>
      <w:r>
        <w:rPr>
          <w:spacing w:val="-7"/>
          <w:sz w:val="22"/>
        </w:rPr>
        <w:t> </w:t>
      </w:r>
      <w:r>
        <w:rPr>
          <w:sz w:val="22"/>
        </w:rPr>
        <w:t>Malmer,</w:t>
      </w:r>
      <w:r>
        <w:rPr>
          <w:spacing w:val="-7"/>
          <w:sz w:val="22"/>
        </w:rPr>
        <w:t> </w:t>
      </w:r>
      <w:r>
        <w:rPr>
          <w:sz w:val="22"/>
        </w:rPr>
        <w:t>Ben</w:t>
      </w:r>
      <w:r>
        <w:rPr>
          <w:spacing w:val="-7"/>
          <w:sz w:val="22"/>
        </w:rPr>
        <w:t> </w:t>
      </w:r>
      <w:r>
        <w:rPr>
          <w:sz w:val="22"/>
        </w:rPr>
        <w:t>McGowan,</w:t>
      </w:r>
      <w:r>
        <w:rPr>
          <w:spacing w:val="-7"/>
          <w:sz w:val="22"/>
        </w:rPr>
        <w:t> </w:t>
      </w:r>
      <w:r>
        <w:rPr>
          <w:sz w:val="22"/>
        </w:rPr>
        <w:t>Amphone</w:t>
      </w:r>
      <w:r>
        <w:rPr>
          <w:spacing w:val="-7"/>
          <w:sz w:val="22"/>
        </w:rPr>
        <w:t> </w:t>
      </w:r>
      <w:r>
        <w:rPr>
          <w:sz w:val="22"/>
        </w:rPr>
        <w:t>Sivongxay,</w:t>
      </w:r>
      <w:r>
        <w:rPr>
          <w:spacing w:val="-7"/>
          <w:sz w:val="22"/>
        </w:rPr>
        <w:t> </w:t>
      </w:r>
      <w:r>
        <w:rPr>
          <w:sz w:val="22"/>
        </w:rPr>
        <w:t>and</w:t>
      </w:r>
      <w:r>
        <w:rPr>
          <w:spacing w:val="-7"/>
          <w:sz w:val="22"/>
        </w:rPr>
        <w:t> </w:t>
      </w:r>
      <w:r>
        <w:rPr>
          <w:sz w:val="22"/>
        </w:rPr>
        <w:t>Ian</w:t>
      </w:r>
      <w:r>
        <w:rPr>
          <w:spacing w:val="-7"/>
          <w:sz w:val="22"/>
        </w:rPr>
        <w:t> </w:t>
      </w:r>
      <w:r>
        <w:rPr>
          <w:sz w:val="22"/>
        </w:rPr>
        <w:t>Leiper.</w:t>
      </w:r>
      <w:r>
        <w:rPr>
          <w:spacing w:val="-7"/>
          <w:sz w:val="22"/>
        </w:rPr>
        <w:t> </w:t>
      </w:r>
      <w:r>
        <w:rPr>
          <w:sz w:val="22"/>
        </w:rPr>
        <w:t>2018.</w:t>
      </w:r>
      <w:r>
        <w:rPr>
          <w:spacing w:val="-7"/>
          <w:sz w:val="22"/>
        </w:rPr>
        <w:t> </w:t>
      </w:r>
      <w:r>
        <w:rPr>
          <w:sz w:val="22"/>
        </w:rPr>
        <w:t>A</w:t>
      </w:r>
      <w:r>
        <w:rPr>
          <w:spacing w:val="-7"/>
          <w:sz w:val="22"/>
        </w:rPr>
        <w:t> </w:t>
      </w:r>
      <w:r>
        <w:rPr>
          <w:sz w:val="22"/>
        </w:rPr>
        <w:t>spatial</w:t>
      </w:r>
      <w:r>
        <w:rPr>
          <w:spacing w:val="-7"/>
          <w:sz w:val="22"/>
        </w:rPr>
        <w:t> </w:t>
      </w:r>
      <w:r>
        <w:rPr>
          <w:sz w:val="22"/>
        </w:rPr>
        <w:t>overview of the global importance of Indigenous lands for conservation. </w:t>
      </w:r>
      <w:r>
        <w:rPr>
          <w:i/>
          <w:sz w:val="22"/>
        </w:rPr>
        <w:t>Nature Sustainability </w:t>
      </w:r>
      <w:r>
        <w:rPr>
          <w:sz w:val="22"/>
        </w:rPr>
        <w:t>1 (7):</w:t>
      </w:r>
    </w:p>
    <w:p>
      <w:pPr>
        <w:spacing w:before="1"/>
        <w:ind w:left="200" w:right="0" w:firstLine="0"/>
        <w:jc w:val="left"/>
        <w:rPr>
          <w:sz w:val="22"/>
        </w:rPr>
      </w:pPr>
      <w:r>
        <w:rPr>
          <w:spacing w:val="-4"/>
          <w:sz w:val="22"/>
        </w:rPr>
        <w:t>369-374.</w:t>
      </w:r>
    </w:p>
    <w:p>
      <w:pPr>
        <w:pStyle w:val="BodyText"/>
        <w:spacing w:before="8"/>
        <w:rPr>
          <w:sz w:val="28"/>
        </w:rPr>
      </w:pPr>
    </w:p>
    <w:p>
      <w:pPr>
        <w:spacing w:line="288" w:lineRule="auto" w:before="0"/>
        <w:ind w:left="200" w:right="191"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2021.</w:t>
      </w:r>
      <w:r>
        <w:rPr>
          <w:spacing w:val="-10"/>
          <w:sz w:val="22"/>
        </w:rPr>
        <w:t> </w:t>
      </w:r>
      <w:r>
        <w:rPr>
          <w:sz w:val="22"/>
        </w:rPr>
        <w:t>How</w:t>
      </w:r>
      <w:r>
        <w:rPr>
          <w:spacing w:val="-10"/>
          <w:sz w:val="22"/>
        </w:rPr>
        <w:t> </w:t>
      </w:r>
      <w:r>
        <w:rPr>
          <w:sz w:val="22"/>
        </w:rPr>
        <w:t>China Lends: A Rare Look into 100 Debt Contracts with Foreign Governments. Peterson Institute for International Economics, Kiel Institute for the World Economy, Center for Global Development, and AidData at William &amp; Mary.</w:t>
      </w:r>
    </w:p>
    <w:p>
      <w:pPr>
        <w:pStyle w:val="BodyText"/>
        <w:spacing w:before="4"/>
      </w:pPr>
    </w:p>
    <w:p>
      <w:pPr>
        <w:spacing w:line="288" w:lineRule="auto" w:before="1"/>
        <w:ind w:left="200" w:right="191"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2022.</w:t>
      </w:r>
      <w:r>
        <w:rPr>
          <w:spacing w:val="-10"/>
          <w:sz w:val="22"/>
        </w:rPr>
        <w:t> </w:t>
      </w:r>
      <w:r>
        <w:rPr>
          <w:sz w:val="22"/>
        </w:rPr>
        <w:t>How</w:t>
      </w:r>
      <w:r>
        <w:rPr>
          <w:spacing w:val="-10"/>
          <w:sz w:val="22"/>
        </w:rPr>
        <w:t> </w:t>
      </w:r>
      <w:r>
        <w:rPr>
          <w:sz w:val="22"/>
        </w:rPr>
        <w:t>China Lends: A Rare Look into 100 Debt Contracts with Foreign Governments. </w:t>
      </w:r>
      <w:r>
        <w:rPr>
          <w:i/>
          <w:sz w:val="22"/>
        </w:rPr>
        <w:t>Economic Policy</w:t>
      </w:r>
      <w:r>
        <w:rPr>
          <w:i/>
          <w:sz w:val="22"/>
        </w:rPr>
        <w:t> </w:t>
      </w:r>
      <w:r>
        <w:rPr>
          <w:spacing w:val="-2"/>
          <w:sz w:val="22"/>
        </w:rPr>
        <w:t>eiac054.</w:t>
      </w:r>
    </w:p>
    <w:p>
      <w:pPr>
        <w:pStyle w:val="BodyText"/>
        <w:spacing w:before="5"/>
      </w:pPr>
    </w:p>
    <w:p>
      <w:pPr>
        <w:spacing w:line="338" w:lineRule="auto" w:before="1"/>
        <w:ind w:left="200" w:right="219" w:firstLine="0"/>
        <w:jc w:val="left"/>
        <w:rPr>
          <w:sz w:val="22"/>
        </w:rPr>
      </w:pPr>
      <w:r>
        <w:rPr>
          <w:sz w:val="22"/>
        </w:rPr>
        <w:t>Ghani, Amel. 2015. Divisive Project: LDA Hopes to Secure Archaeology NOC in a Week. </w:t>
      </w:r>
      <w:r>
        <w:rPr>
          <w:i/>
          <w:sz w:val="22"/>
        </w:rPr>
        <w:t>The</w:t>
      </w:r>
      <w:r>
        <w:rPr>
          <w:i/>
          <w:sz w:val="22"/>
        </w:rPr>
        <w:t> </w:t>
      </w:r>
      <w:r>
        <w:rPr>
          <w:i/>
          <w:spacing w:val="-2"/>
          <w:w w:val="105"/>
          <w:sz w:val="22"/>
        </w:rPr>
        <w:t>Express</w:t>
      </w:r>
      <w:r>
        <w:rPr>
          <w:i/>
          <w:spacing w:val="-15"/>
          <w:w w:val="105"/>
          <w:sz w:val="22"/>
        </w:rPr>
        <w:t> </w:t>
      </w:r>
      <w:r>
        <w:rPr>
          <w:i/>
          <w:spacing w:val="-2"/>
          <w:w w:val="105"/>
          <w:sz w:val="22"/>
        </w:rPr>
        <w:t>Tribune</w:t>
      </w:r>
      <w:r>
        <w:rPr>
          <w:spacing w:val="-2"/>
          <w:w w:val="105"/>
          <w:sz w:val="22"/>
        </w:rPr>
        <w:t>.</w:t>
      </w:r>
      <w:r>
        <w:rPr>
          <w:spacing w:val="-14"/>
          <w:w w:val="105"/>
          <w:sz w:val="22"/>
        </w:rPr>
        <w:t> </w:t>
      </w:r>
      <w:r>
        <w:rPr>
          <w:spacing w:val="-2"/>
          <w:w w:val="105"/>
          <w:sz w:val="22"/>
        </w:rPr>
        <w:t>4</w:t>
      </w:r>
      <w:r>
        <w:rPr>
          <w:spacing w:val="-14"/>
          <w:w w:val="105"/>
          <w:sz w:val="22"/>
        </w:rPr>
        <w:t> </w:t>
      </w:r>
      <w:r>
        <w:rPr>
          <w:spacing w:val="-2"/>
          <w:w w:val="105"/>
          <w:sz w:val="22"/>
        </w:rPr>
        <w:t>November</w:t>
      </w:r>
      <w:r>
        <w:rPr>
          <w:spacing w:val="-14"/>
          <w:w w:val="105"/>
          <w:sz w:val="22"/>
        </w:rPr>
        <w:t> </w:t>
      </w:r>
      <w:r>
        <w:rPr>
          <w:spacing w:val="-2"/>
          <w:w w:val="105"/>
          <w:sz w:val="22"/>
        </w:rPr>
        <w:t>2015.</w:t>
      </w:r>
      <w:r>
        <w:rPr>
          <w:spacing w:val="-14"/>
          <w:w w:val="105"/>
          <w:sz w:val="22"/>
        </w:rPr>
        <w:t> </w:t>
      </w:r>
      <w:r>
        <w:rPr>
          <w:spacing w:val="-2"/>
          <w:w w:val="105"/>
          <w:sz w:val="22"/>
        </w:rPr>
        <w:t>Accessed</w:t>
      </w:r>
      <w:r>
        <w:rPr>
          <w:spacing w:val="-14"/>
          <w:w w:val="105"/>
          <w:sz w:val="22"/>
        </w:rPr>
        <w:t> </w:t>
      </w:r>
      <w:r>
        <w:rPr>
          <w:spacing w:val="-2"/>
          <w:w w:val="105"/>
          <w:sz w:val="22"/>
        </w:rPr>
        <w:t>on</w:t>
      </w:r>
      <w:r>
        <w:rPr>
          <w:spacing w:val="-14"/>
          <w:w w:val="105"/>
          <w:sz w:val="22"/>
        </w:rPr>
        <w:t> </w:t>
      </w:r>
      <w:r>
        <w:rPr>
          <w:spacing w:val="-2"/>
          <w:w w:val="105"/>
          <w:sz w:val="22"/>
        </w:rPr>
        <w:t>15</w:t>
      </w:r>
      <w:r>
        <w:rPr>
          <w:spacing w:val="-14"/>
          <w:w w:val="105"/>
          <w:sz w:val="22"/>
        </w:rPr>
        <w:t> </w:t>
      </w:r>
      <w:r>
        <w:rPr>
          <w:spacing w:val="-2"/>
          <w:w w:val="105"/>
          <w:sz w:val="22"/>
        </w:rPr>
        <w:t>August</w:t>
      </w:r>
      <w:r>
        <w:rPr>
          <w:spacing w:val="-14"/>
          <w:w w:val="105"/>
          <w:sz w:val="22"/>
        </w:rPr>
        <w:t> </w:t>
      </w:r>
      <w:r>
        <w:rPr>
          <w:spacing w:val="-2"/>
          <w:w w:val="105"/>
          <w:sz w:val="22"/>
        </w:rPr>
        <w:t>2023</w:t>
      </w:r>
      <w:r>
        <w:rPr>
          <w:spacing w:val="-14"/>
          <w:w w:val="105"/>
          <w:sz w:val="22"/>
        </w:rPr>
        <w:t> </w:t>
      </w:r>
      <w:r>
        <w:rPr>
          <w:spacing w:val="-2"/>
          <w:w w:val="105"/>
          <w:sz w:val="22"/>
        </w:rPr>
        <w:t>at </w:t>
      </w:r>
      <w:hyperlink r:id="rId36">
        <w:r>
          <w:rPr>
            <w:color w:val="1154CC"/>
            <w:spacing w:val="-2"/>
            <w:sz w:val="22"/>
            <w:u w:val="thick" w:color="1154CC"/>
          </w:rPr>
          <w:t>https://tribune.com.pk/story/985371/divisive-project-lda-hopes-to-secure-archaeology-noc-in-a</w:t>
        </w:r>
      </w:hyperlink>
    </w:p>
    <w:p>
      <w:pPr>
        <w:spacing w:before="0"/>
        <w:ind w:left="200" w:right="0" w:firstLine="0"/>
        <w:jc w:val="left"/>
        <w:rPr>
          <w:sz w:val="22"/>
        </w:rPr>
      </w:pPr>
      <w:hyperlink r:id="rId36">
        <w:r>
          <w:rPr>
            <w:color w:val="1154CC"/>
            <w:spacing w:val="-2"/>
            <w:sz w:val="22"/>
            <w:u w:val="thick" w:color="1154CC"/>
          </w:rPr>
          <w:t>-week</w:t>
        </w:r>
      </w:hyperlink>
      <w:r>
        <w:rPr>
          <w:spacing w:val="-2"/>
          <w:sz w:val="22"/>
        </w:rPr>
        <w:t>.</w:t>
      </w:r>
    </w:p>
    <w:p>
      <w:pPr>
        <w:pStyle w:val="BodyText"/>
        <w:rPr>
          <w:sz w:val="22"/>
        </w:rPr>
      </w:pPr>
    </w:p>
    <w:p>
      <w:pPr>
        <w:spacing w:line="288" w:lineRule="auto" w:before="131"/>
        <w:ind w:left="200" w:right="561" w:firstLine="0"/>
        <w:jc w:val="left"/>
        <w:rPr>
          <w:sz w:val="22"/>
        </w:rPr>
      </w:pPr>
      <w:r>
        <w:rPr>
          <w:sz w:val="22"/>
        </w:rPr>
        <w:t>Hainz,</w:t>
      </w:r>
      <w:r>
        <w:rPr>
          <w:spacing w:val="-10"/>
          <w:sz w:val="22"/>
        </w:rPr>
        <w:t> </w:t>
      </w:r>
      <w:r>
        <w:rPr>
          <w:sz w:val="22"/>
        </w:rPr>
        <w:t>C.</w:t>
      </w:r>
      <w:r>
        <w:rPr>
          <w:spacing w:val="-10"/>
          <w:sz w:val="22"/>
        </w:rPr>
        <w:t> </w:t>
      </w:r>
      <w:r>
        <w:rPr>
          <w:sz w:val="22"/>
        </w:rPr>
        <w:t>and</w:t>
      </w:r>
      <w:r>
        <w:rPr>
          <w:spacing w:val="-10"/>
          <w:sz w:val="22"/>
        </w:rPr>
        <w:t> </w:t>
      </w:r>
      <w:r>
        <w:rPr>
          <w:sz w:val="22"/>
        </w:rPr>
        <w:t>S.</w:t>
      </w:r>
      <w:r>
        <w:rPr>
          <w:spacing w:val="-10"/>
          <w:sz w:val="22"/>
        </w:rPr>
        <w:t> </w:t>
      </w:r>
      <w:r>
        <w:rPr>
          <w:sz w:val="22"/>
        </w:rPr>
        <w:t>Kleimeier.</w:t>
      </w:r>
      <w:r>
        <w:rPr>
          <w:spacing w:val="-10"/>
          <w:sz w:val="22"/>
        </w:rPr>
        <w:t> </w:t>
      </w:r>
      <w:r>
        <w:rPr>
          <w:sz w:val="22"/>
        </w:rPr>
        <w:t>2012.</w:t>
      </w:r>
      <w:r>
        <w:rPr>
          <w:spacing w:val="-10"/>
          <w:sz w:val="22"/>
        </w:rPr>
        <w:t> </w:t>
      </w:r>
      <w:r>
        <w:rPr>
          <w:sz w:val="22"/>
        </w:rPr>
        <w:t>Political</w:t>
      </w:r>
      <w:r>
        <w:rPr>
          <w:spacing w:val="-10"/>
          <w:sz w:val="22"/>
        </w:rPr>
        <w:t> </w:t>
      </w:r>
      <w:r>
        <w:rPr>
          <w:sz w:val="22"/>
        </w:rPr>
        <w:t>Risk,</w:t>
      </w:r>
      <w:r>
        <w:rPr>
          <w:spacing w:val="-10"/>
          <w:sz w:val="22"/>
        </w:rPr>
        <w:t> </w:t>
      </w:r>
      <w:r>
        <w:rPr>
          <w:sz w:val="22"/>
        </w:rPr>
        <w:t>Project</w:t>
      </w:r>
      <w:r>
        <w:rPr>
          <w:spacing w:val="-10"/>
          <w:sz w:val="22"/>
        </w:rPr>
        <w:t> </w:t>
      </w:r>
      <w:r>
        <w:rPr>
          <w:sz w:val="22"/>
        </w:rPr>
        <w:t>Finance,</w:t>
      </w:r>
      <w:r>
        <w:rPr>
          <w:spacing w:val="-10"/>
          <w:sz w:val="22"/>
        </w:rPr>
        <w:t> </w:t>
      </w:r>
      <w:r>
        <w:rPr>
          <w:sz w:val="22"/>
        </w:rPr>
        <w:t>and</w:t>
      </w:r>
      <w:r>
        <w:rPr>
          <w:spacing w:val="-10"/>
          <w:sz w:val="22"/>
        </w:rPr>
        <w:t> </w:t>
      </w:r>
      <w:r>
        <w:rPr>
          <w:sz w:val="22"/>
        </w:rPr>
        <w:t>the</w:t>
      </w:r>
      <w:r>
        <w:rPr>
          <w:spacing w:val="-10"/>
          <w:sz w:val="22"/>
        </w:rPr>
        <w:t> </w:t>
      </w:r>
      <w:r>
        <w:rPr>
          <w:sz w:val="22"/>
        </w:rPr>
        <w:t>Participation</w:t>
      </w:r>
      <w:r>
        <w:rPr>
          <w:spacing w:val="-10"/>
          <w:sz w:val="22"/>
        </w:rPr>
        <w:t> </w:t>
      </w:r>
      <w:r>
        <w:rPr>
          <w:sz w:val="22"/>
        </w:rPr>
        <w:t>of Development Banks in Syndicated Lending. </w:t>
      </w:r>
      <w:r>
        <w:rPr>
          <w:i/>
          <w:sz w:val="22"/>
        </w:rPr>
        <w:t>Journal of Financial Intermediation </w:t>
      </w:r>
      <w:r>
        <w:rPr>
          <w:sz w:val="22"/>
        </w:rPr>
        <w:t>21 (2): </w:t>
      </w:r>
      <w:r>
        <w:rPr>
          <w:spacing w:val="-2"/>
          <w:sz w:val="22"/>
        </w:rPr>
        <w:t>287–314.</w:t>
      </w:r>
    </w:p>
    <w:p>
      <w:pPr>
        <w:pStyle w:val="BodyText"/>
        <w:spacing w:before="5"/>
      </w:pPr>
    </w:p>
    <w:p>
      <w:pPr>
        <w:spacing w:line="338" w:lineRule="auto" w:before="1"/>
        <w:ind w:left="200" w:right="179" w:firstLine="0"/>
        <w:jc w:val="left"/>
        <w:rPr>
          <w:sz w:val="22"/>
        </w:rPr>
      </w:pPr>
      <w:r>
        <w:rPr>
          <w:sz w:val="22"/>
        </w:rPr>
        <w:t>Hasnain,</w:t>
      </w:r>
      <w:r>
        <w:rPr>
          <w:spacing w:val="-13"/>
          <w:sz w:val="22"/>
        </w:rPr>
        <w:t> </w:t>
      </w:r>
      <w:r>
        <w:rPr>
          <w:sz w:val="22"/>
        </w:rPr>
        <w:t>Khalid.</w:t>
      </w:r>
      <w:r>
        <w:rPr>
          <w:spacing w:val="-13"/>
          <w:sz w:val="22"/>
        </w:rPr>
        <w:t> </w:t>
      </w:r>
      <w:r>
        <w:rPr>
          <w:sz w:val="22"/>
        </w:rPr>
        <w:t>2023.</w:t>
      </w:r>
      <w:r>
        <w:rPr>
          <w:spacing w:val="-13"/>
          <w:sz w:val="22"/>
        </w:rPr>
        <w:t> </w:t>
      </w:r>
      <w:r>
        <w:rPr>
          <w:sz w:val="22"/>
        </w:rPr>
        <w:t>Orange</w:t>
      </w:r>
      <w:r>
        <w:rPr>
          <w:spacing w:val="-13"/>
          <w:sz w:val="22"/>
        </w:rPr>
        <w:t> </w:t>
      </w:r>
      <w:r>
        <w:rPr>
          <w:sz w:val="22"/>
        </w:rPr>
        <w:t>Line</w:t>
      </w:r>
      <w:r>
        <w:rPr>
          <w:spacing w:val="-13"/>
          <w:sz w:val="22"/>
        </w:rPr>
        <w:t> </w:t>
      </w:r>
      <w:r>
        <w:rPr>
          <w:sz w:val="22"/>
        </w:rPr>
        <w:t>Touches</w:t>
      </w:r>
      <w:r>
        <w:rPr>
          <w:spacing w:val="-13"/>
          <w:sz w:val="22"/>
        </w:rPr>
        <w:t> </w:t>
      </w:r>
      <w:r>
        <w:rPr>
          <w:sz w:val="22"/>
        </w:rPr>
        <w:t>100m</w:t>
      </w:r>
      <w:r>
        <w:rPr>
          <w:spacing w:val="-13"/>
          <w:sz w:val="22"/>
        </w:rPr>
        <w:t> </w:t>
      </w:r>
      <w:r>
        <w:rPr>
          <w:sz w:val="22"/>
        </w:rPr>
        <w:t>Passengers</w:t>
      </w:r>
      <w:r>
        <w:rPr>
          <w:spacing w:val="-13"/>
          <w:sz w:val="22"/>
        </w:rPr>
        <w:t> </w:t>
      </w:r>
      <w:r>
        <w:rPr>
          <w:sz w:val="22"/>
        </w:rPr>
        <w:t>Count.</w:t>
      </w:r>
      <w:r>
        <w:rPr>
          <w:spacing w:val="-13"/>
          <w:sz w:val="22"/>
        </w:rPr>
        <w:t> </w:t>
      </w:r>
      <w:r>
        <w:rPr>
          <w:i/>
          <w:sz w:val="22"/>
        </w:rPr>
        <w:t>Dawn</w:t>
      </w:r>
      <w:r>
        <w:rPr>
          <w:sz w:val="22"/>
        </w:rPr>
        <w:t>.</w:t>
      </w:r>
      <w:r>
        <w:rPr>
          <w:spacing w:val="-13"/>
          <w:sz w:val="22"/>
        </w:rPr>
        <w:t> </w:t>
      </w:r>
      <w:r>
        <w:rPr>
          <w:sz w:val="22"/>
        </w:rPr>
        <w:t>6</w:t>
      </w:r>
      <w:r>
        <w:rPr>
          <w:spacing w:val="-13"/>
          <w:sz w:val="22"/>
        </w:rPr>
        <w:t> </w:t>
      </w:r>
      <w:r>
        <w:rPr>
          <w:sz w:val="22"/>
        </w:rPr>
        <w:t>August</w:t>
      </w:r>
      <w:r>
        <w:rPr>
          <w:spacing w:val="-13"/>
          <w:sz w:val="22"/>
        </w:rPr>
        <w:t> </w:t>
      </w:r>
      <w:r>
        <w:rPr>
          <w:sz w:val="22"/>
        </w:rPr>
        <w:t>2023. Accessed on 15 August 2023 at </w:t>
      </w:r>
      <w:hyperlink r:id="rId37">
        <w:r>
          <w:rPr>
            <w:color w:val="1154CC"/>
            <w:sz w:val="22"/>
            <w:u w:val="thick" w:color="1154CC"/>
          </w:rPr>
          <w:t>https://www.dawn.com/news/1768572</w:t>
        </w:r>
      </w:hyperlink>
      <w:r>
        <w:rPr>
          <w:sz w:val="22"/>
        </w:rPr>
        <w:t>.</w:t>
      </w:r>
    </w:p>
    <w:p>
      <w:pPr>
        <w:pStyle w:val="BodyText"/>
        <w:spacing w:before="4"/>
      </w:pPr>
    </w:p>
    <w:p>
      <w:pPr>
        <w:spacing w:line="288" w:lineRule="auto" w:before="0"/>
        <w:ind w:left="200" w:right="561" w:firstLine="0"/>
        <w:jc w:val="left"/>
        <w:rPr>
          <w:sz w:val="22"/>
        </w:rPr>
      </w:pPr>
      <w:r>
        <w:rPr>
          <w:sz w:val="22"/>
        </w:rPr>
        <w:t>Hillman,</w:t>
      </w:r>
      <w:r>
        <w:rPr>
          <w:spacing w:val="-5"/>
          <w:sz w:val="22"/>
        </w:rPr>
        <w:t> </w:t>
      </w:r>
      <w:r>
        <w:rPr>
          <w:sz w:val="22"/>
        </w:rPr>
        <w:t>Jonathan</w:t>
      </w:r>
      <w:r>
        <w:rPr>
          <w:spacing w:val="-5"/>
          <w:sz w:val="22"/>
        </w:rPr>
        <w:t> </w:t>
      </w:r>
      <w:r>
        <w:rPr>
          <w:sz w:val="22"/>
        </w:rPr>
        <w:t>E.</w:t>
      </w:r>
      <w:r>
        <w:rPr>
          <w:spacing w:val="-5"/>
          <w:sz w:val="22"/>
        </w:rPr>
        <w:t> </w:t>
      </w:r>
      <w:r>
        <w:rPr>
          <w:sz w:val="22"/>
        </w:rPr>
        <w:t>2020b.</w:t>
      </w:r>
      <w:r>
        <w:rPr>
          <w:spacing w:val="-5"/>
          <w:sz w:val="22"/>
        </w:rPr>
        <w:t> </w:t>
      </w:r>
      <w:r>
        <w:rPr>
          <w:sz w:val="22"/>
        </w:rPr>
        <w:t>Don’t</w:t>
      </w:r>
      <w:r>
        <w:rPr>
          <w:spacing w:val="-5"/>
          <w:sz w:val="22"/>
        </w:rPr>
        <w:t> </w:t>
      </w:r>
      <w:r>
        <w:rPr>
          <w:sz w:val="22"/>
        </w:rPr>
        <w:t>Let</w:t>
      </w:r>
      <w:r>
        <w:rPr>
          <w:spacing w:val="-5"/>
          <w:sz w:val="22"/>
        </w:rPr>
        <w:t> </w:t>
      </w:r>
      <w:r>
        <w:rPr>
          <w:sz w:val="22"/>
        </w:rPr>
        <w:t>China</w:t>
      </w:r>
      <w:r>
        <w:rPr>
          <w:spacing w:val="-5"/>
          <w:sz w:val="22"/>
        </w:rPr>
        <w:t> </w:t>
      </w:r>
      <w:r>
        <w:rPr>
          <w:sz w:val="22"/>
        </w:rPr>
        <w:t>Greenwash</w:t>
      </w:r>
      <w:r>
        <w:rPr>
          <w:spacing w:val="-5"/>
          <w:sz w:val="22"/>
        </w:rPr>
        <w:t> </w:t>
      </w:r>
      <w:r>
        <w:rPr>
          <w:sz w:val="22"/>
        </w:rPr>
        <w:t>Its</w:t>
      </w:r>
      <w:r>
        <w:rPr>
          <w:spacing w:val="-5"/>
          <w:sz w:val="22"/>
        </w:rPr>
        <w:t> </w:t>
      </w:r>
      <w:r>
        <w:rPr>
          <w:sz w:val="22"/>
        </w:rPr>
        <w:t>Belt</w:t>
      </w:r>
      <w:r>
        <w:rPr>
          <w:spacing w:val="-5"/>
          <w:sz w:val="22"/>
        </w:rPr>
        <w:t> </w:t>
      </w:r>
      <w:r>
        <w:rPr>
          <w:sz w:val="22"/>
        </w:rPr>
        <w:t>and</w:t>
      </w:r>
      <w:r>
        <w:rPr>
          <w:spacing w:val="-5"/>
          <w:sz w:val="22"/>
        </w:rPr>
        <w:t> </w:t>
      </w:r>
      <w:r>
        <w:rPr>
          <w:sz w:val="22"/>
        </w:rPr>
        <w:t>Road.</w:t>
      </w:r>
      <w:r>
        <w:rPr>
          <w:spacing w:val="-5"/>
          <w:sz w:val="22"/>
        </w:rPr>
        <w:t> </w:t>
      </w:r>
      <w:r>
        <w:rPr>
          <w:i/>
          <w:sz w:val="22"/>
        </w:rPr>
        <w:t>Nikkei</w:t>
      </w:r>
      <w:r>
        <w:rPr>
          <w:i/>
          <w:spacing w:val="-5"/>
          <w:sz w:val="22"/>
        </w:rPr>
        <w:t> </w:t>
      </w:r>
      <w:r>
        <w:rPr>
          <w:i/>
          <w:sz w:val="22"/>
        </w:rPr>
        <w:t>Asia</w:t>
      </w:r>
      <w:r>
        <w:rPr>
          <w:sz w:val="22"/>
        </w:rPr>
        <w:t>.</w:t>
      </w:r>
      <w:r>
        <w:rPr>
          <w:spacing w:val="-5"/>
          <w:sz w:val="22"/>
        </w:rPr>
        <w:t> </w:t>
      </w:r>
      <w:r>
        <w:rPr>
          <w:sz w:val="22"/>
        </w:rPr>
        <w:t>6 October 2020. Accessed on 22 August 2023 at</w:t>
      </w:r>
    </w:p>
    <w:p>
      <w:pPr>
        <w:spacing w:before="0"/>
        <w:ind w:left="200" w:right="0" w:firstLine="0"/>
        <w:jc w:val="left"/>
        <w:rPr>
          <w:sz w:val="22"/>
        </w:rPr>
      </w:pPr>
      <w:hyperlink r:id="rId38">
        <w:r>
          <w:rPr>
            <w:color w:val="1154CC"/>
            <w:spacing w:val="-2"/>
            <w:sz w:val="22"/>
            <w:u w:val="thick" w:color="1154CC"/>
          </w:rPr>
          <w:t>https://www.csis.org/analysis/dont-let-china-greenwash-its-belt-and-</w:t>
        </w:r>
        <w:r>
          <w:rPr>
            <w:color w:val="1154CC"/>
            <w:spacing w:val="-4"/>
            <w:sz w:val="22"/>
            <w:u w:val="thick" w:color="1154CC"/>
          </w:rPr>
          <w:t>road</w:t>
        </w:r>
      </w:hyperlink>
    </w:p>
    <w:p>
      <w:pPr>
        <w:pStyle w:val="BodyText"/>
        <w:spacing w:before="9"/>
        <w:rPr>
          <w:sz w:val="28"/>
        </w:rPr>
      </w:pPr>
    </w:p>
    <w:p>
      <w:pPr>
        <w:spacing w:line="288" w:lineRule="auto" w:before="0"/>
        <w:ind w:left="200" w:right="0" w:firstLine="0"/>
        <w:jc w:val="left"/>
        <w:rPr>
          <w:sz w:val="22"/>
        </w:rPr>
      </w:pPr>
      <w:r>
        <w:rPr>
          <w:sz w:val="22"/>
        </w:rPr>
        <w:t>Hong</w:t>
      </w:r>
      <w:r>
        <w:rPr>
          <w:spacing w:val="-5"/>
          <w:sz w:val="22"/>
        </w:rPr>
        <w:t> </w:t>
      </w:r>
      <w:r>
        <w:rPr>
          <w:sz w:val="22"/>
        </w:rPr>
        <w:t>Kong</w:t>
      </w:r>
      <w:r>
        <w:rPr>
          <w:spacing w:val="-5"/>
          <w:sz w:val="22"/>
        </w:rPr>
        <w:t> </w:t>
      </w:r>
      <w:r>
        <w:rPr>
          <w:sz w:val="22"/>
        </w:rPr>
        <w:t>Green</w:t>
      </w:r>
      <w:r>
        <w:rPr>
          <w:spacing w:val="-5"/>
          <w:sz w:val="22"/>
        </w:rPr>
        <w:t> </w:t>
      </w:r>
      <w:r>
        <w:rPr>
          <w:sz w:val="22"/>
        </w:rPr>
        <w:t>Finance</w:t>
      </w:r>
      <w:r>
        <w:rPr>
          <w:spacing w:val="-5"/>
          <w:sz w:val="22"/>
        </w:rPr>
        <w:t> </w:t>
      </w:r>
      <w:r>
        <w:rPr>
          <w:sz w:val="22"/>
        </w:rPr>
        <w:t>Association</w:t>
      </w:r>
      <w:r>
        <w:rPr>
          <w:spacing w:val="-5"/>
          <w:sz w:val="22"/>
        </w:rPr>
        <w:t> </w:t>
      </w:r>
      <w:r>
        <w:rPr>
          <w:sz w:val="22"/>
        </w:rPr>
        <w:t>(HKGFA)</w:t>
      </w:r>
      <w:r>
        <w:rPr>
          <w:spacing w:val="-5"/>
          <w:sz w:val="22"/>
        </w:rPr>
        <w:t> </w:t>
      </w:r>
      <w:r>
        <w:rPr>
          <w:sz w:val="22"/>
        </w:rPr>
        <w:t>and</w:t>
      </w:r>
      <w:r>
        <w:rPr>
          <w:spacing w:val="-5"/>
          <w:sz w:val="22"/>
        </w:rPr>
        <w:t> </w:t>
      </w:r>
      <w:r>
        <w:rPr>
          <w:sz w:val="22"/>
        </w:rPr>
        <w:t>Guangdong</w:t>
      </w:r>
      <w:r>
        <w:rPr>
          <w:spacing w:val="-5"/>
          <w:sz w:val="22"/>
        </w:rPr>
        <w:t> </w:t>
      </w:r>
      <w:r>
        <w:rPr>
          <w:sz w:val="22"/>
        </w:rPr>
        <w:t>Green</w:t>
      </w:r>
      <w:r>
        <w:rPr>
          <w:spacing w:val="-5"/>
          <w:sz w:val="22"/>
        </w:rPr>
        <w:t> </w:t>
      </w:r>
      <w:r>
        <w:rPr>
          <w:sz w:val="22"/>
        </w:rPr>
        <w:t>Finance</w:t>
      </w:r>
      <w:r>
        <w:rPr>
          <w:spacing w:val="-5"/>
          <w:sz w:val="22"/>
        </w:rPr>
        <w:t> </w:t>
      </w:r>
      <w:r>
        <w:rPr>
          <w:sz w:val="22"/>
        </w:rPr>
        <w:t>Committee. 2022.</w:t>
      </w:r>
      <w:r>
        <w:rPr>
          <w:spacing w:val="-5"/>
          <w:sz w:val="22"/>
        </w:rPr>
        <w:t> </w:t>
      </w:r>
      <w:r>
        <w:rPr>
          <w:sz w:val="22"/>
        </w:rPr>
        <w:t>CGT</w:t>
      </w:r>
      <w:r>
        <w:rPr>
          <w:spacing w:val="-5"/>
          <w:sz w:val="22"/>
        </w:rPr>
        <w:t> </w:t>
      </w:r>
      <w:r>
        <w:rPr>
          <w:sz w:val="22"/>
        </w:rPr>
        <w:t>Research</w:t>
      </w:r>
      <w:r>
        <w:rPr>
          <w:spacing w:val="-5"/>
          <w:sz w:val="22"/>
        </w:rPr>
        <w:t> </w:t>
      </w:r>
      <w:r>
        <w:rPr>
          <w:sz w:val="22"/>
        </w:rPr>
        <w:t>Series</w:t>
      </w:r>
      <w:r>
        <w:rPr>
          <w:spacing w:val="-5"/>
          <w:sz w:val="22"/>
        </w:rPr>
        <w:t> </w:t>
      </w:r>
      <w:r>
        <w:rPr>
          <w:sz w:val="22"/>
        </w:rPr>
        <w:t>Phase</w:t>
      </w:r>
      <w:r>
        <w:rPr>
          <w:spacing w:val="-5"/>
          <w:sz w:val="22"/>
        </w:rPr>
        <w:t> </w:t>
      </w:r>
      <w:r>
        <w:rPr>
          <w:sz w:val="22"/>
        </w:rPr>
        <w:t>2:</w:t>
      </w:r>
      <w:r>
        <w:rPr>
          <w:spacing w:val="-5"/>
          <w:sz w:val="22"/>
        </w:rPr>
        <w:t> </w:t>
      </w:r>
      <w:r>
        <w:rPr>
          <w:sz w:val="22"/>
        </w:rPr>
        <w:t>Understanding</w:t>
      </w:r>
      <w:r>
        <w:rPr>
          <w:spacing w:val="-5"/>
          <w:sz w:val="22"/>
        </w:rPr>
        <w:t> </w:t>
      </w:r>
      <w:r>
        <w:rPr>
          <w:sz w:val="22"/>
        </w:rPr>
        <w:t>Use</w:t>
      </w:r>
      <w:r>
        <w:rPr>
          <w:spacing w:val="-5"/>
          <w:sz w:val="22"/>
        </w:rPr>
        <w:t> </w:t>
      </w:r>
      <w:r>
        <w:rPr>
          <w:sz w:val="22"/>
        </w:rPr>
        <w:t>Cases</w:t>
      </w:r>
      <w:r>
        <w:rPr>
          <w:spacing w:val="-5"/>
          <w:sz w:val="22"/>
        </w:rPr>
        <w:t> </w:t>
      </w:r>
      <w:r>
        <w:rPr>
          <w:sz w:val="22"/>
        </w:rPr>
        <w:t>of</w:t>
      </w:r>
      <w:r>
        <w:rPr>
          <w:spacing w:val="-5"/>
          <w:sz w:val="22"/>
        </w:rPr>
        <w:t> </w:t>
      </w:r>
      <w:r>
        <w:rPr>
          <w:sz w:val="22"/>
        </w:rPr>
        <w:t>the</w:t>
      </w:r>
      <w:r>
        <w:rPr>
          <w:spacing w:val="-5"/>
          <w:sz w:val="22"/>
        </w:rPr>
        <w:t> </w:t>
      </w:r>
      <w:r>
        <w:rPr>
          <w:sz w:val="22"/>
        </w:rPr>
        <w:t>Common</w:t>
      </w:r>
      <w:r>
        <w:rPr>
          <w:spacing w:val="-5"/>
          <w:sz w:val="22"/>
        </w:rPr>
        <w:t> </w:t>
      </w:r>
      <w:r>
        <w:rPr>
          <w:sz w:val="22"/>
        </w:rPr>
        <w:t>Ground Taxonomy. Accessed on 1 October 2023 at</w:t>
      </w:r>
    </w:p>
    <w:p>
      <w:pPr>
        <w:spacing w:line="288" w:lineRule="auto" w:before="0"/>
        <w:ind w:left="200" w:right="561" w:firstLine="0"/>
        <w:jc w:val="left"/>
        <w:rPr>
          <w:sz w:val="22"/>
        </w:rPr>
      </w:pPr>
      <w:hyperlink r:id="rId39">
        <w:r>
          <w:rPr>
            <w:color w:val="1154CC"/>
            <w:spacing w:val="-2"/>
            <w:sz w:val="22"/>
            <w:u w:val="thick" w:color="1154CC"/>
          </w:rPr>
          <w:t>https://www.hkgreenﬁnance.org/wp-content/uploads/2022/09/CGT_Phase2reportENG_ﬁnal.p</w:t>
        </w:r>
      </w:hyperlink>
      <w:r>
        <w:rPr>
          <w:color w:val="1154CC"/>
          <w:spacing w:val="40"/>
          <w:w w:val="105"/>
          <w:sz w:val="22"/>
        </w:rPr>
        <w:t>  </w:t>
      </w:r>
      <w:hyperlink r:id="rId39">
        <w:r>
          <w:rPr>
            <w:color w:val="1154CC"/>
            <w:spacing w:val="-6"/>
            <w:w w:val="105"/>
            <w:sz w:val="22"/>
            <w:u w:val="thick" w:color="1154CC"/>
          </w:rPr>
          <w:t>df</w:t>
        </w:r>
      </w:hyperlink>
    </w:p>
    <w:p>
      <w:pPr>
        <w:pStyle w:val="BodyText"/>
        <w:spacing w:before="4"/>
      </w:pPr>
    </w:p>
    <w:p>
      <w:pPr>
        <w:spacing w:line="288" w:lineRule="auto" w:before="0"/>
        <w:ind w:left="200" w:right="252" w:firstLine="0"/>
        <w:jc w:val="left"/>
        <w:rPr>
          <w:sz w:val="22"/>
        </w:rPr>
      </w:pPr>
      <w:r>
        <w:rPr>
          <w:sz w:val="22"/>
        </w:rPr>
        <w:t>Horigoshi,</w:t>
      </w:r>
      <w:r>
        <w:rPr>
          <w:spacing w:val="-7"/>
          <w:sz w:val="22"/>
        </w:rPr>
        <w:t> </w:t>
      </w:r>
      <w:r>
        <w:rPr>
          <w:sz w:val="22"/>
        </w:rPr>
        <w:t>Ana,</w:t>
      </w:r>
      <w:r>
        <w:rPr>
          <w:spacing w:val="-7"/>
          <w:sz w:val="22"/>
        </w:rPr>
        <w:t> </w:t>
      </w:r>
      <w:r>
        <w:rPr>
          <w:sz w:val="22"/>
        </w:rPr>
        <w:t>Samantha</w:t>
      </w:r>
      <w:r>
        <w:rPr>
          <w:spacing w:val="-7"/>
          <w:sz w:val="22"/>
        </w:rPr>
        <w:t> </w:t>
      </w:r>
      <w:r>
        <w:rPr>
          <w:sz w:val="22"/>
        </w:rPr>
        <w:t>Custer,</w:t>
      </w:r>
      <w:r>
        <w:rPr>
          <w:spacing w:val="-7"/>
          <w:sz w:val="22"/>
        </w:rPr>
        <w:t> </w:t>
      </w:r>
      <w:r>
        <w:rPr>
          <w:sz w:val="22"/>
        </w:rPr>
        <w:t>Bryan</w:t>
      </w:r>
      <w:r>
        <w:rPr>
          <w:spacing w:val="-7"/>
          <w:sz w:val="22"/>
        </w:rPr>
        <w:t> </w:t>
      </w:r>
      <w:r>
        <w:rPr>
          <w:sz w:val="22"/>
        </w:rPr>
        <w:t>Burgess,</w:t>
      </w:r>
      <w:r>
        <w:rPr>
          <w:spacing w:val="-7"/>
          <w:sz w:val="22"/>
        </w:rPr>
        <w:t> </w:t>
      </w:r>
      <w:r>
        <w:rPr>
          <w:sz w:val="22"/>
        </w:rPr>
        <w:t>Kelsey</w:t>
      </w:r>
      <w:r>
        <w:rPr>
          <w:spacing w:val="-7"/>
          <w:sz w:val="22"/>
        </w:rPr>
        <w:t> </w:t>
      </w:r>
      <w:r>
        <w:rPr>
          <w:sz w:val="22"/>
        </w:rPr>
        <w:t>Marshall,</w:t>
      </w:r>
      <w:r>
        <w:rPr>
          <w:spacing w:val="-7"/>
          <w:sz w:val="22"/>
        </w:rPr>
        <w:t> </w:t>
      </w:r>
      <w:r>
        <w:rPr>
          <w:sz w:val="22"/>
        </w:rPr>
        <w:t>Vera</w:t>
      </w:r>
      <w:r>
        <w:rPr>
          <w:spacing w:val="-7"/>
          <w:sz w:val="22"/>
        </w:rPr>
        <w:t> </w:t>
      </w:r>
      <w:r>
        <w:rPr>
          <w:sz w:val="22"/>
        </w:rPr>
        <w:t>Choo,</w:t>
      </w:r>
      <w:r>
        <w:rPr>
          <w:spacing w:val="-7"/>
          <w:sz w:val="22"/>
        </w:rPr>
        <w:t> </w:t>
      </w:r>
      <w:r>
        <w:rPr>
          <w:sz w:val="22"/>
        </w:rPr>
        <w:t>Katie Andrzejewski, and Emily Dumont. 2022. Delivering the Belt and Road: Decoding the supply of and demand for Chinese overseas development projects. Williamsburg, VA: AidData at William &amp; Mary.</w:t>
      </w:r>
    </w:p>
    <w:p>
      <w:pPr>
        <w:spacing w:after="0" w:line="288" w:lineRule="auto"/>
        <w:jc w:val="left"/>
        <w:rPr>
          <w:sz w:val="22"/>
        </w:rPr>
        <w:sectPr>
          <w:footerReference w:type="default" r:id="rId35"/>
          <w:pgSz w:w="12240" w:h="15840"/>
          <w:pgMar w:footer="0" w:header="0" w:top="1400" w:bottom="280" w:left="1240" w:right="1260"/>
        </w:sectPr>
      </w:pPr>
    </w:p>
    <w:p>
      <w:pPr>
        <w:spacing w:line="288" w:lineRule="auto" w:before="44"/>
        <w:ind w:left="200" w:right="0" w:firstLine="0"/>
        <w:jc w:val="left"/>
        <w:rPr>
          <w:sz w:val="22"/>
        </w:rPr>
      </w:pPr>
      <w:r>
        <w:rPr>
          <w:sz w:val="22"/>
        </w:rPr>
        <w:t>Humphrey, Chris, and Katharina Michaelowa. 2019. China in Africa: Competition for Traditional Development Finance Institutions? </w:t>
      </w:r>
      <w:r>
        <w:rPr>
          <w:i/>
          <w:sz w:val="22"/>
        </w:rPr>
        <w:t>World Development </w:t>
      </w:r>
      <w:r>
        <w:rPr>
          <w:sz w:val="22"/>
        </w:rPr>
        <w:t>120:15–28.</w:t>
      </w:r>
    </w:p>
    <w:p>
      <w:pPr>
        <w:pStyle w:val="BodyText"/>
        <w:spacing w:before="5"/>
      </w:pPr>
    </w:p>
    <w:p>
      <w:pPr>
        <w:spacing w:line="288" w:lineRule="auto" w:before="0"/>
        <w:ind w:left="200" w:right="0" w:firstLine="0"/>
        <w:jc w:val="left"/>
        <w:rPr>
          <w:sz w:val="22"/>
        </w:rPr>
      </w:pPr>
      <w:r>
        <w:rPr>
          <w:sz w:val="22"/>
        </w:rPr>
        <w:t>Humphrey, Christopher. 2015. Infrastructure Finance in the Developing World: Challenges and Opportunities for Multilateral Development Bank. Washington DC: G-24.</w:t>
      </w:r>
    </w:p>
    <w:p>
      <w:pPr>
        <w:pStyle w:val="BodyText"/>
        <w:spacing w:before="4"/>
      </w:pPr>
    </w:p>
    <w:p>
      <w:pPr>
        <w:spacing w:line="288" w:lineRule="auto" w:before="0"/>
        <w:ind w:left="200" w:right="0" w:firstLine="0"/>
        <w:jc w:val="left"/>
        <w:rPr>
          <w:sz w:val="22"/>
        </w:rPr>
      </w:pPr>
      <w:r>
        <w:rPr>
          <w:sz w:val="22"/>
        </w:rPr>
        <w:t>Iacoella, Francesco, Bruno Martorano, Laura Metzger, and Marco Sanﬁlippo. 2021. Chinese Ofﬁcial</w:t>
      </w:r>
      <w:r>
        <w:rPr>
          <w:spacing w:val="-6"/>
          <w:sz w:val="22"/>
        </w:rPr>
        <w:t> </w:t>
      </w:r>
      <w:r>
        <w:rPr>
          <w:sz w:val="22"/>
        </w:rPr>
        <w:t>Finance</w:t>
      </w:r>
      <w:r>
        <w:rPr>
          <w:spacing w:val="-6"/>
          <w:sz w:val="22"/>
        </w:rPr>
        <w:t> </w:t>
      </w:r>
      <w:r>
        <w:rPr>
          <w:sz w:val="22"/>
        </w:rPr>
        <w:t>and</w:t>
      </w:r>
      <w:r>
        <w:rPr>
          <w:spacing w:val="-6"/>
          <w:sz w:val="22"/>
        </w:rPr>
        <w:t> </w:t>
      </w:r>
      <w:r>
        <w:rPr>
          <w:sz w:val="22"/>
        </w:rPr>
        <w:t>Political</w:t>
      </w:r>
      <w:r>
        <w:rPr>
          <w:spacing w:val="-6"/>
          <w:sz w:val="22"/>
        </w:rPr>
        <w:t> </w:t>
      </w:r>
      <w:r>
        <w:rPr>
          <w:sz w:val="22"/>
        </w:rPr>
        <w:t>Participation</w:t>
      </w:r>
      <w:r>
        <w:rPr>
          <w:spacing w:val="-6"/>
          <w:sz w:val="22"/>
        </w:rPr>
        <w:t> </w:t>
      </w:r>
      <w:r>
        <w:rPr>
          <w:sz w:val="22"/>
        </w:rPr>
        <w:t>in</w:t>
      </w:r>
      <w:r>
        <w:rPr>
          <w:spacing w:val="-6"/>
          <w:sz w:val="22"/>
        </w:rPr>
        <w:t> </w:t>
      </w:r>
      <w:r>
        <w:rPr>
          <w:sz w:val="22"/>
        </w:rPr>
        <w:t>Africa.</w:t>
      </w:r>
      <w:r>
        <w:rPr>
          <w:spacing w:val="-6"/>
          <w:sz w:val="22"/>
        </w:rPr>
        <w:t> </w:t>
      </w:r>
      <w:r>
        <w:rPr>
          <w:i/>
          <w:sz w:val="22"/>
        </w:rPr>
        <w:t>European</w:t>
      </w:r>
      <w:r>
        <w:rPr>
          <w:i/>
          <w:spacing w:val="-6"/>
          <w:sz w:val="22"/>
        </w:rPr>
        <w:t> </w:t>
      </w:r>
      <w:r>
        <w:rPr>
          <w:i/>
          <w:sz w:val="22"/>
        </w:rPr>
        <w:t>Economic</w:t>
      </w:r>
      <w:r>
        <w:rPr>
          <w:i/>
          <w:spacing w:val="-6"/>
          <w:sz w:val="22"/>
        </w:rPr>
        <w:t> </w:t>
      </w:r>
      <w:r>
        <w:rPr>
          <w:i/>
          <w:sz w:val="22"/>
        </w:rPr>
        <w:t>Review</w:t>
      </w:r>
      <w:r>
        <w:rPr>
          <w:i/>
          <w:spacing w:val="-6"/>
          <w:sz w:val="22"/>
        </w:rPr>
        <w:t> </w:t>
      </w:r>
      <w:r>
        <w:rPr>
          <w:sz w:val="22"/>
        </w:rPr>
        <w:t>136:</w:t>
      </w:r>
      <w:r>
        <w:rPr>
          <w:spacing w:val="-6"/>
          <w:sz w:val="22"/>
        </w:rPr>
        <w:t> </w:t>
      </w:r>
      <w:r>
        <w:rPr>
          <w:sz w:val="22"/>
        </w:rPr>
        <w:t>103741.</w:t>
      </w:r>
    </w:p>
    <w:p>
      <w:pPr>
        <w:pStyle w:val="BodyText"/>
        <w:spacing w:before="5"/>
      </w:pPr>
    </w:p>
    <w:p>
      <w:pPr>
        <w:spacing w:line="288" w:lineRule="auto" w:before="0"/>
        <w:ind w:left="200" w:right="0" w:firstLine="0"/>
        <w:jc w:val="left"/>
        <w:rPr>
          <w:sz w:val="22"/>
        </w:rPr>
      </w:pPr>
      <w:r>
        <w:rPr>
          <w:sz w:val="22"/>
        </w:rPr>
        <w:t>Independent</w:t>
      </w:r>
      <w:r>
        <w:rPr>
          <w:spacing w:val="-6"/>
          <w:sz w:val="22"/>
        </w:rPr>
        <w:t> </w:t>
      </w:r>
      <w:r>
        <w:rPr>
          <w:sz w:val="22"/>
        </w:rPr>
        <w:t>Evaluation</w:t>
      </w:r>
      <w:r>
        <w:rPr>
          <w:spacing w:val="-6"/>
          <w:sz w:val="22"/>
        </w:rPr>
        <w:t> </w:t>
      </w:r>
      <w:r>
        <w:rPr>
          <w:sz w:val="22"/>
        </w:rPr>
        <w:t>Group</w:t>
      </w:r>
      <w:r>
        <w:rPr>
          <w:spacing w:val="-6"/>
          <w:sz w:val="22"/>
        </w:rPr>
        <w:t> </w:t>
      </w:r>
      <w:r>
        <w:rPr>
          <w:sz w:val="22"/>
        </w:rPr>
        <w:t>of</w:t>
      </w:r>
      <w:r>
        <w:rPr>
          <w:spacing w:val="-6"/>
          <w:sz w:val="22"/>
        </w:rPr>
        <w:t> </w:t>
      </w:r>
      <w:r>
        <w:rPr>
          <w:sz w:val="22"/>
        </w:rPr>
        <w:t>the</w:t>
      </w:r>
      <w:r>
        <w:rPr>
          <w:spacing w:val="-6"/>
          <w:sz w:val="22"/>
        </w:rPr>
        <w:t> </w:t>
      </w:r>
      <w:r>
        <w:rPr>
          <w:sz w:val="22"/>
        </w:rPr>
        <w:t>World</w:t>
      </w:r>
      <w:r>
        <w:rPr>
          <w:spacing w:val="-6"/>
          <w:sz w:val="22"/>
        </w:rPr>
        <w:t> </w:t>
      </w:r>
      <w:r>
        <w:rPr>
          <w:sz w:val="22"/>
        </w:rPr>
        <w:t>Bank</w:t>
      </w:r>
      <w:r>
        <w:rPr>
          <w:spacing w:val="-6"/>
          <w:sz w:val="22"/>
        </w:rPr>
        <w:t> </w:t>
      </w:r>
      <w:r>
        <w:rPr>
          <w:sz w:val="22"/>
        </w:rPr>
        <w:t>(IEG).</w:t>
      </w:r>
      <w:r>
        <w:rPr>
          <w:spacing w:val="-6"/>
          <w:sz w:val="22"/>
        </w:rPr>
        <w:t> </w:t>
      </w:r>
      <w:r>
        <w:rPr>
          <w:sz w:val="22"/>
        </w:rPr>
        <w:t>2010.</w:t>
      </w:r>
      <w:r>
        <w:rPr>
          <w:spacing w:val="-6"/>
          <w:sz w:val="22"/>
        </w:rPr>
        <w:t> </w:t>
      </w:r>
      <w:r>
        <w:rPr>
          <w:sz w:val="22"/>
        </w:rPr>
        <w:t>Safeguards</w:t>
      </w:r>
      <w:r>
        <w:rPr>
          <w:spacing w:val="-6"/>
          <w:sz w:val="22"/>
        </w:rPr>
        <w:t> </w:t>
      </w:r>
      <w:r>
        <w:rPr>
          <w:sz w:val="22"/>
        </w:rPr>
        <w:t>and</w:t>
      </w:r>
      <w:r>
        <w:rPr>
          <w:spacing w:val="-6"/>
          <w:sz w:val="22"/>
        </w:rPr>
        <w:t> </w:t>
      </w:r>
      <w:r>
        <w:rPr>
          <w:sz w:val="22"/>
        </w:rPr>
        <w:t>Sustainability Policies in a Changing World. Washington DC: World Bank.</w:t>
      </w:r>
    </w:p>
    <w:p>
      <w:pPr>
        <w:pStyle w:val="BodyText"/>
        <w:spacing w:before="4"/>
      </w:pPr>
    </w:p>
    <w:p>
      <w:pPr>
        <w:spacing w:line="288" w:lineRule="auto" w:before="0"/>
        <w:ind w:left="200" w:right="561" w:firstLine="0"/>
        <w:jc w:val="left"/>
        <w:rPr>
          <w:sz w:val="22"/>
        </w:rPr>
      </w:pPr>
      <w:r>
        <w:rPr>
          <w:sz w:val="22"/>
        </w:rPr>
        <w:t>International</w:t>
      </w:r>
      <w:r>
        <w:rPr>
          <w:spacing w:val="-15"/>
          <w:sz w:val="22"/>
        </w:rPr>
        <w:t> </w:t>
      </w:r>
      <w:r>
        <w:rPr>
          <w:sz w:val="22"/>
        </w:rPr>
        <w:t>Platform</w:t>
      </w:r>
      <w:r>
        <w:rPr>
          <w:spacing w:val="-15"/>
          <w:sz w:val="22"/>
        </w:rPr>
        <w:t> </w:t>
      </w:r>
      <w:r>
        <w:rPr>
          <w:sz w:val="22"/>
        </w:rPr>
        <w:t>on</w:t>
      </w:r>
      <w:r>
        <w:rPr>
          <w:spacing w:val="-15"/>
          <w:sz w:val="22"/>
        </w:rPr>
        <w:t> </w:t>
      </w:r>
      <w:r>
        <w:rPr>
          <w:sz w:val="22"/>
        </w:rPr>
        <w:t>Sustainable</w:t>
      </w:r>
      <w:r>
        <w:rPr>
          <w:spacing w:val="-15"/>
          <w:sz w:val="22"/>
        </w:rPr>
        <w:t> </w:t>
      </w:r>
      <w:r>
        <w:rPr>
          <w:sz w:val="22"/>
        </w:rPr>
        <w:t>Finance</w:t>
      </w:r>
      <w:r>
        <w:rPr>
          <w:spacing w:val="-15"/>
          <w:sz w:val="22"/>
        </w:rPr>
        <w:t> </w:t>
      </w:r>
      <w:r>
        <w:rPr>
          <w:sz w:val="22"/>
        </w:rPr>
        <w:t>(IPSF).</w:t>
      </w:r>
      <w:r>
        <w:rPr>
          <w:spacing w:val="-15"/>
          <w:sz w:val="22"/>
        </w:rPr>
        <w:t> </w:t>
      </w:r>
      <w:r>
        <w:rPr>
          <w:sz w:val="22"/>
        </w:rPr>
        <w:t>2022.</w:t>
      </w:r>
      <w:r>
        <w:rPr>
          <w:spacing w:val="-15"/>
          <w:sz w:val="22"/>
        </w:rPr>
        <w:t> </w:t>
      </w:r>
      <w:r>
        <w:rPr>
          <w:sz w:val="22"/>
        </w:rPr>
        <w:t>Common</w:t>
      </w:r>
      <w:r>
        <w:rPr>
          <w:spacing w:val="-15"/>
          <w:sz w:val="22"/>
        </w:rPr>
        <w:t> </w:t>
      </w:r>
      <w:r>
        <w:rPr>
          <w:sz w:val="22"/>
        </w:rPr>
        <w:t>Ground</w:t>
      </w:r>
      <w:r>
        <w:rPr>
          <w:spacing w:val="-15"/>
          <w:sz w:val="22"/>
        </w:rPr>
        <w:t> </w:t>
      </w:r>
      <w:r>
        <w:rPr>
          <w:sz w:val="22"/>
        </w:rPr>
        <w:t>Taxonomy</w:t>
      </w:r>
      <w:r>
        <w:rPr>
          <w:spacing w:val="-15"/>
          <w:sz w:val="22"/>
        </w:rPr>
        <w:t> </w:t>
      </w:r>
      <w:r>
        <w:rPr>
          <w:sz w:val="22"/>
        </w:rPr>
        <w:t>– Climate Change Mitigation. Instruction Report of the IPSF Taxonomy Working Group</w:t>
      </w:r>
    </w:p>
    <w:p>
      <w:pPr>
        <w:spacing w:line="288" w:lineRule="auto" w:before="0"/>
        <w:ind w:left="200" w:right="268" w:firstLine="0"/>
        <w:jc w:val="left"/>
        <w:rPr>
          <w:sz w:val="22"/>
        </w:rPr>
      </w:pPr>
      <w:r>
        <w:rPr>
          <w:spacing w:val="-2"/>
          <w:w w:val="105"/>
          <w:sz w:val="22"/>
        </w:rPr>
        <w:t>Co-chaired</w:t>
      </w:r>
      <w:r>
        <w:rPr>
          <w:spacing w:val="-11"/>
          <w:w w:val="105"/>
          <w:sz w:val="22"/>
        </w:rPr>
        <w:t> </w:t>
      </w:r>
      <w:r>
        <w:rPr>
          <w:spacing w:val="-2"/>
          <w:w w:val="105"/>
          <w:sz w:val="22"/>
        </w:rPr>
        <w:t>by</w:t>
      </w:r>
      <w:r>
        <w:rPr>
          <w:spacing w:val="-11"/>
          <w:w w:val="105"/>
          <w:sz w:val="22"/>
        </w:rPr>
        <w:t> </w:t>
      </w:r>
      <w:r>
        <w:rPr>
          <w:spacing w:val="-2"/>
          <w:w w:val="105"/>
          <w:sz w:val="22"/>
        </w:rPr>
        <w:t>the</w:t>
      </w:r>
      <w:r>
        <w:rPr>
          <w:spacing w:val="-11"/>
          <w:w w:val="105"/>
          <w:sz w:val="22"/>
        </w:rPr>
        <w:t> </w:t>
      </w:r>
      <w:r>
        <w:rPr>
          <w:spacing w:val="-2"/>
          <w:w w:val="105"/>
          <w:sz w:val="22"/>
        </w:rPr>
        <w:t>EU</w:t>
      </w:r>
      <w:r>
        <w:rPr>
          <w:spacing w:val="-11"/>
          <w:w w:val="105"/>
          <w:sz w:val="22"/>
        </w:rPr>
        <w:t> </w:t>
      </w:r>
      <w:r>
        <w:rPr>
          <w:spacing w:val="-2"/>
          <w:w w:val="105"/>
          <w:sz w:val="22"/>
        </w:rPr>
        <w:t>and</w:t>
      </w:r>
      <w:r>
        <w:rPr>
          <w:spacing w:val="-11"/>
          <w:w w:val="105"/>
          <w:sz w:val="22"/>
        </w:rPr>
        <w:t> </w:t>
      </w:r>
      <w:r>
        <w:rPr>
          <w:spacing w:val="-2"/>
          <w:w w:val="105"/>
          <w:sz w:val="22"/>
        </w:rPr>
        <w:t>China.</w:t>
      </w:r>
      <w:r>
        <w:rPr>
          <w:spacing w:val="-11"/>
          <w:w w:val="105"/>
          <w:sz w:val="22"/>
        </w:rPr>
        <w:t> </w:t>
      </w:r>
      <w:r>
        <w:rPr>
          <w:spacing w:val="-2"/>
          <w:w w:val="105"/>
          <w:sz w:val="22"/>
        </w:rPr>
        <w:t>3</w:t>
      </w:r>
      <w:r>
        <w:rPr>
          <w:spacing w:val="-11"/>
          <w:w w:val="105"/>
          <w:sz w:val="22"/>
        </w:rPr>
        <w:t> </w:t>
      </w:r>
      <w:r>
        <w:rPr>
          <w:spacing w:val="-2"/>
          <w:w w:val="105"/>
          <w:sz w:val="22"/>
        </w:rPr>
        <w:t>June</w:t>
      </w:r>
      <w:r>
        <w:rPr>
          <w:spacing w:val="-11"/>
          <w:w w:val="105"/>
          <w:sz w:val="22"/>
        </w:rPr>
        <w:t> </w:t>
      </w:r>
      <w:r>
        <w:rPr>
          <w:spacing w:val="-2"/>
          <w:w w:val="105"/>
          <w:sz w:val="22"/>
        </w:rPr>
        <w:t>2022.</w:t>
      </w:r>
      <w:r>
        <w:rPr>
          <w:spacing w:val="-11"/>
          <w:w w:val="105"/>
          <w:sz w:val="22"/>
        </w:rPr>
        <w:t> </w:t>
      </w:r>
      <w:r>
        <w:rPr>
          <w:spacing w:val="-2"/>
          <w:w w:val="105"/>
          <w:sz w:val="22"/>
        </w:rPr>
        <w:t>Accessed</w:t>
      </w:r>
      <w:r>
        <w:rPr>
          <w:spacing w:val="-11"/>
          <w:w w:val="105"/>
          <w:sz w:val="22"/>
        </w:rPr>
        <w:t> </w:t>
      </w:r>
      <w:r>
        <w:rPr>
          <w:spacing w:val="-2"/>
          <w:w w:val="105"/>
          <w:sz w:val="22"/>
        </w:rPr>
        <w:t>on</w:t>
      </w:r>
      <w:r>
        <w:rPr>
          <w:spacing w:val="-11"/>
          <w:w w:val="105"/>
          <w:sz w:val="22"/>
        </w:rPr>
        <w:t> </w:t>
      </w:r>
      <w:r>
        <w:rPr>
          <w:spacing w:val="-2"/>
          <w:w w:val="105"/>
          <w:sz w:val="22"/>
        </w:rPr>
        <w:t>1</w:t>
      </w:r>
      <w:r>
        <w:rPr>
          <w:spacing w:val="-11"/>
          <w:w w:val="105"/>
          <w:sz w:val="22"/>
        </w:rPr>
        <w:t> </w:t>
      </w:r>
      <w:r>
        <w:rPr>
          <w:spacing w:val="-2"/>
          <w:w w:val="105"/>
          <w:sz w:val="22"/>
        </w:rPr>
        <w:t>October</w:t>
      </w:r>
      <w:r>
        <w:rPr>
          <w:spacing w:val="-11"/>
          <w:w w:val="105"/>
          <w:sz w:val="22"/>
        </w:rPr>
        <w:t> </w:t>
      </w:r>
      <w:r>
        <w:rPr>
          <w:spacing w:val="-2"/>
          <w:w w:val="105"/>
          <w:sz w:val="22"/>
        </w:rPr>
        <w:t>2023</w:t>
      </w:r>
      <w:r>
        <w:rPr>
          <w:spacing w:val="-11"/>
          <w:w w:val="105"/>
          <w:sz w:val="22"/>
        </w:rPr>
        <w:t> </w:t>
      </w:r>
      <w:r>
        <w:rPr>
          <w:spacing w:val="-2"/>
          <w:w w:val="105"/>
          <w:sz w:val="22"/>
        </w:rPr>
        <w:t>at </w:t>
      </w:r>
      <w:hyperlink r:id="rId41">
        <w:r>
          <w:rPr>
            <w:color w:val="1154CC"/>
            <w:spacing w:val="-2"/>
            <w:sz w:val="22"/>
            <w:u w:val="thick" w:color="1154CC"/>
          </w:rPr>
          <w:t>https://ﬁnance.ec.europa.eu/system/ﬁles/2022-06/220603-international-platform-sustainable-ﬁ</w:t>
        </w:r>
      </w:hyperlink>
      <w:r>
        <w:rPr>
          <w:color w:val="1154CC"/>
          <w:spacing w:val="80"/>
          <w:w w:val="105"/>
          <w:sz w:val="22"/>
        </w:rPr>
        <w:t> </w:t>
      </w:r>
      <w:hyperlink r:id="rId41">
        <w:r>
          <w:rPr>
            <w:color w:val="1154CC"/>
            <w:spacing w:val="-2"/>
            <w:w w:val="105"/>
            <w:sz w:val="22"/>
            <w:u w:val="thick" w:color="1154CC"/>
          </w:rPr>
          <w:t>nance-common-ground-taxonomy-instruction-report_en.pdf</w:t>
        </w:r>
      </w:hyperlink>
    </w:p>
    <w:p>
      <w:pPr>
        <w:pStyle w:val="BodyText"/>
        <w:spacing w:before="5"/>
      </w:pPr>
    </w:p>
    <w:p>
      <w:pPr>
        <w:spacing w:line="288" w:lineRule="auto" w:before="0"/>
        <w:ind w:left="200" w:right="252" w:firstLine="0"/>
        <w:jc w:val="left"/>
        <w:rPr>
          <w:sz w:val="22"/>
        </w:rPr>
      </w:pPr>
      <w:r>
        <w:rPr>
          <w:sz w:val="22"/>
        </w:rPr>
        <w:t>Isaksson,</w:t>
      </w:r>
      <w:r>
        <w:rPr>
          <w:spacing w:val="-8"/>
          <w:sz w:val="22"/>
        </w:rPr>
        <w:t> </w:t>
      </w:r>
      <w:r>
        <w:rPr>
          <w:sz w:val="22"/>
        </w:rPr>
        <w:t>Ann-Soﬁe</w:t>
      </w:r>
      <w:r>
        <w:rPr>
          <w:spacing w:val="-8"/>
          <w:sz w:val="22"/>
        </w:rPr>
        <w:t> </w:t>
      </w:r>
      <w:r>
        <w:rPr>
          <w:sz w:val="22"/>
        </w:rPr>
        <w:t>and</w:t>
      </w:r>
      <w:r>
        <w:rPr>
          <w:spacing w:val="-8"/>
          <w:sz w:val="22"/>
        </w:rPr>
        <w:t> </w:t>
      </w:r>
      <w:r>
        <w:rPr>
          <w:sz w:val="22"/>
        </w:rPr>
        <w:t>Andreas</w:t>
      </w:r>
      <w:r>
        <w:rPr>
          <w:spacing w:val="-8"/>
          <w:sz w:val="22"/>
        </w:rPr>
        <w:t> </w:t>
      </w:r>
      <w:r>
        <w:rPr>
          <w:sz w:val="22"/>
        </w:rPr>
        <w:t>Kotsadam.</w:t>
      </w:r>
      <w:r>
        <w:rPr>
          <w:spacing w:val="-8"/>
          <w:sz w:val="22"/>
        </w:rPr>
        <w:t> </w:t>
      </w:r>
      <w:r>
        <w:rPr>
          <w:sz w:val="22"/>
        </w:rPr>
        <w:t>2018a.</w:t>
      </w:r>
      <w:r>
        <w:rPr>
          <w:spacing w:val="-8"/>
          <w:sz w:val="22"/>
        </w:rPr>
        <w:t> </w:t>
      </w:r>
      <w:r>
        <w:rPr>
          <w:sz w:val="22"/>
        </w:rPr>
        <w:t>Chinese</w:t>
      </w:r>
      <w:r>
        <w:rPr>
          <w:spacing w:val="-8"/>
          <w:sz w:val="22"/>
        </w:rPr>
        <w:t> </w:t>
      </w:r>
      <w:r>
        <w:rPr>
          <w:sz w:val="22"/>
        </w:rPr>
        <w:t>Aid</w:t>
      </w:r>
      <w:r>
        <w:rPr>
          <w:spacing w:val="-8"/>
          <w:sz w:val="22"/>
        </w:rPr>
        <w:t> </w:t>
      </w:r>
      <w:r>
        <w:rPr>
          <w:sz w:val="22"/>
        </w:rPr>
        <w:t>and</w:t>
      </w:r>
      <w:r>
        <w:rPr>
          <w:spacing w:val="-8"/>
          <w:sz w:val="22"/>
        </w:rPr>
        <w:t> </w:t>
      </w:r>
      <w:r>
        <w:rPr>
          <w:sz w:val="22"/>
        </w:rPr>
        <w:t>Local</w:t>
      </w:r>
      <w:r>
        <w:rPr>
          <w:spacing w:val="-8"/>
          <w:sz w:val="22"/>
        </w:rPr>
        <w:t> </w:t>
      </w:r>
      <w:r>
        <w:rPr>
          <w:sz w:val="22"/>
        </w:rPr>
        <w:t>Corruption.</w:t>
      </w:r>
      <w:r>
        <w:rPr>
          <w:spacing w:val="-8"/>
          <w:sz w:val="22"/>
        </w:rPr>
        <w:t> </w:t>
      </w:r>
      <w:r>
        <w:rPr>
          <w:i/>
          <w:sz w:val="22"/>
        </w:rPr>
        <w:t>Journal</w:t>
      </w:r>
      <w:r>
        <w:rPr>
          <w:i/>
          <w:sz w:val="22"/>
        </w:rPr>
        <w:t> of Public Economics </w:t>
      </w:r>
      <w:r>
        <w:rPr>
          <w:sz w:val="22"/>
        </w:rPr>
        <w:t>159: 146–159.</w:t>
      </w:r>
    </w:p>
    <w:p>
      <w:pPr>
        <w:pStyle w:val="BodyText"/>
        <w:spacing w:before="5"/>
      </w:pPr>
    </w:p>
    <w:p>
      <w:pPr>
        <w:spacing w:line="288" w:lineRule="auto" w:before="0"/>
        <w:ind w:left="200" w:right="0" w:firstLine="0"/>
        <w:jc w:val="left"/>
        <w:rPr>
          <w:sz w:val="22"/>
        </w:rPr>
      </w:pPr>
      <w:r>
        <w:rPr>
          <w:sz w:val="22"/>
        </w:rPr>
        <w:t>Isaksson, Ann-Soﬁe, and Andreas Kotsadam. 2018b. Racing to the Bottom? Chinese Development Projects and Trade Union Involvement in Africa. </w:t>
      </w:r>
      <w:r>
        <w:rPr>
          <w:i/>
          <w:sz w:val="22"/>
        </w:rPr>
        <w:t>World Development </w:t>
      </w:r>
      <w:r>
        <w:rPr>
          <w:sz w:val="22"/>
        </w:rPr>
        <w:t>106 (C): </w:t>
      </w:r>
      <w:r>
        <w:rPr>
          <w:spacing w:val="-2"/>
          <w:sz w:val="22"/>
        </w:rPr>
        <w:t>284–298.</w:t>
      </w:r>
    </w:p>
    <w:p>
      <w:pPr>
        <w:pStyle w:val="BodyText"/>
        <w:spacing w:before="6"/>
      </w:pPr>
    </w:p>
    <w:p>
      <w:pPr>
        <w:spacing w:line="288" w:lineRule="auto" w:before="0"/>
        <w:ind w:left="200" w:right="561" w:firstLine="0"/>
        <w:jc w:val="left"/>
        <w:rPr>
          <w:sz w:val="22"/>
        </w:rPr>
      </w:pPr>
      <w:r>
        <w:rPr>
          <w:sz w:val="22"/>
        </w:rPr>
        <w:t>Isaksson,</w:t>
      </w:r>
      <w:r>
        <w:rPr>
          <w:spacing w:val="-5"/>
          <w:sz w:val="22"/>
        </w:rPr>
        <w:t> </w:t>
      </w:r>
      <w:r>
        <w:rPr>
          <w:sz w:val="22"/>
        </w:rPr>
        <w:t>Ann-Soﬁe.</w:t>
      </w:r>
      <w:r>
        <w:rPr>
          <w:spacing w:val="-5"/>
          <w:sz w:val="22"/>
        </w:rPr>
        <w:t> </w:t>
      </w:r>
      <w:r>
        <w:rPr>
          <w:sz w:val="22"/>
        </w:rPr>
        <w:t>2020.</w:t>
      </w:r>
      <w:r>
        <w:rPr>
          <w:spacing w:val="-5"/>
          <w:sz w:val="22"/>
        </w:rPr>
        <w:t> </w:t>
      </w:r>
      <w:r>
        <w:rPr>
          <w:sz w:val="22"/>
        </w:rPr>
        <w:t>Chinese</w:t>
      </w:r>
      <w:r>
        <w:rPr>
          <w:spacing w:val="-5"/>
          <w:sz w:val="22"/>
        </w:rPr>
        <w:t> </w:t>
      </w:r>
      <w:r>
        <w:rPr>
          <w:sz w:val="22"/>
        </w:rPr>
        <w:t>Aid</w:t>
      </w:r>
      <w:r>
        <w:rPr>
          <w:spacing w:val="-5"/>
          <w:sz w:val="22"/>
        </w:rPr>
        <w:t> </w:t>
      </w:r>
      <w:r>
        <w:rPr>
          <w:sz w:val="22"/>
        </w:rPr>
        <w:t>and</w:t>
      </w:r>
      <w:r>
        <w:rPr>
          <w:spacing w:val="-5"/>
          <w:sz w:val="22"/>
        </w:rPr>
        <w:t> </w:t>
      </w:r>
      <w:r>
        <w:rPr>
          <w:sz w:val="22"/>
        </w:rPr>
        <w:t>Local</w:t>
      </w:r>
      <w:r>
        <w:rPr>
          <w:spacing w:val="-5"/>
          <w:sz w:val="22"/>
        </w:rPr>
        <w:t> </w:t>
      </w:r>
      <w:r>
        <w:rPr>
          <w:sz w:val="22"/>
        </w:rPr>
        <w:t>Ethnic</w:t>
      </w:r>
      <w:r>
        <w:rPr>
          <w:spacing w:val="-5"/>
          <w:sz w:val="22"/>
        </w:rPr>
        <w:t> </w:t>
      </w:r>
      <w:r>
        <w:rPr>
          <w:sz w:val="22"/>
        </w:rPr>
        <w:t>Identiﬁcation.</w:t>
      </w:r>
      <w:r>
        <w:rPr>
          <w:spacing w:val="-5"/>
          <w:sz w:val="22"/>
        </w:rPr>
        <w:t> </w:t>
      </w:r>
      <w:r>
        <w:rPr>
          <w:i/>
          <w:sz w:val="22"/>
        </w:rPr>
        <w:t>International</w:t>
      </w:r>
      <w:r>
        <w:rPr>
          <w:i/>
          <w:sz w:val="22"/>
        </w:rPr>
        <w:t> Organization </w:t>
      </w:r>
      <w:r>
        <w:rPr>
          <w:sz w:val="22"/>
        </w:rPr>
        <w:t>74 (4): 833–852.</w:t>
      </w:r>
    </w:p>
    <w:p>
      <w:pPr>
        <w:pStyle w:val="BodyText"/>
        <w:spacing w:before="5"/>
      </w:pPr>
    </w:p>
    <w:p>
      <w:pPr>
        <w:spacing w:line="288" w:lineRule="auto" w:before="0"/>
        <w:ind w:left="200" w:right="515" w:firstLine="0"/>
        <w:jc w:val="left"/>
        <w:rPr>
          <w:sz w:val="22"/>
        </w:rPr>
      </w:pPr>
      <w:r>
        <w:rPr>
          <w:sz w:val="22"/>
        </w:rPr>
        <w:t>Justice</w:t>
      </w:r>
      <w:r>
        <w:rPr>
          <w:spacing w:val="-15"/>
          <w:sz w:val="22"/>
        </w:rPr>
        <w:t> </w:t>
      </w:r>
      <w:r>
        <w:rPr>
          <w:sz w:val="22"/>
        </w:rPr>
        <w:t>Ejaz</w:t>
      </w:r>
      <w:r>
        <w:rPr>
          <w:spacing w:val="-15"/>
          <w:sz w:val="22"/>
        </w:rPr>
        <w:t> </w:t>
      </w:r>
      <w:r>
        <w:rPr>
          <w:sz w:val="22"/>
        </w:rPr>
        <w:t>Afzal</w:t>
      </w:r>
      <w:r>
        <w:rPr>
          <w:spacing w:val="-15"/>
          <w:sz w:val="22"/>
        </w:rPr>
        <w:t> </w:t>
      </w:r>
      <w:r>
        <w:rPr>
          <w:sz w:val="22"/>
        </w:rPr>
        <w:t>Khan.</w:t>
      </w:r>
      <w:r>
        <w:rPr>
          <w:spacing w:val="-15"/>
          <w:sz w:val="22"/>
        </w:rPr>
        <w:t> </w:t>
      </w:r>
      <w:r>
        <w:rPr>
          <w:sz w:val="22"/>
        </w:rPr>
        <w:t>2017.</w:t>
      </w:r>
      <w:r>
        <w:rPr>
          <w:spacing w:val="-15"/>
          <w:sz w:val="22"/>
        </w:rPr>
        <w:t> </w:t>
      </w:r>
      <w:r>
        <w:rPr>
          <w:sz w:val="22"/>
        </w:rPr>
        <w:t>NESPAK,</w:t>
      </w:r>
      <w:r>
        <w:rPr>
          <w:spacing w:val="-15"/>
          <w:sz w:val="22"/>
        </w:rPr>
        <w:t> </w:t>
      </w:r>
      <w:r>
        <w:rPr>
          <w:sz w:val="22"/>
        </w:rPr>
        <w:t>Punjab</w:t>
      </w:r>
      <w:r>
        <w:rPr>
          <w:spacing w:val="-15"/>
          <w:sz w:val="22"/>
        </w:rPr>
        <w:t> </w:t>
      </w:r>
      <w:r>
        <w:rPr>
          <w:sz w:val="22"/>
        </w:rPr>
        <w:t>Mass</w:t>
      </w:r>
      <w:r>
        <w:rPr>
          <w:spacing w:val="-15"/>
          <w:sz w:val="22"/>
        </w:rPr>
        <w:t> </w:t>
      </w:r>
      <w:r>
        <w:rPr>
          <w:sz w:val="22"/>
        </w:rPr>
        <w:t>Transit</w:t>
      </w:r>
      <w:r>
        <w:rPr>
          <w:spacing w:val="-15"/>
          <w:sz w:val="22"/>
        </w:rPr>
        <w:t> </w:t>
      </w:r>
      <w:r>
        <w:rPr>
          <w:sz w:val="22"/>
        </w:rPr>
        <w:t>Authority,</w:t>
      </w:r>
      <w:r>
        <w:rPr>
          <w:spacing w:val="-15"/>
          <w:sz w:val="22"/>
        </w:rPr>
        <w:t> </w:t>
      </w:r>
      <w:r>
        <w:rPr>
          <w:sz w:val="22"/>
        </w:rPr>
        <w:t>Lahore</w:t>
      </w:r>
      <w:r>
        <w:rPr>
          <w:spacing w:val="-15"/>
          <w:sz w:val="22"/>
        </w:rPr>
        <w:t> </w:t>
      </w:r>
      <w:r>
        <w:rPr>
          <w:sz w:val="22"/>
        </w:rPr>
        <w:t>Development Authority,</w:t>
      </w:r>
      <w:r>
        <w:rPr>
          <w:spacing w:val="-5"/>
          <w:sz w:val="22"/>
        </w:rPr>
        <w:t> </w:t>
      </w:r>
      <w:r>
        <w:rPr>
          <w:sz w:val="22"/>
        </w:rPr>
        <w:t>Province</w:t>
      </w:r>
      <w:r>
        <w:rPr>
          <w:spacing w:val="-5"/>
          <w:sz w:val="22"/>
        </w:rPr>
        <w:t> </w:t>
      </w:r>
      <w:r>
        <w:rPr>
          <w:sz w:val="22"/>
        </w:rPr>
        <w:t>of</w:t>
      </w:r>
      <w:r>
        <w:rPr>
          <w:spacing w:val="-5"/>
          <w:sz w:val="22"/>
        </w:rPr>
        <w:t> </w:t>
      </w:r>
      <w:r>
        <w:rPr>
          <w:sz w:val="22"/>
        </w:rPr>
        <w:t>Punjab</w:t>
      </w:r>
      <w:r>
        <w:rPr>
          <w:spacing w:val="-5"/>
          <w:sz w:val="22"/>
        </w:rPr>
        <w:t> </w:t>
      </w:r>
      <w:r>
        <w:rPr>
          <w:sz w:val="22"/>
        </w:rPr>
        <w:t>and</w:t>
      </w:r>
      <w:r>
        <w:rPr>
          <w:spacing w:val="-5"/>
          <w:sz w:val="22"/>
        </w:rPr>
        <w:t> </w:t>
      </w:r>
      <w:r>
        <w:rPr>
          <w:sz w:val="22"/>
        </w:rPr>
        <w:t>Civil</w:t>
      </w:r>
      <w:r>
        <w:rPr>
          <w:spacing w:val="-5"/>
          <w:sz w:val="22"/>
        </w:rPr>
        <w:t> </w:t>
      </w:r>
      <w:r>
        <w:rPr>
          <w:sz w:val="22"/>
        </w:rPr>
        <w:t>Society</w:t>
      </w:r>
      <w:r>
        <w:rPr>
          <w:spacing w:val="-5"/>
          <w:sz w:val="22"/>
        </w:rPr>
        <w:t> </w:t>
      </w:r>
      <w:r>
        <w:rPr>
          <w:sz w:val="22"/>
        </w:rPr>
        <w:t>Network</w:t>
      </w:r>
      <w:r>
        <w:rPr>
          <w:spacing w:val="-5"/>
          <w:sz w:val="22"/>
        </w:rPr>
        <w:t> </w:t>
      </w:r>
      <w:r>
        <w:rPr>
          <w:sz w:val="22"/>
        </w:rPr>
        <w:t>Versus</w:t>
      </w:r>
      <w:r>
        <w:rPr>
          <w:spacing w:val="-5"/>
          <w:sz w:val="22"/>
        </w:rPr>
        <w:t> </w:t>
      </w:r>
      <w:r>
        <w:rPr>
          <w:sz w:val="22"/>
        </w:rPr>
        <w:t>Kamil</w:t>
      </w:r>
      <w:r>
        <w:rPr>
          <w:spacing w:val="-5"/>
          <w:sz w:val="22"/>
        </w:rPr>
        <w:t> </w:t>
      </w:r>
      <w:r>
        <w:rPr>
          <w:sz w:val="22"/>
        </w:rPr>
        <w:t>Khan</w:t>
      </w:r>
      <w:r>
        <w:rPr>
          <w:spacing w:val="-5"/>
          <w:sz w:val="22"/>
        </w:rPr>
        <w:t> </w:t>
      </w:r>
      <w:r>
        <w:rPr>
          <w:sz w:val="22"/>
        </w:rPr>
        <w:t>Mumtaz</w:t>
      </w:r>
      <w:r>
        <w:rPr>
          <w:spacing w:val="-5"/>
          <w:sz w:val="22"/>
        </w:rPr>
        <w:t> </w:t>
      </w:r>
      <w:r>
        <w:rPr>
          <w:sz w:val="22"/>
        </w:rPr>
        <w:t>&amp;</w:t>
      </w:r>
      <w:r>
        <w:rPr>
          <w:spacing w:val="-5"/>
          <w:sz w:val="22"/>
        </w:rPr>
        <w:t> </w:t>
      </w:r>
      <w:r>
        <w:rPr>
          <w:sz w:val="22"/>
        </w:rPr>
        <w:t>others </w:t>
      </w:r>
      <w:r>
        <w:rPr>
          <w:spacing w:val="-2"/>
          <w:w w:val="105"/>
          <w:sz w:val="22"/>
        </w:rPr>
        <w:t>and</w:t>
      </w:r>
      <w:r>
        <w:rPr>
          <w:spacing w:val="-14"/>
          <w:w w:val="105"/>
          <w:sz w:val="22"/>
        </w:rPr>
        <w:t> </w:t>
      </w:r>
      <w:r>
        <w:rPr>
          <w:spacing w:val="-2"/>
          <w:w w:val="105"/>
          <w:sz w:val="22"/>
        </w:rPr>
        <w:t>Province</w:t>
      </w:r>
      <w:r>
        <w:rPr>
          <w:spacing w:val="-14"/>
          <w:w w:val="105"/>
          <w:sz w:val="22"/>
        </w:rPr>
        <w:t> </w:t>
      </w:r>
      <w:r>
        <w:rPr>
          <w:spacing w:val="-2"/>
          <w:w w:val="105"/>
          <w:sz w:val="22"/>
        </w:rPr>
        <w:t>of</w:t>
      </w:r>
      <w:r>
        <w:rPr>
          <w:spacing w:val="-14"/>
          <w:w w:val="105"/>
          <w:sz w:val="22"/>
        </w:rPr>
        <w:t> </w:t>
      </w:r>
      <w:r>
        <w:rPr>
          <w:spacing w:val="-2"/>
          <w:w w:val="105"/>
          <w:sz w:val="22"/>
        </w:rPr>
        <w:t>Punjab.</w:t>
      </w:r>
      <w:r>
        <w:rPr>
          <w:spacing w:val="-14"/>
          <w:w w:val="105"/>
          <w:sz w:val="22"/>
        </w:rPr>
        <w:t> </w:t>
      </w:r>
      <w:r>
        <w:rPr>
          <w:spacing w:val="-2"/>
          <w:w w:val="105"/>
          <w:sz w:val="22"/>
        </w:rPr>
        <w:t>Supreme</w:t>
      </w:r>
      <w:r>
        <w:rPr>
          <w:spacing w:val="-14"/>
          <w:w w:val="105"/>
          <w:sz w:val="22"/>
        </w:rPr>
        <w:t> </w:t>
      </w:r>
      <w:r>
        <w:rPr>
          <w:spacing w:val="-2"/>
          <w:w w:val="105"/>
          <w:sz w:val="22"/>
        </w:rPr>
        <w:t>Court</w:t>
      </w:r>
      <w:r>
        <w:rPr>
          <w:spacing w:val="-14"/>
          <w:w w:val="105"/>
          <w:sz w:val="22"/>
        </w:rPr>
        <w:t> </w:t>
      </w:r>
      <w:r>
        <w:rPr>
          <w:spacing w:val="-2"/>
          <w:w w:val="105"/>
          <w:sz w:val="22"/>
        </w:rPr>
        <w:t>of</w:t>
      </w:r>
      <w:r>
        <w:rPr>
          <w:spacing w:val="-14"/>
          <w:w w:val="105"/>
          <w:sz w:val="22"/>
        </w:rPr>
        <w:t> </w:t>
      </w:r>
      <w:r>
        <w:rPr>
          <w:spacing w:val="-2"/>
          <w:w w:val="105"/>
          <w:sz w:val="22"/>
        </w:rPr>
        <w:t>Pakistan. </w:t>
      </w:r>
      <w:hyperlink r:id="rId42">
        <w:r>
          <w:rPr>
            <w:color w:val="1154CC"/>
            <w:spacing w:val="-2"/>
            <w:w w:val="105"/>
            <w:sz w:val="22"/>
            <w:u w:val="thick" w:color="1154CC"/>
          </w:rPr>
          <w:t>https://www.supremecourt.gov.pk/online-case-status/</w:t>
        </w:r>
      </w:hyperlink>
    </w:p>
    <w:p>
      <w:pPr>
        <w:pStyle w:val="BodyText"/>
        <w:spacing w:before="4"/>
      </w:pPr>
    </w:p>
    <w:p>
      <w:pPr>
        <w:spacing w:line="288" w:lineRule="auto" w:before="1"/>
        <w:ind w:left="200" w:right="554" w:firstLine="0"/>
        <w:jc w:val="left"/>
        <w:rPr>
          <w:sz w:val="22"/>
        </w:rPr>
      </w:pPr>
      <w:r>
        <w:rPr>
          <w:sz w:val="22"/>
        </w:rPr>
        <w:t>Kenny,</w:t>
      </w:r>
      <w:r>
        <w:rPr>
          <w:spacing w:val="-8"/>
          <w:sz w:val="22"/>
        </w:rPr>
        <w:t> </w:t>
      </w:r>
      <w:r>
        <w:rPr>
          <w:sz w:val="22"/>
        </w:rPr>
        <w:t>Charles.</w:t>
      </w:r>
      <w:r>
        <w:rPr>
          <w:spacing w:val="-8"/>
          <w:sz w:val="22"/>
        </w:rPr>
        <w:t> </w:t>
      </w:r>
      <w:r>
        <w:rPr>
          <w:sz w:val="22"/>
        </w:rPr>
        <w:t>2023.</w:t>
      </w:r>
      <w:r>
        <w:rPr>
          <w:spacing w:val="-8"/>
          <w:sz w:val="22"/>
        </w:rPr>
        <w:t> </w:t>
      </w:r>
      <w:r>
        <w:rPr>
          <w:sz w:val="22"/>
        </w:rPr>
        <w:t>World</w:t>
      </w:r>
      <w:r>
        <w:rPr>
          <w:spacing w:val="-8"/>
          <w:sz w:val="22"/>
        </w:rPr>
        <w:t> </w:t>
      </w:r>
      <w:r>
        <w:rPr>
          <w:sz w:val="22"/>
        </w:rPr>
        <w:t>Bank</w:t>
      </w:r>
      <w:r>
        <w:rPr>
          <w:spacing w:val="-8"/>
          <w:sz w:val="22"/>
        </w:rPr>
        <w:t> </w:t>
      </w:r>
      <w:r>
        <w:rPr>
          <w:sz w:val="22"/>
        </w:rPr>
        <w:t>Investment</w:t>
      </w:r>
      <w:r>
        <w:rPr>
          <w:spacing w:val="-8"/>
          <w:sz w:val="22"/>
        </w:rPr>
        <w:t> </w:t>
      </w:r>
      <w:r>
        <w:rPr>
          <w:sz w:val="22"/>
        </w:rPr>
        <w:t>Projects</w:t>
      </w:r>
      <w:r>
        <w:rPr>
          <w:spacing w:val="-8"/>
          <w:sz w:val="22"/>
        </w:rPr>
        <w:t> </w:t>
      </w:r>
      <w:r>
        <w:rPr>
          <w:sz w:val="22"/>
        </w:rPr>
        <w:t>Aren’t</w:t>
      </w:r>
      <w:r>
        <w:rPr>
          <w:spacing w:val="-8"/>
          <w:sz w:val="22"/>
        </w:rPr>
        <w:t> </w:t>
      </w:r>
      <w:r>
        <w:rPr>
          <w:sz w:val="22"/>
        </w:rPr>
        <w:t>Designed</w:t>
      </w:r>
      <w:r>
        <w:rPr>
          <w:spacing w:val="-8"/>
          <w:sz w:val="22"/>
        </w:rPr>
        <w:t> </w:t>
      </w:r>
      <w:r>
        <w:rPr>
          <w:sz w:val="22"/>
        </w:rPr>
        <w:t>for</w:t>
      </w:r>
      <w:r>
        <w:rPr>
          <w:spacing w:val="-8"/>
          <w:sz w:val="22"/>
        </w:rPr>
        <w:t> </w:t>
      </w:r>
      <w:r>
        <w:rPr>
          <w:sz w:val="22"/>
        </w:rPr>
        <w:t>Crises.</w:t>
      </w:r>
      <w:r>
        <w:rPr>
          <w:spacing w:val="-8"/>
          <w:sz w:val="22"/>
        </w:rPr>
        <w:t> </w:t>
      </w:r>
      <w:r>
        <w:rPr>
          <w:sz w:val="22"/>
        </w:rPr>
        <w:t>15</w:t>
      </w:r>
      <w:r>
        <w:rPr>
          <w:spacing w:val="-8"/>
          <w:sz w:val="22"/>
        </w:rPr>
        <w:t> </w:t>
      </w:r>
      <w:r>
        <w:rPr>
          <w:sz w:val="22"/>
        </w:rPr>
        <w:t>March </w:t>
      </w:r>
      <w:r>
        <w:rPr>
          <w:spacing w:val="-2"/>
          <w:w w:val="105"/>
          <w:sz w:val="22"/>
        </w:rPr>
        <w:t>2023.</w:t>
      </w:r>
      <w:r>
        <w:rPr>
          <w:spacing w:val="-10"/>
          <w:w w:val="105"/>
          <w:sz w:val="22"/>
        </w:rPr>
        <w:t> </w:t>
      </w:r>
      <w:r>
        <w:rPr>
          <w:spacing w:val="-2"/>
          <w:w w:val="105"/>
          <w:sz w:val="22"/>
        </w:rPr>
        <w:t>Washington</w:t>
      </w:r>
      <w:r>
        <w:rPr>
          <w:spacing w:val="-10"/>
          <w:w w:val="105"/>
          <w:sz w:val="22"/>
        </w:rPr>
        <w:t> </w:t>
      </w:r>
      <w:r>
        <w:rPr>
          <w:spacing w:val="-2"/>
          <w:w w:val="105"/>
          <w:sz w:val="22"/>
        </w:rPr>
        <w:t>DC:</w:t>
      </w:r>
      <w:r>
        <w:rPr>
          <w:spacing w:val="-10"/>
          <w:w w:val="105"/>
          <w:sz w:val="22"/>
        </w:rPr>
        <w:t> </w:t>
      </w:r>
      <w:r>
        <w:rPr>
          <w:spacing w:val="-2"/>
          <w:w w:val="105"/>
          <w:sz w:val="22"/>
        </w:rPr>
        <w:t>Center</w:t>
      </w:r>
      <w:r>
        <w:rPr>
          <w:spacing w:val="-10"/>
          <w:w w:val="105"/>
          <w:sz w:val="22"/>
        </w:rPr>
        <w:t> </w:t>
      </w:r>
      <w:r>
        <w:rPr>
          <w:spacing w:val="-2"/>
          <w:w w:val="105"/>
          <w:sz w:val="22"/>
        </w:rPr>
        <w:t>for</w:t>
      </w:r>
      <w:r>
        <w:rPr>
          <w:spacing w:val="-10"/>
          <w:w w:val="105"/>
          <w:sz w:val="22"/>
        </w:rPr>
        <w:t> </w:t>
      </w:r>
      <w:r>
        <w:rPr>
          <w:spacing w:val="-2"/>
          <w:w w:val="105"/>
          <w:sz w:val="22"/>
        </w:rPr>
        <w:t>Global</w:t>
      </w:r>
      <w:r>
        <w:rPr>
          <w:spacing w:val="-10"/>
          <w:w w:val="105"/>
          <w:sz w:val="22"/>
        </w:rPr>
        <w:t> </w:t>
      </w:r>
      <w:r>
        <w:rPr>
          <w:spacing w:val="-2"/>
          <w:w w:val="105"/>
          <w:sz w:val="22"/>
        </w:rPr>
        <w:t>Development.</w:t>
      </w:r>
      <w:r>
        <w:rPr>
          <w:spacing w:val="-10"/>
          <w:w w:val="105"/>
          <w:sz w:val="22"/>
        </w:rPr>
        <w:t> </w:t>
      </w:r>
      <w:r>
        <w:rPr>
          <w:spacing w:val="-2"/>
          <w:w w:val="105"/>
          <w:sz w:val="22"/>
        </w:rPr>
        <w:t>Accessed</w:t>
      </w:r>
      <w:r>
        <w:rPr>
          <w:spacing w:val="-10"/>
          <w:w w:val="105"/>
          <w:sz w:val="22"/>
        </w:rPr>
        <w:t> </w:t>
      </w:r>
      <w:r>
        <w:rPr>
          <w:spacing w:val="-2"/>
          <w:w w:val="105"/>
          <w:sz w:val="22"/>
        </w:rPr>
        <w:t>on</w:t>
      </w:r>
      <w:r>
        <w:rPr>
          <w:spacing w:val="-10"/>
          <w:w w:val="105"/>
          <w:sz w:val="22"/>
        </w:rPr>
        <w:t> </w:t>
      </w:r>
      <w:r>
        <w:rPr>
          <w:spacing w:val="-2"/>
          <w:w w:val="105"/>
          <w:sz w:val="22"/>
        </w:rPr>
        <w:t>27</w:t>
      </w:r>
      <w:r>
        <w:rPr>
          <w:spacing w:val="-10"/>
          <w:w w:val="105"/>
          <w:sz w:val="22"/>
        </w:rPr>
        <w:t> </w:t>
      </w:r>
      <w:r>
        <w:rPr>
          <w:spacing w:val="-2"/>
          <w:w w:val="105"/>
          <w:sz w:val="22"/>
        </w:rPr>
        <w:t>August</w:t>
      </w:r>
      <w:r>
        <w:rPr>
          <w:spacing w:val="-10"/>
          <w:w w:val="105"/>
          <w:sz w:val="22"/>
        </w:rPr>
        <w:t> </w:t>
      </w:r>
      <w:r>
        <w:rPr>
          <w:spacing w:val="-2"/>
          <w:w w:val="105"/>
          <w:sz w:val="22"/>
        </w:rPr>
        <w:t>2023</w:t>
      </w:r>
      <w:r>
        <w:rPr>
          <w:spacing w:val="-10"/>
          <w:w w:val="105"/>
          <w:sz w:val="22"/>
        </w:rPr>
        <w:t> </w:t>
      </w:r>
      <w:r>
        <w:rPr>
          <w:spacing w:val="-2"/>
          <w:w w:val="105"/>
          <w:sz w:val="22"/>
        </w:rPr>
        <w:t>at </w:t>
      </w:r>
      <w:hyperlink r:id="rId43">
        <w:r>
          <w:rPr>
            <w:color w:val="1154CC"/>
            <w:spacing w:val="-2"/>
            <w:w w:val="105"/>
            <w:sz w:val="22"/>
            <w:u w:val="thick" w:color="1154CC"/>
          </w:rPr>
          <w:t>https://www.cgdev.org/blog/world-bank-investment-projects-arent-designed-crises</w:t>
        </w:r>
      </w:hyperlink>
    </w:p>
    <w:p>
      <w:pPr>
        <w:pStyle w:val="BodyText"/>
        <w:spacing w:before="4"/>
      </w:pPr>
    </w:p>
    <w:p>
      <w:pPr>
        <w:spacing w:line="338" w:lineRule="auto" w:before="1"/>
        <w:ind w:left="200" w:right="561" w:firstLine="0"/>
        <w:jc w:val="left"/>
        <w:rPr>
          <w:sz w:val="22"/>
        </w:rPr>
      </w:pPr>
      <w:r>
        <w:rPr>
          <w:sz w:val="22"/>
        </w:rPr>
        <w:t>Khan,</w:t>
      </w:r>
      <w:r>
        <w:rPr>
          <w:spacing w:val="-14"/>
          <w:sz w:val="22"/>
        </w:rPr>
        <w:t> </w:t>
      </w:r>
      <w:r>
        <w:rPr>
          <w:sz w:val="22"/>
        </w:rPr>
        <w:t>Yasir.</w:t>
      </w:r>
      <w:r>
        <w:rPr>
          <w:spacing w:val="-14"/>
          <w:sz w:val="22"/>
        </w:rPr>
        <w:t> </w:t>
      </w:r>
      <w:r>
        <w:rPr>
          <w:sz w:val="22"/>
        </w:rPr>
        <w:t>2018.</w:t>
      </w:r>
      <w:r>
        <w:rPr>
          <w:spacing w:val="-14"/>
          <w:sz w:val="22"/>
        </w:rPr>
        <w:t> </w:t>
      </w:r>
      <w:r>
        <w:rPr>
          <w:sz w:val="22"/>
        </w:rPr>
        <w:t>Metro</w:t>
      </w:r>
      <w:r>
        <w:rPr>
          <w:spacing w:val="-14"/>
          <w:sz w:val="22"/>
        </w:rPr>
        <w:t> </w:t>
      </w:r>
      <w:r>
        <w:rPr>
          <w:sz w:val="22"/>
        </w:rPr>
        <w:t>Train</w:t>
      </w:r>
      <w:r>
        <w:rPr>
          <w:spacing w:val="-14"/>
          <w:sz w:val="22"/>
        </w:rPr>
        <w:t> </w:t>
      </w:r>
      <w:r>
        <w:rPr>
          <w:sz w:val="22"/>
        </w:rPr>
        <w:t>Lahore,</w:t>
      </w:r>
      <w:r>
        <w:rPr>
          <w:spacing w:val="-14"/>
          <w:sz w:val="22"/>
        </w:rPr>
        <w:t> </w:t>
      </w:r>
      <w:r>
        <w:rPr>
          <w:sz w:val="22"/>
        </w:rPr>
        <w:t>a</w:t>
      </w:r>
      <w:r>
        <w:rPr>
          <w:spacing w:val="-14"/>
          <w:sz w:val="22"/>
        </w:rPr>
        <w:t> </w:t>
      </w:r>
      <w:r>
        <w:rPr>
          <w:sz w:val="22"/>
        </w:rPr>
        <w:t>Gift</w:t>
      </w:r>
      <w:r>
        <w:rPr>
          <w:spacing w:val="-14"/>
          <w:sz w:val="22"/>
        </w:rPr>
        <w:t> </w:t>
      </w:r>
      <w:r>
        <w:rPr>
          <w:sz w:val="22"/>
        </w:rPr>
        <w:t>from</w:t>
      </w:r>
      <w:r>
        <w:rPr>
          <w:spacing w:val="-14"/>
          <w:sz w:val="22"/>
        </w:rPr>
        <w:t> </w:t>
      </w:r>
      <w:r>
        <w:rPr>
          <w:sz w:val="22"/>
        </w:rPr>
        <w:t>China.</w:t>
      </w:r>
      <w:r>
        <w:rPr>
          <w:spacing w:val="-14"/>
          <w:sz w:val="22"/>
        </w:rPr>
        <w:t> </w:t>
      </w:r>
      <w:r>
        <w:rPr>
          <w:i/>
          <w:sz w:val="22"/>
        </w:rPr>
        <w:t>China</w:t>
      </w:r>
      <w:r>
        <w:rPr>
          <w:i/>
          <w:spacing w:val="-14"/>
          <w:sz w:val="22"/>
        </w:rPr>
        <w:t> </w:t>
      </w:r>
      <w:r>
        <w:rPr>
          <w:i/>
          <w:sz w:val="22"/>
        </w:rPr>
        <w:t>Today</w:t>
      </w:r>
      <w:r>
        <w:rPr>
          <w:sz w:val="22"/>
        </w:rPr>
        <w:t>.</w:t>
      </w:r>
      <w:r>
        <w:rPr>
          <w:spacing w:val="-14"/>
          <w:sz w:val="22"/>
        </w:rPr>
        <w:t> </w:t>
      </w:r>
      <w:r>
        <w:rPr>
          <w:sz w:val="22"/>
        </w:rPr>
        <w:t>Accessed</w:t>
      </w:r>
      <w:r>
        <w:rPr>
          <w:spacing w:val="-14"/>
          <w:sz w:val="22"/>
        </w:rPr>
        <w:t> </w:t>
      </w:r>
      <w:r>
        <w:rPr>
          <w:sz w:val="22"/>
        </w:rPr>
        <w:t>on</w:t>
      </w:r>
      <w:r>
        <w:rPr>
          <w:spacing w:val="-14"/>
          <w:sz w:val="22"/>
        </w:rPr>
        <w:t> </w:t>
      </w:r>
      <w:r>
        <w:rPr>
          <w:sz w:val="22"/>
        </w:rPr>
        <w:t>28 </w:t>
      </w:r>
      <w:r>
        <w:rPr>
          <w:w w:val="105"/>
          <w:sz w:val="22"/>
        </w:rPr>
        <w:t>September 2023. </w:t>
      </w:r>
      <w:hyperlink r:id="rId44">
        <w:r>
          <w:rPr>
            <w:color w:val="1154CC"/>
            <w:spacing w:val="-2"/>
            <w:sz w:val="22"/>
            <w:u w:val="thick" w:color="1154CC"/>
          </w:rPr>
          <w:t>http://www.chinatoday.com.cn/ctenglish/2018/ii/202011/t20201105_800226035.html</w:t>
        </w:r>
      </w:hyperlink>
      <w:r>
        <w:rPr>
          <w:spacing w:val="-2"/>
          <w:sz w:val="22"/>
        </w:rPr>
        <w:t>.</w:t>
      </w:r>
    </w:p>
    <w:p>
      <w:pPr>
        <w:pStyle w:val="BodyText"/>
        <w:spacing w:before="3"/>
      </w:pPr>
    </w:p>
    <w:p>
      <w:pPr>
        <w:spacing w:line="288" w:lineRule="auto" w:before="0"/>
        <w:ind w:left="200" w:right="550" w:firstLine="0"/>
        <w:jc w:val="left"/>
        <w:rPr>
          <w:sz w:val="22"/>
        </w:rPr>
      </w:pPr>
      <w:r>
        <w:rPr>
          <w:sz w:val="22"/>
        </w:rPr>
        <w:t>Kim,</w:t>
      </w:r>
      <w:r>
        <w:rPr>
          <w:spacing w:val="-6"/>
          <w:sz w:val="22"/>
        </w:rPr>
        <w:t> </w:t>
      </w:r>
      <w:r>
        <w:rPr>
          <w:sz w:val="22"/>
        </w:rPr>
        <w:t>Jim</w:t>
      </w:r>
      <w:r>
        <w:rPr>
          <w:spacing w:val="-6"/>
          <w:sz w:val="22"/>
        </w:rPr>
        <w:t> </w:t>
      </w:r>
      <w:r>
        <w:rPr>
          <w:sz w:val="22"/>
        </w:rPr>
        <w:t>Yong.</w:t>
      </w:r>
      <w:r>
        <w:rPr>
          <w:spacing w:val="-6"/>
          <w:sz w:val="22"/>
        </w:rPr>
        <w:t> </w:t>
      </w:r>
      <w:r>
        <w:rPr>
          <w:sz w:val="22"/>
        </w:rPr>
        <w:t>2017.</w:t>
      </w:r>
      <w:r>
        <w:rPr>
          <w:spacing w:val="-6"/>
          <w:sz w:val="22"/>
        </w:rPr>
        <w:t> </w:t>
      </w:r>
      <w:r>
        <w:rPr>
          <w:sz w:val="22"/>
        </w:rPr>
        <w:t>Remarks</w:t>
      </w:r>
      <w:r>
        <w:rPr>
          <w:spacing w:val="-6"/>
          <w:sz w:val="22"/>
        </w:rPr>
        <w:t> </w:t>
      </w:r>
      <w:r>
        <w:rPr>
          <w:sz w:val="22"/>
        </w:rPr>
        <w:t>of</w:t>
      </w:r>
      <w:r>
        <w:rPr>
          <w:spacing w:val="-6"/>
          <w:sz w:val="22"/>
        </w:rPr>
        <w:t> </w:t>
      </w:r>
      <w:r>
        <w:rPr>
          <w:sz w:val="22"/>
        </w:rPr>
        <w:t>World</w:t>
      </w:r>
      <w:r>
        <w:rPr>
          <w:spacing w:val="-6"/>
          <w:sz w:val="22"/>
        </w:rPr>
        <w:t> </w:t>
      </w:r>
      <w:r>
        <w:rPr>
          <w:sz w:val="22"/>
        </w:rPr>
        <w:t>Bank</w:t>
      </w:r>
      <w:r>
        <w:rPr>
          <w:spacing w:val="-6"/>
          <w:sz w:val="22"/>
        </w:rPr>
        <w:t> </w:t>
      </w:r>
      <w:r>
        <w:rPr>
          <w:sz w:val="22"/>
        </w:rPr>
        <w:t>Group</w:t>
      </w:r>
      <w:r>
        <w:rPr>
          <w:spacing w:val="-6"/>
          <w:sz w:val="22"/>
        </w:rPr>
        <w:t> </w:t>
      </w:r>
      <w:r>
        <w:rPr>
          <w:sz w:val="22"/>
        </w:rPr>
        <w:t>President</w:t>
      </w:r>
      <w:r>
        <w:rPr>
          <w:spacing w:val="-6"/>
          <w:sz w:val="22"/>
        </w:rPr>
        <w:t> </w:t>
      </w:r>
      <w:r>
        <w:rPr>
          <w:sz w:val="22"/>
        </w:rPr>
        <w:t>Jim</w:t>
      </w:r>
      <w:r>
        <w:rPr>
          <w:spacing w:val="-6"/>
          <w:sz w:val="22"/>
        </w:rPr>
        <w:t> </w:t>
      </w:r>
      <w:r>
        <w:rPr>
          <w:sz w:val="22"/>
        </w:rPr>
        <w:t>Yong</w:t>
      </w:r>
      <w:r>
        <w:rPr>
          <w:spacing w:val="-6"/>
          <w:sz w:val="22"/>
        </w:rPr>
        <w:t> </w:t>
      </w:r>
      <w:r>
        <w:rPr>
          <w:sz w:val="22"/>
        </w:rPr>
        <w:t>Kim</w:t>
      </w:r>
      <w:r>
        <w:rPr>
          <w:spacing w:val="-6"/>
          <w:sz w:val="22"/>
        </w:rPr>
        <w:t> </w:t>
      </w:r>
      <w:r>
        <w:rPr>
          <w:sz w:val="22"/>
        </w:rPr>
        <w:t>at</w:t>
      </w:r>
      <w:r>
        <w:rPr>
          <w:spacing w:val="-6"/>
          <w:sz w:val="22"/>
        </w:rPr>
        <w:t> </w:t>
      </w:r>
      <w:r>
        <w:rPr>
          <w:sz w:val="22"/>
        </w:rPr>
        <w:t>the</w:t>
      </w:r>
      <w:r>
        <w:rPr>
          <w:spacing w:val="-6"/>
          <w:sz w:val="22"/>
        </w:rPr>
        <w:t> </w:t>
      </w:r>
      <w:r>
        <w:rPr>
          <w:sz w:val="22"/>
        </w:rPr>
        <w:t>Belt</w:t>
      </w:r>
      <w:r>
        <w:rPr>
          <w:spacing w:val="-6"/>
          <w:sz w:val="22"/>
        </w:rPr>
        <w:t> </w:t>
      </w:r>
      <w:r>
        <w:rPr>
          <w:sz w:val="22"/>
        </w:rPr>
        <w:t>and Road Forum for International Cooperation on 14 May 2017. Accessed at 15 August 2023 at</w:t>
      </w:r>
    </w:p>
    <w:p>
      <w:pPr>
        <w:spacing w:after="0" w:line="288" w:lineRule="auto"/>
        <w:jc w:val="left"/>
        <w:rPr>
          <w:sz w:val="22"/>
        </w:rPr>
        <w:sectPr>
          <w:footerReference w:type="default" r:id="rId40"/>
          <w:pgSz w:w="12240" w:h="15840"/>
          <w:pgMar w:footer="0" w:header="0" w:top="1400" w:bottom="280" w:left="1240" w:right="1260"/>
        </w:sectPr>
      </w:pPr>
    </w:p>
    <w:p>
      <w:pPr>
        <w:spacing w:line="288" w:lineRule="auto" w:before="44"/>
        <w:ind w:left="200" w:right="211" w:firstLine="0"/>
        <w:jc w:val="left"/>
        <w:rPr>
          <w:sz w:val="22"/>
        </w:rPr>
      </w:pPr>
      <w:hyperlink r:id="rId46">
        <w:r>
          <w:rPr>
            <w:color w:val="1154CC"/>
            <w:spacing w:val="-2"/>
            <w:sz w:val="22"/>
            <w:u w:val="thick" w:color="1154CC"/>
          </w:rPr>
          <w:t>https://www.worldbank.org/en/news/speech/2017/05/14/remarks-of-world-bank-group-preside</w:t>
        </w:r>
      </w:hyperlink>
      <w:r>
        <w:rPr>
          <w:color w:val="1154CC"/>
          <w:spacing w:val="40"/>
          <w:w w:val="105"/>
          <w:sz w:val="22"/>
        </w:rPr>
        <w:t>  </w:t>
      </w:r>
      <w:hyperlink r:id="rId46">
        <w:r>
          <w:rPr>
            <w:color w:val="1154CC"/>
            <w:spacing w:val="-2"/>
            <w:w w:val="105"/>
            <w:sz w:val="22"/>
            <w:u w:val="thick" w:color="1154CC"/>
          </w:rPr>
          <w:t>nt-jim-yong-kim</w:t>
        </w:r>
      </w:hyperlink>
    </w:p>
    <w:p>
      <w:pPr>
        <w:pStyle w:val="BodyText"/>
        <w:spacing w:before="4"/>
      </w:pPr>
    </w:p>
    <w:p>
      <w:pPr>
        <w:spacing w:line="288" w:lineRule="auto" w:before="1"/>
        <w:ind w:left="200" w:right="654" w:firstLine="0"/>
        <w:jc w:val="left"/>
        <w:rPr>
          <w:sz w:val="22"/>
        </w:rPr>
      </w:pPr>
      <w:r>
        <w:rPr>
          <w:sz w:val="22"/>
        </w:rPr>
        <w:t>Kuo, Mercy A. 2021. China’s BRI Lending: $385 Billion in ‘Hidden Debts’. </w:t>
      </w:r>
      <w:r>
        <w:rPr>
          <w:i/>
          <w:sz w:val="22"/>
        </w:rPr>
        <w:t>The Diplomat. </w:t>
      </w:r>
      <w:r>
        <w:rPr>
          <w:sz w:val="22"/>
        </w:rPr>
        <w:t>29 </w:t>
      </w:r>
      <w:r>
        <w:rPr>
          <w:w w:val="105"/>
          <w:sz w:val="22"/>
        </w:rPr>
        <w:t>November</w:t>
      </w:r>
      <w:r>
        <w:rPr>
          <w:spacing w:val="-11"/>
          <w:w w:val="105"/>
          <w:sz w:val="22"/>
        </w:rPr>
        <w:t> </w:t>
      </w:r>
      <w:r>
        <w:rPr>
          <w:w w:val="105"/>
          <w:sz w:val="22"/>
        </w:rPr>
        <w:t>2021.</w:t>
      </w:r>
      <w:r>
        <w:rPr>
          <w:spacing w:val="-11"/>
          <w:w w:val="105"/>
          <w:sz w:val="22"/>
        </w:rPr>
        <w:t> </w:t>
      </w:r>
      <w:r>
        <w:rPr>
          <w:w w:val="105"/>
          <w:sz w:val="22"/>
        </w:rPr>
        <w:t>Acccesed</w:t>
      </w:r>
      <w:r>
        <w:rPr>
          <w:spacing w:val="-11"/>
          <w:w w:val="105"/>
          <w:sz w:val="22"/>
        </w:rPr>
        <w:t> </w:t>
      </w:r>
      <w:r>
        <w:rPr>
          <w:w w:val="105"/>
          <w:sz w:val="22"/>
        </w:rPr>
        <w:t>on</w:t>
      </w:r>
      <w:r>
        <w:rPr>
          <w:spacing w:val="-11"/>
          <w:w w:val="105"/>
          <w:sz w:val="22"/>
        </w:rPr>
        <w:t> </w:t>
      </w:r>
      <w:r>
        <w:rPr>
          <w:w w:val="105"/>
          <w:sz w:val="22"/>
        </w:rPr>
        <w:t>27</w:t>
      </w:r>
      <w:r>
        <w:rPr>
          <w:spacing w:val="-11"/>
          <w:w w:val="105"/>
          <w:sz w:val="22"/>
        </w:rPr>
        <w:t> </w:t>
      </w:r>
      <w:r>
        <w:rPr>
          <w:w w:val="105"/>
          <w:sz w:val="22"/>
        </w:rPr>
        <w:t>August</w:t>
      </w:r>
      <w:r>
        <w:rPr>
          <w:spacing w:val="-11"/>
          <w:w w:val="105"/>
          <w:sz w:val="22"/>
        </w:rPr>
        <w:t> </w:t>
      </w:r>
      <w:r>
        <w:rPr>
          <w:w w:val="105"/>
          <w:sz w:val="22"/>
        </w:rPr>
        <w:t>2023</w:t>
      </w:r>
      <w:r>
        <w:rPr>
          <w:spacing w:val="-11"/>
          <w:w w:val="105"/>
          <w:sz w:val="22"/>
        </w:rPr>
        <w:t> </w:t>
      </w:r>
      <w:r>
        <w:rPr>
          <w:w w:val="105"/>
          <w:sz w:val="22"/>
        </w:rPr>
        <w:t>at </w:t>
      </w:r>
      <w:hyperlink r:id="rId47">
        <w:r>
          <w:rPr>
            <w:color w:val="1154CC"/>
            <w:spacing w:val="-2"/>
            <w:w w:val="105"/>
            <w:sz w:val="22"/>
            <w:u w:val="thick" w:color="1154CC"/>
          </w:rPr>
          <w:t>https://thediplomat.com/2021/11/chinas-bri-lending-385-billion-in-hidden-debts/</w:t>
        </w:r>
      </w:hyperlink>
    </w:p>
    <w:p>
      <w:pPr>
        <w:pStyle w:val="BodyText"/>
        <w:spacing w:before="4"/>
      </w:pPr>
    </w:p>
    <w:p>
      <w:pPr>
        <w:spacing w:line="288" w:lineRule="auto" w:before="0"/>
        <w:ind w:left="200" w:right="0" w:firstLine="0"/>
        <w:jc w:val="left"/>
        <w:rPr>
          <w:sz w:val="22"/>
        </w:rPr>
      </w:pPr>
      <w:r>
        <w:rPr>
          <w:sz w:val="22"/>
        </w:rPr>
        <w:t>Lagarda,</w:t>
      </w:r>
      <w:r>
        <w:rPr>
          <w:spacing w:val="-1"/>
          <w:sz w:val="22"/>
        </w:rPr>
        <w:t> </w:t>
      </w:r>
      <w:r>
        <w:rPr>
          <w:sz w:val="22"/>
        </w:rPr>
        <w:t>Guillermo,</w:t>
      </w:r>
      <w:r>
        <w:rPr>
          <w:spacing w:val="-1"/>
          <w:sz w:val="22"/>
        </w:rPr>
        <w:t> </w:t>
      </w:r>
      <w:r>
        <w:rPr>
          <w:sz w:val="22"/>
        </w:rPr>
        <w:t>Jennifer</w:t>
      </w:r>
      <w:r>
        <w:rPr>
          <w:spacing w:val="-1"/>
          <w:sz w:val="22"/>
        </w:rPr>
        <w:t> </w:t>
      </w:r>
      <w:r>
        <w:rPr>
          <w:sz w:val="22"/>
        </w:rPr>
        <w:t>Linares,</w:t>
      </w:r>
      <w:r>
        <w:rPr>
          <w:spacing w:val="-1"/>
          <w:sz w:val="22"/>
        </w:rPr>
        <w:t> </w:t>
      </w:r>
      <w:r>
        <w:rPr>
          <w:sz w:val="22"/>
        </w:rPr>
        <w:t>Arnoldo</w:t>
      </w:r>
      <w:r>
        <w:rPr>
          <w:spacing w:val="-1"/>
          <w:sz w:val="22"/>
        </w:rPr>
        <w:t> </w:t>
      </w:r>
      <w:r>
        <w:rPr>
          <w:sz w:val="22"/>
        </w:rPr>
        <w:t>Lopez</w:t>
      </w:r>
      <w:r>
        <w:rPr>
          <w:spacing w:val="-1"/>
          <w:sz w:val="22"/>
        </w:rPr>
        <w:t> </w:t>
      </w:r>
      <w:r>
        <w:rPr>
          <w:sz w:val="22"/>
        </w:rPr>
        <w:t>Marmolejo</w:t>
      </w:r>
      <w:r>
        <w:rPr>
          <w:spacing w:val="-1"/>
          <w:sz w:val="22"/>
        </w:rPr>
        <w:t> </w:t>
      </w:r>
      <w:r>
        <w:rPr>
          <w:sz w:val="22"/>
        </w:rPr>
        <w:t>and</w:t>
      </w:r>
      <w:r>
        <w:rPr>
          <w:spacing w:val="-1"/>
          <w:sz w:val="22"/>
        </w:rPr>
        <w:t> </w:t>
      </w:r>
      <w:r>
        <w:rPr>
          <w:sz w:val="22"/>
        </w:rPr>
        <w:t>Osmel</w:t>
      </w:r>
      <w:r>
        <w:rPr>
          <w:spacing w:val="-1"/>
          <w:sz w:val="22"/>
        </w:rPr>
        <w:t> </w:t>
      </w:r>
      <w:r>
        <w:rPr>
          <w:sz w:val="22"/>
        </w:rPr>
        <w:t>Manzano.</w:t>
      </w:r>
      <w:r>
        <w:rPr>
          <w:spacing w:val="-1"/>
          <w:sz w:val="22"/>
        </w:rPr>
        <w:t> </w:t>
      </w:r>
      <w:r>
        <w:rPr>
          <w:sz w:val="22"/>
        </w:rPr>
        <w:t>2018. Efﬁciency Before Effectiveness: The Case of the Inter-American Development Bank. GEGI Working Paper 022. Boston, MA: Boston University Global Development Policy Center.</w:t>
      </w:r>
    </w:p>
    <w:p>
      <w:pPr>
        <w:pStyle w:val="BodyText"/>
        <w:spacing w:before="4"/>
      </w:pPr>
    </w:p>
    <w:p>
      <w:pPr>
        <w:spacing w:line="288" w:lineRule="auto" w:before="0"/>
        <w:ind w:left="200" w:right="305" w:firstLine="0"/>
        <w:jc w:val="left"/>
        <w:rPr>
          <w:sz w:val="22"/>
        </w:rPr>
      </w:pPr>
      <w:r>
        <w:rPr>
          <w:sz w:val="22"/>
        </w:rPr>
        <w:t>Lagarde, Christine. 2019. BRI 2.0: Stronger Frameworks in the New Phase of Belt and Road. </w:t>
      </w:r>
      <w:r>
        <w:rPr>
          <w:spacing w:val="-2"/>
          <w:w w:val="105"/>
          <w:sz w:val="22"/>
        </w:rPr>
        <w:t>Speech</w:t>
      </w:r>
      <w:r>
        <w:rPr>
          <w:spacing w:val="-11"/>
          <w:w w:val="105"/>
          <w:sz w:val="22"/>
        </w:rPr>
        <w:t> </w:t>
      </w:r>
      <w:r>
        <w:rPr>
          <w:spacing w:val="-2"/>
          <w:w w:val="105"/>
          <w:sz w:val="22"/>
        </w:rPr>
        <w:t>delivered</w:t>
      </w:r>
      <w:r>
        <w:rPr>
          <w:spacing w:val="-11"/>
          <w:w w:val="105"/>
          <w:sz w:val="22"/>
        </w:rPr>
        <w:t> </w:t>
      </w:r>
      <w:r>
        <w:rPr>
          <w:spacing w:val="-2"/>
          <w:w w:val="105"/>
          <w:sz w:val="22"/>
        </w:rPr>
        <w:t>at</w:t>
      </w:r>
      <w:r>
        <w:rPr>
          <w:spacing w:val="-11"/>
          <w:w w:val="105"/>
          <w:sz w:val="22"/>
        </w:rPr>
        <w:t> </w:t>
      </w:r>
      <w:r>
        <w:rPr>
          <w:spacing w:val="-2"/>
          <w:w w:val="105"/>
          <w:sz w:val="22"/>
        </w:rPr>
        <w:t>Belt</w:t>
      </w:r>
      <w:r>
        <w:rPr>
          <w:spacing w:val="-11"/>
          <w:w w:val="105"/>
          <w:sz w:val="22"/>
        </w:rPr>
        <w:t> </w:t>
      </w:r>
      <w:r>
        <w:rPr>
          <w:spacing w:val="-2"/>
          <w:w w:val="105"/>
          <w:sz w:val="22"/>
        </w:rPr>
        <w:t>and</w:t>
      </w:r>
      <w:r>
        <w:rPr>
          <w:spacing w:val="-11"/>
          <w:w w:val="105"/>
          <w:sz w:val="22"/>
        </w:rPr>
        <w:t> </w:t>
      </w:r>
      <w:r>
        <w:rPr>
          <w:spacing w:val="-2"/>
          <w:w w:val="105"/>
          <w:sz w:val="22"/>
        </w:rPr>
        <w:t>Road</w:t>
      </w:r>
      <w:r>
        <w:rPr>
          <w:spacing w:val="-11"/>
          <w:w w:val="105"/>
          <w:sz w:val="22"/>
        </w:rPr>
        <w:t> </w:t>
      </w:r>
      <w:r>
        <w:rPr>
          <w:spacing w:val="-2"/>
          <w:w w:val="105"/>
          <w:sz w:val="22"/>
        </w:rPr>
        <w:t>Forum</w:t>
      </w:r>
      <w:r>
        <w:rPr>
          <w:spacing w:val="-11"/>
          <w:w w:val="105"/>
          <w:sz w:val="22"/>
        </w:rPr>
        <w:t> </w:t>
      </w:r>
      <w:r>
        <w:rPr>
          <w:spacing w:val="-2"/>
          <w:w w:val="105"/>
          <w:sz w:val="22"/>
        </w:rPr>
        <w:t>on</w:t>
      </w:r>
      <w:r>
        <w:rPr>
          <w:spacing w:val="-11"/>
          <w:w w:val="105"/>
          <w:sz w:val="22"/>
        </w:rPr>
        <w:t> </w:t>
      </w:r>
      <w:r>
        <w:rPr>
          <w:spacing w:val="-2"/>
          <w:w w:val="105"/>
          <w:sz w:val="22"/>
        </w:rPr>
        <w:t>26</w:t>
      </w:r>
      <w:r>
        <w:rPr>
          <w:spacing w:val="-11"/>
          <w:w w:val="105"/>
          <w:sz w:val="22"/>
        </w:rPr>
        <w:t> </w:t>
      </w:r>
      <w:r>
        <w:rPr>
          <w:spacing w:val="-2"/>
          <w:w w:val="105"/>
          <w:sz w:val="22"/>
        </w:rPr>
        <w:t>April</w:t>
      </w:r>
      <w:r>
        <w:rPr>
          <w:spacing w:val="-11"/>
          <w:w w:val="105"/>
          <w:sz w:val="22"/>
        </w:rPr>
        <w:t> </w:t>
      </w:r>
      <w:r>
        <w:rPr>
          <w:spacing w:val="-2"/>
          <w:w w:val="105"/>
          <w:sz w:val="22"/>
        </w:rPr>
        <w:t>2019.</w:t>
      </w:r>
      <w:r>
        <w:rPr>
          <w:spacing w:val="-11"/>
          <w:w w:val="105"/>
          <w:sz w:val="22"/>
        </w:rPr>
        <w:t> </w:t>
      </w:r>
      <w:r>
        <w:rPr>
          <w:spacing w:val="-2"/>
          <w:w w:val="105"/>
          <w:sz w:val="22"/>
        </w:rPr>
        <w:t>Accessed</w:t>
      </w:r>
      <w:r>
        <w:rPr>
          <w:spacing w:val="-11"/>
          <w:w w:val="105"/>
          <w:sz w:val="22"/>
        </w:rPr>
        <w:t> </w:t>
      </w:r>
      <w:r>
        <w:rPr>
          <w:spacing w:val="-2"/>
          <w:w w:val="105"/>
          <w:sz w:val="22"/>
        </w:rPr>
        <w:t>on</w:t>
      </w:r>
      <w:r>
        <w:rPr>
          <w:spacing w:val="-11"/>
          <w:w w:val="105"/>
          <w:sz w:val="22"/>
        </w:rPr>
        <w:t> </w:t>
      </w:r>
      <w:r>
        <w:rPr>
          <w:spacing w:val="-2"/>
          <w:w w:val="105"/>
          <w:sz w:val="22"/>
        </w:rPr>
        <w:t>1</w:t>
      </w:r>
      <w:r>
        <w:rPr>
          <w:spacing w:val="-11"/>
          <w:w w:val="105"/>
          <w:sz w:val="22"/>
        </w:rPr>
        <w:t> </w:t>
      </w:r>
      <w:r>
        <w:rPr>
          <w:spacing w:val="-2"/>
          <w:w w:val="105"/>
          <w:sz w:val="22"/>
        </w:rPr>
        <w:t>August</w:t>
      </w:r>
      <w:r>
        <w:rPr>
          <w:spacing w:val="-11"/>
          <w:w w:val="105"/>
          <w:sz w:val="22"/>
        </w:rPr>
        <w:t> </w:t>
      </w:r>
      <w:r>
        <w:rPr>
          <w:spacing w:val="-2"/>
          <w:w w:val="105"/>
          <w:sz w:val="22"/>
        </w:rPr>
        <w:t>2023</w:t>
      </w:r>
      <w:r>
        <w:rPr>
          <w:spacing w:val="-11"/>
          <w:w w:val="105"/>
          <w:sz w:val="22"/>
        </w:rPr>
        <w:t> </w:t>
      </w:r>
      <w:r>
        <w:rPr>
          <w:spacing w:val="-2"/>
          <w:w w:val="105"/>
          <w:sz w:val="22"/>
        </w:rPr>
        <w:t>at </w:t>
      </w:r>
      <w:hyperlink r:id="rId48">
        <w:r>
          <w:rPr>
            <w:color w:val="1154CC"/>
            <w:spacing w:val="-2"/>
            <w:sz w:val="22"/>
            <w:u w:val="thick" w:color="1154CC"/>
          </w:rPr>
          <w:t>https://www.imf.org/en/News/Articles/2019/04/25/sp042619-stronger-frameworks-in-the-new-</w:t>
        </w:r>
      </w:hyperlink>
      <w:r>
        <w:rPr>
          <w:color w:val="1154CC"/>
          <w:spacing w:val="80"/>
          <w:w w:val="150"/>
          <w:sz w:val="22"/>
        </w:rPr>
        <w:t> </w:t>
      </w:r>
      <w:hyperlink r:id="rId48">
        <w:r>
          <w:rPr>
            <w:color w:val="1154CC"/>
            <w:spacing w:val="-2"/>
            <w:w w:val="105"/>
            <w:sz w:val="22"/>
            <w:u w:val="thick" w:color="1154CC"/>
          </w:rPr>
          <w:t>phase-of-belt-and-road</w:t>
        </w:r>
      </w:hyperlink>
    </w:p>
    <w:p>
      <w:pPr>
        <w:pStyle w:val="BodyText"/>
        <w:spacing w:before="4"/>
      </w:pPr>
    </w:p>
    <w:p>
      <w:pPr>
        <w:spacing w:line="288" w:lineRule="auto" w:before="0"/>
        <w:ind w:left="200" w:right="0" w:firstLine="0"/>
        <w:jc w:val="left"/>
        <w:rPr>
          <w:sz w:val="22"/>
        </w:rPr>
      </w:pPr>
      <w:r>
        <w:rPr>
          <w:sz w:val="22"/>
        </w:rPr>
        <w:t>Laurance,</w:t>
      </w:r>
      <w:r>
        <w:rPr>
          <w:spacing w:val="-14"/>
          <w:sz w:val="22"/>
        </w:rPr>
        <w:t> </w:t>
      </w:r>
      <w:r>
        <w:rPr>
          <w:sz w:val="22"/>
        </w:rPr>
        <w:t>William</w:t>
      </w:r>
      <w:r>
        <w:rPr>
          <w:spacing w:val="-14"/>
          <w:sz w:val="22"/>
        </w:rPr>
        <w:t> </w:t>
      </w:r>
      <w:r>
        <w:rPr>
          <w:sz w:val="22"/>
        </w:rPr>
        <w:t>F.,</w:t>
      </w:r>
      <w:r>
        <w:rPr>
          <w:spacing w:val="-14"/>
          <w:sz w:val="22"/>
        </w:rPr>
        <w:t> </w:t>
      </w:r>
      <w:r>
        <w:rPr>
          <w:sz w:val="22"/>
        </w:rPr>
        <w:t>Sean</w:t>
      </w:r>
      <w:r>
        <w:rPr>
          <w:spacing w:val="-14"/>
          <w:sz w:val="22"/>
        </w:rPr>
        <w:t> </w:t>
      </w:r>
      <w:r>
        <w:rPr>
          <w:sz w:val="22"/>
        </w:rPr>
        <w:t>Sloan,</w:t>
      </w:r>
      <w:r>
        <w:rPr>
          <w:spacing w:val="-14"/>
          <w:sz w:val="22"/>
        </w:rPr>
        <w:t> </w:t>
      </w:r>
      <w:r>
        <w:rPr>
          <w:sz w:val="22"/>
        </w:rPr>
        <w:t>Lingfei</w:t>
      </w:r>
      <w:r>
        <w:rPr>
          <w:spacing w:val="-14"/>
          <w:sz w:val="22"/>
        </w:rPr>
        <w:t> </w:t>
      </w:r>
      <w:r>
        <w:rPr>
          <w:sz w:val="22"/>
        </w:rPr>
        <w:t>Weng</w:t>
      </w:r>
      <w:r>
        <w:rPr>
          <w:spacing w:val="-14"/>
          <w:sz w:val="22"/>
        </w:rPr>
        <w:t> </w:t>
      </w:r>
      <w:r>
        <w:rPr>
          <w:sz w:val="22"/>
        </w:rPr>
        <w:t>and</w:t>
      </w:r>
      <w:r>
        <w:rPr>
          <w:spacing w:val="-14"/>
          <w:sz w:val="22"/>
        </w:rPr>
        <w:t> </w:t>
      </w:r>
      <w:r>
        <w:rPr>
          <w:sz w:val="22"/>
        </w:rPr>
        <w:t>Jeffrey</w:t>
      </w:r>
      <w:r>
        <w:rPr>
          <w:spacing w:val="-14"/>
          <w:sz w:val="22"/>
        </w:rPr>
        <w:t> </w:t>
      </w:r>
      <w:r>
        <w:rPr>
          <w:sz w:val="22"/>
        </w:rPr>
        <w:t>A.</w:t>
      </w:r>
      <w:r>
        <w:rPr>
          <w:spacing w:val="-14"/>
          <w:sz w:val="22"/>
        </w:rPr>
        <w:t> </w:t>
      </w:r>
      <w:r>
        <w:rPr>
          <w:sz w:val="22"/>
        </w:rPr>
        <w:t>Sayer.</w:t>
      </w:r>
      <w:r>
        <w:rPr>
          <w:spacing w:val="-14"/>
          <w:sz w:val="22"/>
        </w:rPr>
        <w:t> </w:t>
      </w:r>
      <w:r>
        <w:rPr>
          <w:sz w:val="22"/>
        </w:rPr>
        <w:t>2015.</w:t>
      </w:r>
      <w:r>
        <w:rPr>
          <w:spacing w:val="-14"/>
          <w:sz w:val="22"/>
        </w:rPr>
        <w:t> </w:t>
      </w:r>
      <w:r>
        <w:rPr>
          <w:sz w:val="22"/>
        </w:rPr>
        <w:t>Estimating</w:t>
      </w:r>
      <w:r>
        <w:rPr>
          <w:spacing w:val="-14"/>
          <w:sz w:val="22"/>
        </w:rPr>
        <w:t> </w:t>
      </w:r>
      <w:r>
        <w:rPr>
          <w:sz w:val="22"/>
        </w:rPr>
        <w:t>the Environmental Costs of Africa’s Massive Development Corridors. </w:t>
      </w:r>
      <w:r>
        <w:rPr>
          <w:i/>
          <w:sz w:val="22"/>
        </w:rPr>
        <w:t>Current Biology</w:t>
      </w:r>
      <w:r>
        <w:rPr>
          <w:i/>
          <w:sz w:val="22"/>
        </w:rPr>
        <w:t> </w:t>
      </w:r>
      <w:r>
        <w:rPr>
          <w:spacing w:val="-2"/>
          <w:sz w:val="22"/>
        </w:rPr>
        <w:t>25(24):3202–3208.</w:t>
      </w:r>
    </w:p>
    <w:p>
      <w:pPr>
        <w:pStyle w:val="BodyText"/>
        <w:spacing w:before="5"/>
      </w:pPr>
    </w:p>
    <w:p>
      <w:pPr>
        <w:spacing w:line="338" w:lineRule="auto" w:before="0"/>
        <w:ind w:left="200" w:right="477" w:firstLine="0"/>
        <w:jc w:val="left"/>
        <w:rPr>
          <w:sz w:val="22"/>
        </w:rPr>
      </w:pPr>
      <w:r>
        <w:rPr>
          <w:sz w:val="22"/>
        </w:rPr>
        <w:t>Majid, Hadia, Ammar Malik, and Kate Vyborny. 2018. Infrastructure Investments and Public Transport</w:t>
      </w:r>
      <w:r>
        <w:rPr>
          <w:spacing w:val="-16"/>
          <w:sz w:val="22"/>
        </w:rPr>
        <w:t> </w:t>
      </w:r>
      <w:r>
        <w:rPr>
          <w:sz w:val="22"/>
        </w:rPr>
        <w:t>Use:</w:t>
      </w:r>
      <w:r>
        <w:rPr>
          <w:spacing w:val="-15"/>
          <w:sz w:val="22"/>
        </w:rPr>
        <w:t> </w:t>
      </w:r>
      <w:r>
        <w:rPr>
          <w:sz w:val="22"/>
        </w:rPr>
        <w:t>Evidence</w:t>
      </w:r>
      <w:r>
        <w:rPr>
          <w:spacing w:val="-15"/>
          <w:sz w:val="22"/>
        </w:rPr>
        <w:t> </w:t>
      </w:r>
      <w:r>
        <w:rPr>
          <w:sz w:val="22"/>
        </w:rPr>
        <w:t>from</w:t>
      </w:r>
      <w:r>
        <w:rPr>
          <w:spacing w:val="-16"/>
          <w:sz w:val="22"/>
        </w:rPr>
        <w:t> </w:t>
      </w:r>
      <w:r>
        <w:rPr>
          <w:sz w:val="22"/>
        </w:rPr>
        <w:t>Lahore,</w:t>
      </w:r>
      <w:r>
        <w:rPr>
          <w:spacing w:val="-15"/>
          <w:sz w:val="22"/>
        </w:rPr>
        <w:t> </w:t>
      </w:r>
      <w:r>
        <w:rPr>
          <w:sz w:val="22"/>
        </w:rPr>
        <w:t>Pakistan.</w:t>
      </w:r>
      <w:r>
        <w:rPr>
          <w:spacing w:val="-15"/>
          <w:sz w:val="22"/>
        </w:rPr>
        <w:t> </w:t>
      </w:r>
      <w:r>
        <w:rPr>
          <w:sz w:val="22"/>
        </w:rPr>
        <w:t>IGC</w:t>
      </w:r>
      <w:r>
        <w:rPr>
          <w:spacing w:val="-15"/>
          <w:sz w:val="22"/>
        </w:rPr>
        <w:t> </w:t>
      </w:r>
      <w:r>
        <w:rPr>
          <w:sz w:val="22"/>
        </w:rPr>
        <w:t>Working</w:t>
      </w:r>
      <w:r>
        <w:rPr>
          <w:spacing w:val="-16"/>
          <w:sz w:val="22"/>
        </w:rPr>
        <w:t> </w:t>
      </w:r>
      <w:r>
        <w:rPr>
          <w:sz w:val="22"/>
        </w:rPr>
        <w:t>Paper</w:t>
      </w:r>
      <w:r>
        <w:rPr>
          <w:spacing w:val="-15"/>
          <w:sz w:val="22"/>
        </w:rPr>
        <w:t> </w:t>
      </w:r>
      <w:r>
        <w:rPr>
          <w:sz w:val="22"/>
        </w:rPr>
        <w:t>C-89231-PAK-1.</w:t>
      </w:r>
      <w:r>
        <w:rPr>
          <w:spacing w:val="-15"/>
          <w:sz w:val="22"/>
        </w:rPr>
        <w:t> </w:t>
      </w:r>
      <w:r>
        <w:rPr>
          <w:sz w:val="22"/>
        </w:rPr>
        <w:t>London, UK: IGC. Accessed on 1 October 2023 at </w:t>
      </w:r>
      <w:hyperlink r:id="rId49">
        <w:r>
          <w:rPr>
            <w:color w:val="1154CC"/>
            <w:spacing w:val="-2"/>
            <w:sz w:val="22"/>
            <w:u w:val="thick" w:color="1154CC"/>
          </w:rPr>
          <w:t>https://www.dropbox.com/s/2gbnajqo55d14jz/BRT_IGC_WP.pdf?dl=0</w:t>
        </w:r>
      </w:hyperlink>
      <w:r>
        <w:rPr>
          <w:spacing w:val="-2"/>
          <w:sz w:val="22"/>
        </w:rPr>
        <w:t>.</w:t>
      </w:r>
    </w:p>
    <w:p>
      <w:pPr>
        <w:pStyle w:val="BodyText"/>
        <w:spacing w:before="3"/>
      </w:pPr>
    </w:p>
    <w:p>
      <w:pPr>
        <w:spacing w:line="288" w:lineRule="auto" w:before="0"/>
        <w:ind w:left="200" w:right="238" w:firstLine="0"/>
        <w:jc w:val="left"/>
        <w:rPr>
          <w:sz w:val="22"/>
        </w:rPr>
      </w:pPr>
      <w:r>
        <w:rPr>
          <w:sz w:val="22"/>
        </w:rPr>
        <w:t>Malik,</w:t>
      </w:r>
      <w:r>
        <w:rPr>
          <w:spacing w:val="-1"/>
          <w:sz w:val="22"/>
        </w:rPr>
        <w:t> </w:t>
      </w:r>
      <w:r>
        <w:rPr>
          <w:sz w:val="22"/>
        </w:rPr>
        <w:t>Ammar</w:t>
      </w:r>
      <w:r>
        <w:rPr>
          <w:spacing w:val="-1"/>
          <w:sz w:val="22"/>
        </w:rPr>
        <w:t> </w:t>
      </w:r>
      <w:r>
        <w:rPr>
          <w:sz w:val="22"/>
        </w:rPr>
        <w:t>A.</w:t>
      </w:r>
      <w:r>
        <w:rPr>
          <w:spacing w:val="-1"/>
          <w:sz w:val="22"/>
        </w:rPr>
        <w:t> </w:t>
      </w:r>
      <w:r>
        <w:rPr>
          <w:sz w:val="22"/>
        </w:rPr>
        <w:t>and</w:t>
      </w:r>
      <w:r>
        <w:rPr>
          <w:spacing w:val="-1"/>
          <w:sz w:val="22"/>
        </w:rPr>
        <w:t> </w:t>
      </w:r>
      <w:r>
        <w:rPr>
          <w:sz w:val="22"/>
        </w:rPr>
        <w:t>Bradley</w:t>
      </w:r>
      <w:r>
        <w:rPr>
          <w:spacing w:val="-1"/>
          <w:sz w:val="22"/>
        </w:rPr>
        <w:t> </w:t>
      </w:r>
      <w:r>
        <w:rPr>
          <w:sz w:val="22"/>
        </w:rPr>
        <w:t>C.</w:t>
      </w:r>
      <w:r>
        <w:rPr>
          <w:spacing w:val="-1"/>
          <w:sz w:val="22"/>
        </w:rPr>
        <w:t> </w:t>
      </w:r>
      <w:r>
        <w:rPr>
          <w:sz w:val="22"/>
        </w:rPr>
        <w:t>Parks.</w:t>
      </w:r>
      <w:r>
        <w:rPr>
          <w:spacing w:val="-1"/>
          <w:sz w:val="22"/>
        </w:rPr>
        <w:t> </w:t>
      </w:r>
      <w:r>
        <w:rPr>
          <w:sz w:val="22"/>
        </w:rPr>
        <w:t>2021.</w:t>
      </w:r>
      <w:r>
        <w:rPr>
          <w:spacing w:val="-1"/>
          <w:sz w:val="22"/>
        </w:rPr>
        <w:t> </w:t>
      </w:r>
      <w:r>
        <w:rPr>
          <w:sz w:val="22"/>
        </w:rPr>
        <w:t>Hidden</w:t>
      </w:r>
      <w:r>
        <w:rPr>
          <w:spacing w:val="-1"/>
          <w:sz w:val="22"/>
        </w:rPr>
        <w:t> </w:t>
      </w:r>
      <w:r>
        <w:rPr>
          <w:sz w:val="22"/>
        </w:rPr>
        <w:t>debt</w:t>
      </w:r>
      <w:r>
        <w:rPr>
          <w:spacing w:val="-1"/>
          <w:sz w:val="22"/>
        </w:rPr>
        <w:t> </w:t>
      </w:r>
      <w:r>
        <w:rPr>
          <w:sz w:val="22"/>
        </w:rPr>
        <w:t>exposure</w:t>
      </w:r>
      <w:r>
        <w:rPr>
          <w:spacing w:val="-1"/>
          <w:sz w:val="22"/>
        </w:rPr>
        <w:t> </w:t>
      </w:r>
      <w:r>
        <w:rPr>
          <w:sz w:val="22"/>
        </w:rPr>
        <w:t>to</w:t>
      </w:r>
      <w:r>
        <w:rPr>
          <w:spacing w:val="-1"/>
          <w:sz w:val="22"/>
        </w:rPr>
        <w:t> </w:t>
      </w:r>
      <w:r>
        <w:rPr>
          <w:sz w:val="22"/>
        </w:rPr>
        <w:t>China:</w:t>
      </w:r>
      <w:r>
        <w:rPr>
          <w:spacing w:val="-1"/>
          <w:sz w:val="22"/>
        </w:rPr>
        <w:t> </w:t>
      </w:r>
      <w:r>
        <w:rPr>
          <w:sz w:val="22"/>
        </w:rPr>
        <w:t>What</w:t>
      </w:r>
      <w:r>
        <w:rPr>
          <w:spacing w:val="-1"/>
          <w:sz w:val="22"/>
        </w:rPr>
        <w:t> </w:t>
      </w:r>
      <w:r>
        <w:rPr>
          <w:sz w:val="22"/>
        </w:rPr>
        <w:t>is</w:t>
      </w:r>
      <w:r>
        <w:rPr>
          <w:spacing w:val="-1"/>
          <w:sz w:val="22"/>
        </w:rPr>
        <w:t> </w:t>
      </w:r>
      <w:r>
        <w:rPr>
          <w:sz w:val="22"/>
        </w:rPr>
        <w:t>it,</w:t>
      </w:r>
      <w:r>
        <w:rPr>
          <w:spacing w:val="-1"/>
          <w:sz w:val="22"/>
        </w:rPr>
        <w:t> </w:t>
      </w:r>
      <w:r>
        <w:rPr>
          <w:sz w:val="22"/>
        </w:rPr>
        <w:t>where is it, and should we be concerned? Williamsburg, VA: AidData at William &amp; Mary.</w:t>
      </w:r>
    </w:p>
    <w:p>
      <w:pPr>
        <w:pStyle w:val="BodyText"/>
        <w:spacing w:before="4"/>
      </w:pPr>
    </w:p>
    <w:p>
      <w:pPr>
        <w:spacing w:line="288" w:lineRule="auto" w:before="0"/>
        <w:ind w:left="200" w:right="252" w:firstLine="0"/>
        <w:jc w:val="left"/>
        <w:rPr>
          <w:sz w:val="22"/>
        </w:rPr>
      </w:pPr>
      <w:r>
        <w:rPr>
          <w:sz w:val="22"/>
        </w:rPr>
        <w:t>Malik,</w:t>
      </w:r>
      <w:r>
        <w:rPr>
          <w:spacing w:val="-15"/>
          <w:sz w:val="22"/>
        </w:rPr>
        <w:t> </w:t>
      </w:r>
      <w:r>
        <w:rPr>
          <w:sz w:val="22"/>
        </w:rPr>
        <w:t>Ammar</w:t>
      </w:r>
      <w:r>
        <w:rPr>
          <w:spacing w:val="-15"/>
          <w:sz w:val="22"/>
        </w:rPr>
        <w:t> </w:t>
      </w:r>
      <w:r>
        <w:rPr>
          <w:sz w:val="22"/>
        </w:rPr>
        <w:t>A.,</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Brooke</w:t>
      </w:r>
      <w:r>
        <w:rPr>
          <w:spacing w:val="-15"/>
          <w:sz w:val="22"/>
        </w:rPr>
        <w:t> </w:t>
      </w:r>
      <w:r>
        <w:rPr>
          <w:sz w:val="22"/>
        </w:rPr>
        <w:t>Russell,</w:t>
      </w:r>
      <w:r>
        <w:rPr>
          <w:spacing w:val="-15"/>
          <w:sz w:val="22"/>
        </w:rPr>
        <w:t> </w:t>
      </w:r>
      <w:r>
        <w:rPr>
          <w:sz w:val="22"/>
        </w:rPr>
        <w:t>Joyce</w:t>
      </w:r>
      <w:r>
        <w:rPr>
          <w:spacing w:val="-15"/>
          <w:sz w:val="22"/>
        </w:rPr>
        <w:t> </w:t>
      </w:r>
      <w:r>
        <w:rPr>
          <w:sz w:val="22"/>
        </w:rPr>
        <w:t>Lin,</w:t>
      </w:r>
      <w:r>
        <w:rPr>
          <w:spacing w:val="-15"/>
          <w:sz w:val="22"/>
        </w:rPr>
        <w:t> </w:t>
      </w:r>
      <w:r>
        <w:rPr>
          <w:sz w:val="22"/>
        </w:rPr>
        <w:t>Katherine</w:t>
      </w:r>
      <w:r>
        <w:rPr>
          <w:spacing w:val="-15"/>
          <w:sz w:val="22"/>
        </w:rPr>
        <w:t> </w:t>
      </w:r>
      <w:r>
        <w:rPr>
          <w:sz w:val="22"/>
        </w:rPr>
        <w:t>Walsh,</w:t>
      </w:r>
      <w:r>
        <w:rPr>
          <w:spacing w:val="-15"/>
          <w:sz w:val="22"/>
        </w:rPr>
        <w:t> </w:t>
      </w:r>
      <w:r>
        <w:rPr>
          <w:sz w:val="22"/>
        </w:rPr>
        <w:t>Kyra</w:t>
      </w:r>
      <w:r>
        <w:rPr>
          <w:spacing w:val="-15"/>
          <w:sz w:val="22"/>
        </w:rPr>
        <w:t> </w:t>
      </w:r>
      <w:r>
        <w:rPr>
          <w:sz w:val="22"/>
        </w:rPr>
        <w:t>Solomon, Sheng Zhang, Thai-Binh Elston, and Seth Goodman. 2021. Banking on the Belt and Road: Insights from a New Global Dataset of 13,427 Chinese Development Projects. Williamsburg, VA: AidData at William &amp; Mary.</w:t>
      </w:r>
    </w:p>
    <w:p>
      <w:pPr>
        <w:pStyle w:val="BodyText"/>
        <w:spacing w:before="4"/>
      </w:pPr>
    </w:p>
    <w:p>
      <w:pPr>
        <w:spacing w:line="288" w:lineRule="auto" w:before="0"/>
        <w:ind w:left="200" w:right="0" w:firstLine="0"/>
        <w:jc w:val="left"/>
        <w:rPr>
          <w:sz w:val="22"/>
        </w:rPr>
      </w:pPr>
      <w:r>
        <w:rPr>
          <w:sz w:val="22"/>
        </w:rPr>
        <w:t>Mandon,</w:t>
      </w:r>
      <w:r>
        <w:rPr>
          <w:spacing w:val="-6"/>
          <w:sz w:val="22"/>
        </w:rPr>
        <w:t> </w:t>
      </w:r>
      <w:r>
        <w:rPr>
          <w:sz w:val="22"/>
        </w:rPr>
        <w:t>Pierre</w:t>
      </w:r>
      <w:r>
        <w:rPr>
          <w:spacing w:val="-6"/>
          <w:sz w:val="22"/>
        </w:rPr>
        <w:t> </w:t>
      </w:r>
      <w:r>
        <w:rPr>
          <w:sz w:val="22"/>
        </w:rPr>
        <w:t>and</w:t>
      </w:r>
      <w:r>
        <w:rPr>
          <w:spacing w:val="-6"/>
          <w:sz w:val="22"/>
        </w:rPr>
        <w:t> </w:t>
      </w:r>
      <w:r>
        <w:rPr>
          <w:sz w:val="22"/>
        </w:rPr>
        <w:t>Martha</w:t>
      </w:r>
      <w:r>
        <w:rPr>
          <w:spacing w:val="-6"/>
          <w:sz w:val="22"/>
        </w:rPr>
        <w:t> </w:t>
      </w:r>
      <w:r>
        <w:rPr>
          <w:sz w:val="22"/>
        </w:rPr>
        <w:t>Tesfaye</w:t>
      </w:r>
      <w:r>
        <w:rPr>
          <w:spacing w:val="-6"/>
          <w:sz w:val="22"/>
        </w:rPr>
        <w:t> </w:t>
      </w:r>
      <w:r>
        <w:rPr>
          <w:sz w:val="22"/>
        </w:rPr>
        <w:t>Woldemichael.</w:t>
      </w:r>
      <w:r>
        <w:rPr>
          <w:spacing w:val="-6"/>
          <w:sz w:val="22"/>
        </w:rPr>
        <w:t> </w:t>
      </w:r>
      <w:r>
        <w:rPr>
          <w:sz w:val="22"/>
        </w:rPr>
        <w:t>2023.</w:t>
      </w:r>
      <w:r>
        <w:rPr>
          <w:spacing w:val="-6"/>
          <w:sz w:val="22"/>
        </w:rPr>
        <w:t> </w:t>
      </w:r>
      <w:r>
        <w:rPr>
          <w:sz w:val="22"/>
        </w:rPr>
        <w:t>Has</w:t>
      </w:r>
      <w:r>
        <w:rPr>
          <w:spacing w:val="-6"/>
          <w:sz w:val="22"/>
        </w:rPr>
        <w:t> </w:t>
      </w:r>
      <w:r>
        <w:rPr>
          <w:sz w:val="22"/>
        </w:rPr>
        <w:t>Chinese</w:t>
      </w:r>
      <w:r>
        <w:rPr>
          <w:spacing w:val="-6"/>
          <w:sz w:val="22"/>
        </w:rPr>
        <w:t> </w:t>
      </w:r>
      <w:r>
        <w:rPr>
          <w:sz w:val="22"/>
        </w:rPr>
        <w:t>Aid</w:t>
      </w:r>
      <w:r>
        <w:rPr>
          <w:spacing w:val="-6"/>
          <w:sz w:val="22"/>
        </w:rPr>
        <w:t> </w:t>
      </w:r>
      <w:r>
        <w:rPr>
          <w:sz w:val="22"/>
        </w:rPr>
        <w:t>Beneﬁted</w:t>
      </w:r>
      <w:r>
        <w:rPr>
          <w:spacing w:val="-6"/>
          <w:sz w:val="22"/>
        </w:rPr>
        <w:t> </w:t>
      </w:r>
      <w:r>
        <w:rPr>
          <w:sz w:val="22"/>
        </w:rPr>
        <w:t>Recipient Countries? Evidence from a Meta-regression Analysis. </w:t>
      </w:r>
      <w:r>
        <w:rPr>
          <w:i/>
          <w:sz w:val="22"/>
        </w:rPr>
        <w:t>World Development </w:t>
      </w:r>
      <w:r>
        <w:rPr>
          <w:sz w:val="22"/>
        </w:rPr>
        <w:t>166: 106211.</w:t>
      </w:r>
    </w:p>
    <w:p>
      <w:pPr>
        <w:pStyle w:val="BodyText"/>
        <w:spacing w:before="5"/>
      </w:pPr>
    </w:p>
    <w:p>
      <w:pPr>
        <w:spacing w:line="288" w:lineRule="auto" w:before="0"/>
        <w:ind w:left="200" w:right="0" w:firstLine="0"/>
        <w:jc w:val="left"/>
        <w:rPr>
          <w:sz w:val="22"/>
        </w:rPr>
      </w:pPr>
      <w:r>
        <w:rPr>
          <w:sz w:val="22"/>
        </w:rPr>
        <w:t>Martin,</w:t>
      </w:r>
      <w:r>
        <w:rPr>
          <w:spacing w:val="-6"/>
          <w:sz w:val="22"/>
        </w:rPr>
        <w:t> </w:t>
      </w:r>
      <w:r>
        <w:rPr>
          <w:sz w:val="22"/>
        </w:rPr>
        <w:t>C.</w:t>
      </w:r>
      <w:r>
        <w:rPr>
          <w:spacing w:val="-6"/>
          <w:sz w:val="22"/>
        </w:rPr>
        <w:t> </w:t>
      </w:r>
      <w:r>
        <w:rPr>
          <w:sz w:val="22"/>
        </w:rPr>
        <w:t>S.,</w:t>
      </w:r>
      <w:r>
        <w:rPr>
          <w:spacing w:val="-6"/>
          <w:sz w:val="22"/>
        </w:rPr>
        <w:t> </w:t>
      </w:r>
      <w:r>
        <w:rPr>
          <w:sz w:val="22"/>
        </w:rPr>
        <w:t>M.</w:t>
      </w:r>
      <w:r>
        <w:rPr>
          <w:spacing w:val="-6"/>
          <w:sz w:val="22"/>
        </w:rPr>
        <w:t> </w:t>
      </w:r>
      <w:r>
        <w:rPr>
          <w:sz w:val="22"/>
        </w:rPr>
        <w:t>J.</w:t>
      </w:r>
      <w:r>
        <w:rPr>
          <w:spacing w:val="-6"/>
          <w:sz w:val="22"/>
        </w:rPr>
        <w:t> </w:t>
      </w:r>
      <w:r>
        <w:rPr>
          <w:sz w:val="22"/>
        </w:rPr>
        <w:t>Tolley,</w:t>
      </w:r>
      <w:r>
        <w:rPr>
          <w:spacing w:val="-6"/>
          <w:sz w:val="22"/>
        </w:rPr>
        <w:t> </w:t>
      </w:r>
      <w:r>
        <w:rPr>
          <w:sz w:val="22"/>
        </w:rPr>
        <w:t>E.</w:t>
      </w:r>
      <w:r>
        <w:rPr>
          <w:spacing w:val="-6"/>
          <w:sz w:val="22"/>
        </w:rPr>
        <w:t> </w:t>
      </w:r>
      <w:r>
        <w:rPr>
          <w:sz w:val="22"/>
        </w:rPr>
        <w:t>Farmer,</w:t>
      </w:r>
      <w:r>
        <w:rPr>
          <w:spacing w:val="-6"/>
          <w:sz w:val="22"/>
        </w:rPr>
        <w:t> </w:t>
      </w:r>
      <w:r>
        <w:rPr>
          <w:sz w:val="22"/>
        </w:rPr>
        <w:t>C.</w:t>
      </w:r>
      <w:r>
        <w:rPr>
          <w:spacing w:val="-6"/>
          <w:sz w:val="22"/>
        </w:rPr>
        <w:t> </w:t>
      </w:r>
      <w:r>
        <w:rPr>
          <w:sz w:val="22"/>
        </w:rPr>
        <w:t>J.</w:t>
      </w:r>
      <w:r>
        <w:rPr>
          <w:spacing w:val="-6"/>
          <w:sz w:val="22"/>
        </w:rPr>
        <w:t> </w:t>
      </w:r>
      <w:r>
        <w:rPr>
          <w:sz w:val="22"/>
        </w:rPr>
        <w:t>Mcowen,</w:t>
      </w:r>
      <w:r>
        <w:rPr>
          <w:spacing w:val="-6"/>
          <w:sz w:val="22"/>
        </w:rPr>
        <w:t> </w:t>
      </w:r>
      <w:r>
        <w:rPr>
          <w:sz w:val="22"/>
        </w:rPr>
        <w:t>J.</w:t>
      </w:r>
      <w:r>
        <w:rPr>
          <w:spacing w:val="-6"/>
          <w:sz w:val="22"/>
        </w:rPr>
        <w:t> </w:t>
      </w:r>
      <w:r>
        <w:rPr>
          <w:sz w:val="22"/>
        </w:rPr>
        <w:t>L.</w:t>
      </w:r>
      <w:r>
        <w:rPr>
          <w:spacing w:val="-6"/>
          <w:sz w:val="22"/>
        </w:rPr>
        <w:t> </w:t>
      </w:r>
      <w:r>
        <w:rPr>
          <w:sz w:val="22"/>
        </w:rPr>
        <w:t>Geffert,</w:t>
      </w:r>
      <w:r>
        <w:rPr>
          <w:spacing w:val="-6"/>
          <w:sz w:val="22"/>
        </w:rPr>
        <w:t> </w:t>
      </w:r>
      <w:r>
        <w:rPr>
          <w:sz w:val="22"/>
        </w:rPr>
        <w:t>J.</w:t>
      </w:r>
      <w:r>
        <w:rPr>
          <w:spacing w:val="-6"/>
          <w:sz w:val="22"/>
        </w:rPr>
        <w:t> </w:t>
      </w:r>
      <w:r>
        <w:rPr>
          <w:sz w:val="22"/>
        </w:rPr>
        <w:t>P.</w:t>
      </w:r>
      <w:r>
        <w:rPr>
          <w:spacing w:val="-6"/>
          <w:sz w:val="22"/>
        </w:rPr>
        <w:t> </w:t>
      </w:r>
      <w:r>
        <w:rPr>
          <w:sz w:val="22"/>
        </w:rPr>
        <w:t>W.</w:t>
      </w:r>
      <w:r>
        <w:rPr>
          <w:spacing w:val="-6"/>
          <w:sz w:val="22"/>
        </w:rPr>
        <w:t> </w:t>
      </w:r>
      <w:r>
        <w:rPr>
          <w:sz w:val="22"/>
        </w:rPr>
        <w:t>Scharlemann,</w:t>
      </w:r>
      <w:r>
        <w:rPr>
          <w:spacing w:val="-6"/>
          <w:sz w:val="22"/>
        </w:rPr>
        <w:t> </w:t>
      </w:r>
      <w:r>
        <w:rPr>
          <w:sz w:val="22"/>
        </w:rPr>
        <w:t>H.</w:t>
      </w:r>
      <w:r>
        <w:rPr>
          <w:spacing w:val="-6"/>
          <w:sz w:val="22"/>
        </w:rPr>
        <w:t> </w:t>
      </w:r>
      <w:r>
        <w:rPr>
          <w:sz w:val="22"/>
        </w:rPr>
        <w:t>L. Thomas,</w:t>
      </w:r>
      <w:r>
        <w:rPr>
          <w:spacing w:val="-5"/>
          <w:sz w:val="22"/>
        </w:rPr>
        <w:t> </w:t>
      </w:r>
      <w:r>
        <w:rPr>
          <w:sz w:val="22"/>
        </w:rPr>
        <w:t>J.</w:t>
      </w:r>
      <w:r>
        <w:rPr>
          <w:spacing w:val="-5"/>
          <w:sz w:val="22"/>
        </w:rPr>
        <w:t> </w:t>
      </w:r>
      <w:r>
        <w:rPr>
          <w:sz w:val="22"/>
        </w:rPr>
        <w:t>H.</w:t>
      </w:r>
      <w:r>
        <w:rPr>
          <w:spacing w:val="-5"/>
          <w:sz w:val="22"/>
        </w:rPr>
        <w:t> </w:t>
      </w:r>
      <w:r>
        <w:rPr>
          <w:sz w:val="22"/>
        </w:rPr>
        <w:t>van</w:t>
      </w:r>
      <w:r>
        <w:rPr>
          <w:spacing w:val="-5"/>
          <w:sz w:val="22"/>
        </w:rPr>
        <w:t> </w:t>
      </w:r>
      <w:r>
        <w:rPr>
          <w:sz w:val="22"/>
        </w:rPr>
        <w:t>Bochove,</w:t>
      </w:r>
      <w:r>
        <w:rPr>
          <w:spacing w:val="-5"/>
          <w:sz w:val="22"/>
        </w:rPr>
        <w:t> </w:t>
      </w:r>
      <w:r>
        <w:rPr>
          <w:sz w:val="22"/>
        </w:rPr>
        <w:t>D.</w:t>
      </w:r>
      <w:r>
        <w:rPr>
          <w:spacing w:val="-5"/>
          <w:sz w:val="22"/>
        </w:rPr>
        <w:t> </w:t>
      </w:r>
      <w:r>
        <w:rPr>
          <w:sz w:val="22"/>
        </w:rPr>
        <w:t>Stanwell-Smith,</w:t>
      </w:r>
      <w:r>
        <w:rPr>
          <w:spacing w:val="-5"/>
          <w:sz w:val="22"/>
        </w:rPr>
        <w:t> </w:t>
      </w:r>
      <w:r>
        <w:rPr>
          <w:sz w:val="22"/>
        </w:rPr>
        <w:t>J.</w:t>
      </w:r>
      <w:r>
        <w:rPr>
          <w:spacing w:val="-5"/>
          <w:sz w:val="22"/>
        </w:rPr>
        <w:t> </w:t>
      </w:r>
      <w:r>
        <w:rPr>
          <w:sz w:val="22"/>
        </w:rPr>
        <w:t>M.</w:t>
      </w:r>
      <w:r>
        <w:rPr>
          <w:spacing w:val="-5"/>
          <w:sz w:val="22"/>
        </w:rPr>
        <w:t> </w:t>
      </w:r>
      <w:r>
        <w:rPr>
          <w:sz w:val="22"/>
        </w:rPr>
        <w:t>Hutton,</w:t>
      </w:r>
      <w:r>
        <w:rPr>
          <w:spacing w:val="-5"/>
          <w:sz w:val="22"/>
        </w:rPr>
        <w:t> </w:t>
      </w:r>
      <w:r>
        <w:rPr>
          <w:sz w:val="22"/>
        </w:rPr>
        <w:t>B.</w:t>
      </w:r>
      <w:r>
        <w:rPr>
          <w:spacing w:val="-5"/>
          <w:sz w:val="22"/>
        </w:rPr>
        <w:t> </w:t>
      </w:r>
      <w:r>
        <w:rPr>
          <w:sz w:val="22"/>
        </w:rPr>
        <w:t>Lascelles,</w:t>
      </w:r>
      <w:r>
        <w:rPr>
          <w:spacing w:val="-5"/>
          <w:sz w:val="22"/>
        </w:rPr>
        <w:t> </w:t>
      </w:r>
      <w:r>
        <w:rPr>
          <w:sz w:val="22"/>
        </w:rPr>
        <w:t>J.</w:t>
      </w:r>
      <w:r>
        <w:rPr>
          <w:spacing w:val="-5"/>
          <w:sz w:val="22"/>
        </w:rPr>
        <w:t> </w:t>
      </w:r>
      <w:r>
        <w:rPr>
          <w:sz w:val="22"/>
        </w:rPr>
        <w:t>D.</w:t>
      </w:r>
      <w:r>
        <w:rPr>
          <w:spacing w:val="-5"/>
          <w:sz w:val="22"/>
        </w:rPr>
        <w:t> </w:t>
      </w:r>
      <w:r>
        <w:rPr>
          <w:sz w:val="22"/>
        </w:rPr>
        <w:t>Pilgrim,</w:t>
      </w:r>
      <w:r>
        <w:rPr>
          <w:spacing w:val="-5"/>
          <w:sz w:val="22"/>
        </w:rPr>
        <w:t> </w:t>
      </w:r>
      <w:r>
        <w:rPr>
          <w:sz w:val="22"/>
        </w:rPr>
        <w:t>J.</w:t>
      </w:r>
      <w:r>
        <w:rPr>
          <w:spacing w:val="-5"/>
          <w:sz w:val="22"/>
        </w:rPr>
        <w:t> </w:t>
      </w:r>
      <w:r>
        <w:rPr>
          <w:sz w:val="22"/>
        </w:rPr>
        <w:t>M.</w:t>
      </w:r>
      <w:r>
        <w:rPr>
          <w:spacing w:val="-5"/>
          <w:sz w:val="22"/>
        </w:rPr>
        <w:t> </w:t>
      </w:r>
      <w:r>
        <w:rPr>
          <w:sz w:val="22"/>
        </w:rPr>
        <w:t>M. Ekstrom, D. P. Tittensor. 2015. A global map to aid the identiﬁcation and screening of critical habitat for marine industries. </w:t>
      </w:r>
      <w:r>
        <w:rPr>
          <w:i/>
          <w:sz w:val="22"/>
        </w:rPr>
        <w:t>Marine Policy </w:t>
      </w:r>
      <w:r>
        <w:rPr>
          <w:sz w:val="22"/>
        </w:rPr>
        <w:t>53 (1): 45-53.</w:t>
      </w:r>
    </w:p>
    <w:p>
      <w:pPr>
        <w:spacing w:after="0" w:line="288" w:lineRule="auto"/>
        <w:jc w:val="left"/>
        <w:rPr>
          <w:sz w:val="22"/>
        </w:rPr>
        <w:sectPr>
          <w:footerReference w:type="default" r:id="rId45"/>
          <w:pgSz w:w="12240" w:h="15840"/>
          <w:pgMar w:footer="0" w:header="0" w:top="1400" w:bottom="280" w:left="1240" w:right="1260"/>
        </w:sectPr>
      </w:pPr>
    </w:p>
    <w:p>
      <w:pPr>
        <w:spacing w:line="288" w:lineRule="auto" w:before="44"/>
        <w:ind w:left="200" w:right="252" w:firstLine="0"/>
        <w:jc w:val="left"/>
        <w:rPr>
          <w:sz w:val="22"/>
        </w:rPr>
      </w:pPr>
      <w:r>
        <w:rPr>
          <w:sz w:val="22"/>
        </w:rPr>
        <w:t>Martorano, Bruno, Laura Metzger, and Marco Sanﬁlippo. 2020. Chinese development assistance</w:t>
      </w:r>
      <w:r>
        <w:rPr>
          <w:spacing w:val="-11"/>
          <w:sz w:val="22"/>
        </w:rPr>
        <w:t> </w:t>
      </w:r>
      <w:r>
        <w:rPr>
          <w:sz w:val="22"/>
        </w:rPr>
        <w:t>and</w:t>
      </w:r>
      <w:r>
        <w:rPr>
          <w:spacing w:val="-11"/>
          <w:sz w:val="22"/>
        </w:rPr>
        <w:t> </w:t>
      </w:r>
      <w:r>
        <w:rPr>
          <w:sz w:val="22"/>
        </w:rPr>
        <w:t>household</w:t>
      </w:r>
      <w:r>
        <w:rPr>
          <w:spacing w:val="-11"/>
          <w:sz w:val="22"/>
        </w:rPr>
        <w:t> </w:t>
      </w:r>
      <w:r>
        <w:rPr>
          <w:sz w:val="22"/>
        </w:rPr>
        <w:t>welfare</w:t>
      </w:r>
      <w:r>
        <w:rPr>
          <w:spacing w:val="-11"/>
          <w:sz w:val="22"/>
        </w:rPr>
        <w:t> </w:t>
      </w:r>
      <w:r>
        <w:rPr>
          <w:sz w:val="22"/>
        </w:rPr>
        <w:t>in</w:t>
      </w:r>
      <w:r>
        <w:rPr>
          <w:spacing w:val="-11"/>
          <w:sz w:val="22"/>
        </w:rPr>
        <w:t> </w:t>
      </w:r>
      <w:r>
        <w:rPr>
          <w:sz w:val="22"/>
        </w:rPr>
        <w:t>Sub-Saharan</w:t>
      </w:r>
      <w:r>
        <w:rPr>
          <w:spacing w:val="-11"/>
          <w:sz w:val="22"/>
        </w:rPr>
        <w:t> </w:t>
      </w:r>
      <w:r>
        <w:rPr>
          <w:sz w:val="22"/>
        </w:rPr>
        <w:t>Africa.</w:t>
      </w:r>
      <w:r>
        <w:rPr>
          <w:spacing w:val="-11"/>
          <w:sz w:val="22"/>
        </w:rPr>
        <w:t> </w:t>
      </w:r>
      <w:r>
        <w:rPr>
          <w:i/>
          <w:sz w:val="22"/>
        </w:rPr>
        <w:t>World</w:t>
      </w:r>
      <w:r>
        <w:rPr>
          <w:i/>
          <w:spacing w:val="-11"/>
          <w:sz w:val="22"/>
        </w:rPr>
        <w:t> </w:t>
      </w:r>
      <w:r>
        <w:rPr>
          <w:i/>
          <w:sz w:val="22"/>
        </w:rPr>
        <w:t>Development</w:t>
      </w:r>
      <w:r>
        <w:rPr>
          <w:i/>
          <w:spacing w:val="-11"/>
          <w:sz w:val="22"/>
        </w:rPr>
        <w:t> </w:t>
      </w:r>
      <w:r>
        <w:rPr>
          <w:sz w:val="22"/>
        </w:rPr>
        <w:t>129</w:t>
      </w:r>
      <w:r>
        <w:rPr>
          <w:spacing w:val="-11"/>
          <w:sz w:val="22"/>
        </w:rPr>
        <w:t> </w:t>
      </w:r>
      <w:r>
        <w:rPr>
          <w:sz w:val="22"/>
        </w:rPr>
        <w:t>(C):</w:t>
      </w:r>
      <w:r>
        <w:rPr>
          <w:spacing w:val="-11"/>
          <w:sz w:val="22"/>
        </w:rPr>
        <w:t> </w:t>
      </w:r>
      <w:r>
        <w:rPr>
          <w:sz w:val="22"/>
        </w:rPr>
        <w:t>104909.</w:t>
      </w:r>
    </w:p>
    <w:p>
      <w:pPr>
        <w:pStyle w:val="BodyText"/>
        <w:spacing w:before="5"/>
      </w:pPr>
    </w:p>
    <w:p>
      <w:pPr>
        <w:spacing w:line="288" w:lineRule="auto" w:before="0"/>
        <w:ind w:left="200" w:right="221" w:firstLine="0"/>
        <w:jc w:val="left"/>
        <w:rPr>
          <w:sz w:val="22"/>
        </w:rPr>
      </w:pPr>
      <w:r>
        <w:rPr>
          <w:sz w:val="22"/>
        </w:rPr>
        <w:t>Ministry of Commerce (MOFCOM) and Ministry of Ecology and Environment (MEE) of the People's Republic of China. 2021. Guidlines for Green Development in Foreign Investment and </w:t>
      </w:r>
      <w:r>
        <w:rPr>
          <w:spacing w:val="-2"/>
          <w:w w:val="105"/>
          <w:sz w:val="22"/>
        </w:rPr>
        <w:t>Cooperation.</w:t>
      </w:r>
      <w:r>
        <w:rPr>
          <w:spacing w:val="-12"/>
          <w:w w:val="105"/>
          <w:sz w:val="22"/>
        </w:rPr>
        <w:t> </w:t>
      </w:r>
      <w:r>
        <w:rPr>
          <w:spacing w:val="-2"/>
          <w:w w:val="105"/>
          <w:sz w:val="22"/>
        </w:rPr>
        <w:t>15</w:t>
      </w:r>
      <w:r>
        <w:rPr>
          <w:spacing w:val="-12"/>
          <w:w w:val="105"/>
          <w:sz w:val="22"/>
        </w:rPr>
        <w:t> </w:t>
      </w:r>
      <w:r>
        <w:rPr>
          <w:spacing w:val="-2"/>
          <w:w w:val="105"/>
          <w:sz w:val="22"/>
        </w:rPr>
        <w:t>July</w:t>
      </w:r>
      <w:r>
        <w:rPr>
          <w:spacing w:val="-12"/>
          <w:w w:val="105"/>
          <w:sz w:val="22"/>
        </w:rPr>
        <w:t> </w:t>
      </w:r>
      <w:r>
        <w:rPr>
          <w:spacing w:val="-2"/>
          <w:w w:val="105"/>
          <w:sz w:val="22"/>
        </w:rPr>
        <w:t>2021.</w:t>
      </w:r>
      <w:r>
        <w:rPr>
          <w:spacing w:val="-12"/>
          <w:w w:val="105"/>
          <w:sz w:val="22"/>
        </w:rPr>
        <w:t> </w:t>
      </w:r>
      <w:r>
        <w:rPr>
          <w:spacing w:val="-2"/>
          <w:w w:val="105"/>
          <w:sz w:val="22"/>
        </w:rPr>
        <w:t>Beijing:</w:t>
      </w:r>
      <w:r>
        <w:rPr>
          <w:spacing w:val="-12"/>
          <w:w w:val="105"/>
          <w:sz w:val="22"/>
        </w:rPr>
        <w:t> </w:t>
      </w:r>
      <w:r>
        <w:rPr>
          <w:spacing w:val="-2"/>
          <w:w w:val="105"/>
          <w:sz w:val="22"/>
        </w:rPr>
        <w:t>MOFCOM</w:t>
      </w:r>
      <w:r>
        <w:rPr>
          <w:spacing w:val="-12"/>
          <w:w w:val="105"/>
          <w:sz w:val="22"/>
        </w:rPr>
        <w:t> </w:t>
      </w:r>
      <w:r>
        <w:rPr>
          <w:spacing w:val="-2"/>
          <w:w w:val="105"/>
          <w:sz w:val="22"/>
        </w:rPr>
        <w:t>and</w:t>
      </w:r>
      <w:r>
        <w:rPr>
          <w:spacing w:val="-12"/>
          <w:w w:val="105"/>
          <w:sz w:val="22"/>
        </w:rPr>
        <w:t> </w:t>
      </w:r>
      <w:r>
        <w:rPr>
          <w:spacing w:val="-2"/>
          <w:w w:val="105"/>
          <w:sz w:val="22"/>
        </w:rPr>
        <w:t>MEE.Accessed</w:t>
      </w:r>
      <w:r>
        <w:rPr>
          <w:spacing w:val="-12"/>
          <w:w w:val="105"/>
          <w:sz w:val="22"/>
        </w:rPr>
        <w:t> </w:t>
      </w:r>
      <w:r>
        <w:rPr>
          <w:spacing w:val="-2"/>
          <w:w w:val="105"/>
          <w:sz w:val="22"/>
        </w:rPr>
        <w:t>on</w:t>
      </w:r>
      <w:r>
        <w:rPr>
          <w:spacing w:val="-12"/>
          <w:w w:val="105"/>
          <w:sz w:val="22"/>
        </w:rPr>
        <w:t> </w:t>
      </w:r>
      <w:r>
        <w:rPr>
          <w:spacing w:val="-2"/>
          <w:w w:val="105"/>
          <w:sz w:val="22"/>
        </w:rPr>
        <w:t>27</w:t>
      </w:r>
      <w:r>
        <w:rPr>
          <w:spacing w:val="-12"/>
          <w:w w:val="105"/>
          <w:sz w:val="22"/>
        </w:rPr>
        <w:t> </w:t>
      </w:r>
      <w:r>
        <w:rPr>
          <w:spacing w:val="-2"/>
          <w:w w:val="105"/>
          <w:sz w:val="22"/>
        </w:rPr>
        <w:t>August</w:t>
      </w:r>
      <w:r>
        <w:rPr>
          <w:spacing w:val="-12"/>
          <w:w w:val="105"/>
          <w:sz w:val="22"/>
        </w:rPr>
        <w:t> </w:t>
      </w:r>
      <w:r>
        <w:rPr>
          <w:spacing w:val="-2"/>
          <w:w w:val="105"/>
          <w:sz w:val="22"/>
        </w:rPr>
        <w:t>2023</w:t>
      </w:r>
      <w:r>
        <w:rPr>
          <w:spacing w:val="-12"/>
          <w:w w:val="105"/>
          <w:sz w:val="22"/>
        </w:rPr>
        <w:t> </w:t>
      </w:r>
      <w:r>
        <w:rPr>
          <w:spacing w:val="-2"/>
          <w:w w:val="105"/>
          <w:sz w:val="22"/>
        </w:rPr>
        <w:t>at </w:t>
      </w:r>
      <w:hyperlink r:id="rId51">
        <w:r>
          <w:rPr>
            <w:color w:val="1154CC"/>
            <w:spacing w:val="-2"/>
            <w:sz w:val="22"/>
            <w:u w:val="thick" w:color="1154CC"/>
          </w:rPr>
          <w:t>https://www.followingthemoney.org/wp-content/uploads/2022/07/2021_MOFCOM-MEE_Guid</w:t>
        </w:r>
      </w:hyperlink>
      <w:r>
        <w:rPr>
          <w:color w:val="1154CC"/>
          <w:spacing w:val="80"/>
          <w:sz w:val="22"/>
        </w:rPr>
        <w:t>  </w:t>
      </w:r>
      <w:hyperlink r:id="rId51">
        <w:r>
          <w:rPr>
            <w:color w:val="1154CC"/>
            <w:spacing w:val="-2"/>
            <w:sz w:val="22"/>
            <w:u w:val="thick" w:color="1154CC"/>
          </w:rPr>
          <w:t>elines-on-Green-Development-in-Foreign-Investment-and-Cooperation_E.pdf</w:t>
        </w:r>
      </w:hyperlink>
    </w:p>
    <w:p>
      <w:pPr>
        <w:pStyle w:val="BodyText"/>
        <w:spacing w:before="4"/>
      </w:pPr>
    </w:p>
    <w:p>
      <w:pPr>
        <w:spacing w:line="288" w:lineRule="auto" w:before="0"/>
        <w:ind w:left="200" w:right="234" w:firstLine="0"/>
        <w:jc w:val="left"/>
        <w:rPr>
          <w:sz w:val="22"/>
        </w:rPr>
      </w:pPr>
      <w:r>
        <w:rPr/>
        <w:pict>
          <v:line style="position:absolute;mso-position-horizontal-relative:page;mso-position-vertical-relative:paragraph;z-index:15770112" from="72pt,86.99118pt" to="75pt,86.99118pt" stroked="true" strokeweight="1.0pt" strokecolor="#1154cc">
            <v:stroke dashstyle="solid"/>
            <w10:wrap type="none"/>
          </v:line>
        </w:pict>
      </w:r>
      <w:r>
        <w:rPr>
          <w:spacing w:val="-2"/>
          <w:w w:val="105"/>
          <w:sz w:val="22"/>
        </w:rPr>
        <w:t>Ministry</w:t>
      </w:r>
      <w:r>
        <w:rPr>
          <w:spacing w:val="-8"/>
          <w:w w:val="105"/>
          <w:sz w:val="22"/>
        </w:rPr>
        <w:t> </w:t>
      </w:r>
      <w:r>
        <w:rPr>
          <w:spacing w:val="-2"/>
          <w:w w:val="105"/>
          <w:sz w:val="22"/>
        </w:rPr>
        <w:t>of</w:t>
      </w:r>
      <w:r>
        <w:rPr>
          <w:spacing w:val="-8"/>
          <w:w w:val="105"/>
          <w:sz w:val="22"/>
        </w:rPr>
        <w:t> </w:t>
      </w:r>
      <w:r>
        <w:rPr>
          <w:spacing w:val="-2"/>
          <w:w w:val="105"/>
          <w:sz w:val="22"/>
        </w:rPr>
        <w:t>Foreign</w:t>
      </w:r>
      <w:r>
        <w:rPr>
          <w:spacing w:val="-8"/>
          <w:w w:val="105"/>
          <w:sz w:val="22"/>
        </w:rPr>
        <w:t> </w:t>
      </w:r>
      <w:r>
        <w:rPr>
          <w:spacing w:val="-2"/>
          <w:w w:val="105"/>
          <w:sz w:val="22"/>
        </w:rPr>
        <w:t>Affairs</w:t>
      </w:r>
      <w:r>
        <w:rPr>
          <w:spacing w:val="-8"/>
          <w:w w:val="105"/>
          <w:sz w:val="22"/>
        </w:rPr>
        <w:t> </w:t>
      </w:r>
      <w:r>
        <w:rPr>
          <w:spacing w:val="-2"/>
          <w:w w:val="105"/>
          <w:sz w:val="22"/>
        </w:rPr>
        <w:t>of</w:t>
      </w:r>
      <w:r>
        <w:rPr>
          <w:spacing w:val="-8"/>
          <w:w w:val="105"/>
          <w:sz w:val="22"/>
        </w:rPr>
        <w:t> </w:t>
      </w:r>
      <w:r>
        <w:rPr>
          <w:spacing w:val="-2"/>
          <w:w w:val="105"/>
          <w:sz w:val="22"/>
        </w:rPr>
        <w:t>the</w:t>
      </w:r>
      <w:r>
        <w:rPr>
          <w:spacing w:val="-8"/>
          <w:w w:val="105"/>
          <w:sz w:val="22"/>
        </w:rPr>
        <w:t> </w:t>
      </w:r>
      <w:r>
        <w:rPr>
          <w:spacing w:val="-2"/>
          <w:w w:val="105"/>
          <w:sz w:val="22"/>
        </w:rPr>
        <w:t>People's</w:t>
      </w:r>
      <w:r>
        <w:rPr>
          <w:spacing w:val="-8"/>
          <w:w w:val="105"/>
          <w:sz w:val="22"/>
        </w:rPr>
        <w:t> </w:t>
      </w:r>
      <w:r>
        <w:rPr>
          <w:spacing w:val="-2"/>
          <w:w w:val="105"/>
          <w:sz w:val="22"/>
        </w:rPr>
        <w:t>Republic</w:t>
      </w:r>
      <w:r>
        <w:rPr>
          <w:spacing w:val="-8"/>
          <w:w w:val="105"/>
          <w:sz w:val="22"/>
        </w:rPr>
        <w:t> </w:t>
      </w:r>
      <w:r>
        <w:rPr>
          <w:spacing w:val="-2"/>
          <w:w w:val="105"/>
          <w:sz w:val="22"/>
        </w:rPr>
        <w:t>of</w:t>
      </w:r>
      <w:r>
        <w:rPr>
          <w:spacing w:val="-8"/>
          <w:w w:val="105"/>
          <w:sz w:val="22"/>
        </w:rPr>
        <w:t> </w:t>
      </w:r>
      <w:r>
        <w:rPr>
          <w:spacing w:val="-2"/>
          <w:w w:val="105"/>
          <w:sz w:val="22"/>
        </w:rPr>
        <w:t>China.</w:t>
      </w:r>
      <w:r>
        <w:rPr>
          <w:spacing w:val="-8"/>
          <w:w w:val="105"/>
          <w:sz w:val="22"/>
        </w:rPr>
        <w:t> </w:t>
      </w:r>
      <w:r>
        <w:rPr>
          <w:spacing w:val="-2"/>
          <w:w w:val="105"/>
          <w:sz w:val="22"/>
        </w:rPr>
        <w:t>2019.</w:t>
      </w:r>
      <w:r>
        <w:rPr>
          <w:spacing w:val="-8"/>
          <w:w w:val="105"/>
          <w:sz w:val="22"/>
        </w:rPr>
        <w:t> </w:t>
      </w:r>
      <w:r>
        <w:rPr>
          <w:spacing w:val="-2"/>
          <w:w w:val="105"/>
          <w:sz w:val="22"/>
        </w:rPr>
        <w:t>Working</w:t>
      </w:r>
      <w:r>
        <w:rPr>
          <w:spacing w:val="-8"/>
          <w:w w:val="105"/>
          <w:sz w:val="22"/>
        </w:rPr>
        <w:t> </w:t>
      </w:r>
      <w:r>
        <w:rPr>
          <w:spacing w:val="-2"/>
          <w:w w:val="105"/>
          <w:sz w:val="22"/>
        </w:rPr>
        <w:t>Together</w:t>
      </w:r>
      <w:r>
        <w:rPr>
          <w:spacing w:val="-8"/>
          <w:w w:val="105"/>
          <w:sz w:val="22"/>
        </w:rPr>
        <w:t> </w:t>
      </w:r>
      <w:r>
        <w:rPr>
          <w:spacing w:val="-2"/>
          <w:w w:val="105"/>
          <w:sz w:val="22"/>
        </w:rPr>
        <w:t>to</w:t>
      </w:r>
      <w:r>
        <w:rPr>
          <w:spacing w:val="-2"/>
          <w:w w:val="105"/>
          <w:sz w:val="22"/>
        </w:rPr>
        <w:t> Deliver</w:t>
      </w:r>
      <w:r>
        <w:rPr>
          <w:spacing w:val="-12"/>
          <w:w w:val="105"/>
          <w:sz w:val="22"/>
        </w:rPr>
        <w:t> </w:t>
      </w:r>
      <w:r>
        <w:rPr>
          <w:spacing w:val="-2"/>
          <w:w w:val="105"/>
          <w:sz w:val="22"/>
        </w:rPr>
        <w:t>a</w:t>
      </w:r>
      <w:r>
        <w:rPr>
          <w:spacing w:val="-12"/>
          <w:w w:val="105"/>
          <w:sz w:val="22"/>
        </w:rPr>
        <w:t> </w:t>
      </w:r>
      <w:r>
        <w:rPr>
          <w:spacing w:val="-2"/>
          <w:w w:val="105"/>
          <w:sz w:val="22"/>
        </w:rPr>
        <w:t>Brighter</w:t>
      </w:r>
      <w:r>
        <w:rPr>
          <w:spacing w:val="-12"/>
          <w:w w:val="105"/>
          <w:sz w:val="22"/>
        </w:rPr>
        <w:t> </w:t>
      </w:r>
      <w:r>
        <w:rPr>
          <w:spacing w:val="-2"/>
          <w:w w:val="105"/>
          <w:sz w:val="22"/>
        </w:rPr>
        <w:t>Future</w:t>
      </w:r>
      <w:r>
        <w:rPr>
          <w:spacing w:val="-12"/>
          <w:w w:val="105"/>
          <w:sz w:val="22"/>
        </w:rPr>
        <w:t> </w:t>
      </w:r>
      <w:r>
        <w:rPr>
          <w:spacing w:val="-2"/>
          <w:w w:val="105"/>
          <w:sz w:val="22"/>
        </w:rPr>
        <w:t>For</w:t>
      </w:r>
      <w:r>
        <w:rPr>
          <w:spacing w:val="-12"/>
          <w:w w:val="105"/>
          <w:sz w:val="22"/>
        </w:rPr>
        <w:t> </w:t>
      </w:r>
      <w:r>
        <w:rPr>
          <w:spacing w:val="-2"/>
          <w:w w:val="105"/>
          <w:sz w:val="22"/>
        </w:rPr>
        <w:t>Belt</w:t>
      </w:r>
      <w:r>
        <w:rPr>
          <w:spacing w:val="-12"/>
          <w:w w:val="105"/>
          <w:sz w:val="22"/>
        </w:rPr>
        <w:t> </w:t>
      </w:r>
      <w:r>
        <w:rPr>
          <w:spacing w:val="-2"/>
          <w:w w:val="105"/>
          <w:sz w:val="22"/>
        </w:rPr>
        <w:t>and</w:t>
      </w:r>
      <w:r>
        <w:rPr>
          <w:spacing w:val="-12"/>
          <w:w w:val="105"/>
          <w:sz w:val="22"/>
        </w:rPr>
        <w:t> </w:t>
      </w:r>
      <w:r>
        <w:rPr>
          <w:spacing w:val="-2"/>
          <w:w w:val="105"/>
          <w:sz w:val="22"/>
        </w:rPr>
        <w:t>Road</w:t>
      </w:r>
      <w:r>
        <w:rPr>
          <w:spacing w:val="-12"/>
          <w:w w:val="105"/>
          <w:sz w:val="22"/>
        </w:rPr>
        <w:t> </w:t>
      </w:r>
      <w:r>
        <w:rPr>
          <w:spacing w:val="-2"/>
          <w:w w:val="105"/>
          <w:sz w:val="22"/>
        </w:rPr>
        <w:t>Cooperation.</w:t>
      </w:r>
      <w:r>
        <w:rPr>
          <w:spacing w:val="-12"/>
          <w:w w:val="105"/>
          <w:sz w:val="22"/>
        </w:rPr>
        <w:t> </w:t>
      </w:r>
      <w:r>
        <w:rPr>
          <w:spacing w:val="-2"/>
          <w:w w:val="105"/>
          <w:sz w:val="22"/>
        </w:rPr>
        <w:t>Keynote</w:t>
      </w:r>
      <w:r>
        <w:rPr>
          <w:spacing w:val="-12"/>
          <w:w w:val="105"/>
          <w:sz w:val="22"/>
        </w:rPr>
        <w:t> </w:t>
      </w:r>
      <w:r>
        <w:rPr>
          <w:spacing w:val="-2"/>
          <w:w w:val="105"/>
          <w:sz w:val="22"/>
        </w:rPr>
        <w:t>Speech</w:t>
      </w:r>
      <w:r>
        <w:rPr>
          <w:spacing w:val="-12"/>
          <w:w w:val="105"/>
          <w:sz w:val="22"/>
        </w:rPr>
        <w:t> </w:t>
      </w:r>
      <w:r>
        <w:rPr>
          <w:spacing w:val="-2"/>
          <w:w w:val="105"/>
          <w:sz w:val="22"/>
        </w:rPr>
        <w:t>by</w:t>
      </w:r>
      <w:r>
        <w:rPr>
          <w:spacing w:val="-12"/>
          <w:w w:val="105"/>
          <w:sz w:val="22"/>
        </w:rPr>
        <w:t> </w:t>
      </w:r>
      <w:r>
        <w:rPr>
          <w:spacing w:val="-2"/>
          <w:w w:val="105"/>
          <w:sz w:val="22"/>
        </w:rPr>
        <w:t>H.E.</w:t>
      </w:r>
      <w:r>
        <w:rPr>
          <w:spacing w:val="-12"/>
          <w:w w:val="105"/>
          <w:sz w:val="22"/>
        </w:rPr>
        <w:t> </w:t>
      </w:r>
      <w:r>
        <w:rPr>
          <w:spacing w:val="-2"/>
          <w:w w:val="105"/>
          <w:sz w:val="22"/>
        </w:rPr>
        <w:t>Xi</w:t>
      </w:r>
      <w:r>
        <w:rPr>
          <w:spacing w:val="-12"/>
          <w:w w:val="105"/>
          <w:sz w:val="22"/>
        </w:rPr>
        <w:t> </w:t>
      </w:r>
      <w:r>
        <w:rPr>
          <w:spacing w:val="-2"/>
          <w:w w:val="105"/>
          <w:sz w:val="22"/>
        </w:rPr>
        <w:t>Jinping President</w:t>
      </w:r>
      <w:r>
        <w:rPr>
          <w:spacing w:val="-10"/>
          <w:w w:val="105"/>
          <w:sz w:val="22"/>
        </w:rPr>
        <w:t> </w:t>
      </w:r>
      <w:r>
        <w:rPr>
          <w:spacing w:val="-2"/>
          <w:w w:val="105"/>
          <w:sz w:val="22"/>
        </w:rPr>
        <w:t>of</w:t>
      </w:r>
      <w:r>
        <w:rPr>
          <w:spacing w:val="-10"/>
          <w:w w:val="105"/>
          <w:sz w:val="22"/>
        </w:rPr>
        <w:t> </w:t>
      </w:r>
      <w:r>
        <w:rPr>
          <w:spacing w:val="-2"/>
          <w:w w:val="105"/>
          <w:sz w:val="22"/>
        </w:rPr>
        <w:t>the</w:t>
      </w:r>
      <w:r>
        <w:rPr>
          <w:spacing w:val="-10"/>
          <w:w w:val="105"/>
          <w:sz w:val="22"/>
        </w:rPr>
        <w:t> </w:t>
      </w:r>
      <w:r>
        <w:rPr>
          <w:spacing w:val="-2"/>
          <w:w w:val="105"/>
          <w:sz w:val="22"/>
        </w:rPr>
        <w:t>People's</w:t>
      </w:r>
      <w:r>
        <w:rPr>
          <w:spacing w:val="-10"/>
          <w:w w:val="105"/>
          <w:sz w:val="22"/>
        </w:rPr>
        <w:t> </w:t>
      </w:r>
      <w:r>
        <w:rPr>
          <w:spacing w:val="-2"/>
          <w:w w:val="105"/>
          <w:sz w:val="22"/>
        </w:rPr>
        <w:t>Republic</w:t>
      </w:r>
      <w:r>
        <w:rPr>
          <w:spacing w:val="-10"/>
          <w:w w:val="105"/>
          <w:sz w:val="22"/>
        </w:rPr>
        <w:t> </w:t>
      </w:r>
      <w:r>
        <w:rPr>
          <w:spacing w:val="-2"/>
          <w:w w:val="105"/>
          <w:sz w:val="22"/>
        </w:rPr>
        <w:t>of</w:t>
      </w:r>
      <w:r>
        <w:rPr>
          <w:spacing w:val="-10"/>
          <w:w w:val="105"/>
          <w:sz w:val="22"/>
        </w:rPr>
        <w:t> </w:t>
      </w:r>
      <w:r>
        <w:rPr>
          <w:spacing w:val="-2"/>
          <w:w w:val="105"/>
          <w:sz w:val="22"/>
        </w:rPr>
        <w:t>China</w:t>
      </w:r>
      <w:r>
        <w:rPr>
          <w:spacing w:val="-10"/>
          <w:w w:val="105"/>
          <w:sz w:val="22"/>
        </w:rPr>
        <w:t> </w:t>
      </w:r>
      <w:r>
        <w:rPr>
          <w:spacing w:val="-2"/>
          <w:w w:val="105"/>
          <w:sz w:val="22"/>
        </w:rPr>
        <w:t>At</w:t>
      </w:r>
      <w:r>
        <w:rPr>
          <w:spacing w:val="-10"/>
          <w:w w:val="105"/>
          <w:sz w:val="22"/>
        </w:rPr>
        <w:t> </w:t>
      </w:r>
      <w:r>
        <w:rPr>
          <w:spacing w:val="-2"/>
          <w:w w:val="105"/>
          <w:sz w:val="22"/>
        </w:rPr>
        <w:t>the</w:t>
      </w:r>
      <w:r>
        <w:rPr>
          <w:spacing w:val="-10"/>
          <w:w w:val="105"/>
          <w:sz w:val="22"/>
        </w:rPr>
        <w:t> </w:t>
      </w:r>
      <w:r>
        <w:rPr>
          <w:spacing w:val="-2"/>
          <w:w w:val="105"/>
          <w:sz w:val="22"/>
        </w:rPr>
        <w:t>Opening</w:t>
      </w:r>
      <w:r>
        <w:rPr>
          <w:spacing w:val="-10"/>
          <w:w w:val="105"/>
          <w:sz w:val="22"/>
        </w:rPr>
        <w:t> </w:t>
      </w:r>
      <w:r>
        <w:rPr>
          <w:spacing w:val="-2"/>
          <w:w w:val="105"/>
          <w:sz w:val="22"/>
        </w:rPr>
        <w:t>Ceremony</w:t>
      </w:r>
      <w:r>
        <w:rPr>
          <w:spacing w:val="-10"/>
          <w:w w:val="105"/>
          <w:sz w:val="22"/>
        </w:rPr>
        <w:t> </w:t>
      </w:r>
      <w:r>
        <w:rPr>
          <w:spacing w:val="-2"/>
          <w:w w:val="105"/>
          <w:sz w:val="22"/>
        </w:rPr>
        <w:t>of</w:t>
      </w:r>
      <w:r>
        <w:rPr>
          <w:spacing w:val="-10"/>
          <w:w w:val="105"/>
          <w:sz w:val="22"/>
        </w:rPr>
        <w:t> </w:t>
      </w:r>
      <w:r>
        <w:rPr>
          <w:spacing w:val="-2"/>
          <w:w w:val="105"/>
          <w:sz w:val="22"/>
        </w:rPr>
        <w:t>the</w:t>
      </w:r>
      <w:r>
        <w:rPr>
          <w:spacing w:val="-10"/>
          <w:w w:val="105"/>
          <w:sz w:val="22"/>
        </w:rPr>
        <w:t> </w:t>
      </w:r>
      <w:r>
        <w:rPr>
          <w:spacing w:val="-2"/>
          <w:w w:val="105"/>
          <w:sz w:val="22"/>
        </w:rPr>
        <w:t>Second</w:t>
      </w:r>
      <w:r>
        <w:rPr>
          <w:spacing w:val="-10"/>
          <w:w w:val="105"/>
          <w:sz w:val="22"/>
        </w:rPr>
        <w:t> </w:t>
      </w:r>
      <w:r>
        <w:rPr>
          <w:spacing w:val="-2"/>
          <w:w w:val="105"/>
          <w:sz w:val="22"/>
        </w:rPr>
        <w:t>Belt</w:t>
      </w:r>
      <w:r>
        <w:rPr>
          <w:spacing w:val="-10"/>
          <w:w w:val="105"/>
          <w:sz w:val="22"/>
        </w:rPr>
        <w:t> </w:t>
      </w:r>
      <w:r>
        <w:rPr>
          <w:spacing w:val="-2"/>
          <w:w w:val="105"/>
          <w:sz w:val="22"/>
        </w:rPr>
        <w:t>and Road</w:t>
      </w:r>
      <w:r>
        <w:rPr>
          <w:spacing w:val="-10"/>
          <w:w w:val="105"/>
          <w:sz w:val="22"/>
        </w:rPr>
        <w:t> </w:t>
      </w:r>
      <w:r>
        <w:rPr>
          <w:spacing w:val="-2"/>
          <w:w w:val="105"/>
          <w:sz w:val="22"/>
        </w:rPr>
        <w:t>Forum</w:t>
      </w:r>
      <w:r>
        <w:rPr>
          <w:spacing w:val="-10"/>
          <w:w w:val="105"/>
          <w:sz w:val="22"/>
        </w:rPr>
        <w:t> </w:t>
      </w:r>
      <w:r>
        <w:rPr>
          <w:spacing w:val="-2"/>
          <w:w w:val="105"/>
          <w:sz w:val="22"/>
        </w:rPr>
        <w:t>for</w:t>
      </w:r>
      <w:r>
        <w:rPr>
          <w:spacing w:val="-10"/>
          <w:w w:val="105"/>
          <w:sz w:val="22"/>
        </w:rPr>
        <w:t> </w:t>
      </w:r>
      <w:r>
        <w:rPr>
          <w:spacing w:val="-2"/>
          <w:w w:val="105"/>
          <w:sz w:val="22"/>
        </w:rPr>
        <w:t>International</w:t>
      </w:r>
      <w:r>
        <w:rPr>
          <w:spacing w:val="-10"/>
          <w:w w:val="105"/>
          <w:sz w:val="22"/>
        </w:rPr>
        <w:t> </w:t>
      </w:r>
      <w:r>
        <w:rPr>
          <w:spacing w:val="-2"/>
          <w:w w:val="105"/>
          <w:sz w:val="22"/>
        </w:rPr>
        <w:t>Cooperation.</w:t>
      </w:r>
      <w:r>
        <w:rPr>
          <w:spacing w:val="-10"/>
          <w:w w:val="105"/>
          <w:sz w:val="22"/>
        </w:rPr>
        <w:t> </w:t>
      </w:r>
      <w:r>
        <w:rPr>
          <w:spacing w:val="-2"/>
          <w:w w:val="105"/>
          <w:sz w:val="22"/>
        </w:rPr>
        <w:t>26</w:t>
      </w:r>
      <w:r>
        <w:rPr>
          <w:spacing w:val="-10"/>
          <w:w w:val="105"/>
          <w:sz w:val="22"/>
        </w:rPr>
        <w:t> </w:t>
      </w:r>
      <w:r>
        <w:rPr>
          <w:spacing w:val="-2"/>
          <w:w w:val="105"/>
          <w:sz w:val="22"/>
        </w:rPr>
        <w:t>April</w:t>
      </w:r>
      <w:r>
        <w:rPr>
          <w:spacing w:val="-10"/>
          <w:w w:val="105"/>
          <w:sz w:val="22"/>
        </w:rPr>
        <w:t> </w:t>
      </w:r>
      <w:r>
        <w:rPr>
          <w:spacing w:val="-2"/>
          <w:w w:val="105"/>
          <w:sz w:val="22"/>
        </w:rPr>
        <w:t>2019.Accessed</w:t>
      </w:r>
      <w:r>
        <w:rPr>
          <w:spacing w:val="-10"/>
          <w:w w:val="105"/>
          <w:sz w:val="22"/>
        </w:rPr>
        <w:t> </w:t>
      </w:r>
      <w:r>
        <w:rPr>
          <w:spacing w:val="-2"/>
          <w:w w:val="105"/>
          <w:sz w:val="22"/>
        </w:rPr>
        <w:t>on</w:t>
      </w:r>
      <w:r>
        <w:rPr>
          <w:spacing w:val="-10"/>
          <w:w w:val="105"/>
          <w:sz w:val="22"/>
        </w:rPr>
        <w:t> </w:t>
      </w:r>
      <w:r>
        <w:rPr>
          <w:spacing w:val="-2"/>
          <w:w w:val="105"/>
          <w:sz w:val="22"/>
        </w:rPr>
        <w:t>14</w:t>
      </w:r>
      <w:r>
        <w:rPr>
          <w:spacing w:val="-10"/>
          <w:w w:val="105"/>
          <w:sz w:val="22"/>
        </w:rPr>
        <w:t> </w:t>
      </w:r>
      <w:r>
        <w:rPr>
          <w:spacing w:val="-2"/>
          <w:w w:val="105"/>
          <w:sz w:val="22"/>
        </w:rPr>
        <w:t>August</w:t>
      </w:r>
      <w:r>
        <w:rPr>
          <w:spacing w:val="-10"/>
          <w:w w:val="105"/>
          <w:sz w:val="22"/>
        </w:rPr>
        <w:t> </w:t>
      </w:r>
      <w:r>
        <w:rPr>
          <w:spacing w:val="-2"/>
          <w:w w:val="105"/>
          <w:sz w:val="22"/>
        </w:rPr>
        <w:t>2023</w:t>
      </w:r>
      <w:r>
        <w:rPr>
          <w:spacing w:val="-10"/>
          <w:w w:val="105"/>
          <w:sz w:val="22"/>
        </w:rPr>
        <w:t> </w:t>
      </w:r>
      <w:r>
        <w:rPr>
          <w:spacing w:val="-2"/>
          <w:w w:val="105"/>
          <w:sz w:val="22"/>
        </w:rPr>
        <w:t>at </w:t>
      </w:r>
      <w:hyperlink r:id="rId52">
        <w:r>
          <w:rPr>
            <w:color w:val="1154CC"/>
            <w:spacing w:val="-2"/>
            <w:sz w:val="22"/>
            <w:u w:val="thick" w:color="1154CC"/>
          </w:rPr>
          <w:t>https://www.fmprc.gov.cn/mfa_eng/wjdt_665385/zyjh_665391/201904/t20190426_678729.htm</w:t>
        </w:r>
      </w:hyperlink>
      <w:r>
        <w:rPr>
          <w:color w:val="1154CC"/>
          <w:spacing w:val="80"/>
          <w:w w:val="150"/>
          <w:sz w:val="22"/>
        </w:rPr>
        <w:t>  </w:t>
      </w:r>
      <w:hyperlink r:id="rId52">
        <w:r>
          <w:rPr>
            <w:color w:val="1154CC"/>
            <w:spacing w:val="-10"/>
            <w:w w:val="105"/>
            <w:sz w:val="22"/>
          </w:rPr>
          <w:t>l</w:t>
        </w:r>
      </w:hyperlink>
    </w:p>
    <w:p>
      <w:pPr>
        <w:pStyle w:val="BodyText"/>
        <w:spacing w:before="4"/>
      </w:pPr>
    </w:p>
    <w:p>
      <w:pPr>
        <w:spacing w:line="288" w:lineRule="auto" w:before="0"/>
        <w:ind w:left="200" w:right="179" w:firstLine="0"/>
        <w:jc w:val="left"/>
        <w:rPr>
          <w:sz w:val="22"/>
        </w:rPr>
      </w:pPr>
      <w:r>
        <w:rPr>
          <w:sz w:val="22"/>
        </w:rPr>
        <w:t>Moody's Investor Service. 2022. China Green Bond Principles will support the domestic sustainable ﬁnance market’s development and align with international standards. 30 August </w:t>
      </w:r>
      <w:r>
        <w:rPr>
          <w:w w:val="105"/>
          <w:sz w:val="22"/>
        </w:rPr>
        <w:t>2022.</w:t>
      </w:r>
      <w:r>
        <w:rPr>
          <w:spacing w:val="-5"/>
          <w:w w:val="105"/>
          <w:sz w:val="22"/>
        </w:rPr>
        <w:t> </w:t>
      </w:r>
      <w:r>
        <w:rPr>
          <w:w w:val="105"/>
          <w:sz w:val="22"/>
        </w:rPr>
        <w:t>Accessed</w:t>
      </w:r>
      <w:r>
        <w:rPr>
          <w:spacing w:val="-5"/>
          <w:w w:val="105"/>
          <w:sz w:val="22"/>
        </w:rPr>
        <w:t> </w:t>
      </w:r>
      <w:r>
        <w:rPr>
          <w:w w:val="105"/>
          <w:sz w:val="22"/>
        </w:rPr>
        <w:t>on</w:t>
      </w:r>
      <w:r>
        <w:rPr>
          <w:spacing w:val="-5"/>
          <w:w w:val="105"/>
          <w:sz w:val="22"/>
        </w:rPr>
        <w:t> </w:t>
      </w:r>
      <w:r>
        <w:rPr>
          <w:w w:val="105"/>
          <w:sz w:val="22"/>
        </w:rPr>
        <w:t>1</w:t>
      </w:r>
      <w:r>
        <w:rPr>
          <w:spacing w:val="-5"/>
          <w:w w:val="105"/>
          <w:sz w:val="22"/>
        </w:rPr>
        <w:t> </w:t>
      </w:r>
      <w:r>
        <w:rPr>
          <w:w w:val="105"/>
          <w:sz w:val="22"/>
        </w:rPr>
        <w:t>October</w:t>
      </w:r>
      <w:r>
        <w:rPr>
          <w:spacing w:val="-5"/>
          <w:w w:val="105"/>
          <w:sz w:val="22"/>
        </w:rPr>
        <w:t> </w:t>
      </w:r>
      <w:r>
        <w:rPr>
          <w:w w:val="105"/>
          <w:sz w:val="22"/>
        </w:rPr>
        <w:t>2023</w:t>
      </w:r>
      <w:r>
        <w:rPr>
          <w:spacing w:val="-5"/>
          <w:w w:val="105"/>
          <w:sz w:val="22"/>
        </w:rPr>
        <w:t> </w:t>
      </w:r>
      <w:r>
        <w:rPr>
          <w:w w:val="105"/>
          <w:sz w:val="22"/>
        </w:rPr>
        <w:t>at </w:t>
      </w:r>
      <w:hyperlink r:id="rId53">
        <w:r>
          <w:rPr>
            <w:color w:val="1154CC"/>
            <w:spacing w:val="-2"/>
            <w:w w:val="105"/>
            <w:sz w:val="22"/>
            <w:u w:val="thick" w:color="1154CC"/>
          </w:rPr>
          <w:t>https://www.moodys.com/web/en/us/capabilities/esg/resources/insights/china-green-bond-pri</w:t>
        </w:r>
      </w:hyperlink>
      <w:r>
        <w:rPr>
          <w:color w:val="1154CC"/>
          <w:spacing w:val="-2"/>
          <w:w w:val="105"/>
          <w:sz w:val="22"/>
        </w:rPr>
        <w:t> </w:t>
      </w:r>
      <w:hyperlink r:id="rId53">
        <w:r>
          <w:rPr>
            <w:color w:val="1154CC"/>
            <w:spacing w:val="-2"/>
            <w:sz w:val="22"/>
            <w:u w:val="thick" w:color="1154CC"/>
          </w:rPr>
          <w:t>nciples-will-support-the-domestic-sustainable-ﬁnance-markets-development-and-align-with-inte</w:t>
        </w:r>
      </w:hyperlink>
      <w:r>
        <w:rPr>
          <w:color w:val="1154CC"/>
          <w:spacing w:val="40"/>
          <w:w w:val="105"/>
          <w:sz w:val="22"/>
        </w:rPr>
        <w:t> </w:t>
      </w:r>
      <w:hyperlink r:id="rId53">
        <w:r>
          <w:rPr>
            <w:color w:val="1154CC"/>
            <w:spacing w:val="-2"/>
            <w:w w:val="105"/>
            <w:sz w:val="22"/>
            <w:u w:val="thick" w:color="1154CC"/>
          </w:rPr>
          <w:t>rnational-standards.html</w:t>
        </w:r>
      </w:hyperlink>
    </w:p>
    <w:p>
      <w:pPr>
        <w:pStyle w:val="BodyText"/>
        <w:spacing w:before="4"/>
      </w:pPr>
    </w:p>
    <w:p>
      <w:pPr>
        <w:spacing w:line="288" w:lineRule="auto" w:before="0"/>
        <w:ind w:left="200" w:right="327" w:firstLine="0"/>
        <w:jc w:val="left"/>
        <w:rPr>
          <w:sz w:val="22"/>
        </w:rPr>
      </w:pPr>
      <w:r>
        <w:rPr>
          <w:sz w:val="22"/>
        </w:rPr>
        <w:t>Morris,</w:t>
      </w:r>
      <w:r>
        <w:rPr>
          <w:spacing w:val="-13"/>
          <w:sz w:val="22"/>
        </w:rPr>
        <w:t> </w:t>
      </w:r>
      <w:r>
        <w:rPr>
          <w:sz w:val="22"/>
        </w:rPr>
        <w:t>Scott,</w:t>
      </w:r>
      <w:r>
        <w:rPr>
          <w:spacing w:val="-13"/>
          <w:sz w:val="22"/>
        </w:rPr>
        <w:t> </w:t>
      </w:r>
      <w:r>
        <w:rPr>
          <w:sz w:val="22"/>
        </w:rPr>
        <w:t>Brad</w:t>
      </w:r>
      <w:r>
        <w:rPr>
          <w:spacing w:val="-13"/>
          <w:sz w:val="22"/>
        </w:rPr>
        <w:t> </w:t>
      </w:r>
      <w:r>
        <w:rPr>
          <w:sz w:val="22"/>
        </w:rPr>
        <w:t>Parks,</w:t>
      </w:r>
      <w:r>
        <w:rPr>
          <w:spacing w:val="-13"/>
          <w:sz w:val="22"/>
        </w:rPr>
        <w:t> </w:t>
      </w:r>
      <w:r>
        <w:rPr>
          <w:sz w:val="22"/>
        </w:rPr>
        <w:t>and</w:t>
      </w:r>
      <w:r>
        <w:rPr>
          <w:spacing w:val="-13"/>
          <w:sz w:val="22"/>
        </w:rPr>
        <w:t> </w:t>
      </w:r>
      <w:r>
        <w:rPr>
          <w:sz w:val="22"/>
        </w:rPr>
        <w:t>Alysha</w:t>
      </w:r>
      <w:r>
        <w:rPr>
          <w:spacing w:val="-13"/>
          <w:sz w:val="22"/>
        </w:rPr>
        <w:t> </w:t>
      </w:r>
      <w:r>
        <w:rPr>
          <w:sz w:val="22"/>
        </w:rPr>
        <w:t>Gardner.</w:t>
      </w:r>
      <w:r>
        <w:rPr>
          <w:spacing w:val="-13"/>
          <w:sz w:val="22"/>
        </w:rPr>
        <w:t> </w:t>
      </w:r>
      <w:r>
        <w:rPr>
          <w:sz w:val="22"/>
        </w:rPr>
        <w:t>2020.</w:t>
      </w:r>
      <w:r>
        <w:rPr>
          <w:spacing w:val="-13"/>
          <w:sz w:val="22"/>
        </w:rPr>
        <w:t> </w:t>
      </w:r>
      <w:r>
        <w:rPr>
          <w:sz w:val="22"/>
        </w:rPr>
        <w:t>Chinese</w:t>
      </w:r>
      <w:r>
        <w:rPr>
          <w:spacing w:val="-13"/>
          <w:sz w:val="22"/>
        </w:rPr>
        <w:t> </w:t>
      </w:r>
      <w:r>
        <w:rPr>
          <w:sz w:val="22"/>
        </w:rPr>
        <w:t>and</w:t>
      </w:r>
      <w:r>
        <w:rPr>
          <w:spacing w:val="-13"/>
          <w:sz w:val="22"/>
        </w:rPr>
        <w:t> </w:t>
      </w:r>
      <w:r>
        <w:rPr>
          <w:sz w:val="22"/>
        </w:rPr>
        <w:t>World</w:t>
      </w:r>
      <w:r>
        <w:rPr>
          <w:spacing w:val="-13"/>
          <w:sz w:val="22"/>
        </w:rPr>
        <w:t> </w:t>
      </w:r>
      <w:r>
        <w:rPr>
          <w:sz w:val="22"/>
        </w:rPr>
        <w:t>Bank</w:t>
      </w:r>
      <w:r>
        <w:rPr>
          <w:spacing w:val="-13"/>
          <w:sz w:val="22"/>
        </w:rPr>
        <w:t> </w:t>
      </w:r>
      <w:r>
        <w:rPr>
          <w:sz w:val="22"/>
        </w:rPr>
        <w:t>Lending</w:t>
      </w:r>
      <w:r>
        <w:rPr>
          <w:spacing w:val="-13"/>
          <w:sz w:val="22"/>
        </w:rPr>
        <w:t> </w:t>
      </w:r>
      <w:r>
        <w:rPr>
          <w:sz w:val="22"/>
        </w:rPr>
        <w:t>Terms: A</w:t>
      </w:r>
      <w:r>
        <w:rPr>
          <w:spacing w:val="-4"/>
          <w:sz w:val="22"/>
        </w:rPr>
        <w:t> </w:t>
      </w:r>
      <w:r>
        <w:rPr>
          <w:sz w:val="22"/>
        </w:rPr>
        <w:t>Systematic</w:t>
      </w:r>
      <w:r>
        <w:rPr>
          <w:spacing w:val="-4"/>
          <w:sz w:val="22"/>
        </w:rPr>
        <w:t> </w:t>
      </w:r>
      <w:r>
        <w:rPr>
          <w:sz w:val="22"/>
        </w:rPr>
        <w:t>Comparison</w:t>
      </w:r>
      <w:r>
        <w:rPr>
          <w:spacing w:val="-4"/>
          <w:sz w:val="22"/>
        </w:rPr>
        <w:t> </w:t>
      </w:r>
      <w:r>
        <w:rPr>
          <w:sz w:val="22"/>
        </w:rPr>
        <w:t>across</w:t>
      </w:r>
      <w:r>
        <w:rPr>
          <w:spacing w:val="-4"/>
          <w:sz w:val="22"/>
        </w:rPr>
        <w:t> </w:t>
      </w:r>
      <w:r>
        <w:rPr>
          <w:sz w:val="22"/>
        </w:rPr>
        <w:t>157</w:t>
      </w:r>
      <w:r>
        <w:rPr>
          <w:spacing w:val="-4"/>
          <w:sz w:val="22"/>
        </w:rPr>
        <w:t> </w:t>
      </w:r>
      <w:r>
        <w:rPr>
          <w:sz w:val="22"/>
        </w:rPr>
        <w:t>Countries</w:t>
      </w:r>
      <w:r>
        <w:rPr>
          <w:spacing w:val="-4"/>
          <w:sz w:val="22"/>
        </w:rPr>
        <w:t> </w:t>
      </w:r>
      <w:r>
        <w:rPr>
          <w:sz w:val="22"/>
        </w:rPr>
        <w:t>and</w:t>
      </w:r>
      <w:r>
        <w:rPr>
          <w:spacing w:val="-4"/>
          <w:sz w:val="22"/>
        </w:rPr>
        <w:t> </w:t>
      </w:r>
      <w:r>
        <w:rPr>
          <w:sz w:val="22"/>
        </w:rPr>
        <w:t>15</w:t>
      </w:r>
      <w:r>
        <w:rPr>
          <w:spacing w:val="-4"/>
          <w:sz w:val="22"/>
        </w:rPr>
        <w:t> </w:t>
      </w:r>
      <w:r>
        <w:rPr>
          <w:sz w:val="22"/>
        </w:rPr>
        <w:t>Years.</w:t>
      </w:r>
      <w:r>
        <w:rPr>
          <w:spacing w:val="-4"/>
          <w:sz w:val="22"/>
        </w:rPr>
        <w:t> </w:t>
      </w:r>
      <w:r>
        <w:rPr>
          <w:sz w:val="22"/>
        </w:rPr>
        <w:t>CGD</w:t>
      </w:r>
      <w:r>
        <w:rPr>
          <w:spacing w:val="-4"/>
          <w:sz w:val="22"/>
        </w:rPr>
        <w:t> </w:t>
      </w:r>
      <w:r>
        <w:rPr>
          <w:sz w:val="22"/>
        </w:rPr>
        <w:t>Policy</w:t>
      </w:r>
      <w:r>
        <w:rPr>
          <w:spacing w:val="-4"/>
          <w:sz w:val="22"/>
        </w:rPr>
        <w:t> </w:t>
      </w:r>
      <w:r>
        <w:rPr>
          <w:sz w:val="22"/>
        </w:rPr>
        <w:t>Paper</w:t>
      </w:r>
      <w:r>
        <w:rPr>
          <w:spacing w:val="-4"/>
          <w:sz w:val="22"/>
        </w:rPr>
        <w:t> </w:t>
      </w:r>
      <w:r>
        <w:rPr>
          <w:sz w:val="22"/>
        </w:rPr>
        <w:t>170.</w:t>
      </w:r>
    </w:p>
    <w:p>
      <w:pPr>
        <w:spacing w:before="0"/>
        <w:ind w:left="200" w:right="0" w:firstLine="0"/>
        <w:jc w:val="left"/>
        <w:rPr>
          <w:sz w:val="22"/>
        </w:rPr>
      </w:pPr>
      <w:r>
        <w:rPr>
          <w:sz w:val="22"/>
        </w:rPr>
        <w:t>Washington,</w:t>
      </w:r>
      <w:r>
        <w:rPr>
          <w:spacing w:val="-1"/>
          <w:sz w:val="22"/>
        </w:rPr>
        <w:t> </w:t>
      </w:r>
      <w:r>
        <w:rPr>
          <w:sz w:val="22"/>
        </w:rPr>
        <w:t>DC:</w:t>
      </w:r>
      <w:r>
        <w:rPr>
          <w:spacing w:val="-1"/>
          <w:sz w:val="22"/>
        </w:rPr>
        <w:t> </w:t>
      </w:r>
      <w:r>
        <w:rPr>
          <w:sz w:val="22"/>
        </w:rPr>
        <w:t>Center for</w:t>
      </w:r>
      <w:r>
        <w:rPr>
          <w:spacing w:val="-1"/>
          <w:sz w:val="22"/>
        </w:rPr>
        <w:t> </w:t>
      </w:r>
      <w:r>
        <w:rPr>
          <w:sz w:val="22"/>
        </w:rPr>
        <w:t>Global</w:t>
      </w:r>
      <w:r>
        <w:rPr>
          <w:spacing w:val="-1"/>
          <w:sz w:val="22"/>
        </w:rPr>
        <w:t> </w:t>
      </w:r>
      <w:r>
        <w:rPr>
          <w:spacing w:val="-2"/>
          <w:sz w:val="22"/>
        </w:rPr>
        <w:t>Development.</w:t>
      </w:r>
    </w:p>
    <w:p>
      <w:pPr>
        <w:pStyle w:val="BodyText"/>
        <w:spacing w:before="9"/>
        <w:rPr>
          <w:sz w:val="28"/>
        </w:rPr>
      </w:pPr>
    </w:p>
    <w:p>
      <w:pPr>
        <w:spacing w:line="288" w:lineRule="auto" w:before="0"/>
        <w:ind w:left="200" w:right="0" w:firstLine="0"/>
        <w:jc w:val="left"/>
        <w:rPr>
          <w:sz w:val="22"/>
        </w:rPr>
      </w:pPr>
      <w:r>
        <w:rPr>
          <w:sz w:val="22"/>
        </w:rPr>
        <w:t>Narain</w:t>
      </w:r>
      <w:r>
        <w:rPr>
          <w:spacing w:val="-6"/>
          <w:sz w:val="22"/>
        </w:rPr>
        <w:t> </w:t>
      </w:r>
      <w:r>
        <w:rPr>
          <w:sz w:val="22"/>
        </w:rPr>
        <w:t>D.,</w:t>
      </w:r>
      <w:r>
        <w:rPr>
          <w:spacing w:val="-6"/>
          <w:sz w:val="22"/>
        </w:rPr>
        <w:t> </w:t>
      </w:r>
      <w:r>
        <w:rPr>
          <w:sz w:val="22"/>
        </w:rPr>
        <w:t>Maron</w:t>
      </w:r>
      <w:r>
        <w:rPr>
          <w:spacing w:val="-6"/>
          <w:sz w:val="22"/>
        </w:rPr>
        <w:t> </w:t>
      </w:r>
      <w:r>
        <w:rPr>
          <w:sz w:val="22"/>
        </w:rPr>
        <w:t>M.,</w:t>
      </w:r>
      <w:r>
        <w:rPr>
          <w:spacing w:val="-6"/>
          <w:sz w:val="22"/>
        </w:rPr>
        <w:t> </w:t>
      </w:r>
      <w:r>
        <w:rPr>
          <w:sz w:val="22"/>
        </w:rPr>
        <w:t>Teo</w:t>
      </w:r>
      <w:r>
        <w:rPr>
          <w:spacing w:val="-6"/>
          <w:sz w:val="22"/>
        </w:rPr>
        <w:t> </w:t>
      </w:r>
      <w:r>
        <w:rPr>
          <w:sz w:val="22"/>
        </w:rPr>
        <w:t>H.C.,</w:t>
      </w:r>
      <w:r>
        <w:rPr>
          <w:spacing w:val="-6"/>
          <w:sz w:val="22"/>
        </w:rPr>
        <w:t> </w:t>
      </w:r>
      <w:r>
        <w:rPr>
          <w:sz w:val="22"/>
        </w:rPr>
        <w:t>Hussey</w:t>
      </w:r>
      <w:r>
        <w:rPr>
          <w:spacing w:val="-6"/>
          <w:sz w:val="22"/>
        </w:rPr>
        <w:t> </w:t>
      </w:r>
      <w:r>
        <w:rPr>
          <w:sz w:val="22"/>
        </w:rPr>
        <w:t>K.,</w:t>
      </w:r>
      <w:r>
        <w:rPr>
          <w:spacing w:val="-6"/>
          <w:sz w:val="22"/>
        </w:rPr>
        <w:t> </w:t>
      </w:r>
      <w:r>
        <w:rPr>
          <w:sz w:val="22"/>
        </w:rPr>
        <w:t>Lechner</w:t>
      </w:r>
      <w:r>
        <w:rPr>
          <w:spacing w:val="-6"/>
          <w:sz w:val="22"/>
        </w:rPr>
        <w:t> </w:t>
      </w:r>
      <w:r>
        <w:rPr>
          <w:sz w:val="22"/>
        </w:rPr>
        <w:t>A.M.</w:t>
      </w:r>
      <w:r>
        <w:rPr>
          <w:spacing w:val="-6"/>
          <w:sz w:val="22"/>
        </w:rPr>
        <w:t> </w:t>
      </w:r>
      <w:r>
        <w:rPr>
          <w:sz w:val="22"/>
        </w:rPr>
        <w:t>2020.</w:t>
      </w:r>
      <w:r>
        <w:rPr>
          <w:spacing w:val="-6"/>
          <w:sz w:val="22"/>
        </w:rPr>
        <w:t> </w:t>
      </w:r>
      <w:r>
        <w:rPr>
          <w:sz w:val="22"/>
        </w:rPr>
        <w:t>Best-practice</w:t>
      </w:r>
      <w:r>
        <w:rPr>
          <w:spacing w:val="-6"/>
          <w:sz w:val="22"/>
        </w:rPr>
        <w:t> </w:t>
      </w:r>
      <w:r>
        <w:rPr>
          <w:sz w:val="22"/>
        </w:rPr>
        <w:t>biodiversity safeguards for Belt and Road Initiative’s ﬁnanciers. </w:t>
      </w:r>
      <w:r>
        <w:rPr>
          <w:i/>
          <w:sz w:val="22"/>
        </w:rPr>
        <w:t>Nature Sustainability </w:t>
      </w:r>
      <w:r>
        <w:rPr>
          <w:sz w:val="22"/>
        </w:rPr>
        <w:t>3: 650–657.</w:t>
      </w:r>
    </w:p>
    <w:p>
      <w:pPr>
        <w:pStyle w:val="BodyText"/>
        <w:spacing w:before="5"/>
      </w:pPr>
    </w:p>
    <w:p>
      <w:pPr>
        <w:spacing w:line="288" w:lineRule="auto" w:before="0"/>
        <w:ind w:left="200" w:right="561" w:firstLine="0"/>
        <w:jc w:val="left"/>
        <w:rPr>
          <w:sz w:val="22"/>
        </w:rPr>
      </w:pPr>
      <w:r>
        <w:rPr>
          <w:sz w:val="22"/>
        </w:rPr>
        <w:t>Narain D., Teo H.C., Lechner A.M., Watson J.E., Maron M. 2022. Biodiversity risks and safeguards</w:t>
      </w:r>
      <w:r>
        <w:rPr>
          <w:spacing w:val="-8"/>
          <w:sz w:val="22"/>
        </w:rPr>
        <w:t> </w:t>
      </w:r>
      <w:r>
        <w:rPr>
          <w:sz w:val="22"/>
        </w:rPr>
        <w:t>of</w:t>
      </w:r>
      <w:r>
        <w:rPr>
          <w:spacing w:val="-8"/>
          <w:sz w:val="22"/>
        </w:rPr>
        <w:t> </w:t>
      </w:r>
      <w:r>
        <w:rPr>
          <w:sz w:val="22"/>
        </w:rPr>
        <w:t>China’s</w:t>
      </w:r>
      <w:r>
        <w:rPr>
          <w:spacing w:val="-8"/>
          <w:sz w:val="22"/>
        </w:rPr>
        <w:t> </w:t>
      </w:r>
      <w:r>
        <w:rPr>
          <w:sz w:val="22"/>
        </w:rPr>
        <w:t>hydropower</w:t>
      </w:r>
      <w:r>
        <w:rPr>
          <w:spacing w:val="-8"/>
          <w:sz w:val="22"/>
        </w:rPr>
        <w:t> </w:t>
      </w:r>
      <w:r>
        <w:rPr>
          <w:sz w:val="22"/>
        </w:rPr>
        <w:t>ﬁnancing</w:t>
      </w:r>
      <w:r>
        <w:rPr>
          <w:spacing w:val="-8"/>
          <w:sz w:val="22"/>
        </w:rPr>
        <w:t> </w:t>
      </w:r>
      <w:r>
        <w:rPr>
          <w:sz w:val="22"/>
        </w:rPr>
        <w:t>in</w:t>
      </w:r>
      <w:r>
        <w:rPr>
          <w:spacing w:val="-8"/>
          <w:sz w:val="22"/>
        </w:rPr>
        <w:t> </w:t>
      </w:r>
      <w:r>
        <w:rPr>
          <w:sz w:val="22"/>
        </w:rPr>
        <w:t>Belt</w:t>
      </w:r>
      <w:r>
        <w:rPr>
          <w:spacing w:val="-8"/>
          <w:sz w:val="22"/>
        </w:rPr>
        <w:t> </w:t>
      </w:r>
      <w:r>
        <w:rPr>
          <w:sz w:val="22"/>
        </w:rPr>
        <w:t>and</w:t>
      </w:r>
      <w:r>
        <w:rPr>
          <w:spacing w:val="-8"/>
          <w:sz w:val="22"/>
        </w:rPr>
        <w:t> </w:t>
      </w:r>
      <w:r>
        <w:rPr>
          <w:sz w:val="22"/>
        </w:rPr>
        <w:t>Road</w:t>
      </w:r>
      <w:r>
        <w:rPr>
          <w:spacing w:val="-8"/>
          <w:sz w:val="22"/>
        </w:rPr>
        <w:t> </w:t>
      </w:r>
      <w:r>
        <w:rPr>
          <w:sz w:val="22"/>
        </w:rPr>
        <w:t>Initiative</w:t>
      </w:r>
      <w:r>
        <w:rPr>
          <w:spacing w:val="-8"/>
          <w:sz w:val="22"/>
        </w:rPr>
        <w:t> </w:t>
      </w:r>
      <w:r>
        <w:rPr>
          <w:sz w:val="22"/>
        </w:rPr>
        <w:t>(BRI)</w:t>
      </w:r>
      <w:r>
        <w:rPr>
          <w:spacing w:val="-8"/>
          <w:sz w:val="22"/>
        </w:rPr>
        <w:t> </w:t>
      </w:r>
      <w:r>
        <w:rPr>
          <w:sz w:val="22"/>
        </w:rPr>
        <w:t>countries.</w:t>
      </w:r>
      <w:r>
        <w:rPr>
          <w:spacing w:val="-8"/>
          <w:sz w:val="22"/>
        </w:rPr>
        <w:t> </w:t>
      </w:r>
      <w:r>
        <w:rPr>
          <w:i/>
          <w:sz w:val="22"/>
        </w:rPr>
        <w:t>One</w:t>
      </w:r>
      <w:r>
        <w:rPr>
          <w:i/>
          <w:sz w:val="22"/>
        </w:rPr>
        <w:t> Earth </w:t>
      </w:r>
      <w:r>
        <w:rPr>
          <w:sz w:val="22"/>
        </w:rPr>
        <w:t>5: 1019–1029.</w:t>
      </w:r>
    </w:p>
    <w:p>
      <w:pPr>
        <w:pStyle w:val="BodyText"/>
        <w:spacing w:before="6"/>
      </w:pPr>
    </w:p>
    <w:p>
      <w:pPr>
        <w:spacing w:line="288" w:lineRule="auto" w:before="0"/>
        <w:ind w:left="200" w:right="191" w:firstLine="0"/>
        <w:jc w:val="left"/>
        <w:rPr>
          <w:sz w:val="22"/>
        </w:rPr>
      </w:pPr>
      <w:r>
        <w:rPr>
          <w:sz w:val="22"/>
        </w:rPr>
        <w:t>National Development and Reform Commission, Ministry of Foreign Affairs, Ministry of Ecology and Environment, and Ministry of Commerce of the People’s Republic of China. 2022. Opinions </w:t>
      </w:r>
      <w:r>
        <w:rPr>
          <w:spacing w:val="-2"/>
          <w:w w:val="105"/>
          <w:sz w:val="22"/>
        </w:rPr>
        <w:t>on</w:t>
      </w:r>
      <w:r>
        <w:rPr>
          <w:spacing w:val="-10"/>
          <w:w w:val="105"/>
          <w:sz w:val="22"/>
        </w:rPr>
        <w:t> </w:t>
      </w:r>
      <w:r>
        <w:rPr>
          <w:spacing w:val="-2"/>
          <w:w w:val="105"/>
          <w:sz w:val="22"/>
        </w:rPr>
        <w:t>Jointly</w:t>
      </w:r>
      <w:r>
        <w:rPr>
          <w:spacing w:val="-10"/>
          <w:w w:val="105"/>
          <w:sz w:val="22"/>
        </w:rPr>
        <w:t> </w:t>
      </w:r>
      <w:r>
        <w:rPr>
          <w:spacing w:val="-2"/>
          <w:w w:val="105"/>
          <w:sz w:val="22"/>
        </w:rPr>
        <w:t>Promoting</w:t>
      </w:r>
      <w:r>
        <w:rPr>
          <w:spacing w:val="-10"/>
          <w:w w:val="105"/>
          <w:sz w:val="22"/>
        </w:rPr>
        <w:t> </w:t>
      </w:r>
      <w:r>
        <w:rPr>
          <w:spacing w:val="-2"/>
          <w:w w:val="105"/>
          <w:sz w:val="22"/>
        </w:rPr>
        <w:t>Green</w:t>
      </w:r>
      <w:r>
        <w:rPr>
          <w:spacing w:val="-10"/>
          <w:w w:val="105"/>
          <w:sz w:val="22"/>
        </w:rPr>
        <w:t> </w:t>
      </w:r>
      <w:r>
        <w:rPr>
          <w:spacing w:val="-2"/>
          <w:w w:val="105"/>
          <w:sz w:val="22"/>
        </w:rPr>
        <w:t>Development</w:t>
      </w:r>
      <w:r>
        <w:rPr>
          <w:spacing w:val="-10"/>
          <w:w w:val="105"/>
          <w:sz w:val="22"/>
        </w:rPr>
        <w:t> </w:t>
      </w:r>
      <w:r>
        <w:rPr>
          <w:spacing w:val="-2"/>
          <w:w w:val="105"/>
          <w:sz w:val="22"/>
        </w:rPr>
        <w:t>of</w:t>
      </w:r>
      <w:r>
        <w:rPr>
          <w:spacing w:val="-10"/>
          <w:w w:val="105"/>
          <w:sz w:val="22"/>
        </w:rPr>
        <w:t> </w:t>
      </w:r>
      <w:r>
        <w:rPr>
          <w:spacing w:val="-2"/>
          <w:w w:val="105"/>
          <w:sz w:val="22"/>
        </w:rPr>
        <w:t>the</w:t>
      </w:r>
      <w:r>
        <w:rPr>
          <w:spacing w:val="-10"/>
          <w:w w:val="105"/>
          <w:sz w:val="22"/>
        </w:rPr>
        <w:t> </w:t>
      </w:r>
      <w:r>
        <w:rPr>
          <w:spacing w:val="-2"/>
          <w:w w:val="105"/>
          <w:sz w:val="22"/>
        </w:rPr>
        <w:t>Belt</w:t>
      </w:r>
      <w:r>
        <w:rPr>
          <w:spacing w:val="-10"/>
          <w:w w:val="105"/>
          <w:sz w:val="22"/>
        </w:rPr>
        <w:t> </w:t>
      </w:r>
      <w:r>
        <w:rPr>
          <w:spacing w:val="-2"/>
          <w:w w:val="105"/>
          <w:sz w:val="22"/>
        </w:rPr>
        <w:t>and</w:t>
      </w:r>
      <w:r>
        <w:rPr>
          <w:spacing w:val="-10"/>
          <w:w w:val="105"/>
          <w:sz w:val="22"/>
        </w:rPr>
        <w:t> </w:t>
      </w:r>
      <w:r>
        <w:rPr>
          <w:spacing w:val="-2"/>
          <w:w w:val="105"/>
          <w:sz w:val="22"/>
        </w:rPr>
        <w:t>Road.</w:t>
      </w:r>
      <w:r>
        <w:rPr>
          <w:spacing w:val="-10"/>
          <w:w w:val="105"/>
          <w:sz w:val="22"/>
        </w:rPr>
        <w:t> </w:t>
      </w:r>
      <w:r>
        <w:rPr>
          <w:spacing w:val="-2"/>
          <w:w w:val="105"/>
          <w:sz w:val="22"/>
        </w:rPr>
        <w:t>16</w:t>
      </w:r>
      <w:r>
        <w:rPr>
          <w:spacing w:val="-10"/>
          <w:w w:val="105"/>
          <w:sz w:val="22"/>
        </w:rPr>
        <w:t> </w:t>
      </w:r>
      <w:r>
        <w:rPr>
          <w:spacing w:val="-2"/>
          <w:w w:val="105"/>
          <w:sz w:val="22"/>
        </w:rPr>
        <w:t>March</w:t>
      </w:r>
      <w:r>
        <w:rPr>
          <w:spacing w:val="-10"/>
          <w:w w:val="105"/>
          <w:sz w:val="22"/>
        </w:rPr>
        <w:t> </w:t>
      </w:r>
      <w:r>
        <w:rPr>
          <w:spacing w:val="-2"/>
          <w:w w:val="105"/>
          <w:sz w:val="22"/>
        </w:rPr>
        <w:t>2022.</w:t>
      </w:r>
      <w:r>
        <w:rPr>
          <w:spacing w:val="-10"/>
          <w:w w:val="105"/>
          <w:sz w:val="22"/>
        </w:rPr>
        <w:t> </w:t>
      </w:r>
      <w:r>
        <w:rPr>
          <w:spacing w:val="-2"/>
          <w:w w:val="105"/>
          <w:sz w:val="22"/>
        </w:rPr>
        <w:t>Accessed</w:t>
      </w:r>
      <w:r>
        <w:rPr>
          <w:spacing w:val="-10"/>
          <w:w w:val="105"/>
          <w:sz w:val="22"/>
        </w:rPr>
        <w:t> </w:t>
      </w:r>
      <w:r>
        <w:rPr>
          <w:spacing w:val="-2"/>
          <w:w w:val="105"/>
          <w:sz w:val="22"/>
        </w:rPr>
        <w:t>on </w:t>
      </w:r>
      <w:r>
        <w:rPr>
          <w:sz w:val="22"/>
        </w:rPr>
        <w:t>25 August 2023 at </w:t>
      </w:r>
      <w:hyperlink r:id="rId54">
        <w:r>
          <w:rPr>
            <w:color w:val="1154CC"/>
            <w:sz w:val="22"/>
            <w:u w:val="thick" w:color="1154CC"/>
          </w:rPr>
          <w:t>https://www.ndrc.gov.cn/xxgk/zcfb/tz/202203/t20220328_1320629_ext.html</w:t>
        </w:r>
      </w:hyperlink>
    </w:p>
    <w:p>
      <w:pPr>
        <w:pStyle w:val="BodyText"/>
        <w:spacing w:before="4"/>
      </w:pPr>
    </w:p>
    <w:p>
      <w:pPr>
        <w:spacing w:line="338" w:lineRule="auto" w:before="0"/>
        <w:ind w:left="200" w:right="561" w:firstLine="0"/>
        <w:jc w:val="left"/>
        <w:rPr>
          <w:sz w:val="22"/>
        </w:rPr>
      </w:pPr>
      <w:r>
        <w:rPr>
          <w:spacing w:val="-2"/>
          <w:sz w:val="22"/>
        </w:rPr>
        <w:t>NESPAK.</w:t>
      </w:r>
      <w:r>
        <w:rPr>
          <w:spacing w:val="-8"/>
          <w:sz w:val="22"/>
        </w:rPr>
        <w:t> </w:t>
      </w:r>
      <w:r>
        <w:rPr>
          <w:spacing w:val="-2"/>
          <w:sz w:val="22"/>
        </w:rPr>
        <w:t>2015a.</w:t>
      </w:r>
      <w:r>
        <w:rPr>
          <w:spacing w:val="-8"/>
          <w:sz w:val="22"/>
        </w:rPr>
        <w:t> </w:t>
      </w:r>
      <w:r>
        <w:rPr>
          <w:spacing w:val="-2"/>
          <w:sz w:val="22"/>
        </w:rPr>
        <w:t>Lahore</w:t>
      </w:r>
      <w:r>
        <w:rPr>
          <w:spacing w:val="-8"/>
          <w:sz w:val="22"/>
        </w:rPr>
        <w:t> </w:t>
      </w:r>
      <w:r>
        <w:rPr>
          <w:spacing w:val="-2"/>
          <w:sz w:val="22"/>
        </w:rPr>
        <w:t>Orange</w:t>
      </w:r>
      <w:r>
        <w:rPr>
          <w:spacing w:val="-8"/>
          <w:sz w:val="22"/>
        </w:rPr>
        <w:t> </w:t>
      </w:r>
      <w:r>
        <w:rPr>
          <w:spacing w:val="-2"/>
          <w:sz w:val="22"/>
        </w:rPr>
        <w:t>Line</w:t>
      </w:r>
      <w:r>
        <w:rPr>
          <w:spacing w:val="-8"/>
          <w:sz w:val="22"/>
        </w:rPr>
        <w:t> </w:t>
      </w:r>
      <w:r>
        <w:rPr>
          <w:spacing w:val="-2"/>
          <w:sz w:val="22"/>
        </w:rPr>
        <w:t>Metro</w:t>
      </w:r>
      <w:r>
        <w:rPr>
          <w:spacing w:val="-8"/>
          <w:sz w:val="22"/>
        </w:rPr>
        <w:t> </w:t>
      </w:r>
      <w:r>
        <w:rPr>
          <w:spacing w:val="-2"/>
          <w:sz w:val="22"/>
        </w:rPr>
        <w:t>Rail</w:t>
      </w:r>
      <w:r>
        <w:rPr>
          <w:spacing w:val="-8"/>
          <w:sz w:val="22"/>
        </w:rPr>
        <w:t> </w:t>
      </w:r>
      <w:r>
        <w:rPr>
          <w:spacing w:val="-2"/>
          <w:sz w:val="22"/>
        </w:rPr>
        <w:t>Project</w:t>
      </w:r>
      <w:r>
        <w:rPr>
          <w:spacing w:val="-8"/>
          <w:sz w:val="22"/>
        </w:rPr>
        <w:t> </w:t>
      </w:r>
      <w:r>
        <w:rPr>
          <w:spacing w:val="-2"/>
          <w:sz w:val="22"/>
        </w:rPr>
        <w:t>PC-1.</w:t>
      </w:r>
      <w:r>
        <w:rPr>
          <w:spacing w:val="-8"/>
          <w:sz w:val="22"/>
        </w:rPr>
        <w:t> </w:t>
      </w:r>
      <w:r>
        <w:rPr>
          <w:spacing w:val="-2"/>
          <w:sz w:val="22"/>
        </w:rPr>
        <w:t>Lahore,</w:t>
      </w:r>
      <w:r>
        <w:rPr>
          <w:spacing w:val="-8"/>
          <w:sz w:val="22"/>
        </w:rPr>
        <w:t> </w:t>
      </w:r>
      <w:r>
        <w:rPr>
          <w:spacing w:val="-2"/>
          <w:sz w:val="22"/>
        </w:rPr>
        <w:t>Pakistan:</w:t>
      </w:r>
      <w:r>
        <w:rPr>
          <w:spacing w:val="-8"/>
          <w:sz w:val="22"/>
        </w:rPr>
        <w:t> </w:t>
      </w:r>
      <w:r>
        <w:rPr>
          <w:spacing w:val="-2"/>
          <w:sz w:val="22"/>
        </w:rPr>
        <w:t>Punjab </w:t>
      </w:r>
      <w:r>
        <w:rPr>
          <w:sz w:val="22"/>
        </w:rPr>
        <w:t>Masstransit Authority. Accessed on 1 October 2023 at </w:t>
      </w:r>
      <w:hyperlink r:id="rId55">
        <w:r>
          <w:rPr>
            <w:color w:val="1154CC"/>
            <w:spacing w:val="-2"/>
            <w:sz w:val="22"/>
            <w:u w:val="thick" w:color="1154CC"/>
          </w:rPr>
          <w:t>https://pma.punjab.gov.pk/system/ﬁles/pcI.pdf</w:t>
        </w:r>
      </w:hyperlink>
      <w:r>
        <w:rPr>
          <w:spacing w:val="-2"/>
          <w:sz w:val="22"/>
        </w:rPr>
        <w:t>.</w:t>
      </w:r>
    </w:p>
    <w:p>
      <w:pPr>
        <w:spacing w:after="0" w:line="338" w:lineRule="auto"/>
        <w:jc w:val="left"/>
        <w:rPr>
          <w:sz w:val="22"/>
        </w:rPr>
        <w:sectPr>
          <w:footerReference w:type="default" r:id="rId50"/>
          <w:pgSz w:w="12240" w:h="15840"/>
          <w:pgMar w:footer="0" w:header="0" w:top="1400" w:bottom="280" w:left="1240" w:right="1260"/>
        </w:sectPr>
      </w:pPr>
    </w:p>
    <w:p>
      <w:pPr>
        <w:spacing w:line="338" w:lineRule="auto" w:before="44"/>
        <w:ind w:left="200" w:right="179" w:firstLine="0"/>
        <w:jc w:val="left"/>
        <w:rPr>
          <w:sz w:val="22"/>
        </w:rPr>
      </w:pPr>
      <w:r>
        <w:rPr>
          <w:sz w:val="22"/>
        </w:rPr>
        <w:t>NESPAK.</w:t>
      </w:r>
      <w:r>
        <w:rPr>
          <w:spacing w:val="-7"/>
          <w:sz w:val="22"/>
        </w:rPr>
        <w:t> </w:t>
      </w:r>
      <w:r>
        <w:rPr>
          <w:sz w:val="22"/>
        </w:rPr>
        <w:t>2015b.</w:t>
      </w:r>
      <w:r>
        <w:rPr>
          <w:spacing w:val="-7"/>
          <w:sz w:val="22"/>
        </w:rPr>
        <w:t> </w:t>
      </w:r>
      <w:r>
        <w:rPr>
          <w:sz w:val="22"/>
        </w:rPr>
        <w:t>Environmental</w:t>
      </w:r>
      <w:r>
        <w:rPr>
          <w:spacing w:val="-7"/>
          <w:sz w:val="22"/>
        </w:rPr>
        <w:t> </w:t>
      </w:r>
      <w:r>
        <w:rPr>
          <w:sz w:val="22"/>
        </w:rPr>
        <w:t>Impact</w:t>
      </w:r>
      <w:r>
        <w:rPr>
          <w:spacing w:val="-7"/>
          <w:sz w:val="22"/>
        </w:rPr>
        <w:t> </w:t>
      </w:r>
      <w:r>
        <w:rPr>
          <w:sz w:val="22"/>
        </w:rPr>
        <w:t>Assessment</w:t>
      </w:r>
      <w:r>
        <w:rPr>
          <w:spacing w:val="-7"/>
          <w:sz w:val="22"/>
        </w:rPr>
        <w:t> </w:t>
      </w:r>
      <w:r>
        <w:rPr>
          <w:sz w:val="22"/>
        </w:rPr>
        <w:t>(EIA)</w:t>
      </w:r>
      <w:r>
        <w:rPr>
          <w:spacing w:val="-7"/>
          <w:sz w:val="22"/>
        </w:rPr>
        <w:t> </w:t>
      </w:r>
      <w:r>
        <w:rPr>
          <w:sz w:val="22"/>
        </w:rPr>
        <w:t>Lahore</w:t>
      </w:r>
      <w:r>
        <w:rPr>
          <w:spacing w:val="-7"/>
          <w:sz w:val="22"/>
        </w:rPr>
        <w:t> </w:t>
      </w:r>
      <w:r>
        <w:rPr>
          <w:sz w:val="22"/>
        </w:rPr>
        <w:t>Orange</w:t>
      </w:r>
      <w:r>
        <w:rPr>
          <w:spacing w:val="-7"/>
          <w:sz w:val="22"/>
        </w:rPr>
        <w:t> </w:t>
      </w:r>
      <w:r>
        <w:rPr>
          <w:sz w:val="22"/>
        </w:rPr>
        <w:t>Line</w:t>
      </w:r>
      <w:r>
        <w:rPr>
          <w:spacing w:val="-7"/>
          <w:sz w:val="22"/>
        </w:rPr>
        <w:t> </w:t>
      </w:r>
      <w:r>
        <w:rPr>
          <w:sz w:val="22"/>
        </w:rPr>
        <w:t>Metro</w:t>
      </w:r>
      <w:r>
        <w:rPr>
          <w:spacing w:val="-7"/>
          <w:sz w:val="22"/>
        </w:rPr>
        <w:t> </w:t>
      </w:r>
      <w:r>
        <w:rPr>
          <w:sz w:val="22"/>
        </w:rPr>
        <w:t>Train Project. Lahore, Pakistan: Punjab Masstransit Authority. Accessed on 1 October 2023 at </w:t>
      </w:r>
      <w:hyperlink r:id="rId57">
        <w:r>
          <w:rPr>
            <w:color w:val="1154CC"/>
            <w:spacing w:val="-2"/>
            <w:sz w:val="22"/>
            <w:u w:val="thick" w:color="1154CC"/>
          </w:rPr>
          <w:t>https://epd.punjab.gov.pk/system/ﬁles/7%2901%20Tital%2C%20Table%20of%20Contant%2C</w:t>
        </w:r>
      </w:hyperlink>
    </w:p>
    <w:p>
      <w:pPr>
        <w:spacing w:line="252" w:lineRule="exact" w:before="0"/>
        <w:ind w:left="200" w:right="0" w:firstLine="0"/>
        <w:jc w:val="left"/>
        <w:rPr>
          <w:sz w:val="22"/>
        </w:rPr>
      </w:pPr>
      <w:hyperlink r:id="rId57">
        <w:r>
          <w:rPr>
            <w:color w:val="1154CC"/>
            <w:spacing w:val="-2"/>
            <w:sz w:val="22"/>
            <w:u w:val="thick" w:color="1154CC"/>
          </w:rPr>
          <w:t>%20Abbreviations%2C%20Executive%20%20Summary.pdf</w:t>
        </w:r>
      </w:hyperlink>
      <w:r>
        <w:rPr>
          <w:spacing w:val="-2"/>
          <w:sz w:val="22"/>
        </w:rPr>
        <w:t>.</w:t>
      </w:r>
    </w:p>
    <w:p>
      <w:pPr>
        <w:pStyle w:val="BodyText"/>
        <w:rPr>
          <w:sz w:val="22"/>
        </w:rPr>
      </w:pPr>
    </w:p>
    <w:p>
      <w:pPr>
        <w:spacing w:line="288" w:lineRule="auto" w:before="131"/>
        <w:ind w:left="200" w:right="561" w:firstLine="0"/>
        <w:jc w:val="left"/>
        <w:rPr>
          <w:sz w:val="22"/>
        </w:rPr>
      </w:pPr>
      <w:r>
        <w:rPr>
          <w:sz w:val="22"/>
        </w:rPr>
        <w:t>Park,</w:t>
      </w:r>
      <w:r>
        <w:rPr>
          <w:spacing w:val="-3"/>
          <w:sz w:val="22"/>
        </w:rPr>
        <w:t> </w:t>
      </w:r>
      <w:r>
        <w:rPr>
          <w:sz w:val="22"/>
        </w:rPr>
        <w:t>S.</w:t>
      </w:r>
      <w:r>
        <w:rPr>
          <w:spacing w:val="-3"/>
          <w:sz w:val="22"/>
        </w:rPr>
        <w:t> </w:t>
      </w:r>
      <w:r>
        <w:rPr>
          <w:sz w:val="22"/>
        </w:rPr>
        <w:t>2010.</w:t>
      </w:r>
      <w:r>
        <w:rPr>
          <w:spacing w:val="-3"/>
          <w:sz w:val="22"/>
        </w:rPr>
        <w:t> </w:t>
      </w:r>
      <w:r>
        <w:rPr>
          <w:sz w:val="22"/>
        </w:rPr>
        <w:t>The</w:t>
      </w:r>
      <w:r>
        <w:rPr>
          <w:spacing w:val="-3"/>
          <w:sz w:val="22"/>
        </w:rPr>
        <w:t> </w:t>
      </w:r>
      <w:r>
        <w:rPr>
          <w:sz w:val="22"/>
        </w:rPr>
        <w:t>World</w:t>
      </w:r>
      <w:r>
        <w:rPr>
          <w:spacing w:val="-3"/>
          <w:sz w:val="22"/>
        </w:rPr>
        <w:t> </w:t>
      </w:r>
      <w:r>
        <w:rPr>
          <w:sz w:val="22"/>
        </w:rPr>
        <w:t>Bank’s</w:t>
      </w:r>
      <w:r>
        <w:rPr>
          <w:spacing w:val="-3"/>
          <w:sz w:val="22"/>
        </w:rPr>
        <w:t> </w:t>
      </w:r>
      <w:r>
        <w:rPr>
          <w:sz w:val="22"/>
        </w:rPr>
        <w:t>global</w:t>
      </w:r>
      <w:r>
        <w:rPr>
          <w:spacing w:val="-3"/>
          <w:sz w:val="22"/>
        </w:rPr>
        <w:t> </w:t>
      </w:r>
      <w:r>
        <w:rPr>
          <w:sz w:val="22"/>
        </w:rPr>
        <w:t>safeguard</w:t>
      </w:r>
      <w:r>
        <w:rPr>
          <w:spacing w:val="-3"/>
          <w:sz w:val="22"/>
        </w:rPr>
        <w:t> </w:t>
      </w:r>
      <w:r>
        <w:rPr>
          <w:sz w:val="22"/>
        </w:rPr>
        <w:t>policy</w:t>
      </w:r>
      <w:r>
        <w:rPr>
          <w:spacing w:val="-3"/>
          <w:sz w:val="22"/>
        </w:rPr>
        <w:t> </w:t>
      </w:r>
      <w:r>
        <w:rPr>
          <w:sz w:val="22"/>
        </w:rPr>
        <w:t>norm?</w:t>
      </w:r>
      <w:r>
        <w:rPr>
          <w:spacing w:val="-3"/>
          <w:sz w:val="22"/>
        </w:rPr>
        <w:t> </w:t>
      </w:r>
      <w:r>
        <w:rPr>
          <w:sz w:val="22"/>
        </w:rPr>
        <w:t>in</w:t>
      </w:r>
      <w:r>
        <w:rPr>
          <w:spacing w:val="-3"/>
          <w:sz w:val="22"/>
        </w:rPr>
        <w:t> </w:t>
      </w:r>
      <w:r>
        <w:rPr>
          <w:i/>
          <w:sz w:val="22"/>
        </w:rPr>
        <w:t>Owning</w:t>
      </w:r>
      <w:r>
        <w:rPr>
          <w:i/>
          <w:spacing w:val="-3"/>
          <w:sz w:val="22"/>
        </w:rPr>
        <w:t> </w:t>
      </w:r>
      <w:r>
        <w:rPr>
          <w:i/>
          <w:sz w:val="22"/>
        </w:rPr>
        <w:t>Development:</w:t>
      </w:r>
      <w:r>
        <w:rPr>
          <w:i/>
          <w:sz w:val="22"/>
        </w:rPr>
        <w:t> Creating Policy Norms in the IMF and the World Bank</w:t>
      </w:r>
      <w:r>
        <w:rPr>
          <w:sz w:val="22"/>
        </w:rPr>
        <w:t>, edited by Susan Park and Antje Vetterlein. Cambridge, UK: Cambridge University Press.</w:t>
      </w:r>
    </w:p>
    <w:p>
      <w:pPr>
        <w:pStyle w:val="BodyText"/>
        <w:spacing w:before="5"/>
      </w:pPr>
    </w:p>
    <w:p>
      <w:pPr>
        <w:spacing w:line="288" w:lineRule="auto" w:before="0"/>
        <w:ind w:left="200" w:right="561" w:firstLine="0"/>
        <w:jc w:val="left"/>
        <w:rPr>
          <w:sz w:val="22"/>
        </w:rPr>
      </w:pPr>
      <w:r>
        <w:rPr>
          <w:sz w:val="22"/>
        </w:rPr>
        <w:t>Parks,</w:t>
      </w:r>
      <w:r>
        <w:rPr>
          <w:spacing w:val="-14"/>
          <w:sz w:val="22"/>
        </w:rPr>
        <w:t> </w:t>
      </w:r>
      <w:r>
        <w:rPr>
          <w:sz w:val="22"/>
        </w:rPr>
        <w:t>Bradley.</w:t>
      </w:r>
      <w:r>
        <w:rPr>
          <w:spacing w:val="-14"/>
          <w:sz w:val="22"/>
        </w:rPr>
        <w:t> </w:t>
      </w:r>
      <w:r>
        <w:rPr>
          <w:sz w:val="22"/>
        </w:rPr>
        <w:t>2019.</w:t>
      </w:r>
      <w:r>
        <w:rPr>
          <w:spacing w:val="-14"/>
          <w:sz w:val="22"/>
        </w:rPr>
        <w:t> </w:t>
      </w:r>
      <w:r>
        <w:rPr>
          <w:sz w:val="22"/>
        </w:rPr>
        <w:t>Chinese</w:t>
      </w:r>
      <w:r>
        <w:rPr>
          <w:spacing w:val="-14"/>
          <w:sz w:val="22"/>
        </w:rPr>
        <w:t> </w:t>
      </w:r>
      <w:r>
        <w:rPr>
          <w:sz w:val="22"/>
        </w:rPr>
        <w:t>Leadership</w:t>
      </w:r>
      <w:r>
        <w:rPr>
          <w:spacing w:val="-14"/>
          <w:sz w:val="22"/>
        </w:rPr>
        <w:t> </w:t>
      </w:r>
      <w:r>
        <w:rPr>
          <w:sz w:val="22"/>
        </w:rPr>
        <w:t>and</w:t>
      </w:r>
      <w:r>
        <w:rPr>
          <w:spacing w:val="-14"/>
          <w:sz w:val="22"/>
        </w:rPr>
        <w:t> </w:t>
      </w:r>
      <w:r>
        <w:rPr>
          <w:sz w:val="22"/>
        </w:rPr>
        <w:t>the</w:t>
      </w:r>
      <w:r>
        <w:rPr>
          <w:spacing w:val="-14"/>
          <w:sz w:val="22"/>
        </w:rPr>
        <w:t> </w:t>
      </w:r>
      <w:r>
        <w:rPr>
          <w:sz w:val="22"/>
        </w:rPr>
        <w:t>Future</w:t>
      </w:r>
      <w:r>
        <w:rPr>
          <w:spacing w:val="-14"/>
          <w:sz w:val="22"/>
        </w:rPr>
        <w:t> </w:t>
      </w:r>
      <w:r>
        <w:rPr>
          <w:sz w:val="22"/>
        </w:rPr>
        <w:t>of</w:t>
      </w:r>
      <w:r>
        <w:rPr>
          <w:spacing w:val="-14"/>
          <w:sz w:val="22"/>
        </w:rPr>
        <w:t> </w:t>
      </w:r>
      <w:r>
        <w:rPr>
          <w:sz w:val="22"/>
        </w:rPr>
        <w:t>BRI:</w:t>
      </w:r>
      <w:r>
        <w:rPr>
          <w:spacing w:val="-14"/>
          <w:sz w:val="22"/>
        </w:rPr>
        <w:t> </w:t>
      </w:r>
      <w:r>
        <w:rPr>
          <w:sz w:val="22"/>
        </w:rPr>
        <w:t>What</w:t>
      </w:r>
      <w:r>
        <w:rPr>
          <w:spacing w:val="-14"/>
          <w:sz w:val="22"/>
        </w:rPr>
        <w:t> </w:t>
      </w:r>
      <w:r>
        <w:rPr>
          <w:sz w:val="22"/>
        </w:rPr>
        <w:t>Key</w:t>
      </w:r>
      <w:r>
        <w:rPr>
          <w:spacing w:val="-14"/>
          <w:sz w:val="22"/>
        </w:rPr>
        <w:t> </w:t>
      </w:r>
      <w:r>
        <w:rPr>
          <w:sz w:val="22"/>
        </w:rPr>
        <w:t>Decisions</w:t>
      </w:r>
      <w:r>
        <w:rPr>
          <w:spacing w:val="-14"/>
          <w:sz w:val="22"/>
        </w:rPr>
        <w:t> </w:t>
      </w:r>
      <w:r>
        <w:rPr>
          <w:sz w:val="22"/>
        </w:rPr>
        <w:t>Lie Ahead? CGD Note. Washington, DC: Center for Global Development.</w:t>
      </w:r>
    </w:p>
    <w:p>
      <w:pPr>
        <w:pStyle w:val="BodyText"/>
        <w:spacing w:before="4"/>
      </w:pPr>
    </w:p>
    <w:p>
      <w:pPr>
        <w:spacing w:line="338" w:lineRule="auto" w:before="0"/>
        <w:ind w:left="200" w:right="540" w:firstLine="0"/>
        <w:jc w:val="left"/>
        <w:rPr>
          <w:sz w:val="22"/>
        </w:rPr>
      </w:pPr>
      <w:r>
        <w:rPr>
          <w:sz w:val="22"/>
        </w:rPr>
        <w:t>Shahid</w:t>
      </w:r>
      <w:r>
        <w:rPr>
          <w:spacing w:val="-8"/>
          <w:sz w:val="22"/>
        </w:rPr>
        <w:t> </w:t>
      </w:r>
      <w:r>
        <w:rPr>
          <w:sz w:val="22"/>
        </w:rPr>
        <w:t>Karim.</w:t>
      </w:r>
      <w:r>
        <w:rPr>
          <w:spacing w:val="-8"/>
          <w:sz w:val="22"/>
        </w:rPr>
        <w:t> </w:t>
      </w:r>
      <w:r>
        <w:rPr>
          <w:sz w:val="22"/>
        </w:rPr>
        <w:t>2016.</w:t>
      </w:r>
      <w:r>
        <w:rPr>
          <w:spacing w:val="-8"/>
          <w:sz w:val="22"/>
        </w:rPr>
        <w:t> </w:t>
      </w:r>
      <w:r>
        <w:rPr>
          <w:sz w:val="22"/>
        </w:rPr>
        <w:t>Kamil</w:t>
      </w:r>
      <w:r>
        <w:rPr>
          <w:spacing w:val="-8"/>
          <w:sz w:val="22"/>
        </w:rPr>
        <w:t> </w:t>
      </w:r>
      <w:r>
        <w:rPr>
          <w:sz w:val="22"/>
        </w:rPr>
        <w:t>Khan</w:t>
      </w:r>
      <w:r>
        <w:rPr>
          <w:spacing w:val="-8"/>
          <w:sz w:val="22"/>
        </w:rPr>
        <w:t> </w:t>
      </w:r>
      <w:r>
        <w:rPr>
          <w:sz w:val="22"/>
        </w:rPr>
        <w:t>Mumtaz</w:t>
      </w:r>
      <w:r>
        <w:rPr>
          <w:spacing w:val="-8"/>
          <w:sz w:val="22"/>
        </w:rPr>
        <w:t> </w:t>
      </w:r>
      <w:r>
        <w:rPr>
          <w:sz w:val="22"/>
        </w:rPr>
        <w:t>etc</w:t>
      </w:r>
      <w:r>
        <w:rPr>
          <w:spacing w:val="-8"/>
          <w:sz w:val="22"/>
        </w:rPr>
        <w:t> </w:t>
      </w:r>
      <w:r>
        <w:rPr>
          <w:sz w:val="22"/>
        </w:rPr>
        <w:t>Versus</w:t>
      </w:r>
      <w:r>
        <w:rPr>
          <w:spacing w:val="-8"/>
          <w:sz w:val="22"/>
        </w:rPr>
        <w:t> </w:t>
      </w:r>
      <w:r>
        <w:rPr>
          <w:sz w:val="22"/>
        </w:rPr>
        <w:t>Government</w:t>
      </w:r>
      <w:r>
        <w:rPr>
          <w:spacing w:val="-8"/>
          <w:sz w:val="22"/>
        </w:rPr>
        <w:t> </w:t>
      </w:r>
      <w:r>
        <w:rPr>
          <w:sz w:val="22"/>
        </w:rPr>
        <w:t>of</w:t>
      </w:r>
      <w:r>
        <w:rPr>
          <w:spacing w:val="-8"/>
          <w:sz w:val="22"/>
        </w:rPr>
        <w:t> </w:t>
      </w:r>
      <w:r>
        <w:rPr>
          <w:sz w:val="22"/>
        </w:rPr>
        <w:t>Punjab</w:t>
      </w:r>
      <w:r>
        <w:rPr>
          <w:spacing w:val="-8"/>
          <w:sz w:val="22"/>
        </w:rPr>
        <w:t> </w:t>
      </w:r>
      <w:r>
        <w:rPr>
          <w:sz w:val="22"/>
        </w:rPr>
        <w:t>etc.</w:t>
      </w:r>
      <w:r>
        <w:rPr>
          <w:spacing w:val="-8"/>
          <w:sz w:val="22"/>
        </w:rPr>
        <w:t> </w:t>
      </w:r>
      <w:r>
        <w:rPr>
          <w:sz w:val="22"/>
        </w:rPr>
        <w:t>Lahore</w:t>
      </w:r>
      <w:r>
        <w:rPr>
          <w:spacing w:val="-8"/>
          <w:sz w:val="22"/>
        </w:rPr>
        <w:t> </w:t>
      </w:r>
      <w:r>
        <w:rPr>
          <w:sz w:val="22"/>
        </w:rPr>
        <w:t>High Court. https://sys.lhc.gov.pk/appjudgments/2016LHC2454.pdf</w:t>
      </w:r>
    </w:p>
    <w:p>
      <w:pPr>
        <w:pStyle w:val="BodyText"/>
        <w:spacing w:before="4"/>
      </w:pPr>
    </w:p>
    <w:p>
      <w:pPr>
        <w:spacing w:line="338" w:lineRule="auto" w:before="0"/>
        <w:ind w:left="200" w:right="456" w:firstLine="0"/>
        <w:jc w:val="left"/>
        <w:rPr>
          <w:sz w:val="22"/>
        </w:rPr>
      </w:pPr>
      <w:r>
        <w:rPr>
          <w:spacing w:val="-2"/>
          <w:sz w:val="22"/>
        </w:rPr>
        <w:t>Shaukat,</w:t>
      </w:r>
      <w:r>
        <w:rPr>
          <w:spacing w:val="-9"/>
          <w:sz w:val="22"/>
        </w:rPr>
        <w:t> </w:t>
      </w:r>
      <w:r>
        <w:rPr>
          <w:spacing w:val="-2"/>
          <w:sz w:val="22"/>
        </w:rPr>
        <w:t>Aroosa,</w:t>
      </w:r>
      <w:r>
        <w:rPr>
          <w:spacing w:val="-9"/>
          <w:sz w:val="22"/>
        </w:rPr>
        <w:t> </w:t>
      </w:r>
      <w:r>
        <w:rPr>
          <w:spacing w:val="-2"/>
          <w:sz w:val="22"/>
        </w:rPr>
        <w:t>and</w:t>
      </w:r>
      <w:r>
        <w:rPr>
          <w:spacing w:val="-9"/>
          <w:sz w:val="22"/>
        </w:rPr>
        <w:t> </w:t>
      </w:r>
      <w:r>
        <w:rPr>
          <w:spacing w:val="-2"/>
          <w:sz w:val="22"/>
        </w:rPr>
        <w:t>Rana</w:t>
      </w:r>
      <w:r>
        <w:rPr>
          <w:spacing w:val="-9"/>
          <w:sz w:val="22"/>
        </w:rPr>
        <w:t> </w:t>
      </w:r>
      <w:r>
        <w:rPr>
          <w:spacing w:val="-2"/>
          <w:sz w:val="22"/>
        </w:rPr>
        <w:t>Tanveer.</w:t>
      </w:r>
      <w:r>
        <w:rPr>
          <w:spacing w:val="-9"/>
          <w:sz w:val="22"/>
        </w:rPr>
        <w:t> </w:t>
      </w:r>
      <w:r>
        <w:rPr>
          <w:spacing w:val="-2"/>
          <w:sz w:val="22"/>
        </w:rPr>
        <w:t>2016.</w:t>
      </w:r>
      <w:r>
        <w:rPr>
          <w:spacing w:val="-9"/>
          <w:sz w:val="22"/>
        </w:rPr>
        <w:t> </w:t>
      </w:r>
      <w:r>
        <w:rPr>
          <w:spacing w:val="-2"/>
          <w:sz w:val="22"/>
        </w:rPr>
        <w:t>LHC</w:t>
      </w:r>
      <w:r>
        <w:rPr>
          <w:spacing w:val="-9"/>
          <w:sz w:val="22"/>
        </w:rPr>
        <w:t> </w:t>
      </w:r>
      <w:r>
        <w:rPr>
          <w:spacing w:val="-2"/>
          <w:sz w:val="22"/>
        </w:rPr>
        <w:t>Suspends</w:t>
      </w:r>
      <w:r>
        <w:rPr>
          <w:spacing w:val="-9"/>
          <w:sz w:val="22"/>
        </w:rPr>
        <w:t> </w:t>
      </w:r>
      <w:r>
        <w:rPr>
          <w:spacing w:val="-2"/>
          <w:sz w:val="22"/>
        </w:rPr>
        <w:t>Work</w:t>
      </w:r>
      <w:r>
        <w:rPr>
          <w:spacing w:val="-9"/>
          <w:sz w:val="22"/>
        </w:rPr>
        <w:t> </w:t>
      </w:r>
      <w:r>
        <w:rPr>
          <w:spacing w:val="-2"/>
          <w:sz w:val="22"/>
        </w:rPr>
        <w:t>on</w:t>
      </w:r>
      <w:r>
        <w:rPr>
          <w:spacing w:val="-9"/>
          <w:sz w:val="22"/>
        </w:rPr>
        <w:t> </w:t>
      </w:r>
      <w:r>
        <w:rPr>
          <w:spacing w:val="-2"/>
          <w:sz w:val="22"/>
        </w:rPr>
        <w:t>Orange</w:t>
      </w:r>
      <w:r>
        <w:rPr>
          <w:spacing w:val="-9"/>
          <w:sz w:val="22"/>
        </w:rPr>
        <w:t> </w:t>
      </w:r>
      <w:r>
        <w:rPr>
          <w:spacing w:val="-2"/>
          <w:sz w:val="22"/>
        </w:rPr>
        <w:t>Line</w:t>
      </w:r>
      <w:r>
        <w:rPr>
          <w:spacing w:val="-9"/>
          <w:sz w:val="22"/>
        </w:rPr>
        <w:t> </w:t>
      </w:r>
      <w:r>
        <w:rPr>
          <w:spacing w:val="-2"/>
          <w:sz w:val="22"/>
        </w:rPr>
        <w:t>Train</w:t>
      </w:r>
      <w:r>
        <w:rPr>
          <w:spacing w:val="-9"/>
          <w:sz w:val="22"/>
        </w:rPr>
        <w:t> </w:t>
      </w:r>
      <w:r>
        <w:rPr>
          <w:spacing w:val="-2"/>
          <w:sz w:val="22"/>
        </w:rPr>
        <w:t>Project. </w:t>
      </w:r>
      <w:r>
        <w:rPr>
          <w:i/>
          <w:sz w:val="22"/>
        </w:rPr>
        <w:t>The Express Tribune</w:t>
      </w:r>
      <w:r>
        <w:rPr>
          <w:sz w:val="22"/>
        </w:rPr>
        <w:t>. 28 January 2016. Accessed on 1 October 2023 at </w:t>
      </w:r>
      <w:hyperlink r:id="rId58">
        <w:r>
          <w:rPr>
            <w:color w:val="1154CC"/>
            <w:spacing w:val="-2"/>
            <w:sz w:val="22"/>
            <w:u w:val="thick" w:color="1154CC"/>
          </w:rPr>
          <w:t>https://tribune.com.pk/story/1035831/lhc-suspends-work-on-orange-line-train-project</w:t>
        </w:r>
      </w:hyperlink>
      <w:r>
        <w:rPr>
          <w:spacing w:val="-2"/>
          <w:sz w:val="22"/>
        </w:rPr>
        <w:t>.</w:t>
      </w:r>
    </w:p>
    <w:p>
      <w:pPr>
        <w:pStyle w:val="BodyText"/>
        <w:spacing w:before="4"/>
      </w:pPr>
    </w:p>
    <w:p>
      <w:pPr>
        <w:spacing w:line="288" w:lineRule="auto" w:before="0"/>
        <w:ind w:left="200" w:right="191" w:firstLine="0"/>
        <w:jc w:val="left"/>
        <w:rPr>
          <w:sz w:val="22"/>
        </w:rPr>
      </w:pPr>
      <w:r>
        <w:rPr>
          <w:sz w:val="22"/>
        </w:rPr>
        <w:t>Sims</w:t>
      </w:r>
      <w:r>
        <w:rPr>
          <w:spacing w:val="-6"/>
          <w:sz w:val="22"/>
        </w:rPr>
        <w:t> </w:t>
      </w:r>
      <w:r>
        <w:rPr>
          <w:sz w:val="22"/>
        </w:rPr>
        <w:t>Gallagher,</w:t>
      </w:r>
      <w:r>
        <w:rPr>
          <w:spacing w:val="-6"/>
          <w:sz w:val="22"/>
        </w:rPr>
        <w:t> </w:t>
      </w:r>
      <w:r>
        <w:rPr>
          <w:sz w:val="22"/>
        </w:rPr>
        <w:t>Kelly</w:t>
      </w:r>
      <w:r>
        <w:rPr>
          <w:spacing w:val="-6"/>
          <w:sz w:val="22"/>
        </w:rPr>
        <w:t> </w:t>
      </w:r>
      <w:r>
        <w:rPr>
          <w:sz w:val="22"/>
        </w:rPr>
        <w:t>and</w:t>
      </w:r>
      <w:r>
        <w:rPr>
          <w:spacing w:val="-6"/>
          <w:sz w:val="22"/>
        </w:rPr>
        <w:t> </w:t>
      </w:r>
      <w:r>
        <w:rPr>
          <w:sz w:val="22"/>
        </w:rPr>
        <w:t>Qi</w:t>
      </w:r>
      <w:r>
        <w:rPr>
          <w:spacing w:val="-6"/>
          <w:sz w:val="22"/>
        </w:rPr>
        <w:t> </w:t>
      </w:r>
      <w:r>
        <w:rPr>
          <w:sz w:val="22"/>
        </w:rPr>
        <w:t>Qi.</w:t>
      </w:r>
      <w:r>
        <w:rPr>
          <w:spacing w:val="-6"/>
          <w:sz w:val="22"/>
        </w:rPr>
        <w:t> </w:t>
      </w:r>
      <w:r>
        <w:rPr>
          <w:sz w:val="22"/>
        </w:rPr>
        <w:t>2021.</w:t>
      </w:r>
      <w:r>
        <w:rPr>
          <w:spacing w:val="-6"/>
          <w:sz w:val="22"/>
        </w:rPr>
        <w:t> </w:t>
      </w:r>
      <w:r>
        <w:rPr>
          <w:sz w:val="22"/>
        </w:rPr>
        <w:t>Climate</w:t>
      </w:r>
      <w:r>
        <w:rPr>
          <w:spacing w:val="-6"/>
          <w:sz w:val="22"/>
        </w:rPr>
        <w:t> </w:t>
      </w:r>
      <w:r>
        <w:rPr>
          <w:sz w:val="22"/>
        </w:rPr>
        <w:t>Prooﬁng</w:t>
      </w:r>
      <w:r>
        <w:rPr>
          <w:spacing w:val="-6"/>
          <w:sz w:val="22"/>
        </w:rPr>
        <w:t> </w:t>
      </w:r>
      <w:r>
        <w:rPr>
          <w:sz w:val="22"/>
        </w:rPr>
        <w:t>China’s</w:t>
      </w:r>
      <w:r>
        <w:rPr>
          <w:spacing w:val="-6"/>
          <w:sz w:val="22"/>
        </w:rPr>
        <w:t> </w:t>
      </w:r>
      <w:r>
        <w:rPr>
          <w:sz w:val="22"/>
        </w:rPr>
        <w:t>Belt</w:t>
      </w:r>
      <w:r>
        <w:rPr>
          <w:spacing w:val="-6"/>
          <w:sz w:val="22"/>
        </w:rPr>
        <w:t> </w:t>
      </w:r>
      <w:r>
        <w:rPr>
          <w:sz w:val="22"/>
        </w:rPr>
        <w:t>and</w:t>
      </w:r>
      <w:r>
        <w:rPr>
          <w:spacing w:val="-6"/>
          <w:sz w:val="22"/>
        </w:rPr>
        <w:t> </w:t>
      </w:r>
      <w:r>
        <w:rPr>
          <w:sz w:val="22"/>
        </w:rPr>
        <w:t>Road</w:t>
      </w:r>
      <w:r>
        <w:rPr>
          <w:spacing w:val="-6"/>
          <w:sz w:val="22"/>
        </w:rPr>
        <w:t> </w:t>
      </w:r>
      <w:r>
        <w:rPr>
          <w:sz w:val="22"/>
        </w:rPr>
        <w:t>Initiative</w:t>
      </w:r>
      <w:r>
        <w:rPr>
          <w:spacing w:val="-6"/>
          <w:sz w:val="22"/>
        </w:rPr>
        <w:t> </w:t>
      </w:r>
      <w:r>
        <w:rPr>
          <w:sz w:val="22"/>
        </w:rPr>
        <w:t>(BRI).</w:t>
      </w:r>
      <w:r>
        <w:rPr>
          <w:spacing w:val="-6"/>
          <w:sz w:val="22"/>
        </w:rPr>
        <w:t> </w:t>
      </w:r>
      <w:r>
        <w:rPr>
          <w:sz w:val="22"/>
        </w:rPr>
        <w:t>7 </w:t>
      </w:r>
      <w:r>
        <w:rPr>
          <w:spacing w:val="-2"/>
          <w:w w:val="105"/>
          <w:sz w:val="22"/>
        </w:rPr>
        <w:t>May</w:t>
      </w:r>
      <w:r>
        <w:rPr>
          <w:spacing w:val="-11"/>
          <w:w w:val="105"/>
          <w:sz w:val="22"/>
        </w:rPr>
        <w:t> </w:t>
      </w:r>
      <w:r>
        <w:rPr>
          <w:spacing w:val="-2"/>
          <w:w w:val="105"/>
          <w:sz w:val="22"/>
        </w:rPr>
        <w:t>2021.</w:t>
      </w:r>
      <w:r>
        <w:rPr>
          <w:spacing w:val="-11"/>
          <w:w w:val="105"/>
          <w:sz w:val="22"/>
        </w:rPr>
        <w:t> </w:t>
      </w:r>
      <w:r>
        <w:rPr>
          <w:spacing w:val="-2"/>
          <w:w w:val="105"/>
          <w:sz w:val="22"/>
        </w:rPr>
        <w:t>Climate</w:t>
      </w:r>
      <w:r>
        <w:rPr>
          <w:spacing w:val="-11"/>
          <w:w w:val="105"/>
          <w:sz w:val="22"/>
        </w:rPr>
        <w:t> </w:t>
      </w:r>
      <w:r>
        <w:rPr>
          <w:spacing w:val="-2"/>
          <w:w w:val="105"/>
          <w:sz w:val="22"/>
        </w:rPr>
        <w:t>Policy</w:t>
      </w:r>
      <w:r>
        <w:rPr>
          <w:spacing w:val="-11"/>
          <w:w w:val="105"/>
          <w:sz w:val="22"/>
        </w:rPr>
        <w:t> </w:t>
      </w:r>
      <w:r>
        <w:rPr>
          <w:spacing w:val="-2"/>
          <w:w w:val="105"/>
          <w:sz w:val="22"/>
        </w:rPr>
        <w:t>Lab.</w:t>
      </w:r>
      <w:r>
        <w:rPr>
          <w:spacing w:val="-11"/>
          <w:w w:val="105"/>
          <w:sz w:val="22"/>
        </w:rPr>
        <w:t> </w:t>
      </w:r>
      <w:r>
        <w:rPr>
          <w:spacing w:val="-2"/>
          <w:w w:val="105"/>
          <w:sz w:val="22"/>
        </w:rPr>
        <w:t>Accessed</w:t>
      </w:r>
      <w:r>
        <w:rPr>
          <w:spacing w:val="-11"/>
          <w:w w:val="105"/>
          <w:sz w:val="22"/>
        </w:rPr>
        <w:t> </w:t>
      </w:r>
      <w:r>
        <w:rPr>
          <w:spacing w:val="-2"/>
          <w:w w:val="105"/>
          <w:sz w:val="22"/>
        </w:rPr>
        <w:t>on</w:t>
      </w:r>
      <w:r>
        <w:rPr>
          <w:spacing w:val="-11"/>
          <w:w w:val="105"/>
          <w:sz w:val="22"/>
        </w:rPr>
        <w:t> </w:t>
      </w:r>
      <w:r>
        <w:rPr>
          <w:spacing w:val="-2"/>
          <w:w w:val="105"/>
          <w:sz w:val="22"/>
        </w:rPr>
        <w:t>25</w:t>
      </w:r>
      <w:r>
        <w:rPr>
          <w:spacing w:val="-11"/>
          <w:w w:val="105"/>
          <w:sz w:val="22"/>
        </w:rPr>
        <w:t> </w:t>
      </w:r>
      <w:r>
        <w:rPr>
          <w:spacing w:val="-2"/>
          <w:w w:val="105"/>
          <w:sz w:val="22"/>
        </w:rPr>
        <w:t>August</w:t>
      </w:r>
      <w:r>
        <w:rPr>
          <w:spacing w:val="-11"/>
          <w:w w:val="105"/>
          <w:sz w:val="22"/>
        </w:rPr>
        <w:t> </w:t>
      </w:r>
      <w:r>
        <w:rPr>
          <w:spacing w:val="-2"/>
          <w:w w:val="105"/>
          <w:sz w:val="22"/>
        </w:rPr>
        <w:t>2023</w:t>
      </w:r>
      <w:r>
        <w:rPr>
          <w:spacing w:val="-11"/>
          <w:w w:val="105"/>
          <w:sz w:val="22"/>
        </w:rPr>
        <w:t> </w:t>
      </w:r>
      <w:r>
        <w:rPr>
          <w:spacing w:val="-2"/>
          <w:w w:val="105"/>
          <w:sz w:val="22"/>
        </w:rPr>
        <w:t>at </w:t>
      </w:r>
      <w:hyperlink r:id="rId59">
        <w:r>
          <w:rPr>
            <w:color w:val="1154CC"/>
            <w:spacing w:val="-2"/>
            <w:sz w:val="22"/>
            <w:u w:val="thick" w:color="1154CC"/>
          </w:rPr>
          <w:t>https://www.climatepolicylab.org/climatesmart/2021/3/4/climate-prooﬁng-chinas-belt-and-road</w:t>
        </w:r>
      </w:hyperlink>
    </w:p>
    <w:p>
      <w:pPr>
        <w:spacing w:before="0"/>
        <w:ind w:left="200" w:right="0" w:firstLine="0"/>
        <w:jc w:val="left"/>
        <w:rPr>
          <w:sz w:val="22"/>
        </w:rPr>
      </w:pPr>
      <w:hyperlink r:id="rId59">
        <w:r>
          <w:rPr>
            <w:color w:val="1154CC"/>
            <w:sz w:val="22"/>
            <w:u w:val="thick" w:color="1154CC"/>
          </w:rPr>
          <w:t>-initiative-</w:t>
        </w:r>
        <w:r>
          <w:rPr>
            <w:color w:val="1154CC"/>
            <w:spacing w:val="-5"/>
            <w:sz w:val="22"/>
            <w:u w:val="thick" w:color="1154CC"/>
          </w:rPr>
          <w:t>bri</w:t>
        </w:r>
      </w:hyperlink>
    </w:p>
    <w:p>
      <w:pPr>
        <w:pStyle w:val="BodyText"/>
        <w:spacing w:before="9"/>
        <w:rPr>
          <w:sz w:val="28"/>
        </w:rPr>
      </w:pPr>
    </w:p>
    <w:p>
      <w:pPr>
        <w:spacing w:line="288" w:lineRule="auto" w:before="0"/>
        <w:ind w:left="200" w:right="0" w:firstLine="0"/>
        <w:jc w:val="left"/>
        <w:rPr>
          <w:sz w:val="22"/>
        </w:rPr>
      </w:pPr>
      <w:r>
        <w:rPr>
          <w:sz w:val="22"/>
        </w:rPr>
        <w:t>State Administration of Foreign Exchange (SAFE). 2021. State Administration of Foreign Exchange 2021 Annual Report. Beijing: SAFE. Accessed on 1 August 2023 at </w:t>
      </w:r>
      <w:r>
        <w:rPr>
          <w:spacing w:val="-2"/>
          <w:sz w:val="22"/>
        </w:rPr>
        <w:t>https://</w:t>
      </w:r>
      <w:hyperlink r:id="rId60">
        <w:r>
          <w:rPr>
            <w:spacing w:val="-2"/>
            <w:sz w:val="22"/>
          </w:rPr>
          <w:t>www.safe.gov.cn/en/ﬁle/ﬁle/20221226/9186b372d33e4a6b9d156ab154cc2979.pdf?n=</w:t>
        </w:r>
      </w:hyperlink>
      <w:r>
        <w:rPr>
          <w:spacing w:val="80"/>
          <w:sz w:val="22"/>
        </w:rPr>
        <w:t> </w:t>
      </w:r>
      <w:r>
        <w:rPr>
          <w:spacing w:val="-2"/>
          <w:sz w:val="22"/>
        </w:rPr>
        <w:t>Annual%20Report%20of%20the%20State%20Administration%20of%20Foreign%20Exchange% 20(2021)</w:t>
      </w:r>
    </w:p>
    <w:p>
      <w:pPr>
        <w:pStyle w:val="BodyText"/>
        <w:spacing w:before="4"/>
      </w:pPr>
    </w:p>
    <w:p>
      <w:pPr>
        <w:spacing w:line="288" w:lineRule="auto" w:before="0"/>
        <w:ind w:left="200" w:right="561" w:firstLine="0"/>
        <w:jc w:val="left"/>
        <w:rPr>
          <w:sz w:val="22"/>
        </w:rPr>
      </w:pPr>
      <w:r>
        <w:rPr>
          <w:sz w:val="22"/>
        </w:rPr>
        <w:t>Suﬁ,</w:t>
      </w:r>
      <w:r>
        <w:rPr>
          <w:spacing w:val="-4"/>
          <w:sz w:val="22"/>
        </w:rPr>
        <w:t> </w:t>
      </w:r>
      <w:r>
        <w:rPr>
          <w:sz w:val="22"/>
        </w:rPr>
        <w:t>Amir,</w:t>
      </w:r>
      <w:r>
        <w:rPr>
          <w:spacing w:val="-4"/>
          <w:sz w:val="22"/>
        </w:rPr>
        <w:t> </w:t>
      </w:r>
      <w:r>
        <w:rPr>
          <w:sz w:val="22"/>
        </w:rPr>
        <w:t>2007.</w:t>
      </w:r>
      <w:r>
        <w:rPr>
          <w:spacing w:val="-4"/>
          <w:sz w:val="22"/>
        </w:rPr>
        <w:t> </w:t>
      </w:r>
      <w:r>
        <w:rPr>
          <w:sz w:val="22"/>
        </w:rPr>
        <w:t>Information</w:t>
      </w:r>
      <w:r>
        <w:rPr>
          <w:spacing w:val="-4"/>
          <w:sz w:val="22"/>
        </w:rPr>
        <w:t> </w:t>
      </w:r>
      <w:r>
        <w:rPr>
          <w:sz w:val="22"/>
        </w:rPr>
        <w:t>asymmetry</w:t>
      </w:r>
      <w:r>
        <w:rPr>
          <w:spacing w:val="-4"/>
          <w:sz w:val="22"/>
        </w:rPr>
        <w:t> </w:t>
      </w:r>
      <w:r>
        <w:rPr>
          <w:sz w:val="22"/>
        </w:rPr>
        <w:t>and</w:t>
      </w:r>
      <w:r>
        <w:rPr>
          <w:spacing w:val="-4"/>
          <w:sz w:val="22"/>
        </w:rPr>
        <w:t> </w:t>
      </w:r>
      <w:r>
        <w:rPr>
          <w:sz w:val="22"/>
        </w:rPr>
        <w:t>ﬁnancing</w:t>
      </w:r>
      <w:r>
        <w:rPr>
          <w:spacing w:val="-4"/>
          <w:sz w:val="22"/>
        </w:rPr>
        <w:t> </w:t>
      </w:r>
      <w:r>
        <w:rPr>
          <w:sz w:val="22"/>
        </w:rPr>
        <w:t>arrangements:</w:t>
      </w:r>
      <w:r>
        <w:rPr>
          <w:spacing w:val="-4"/>
          <w:sz w:val="22"/>
        </w:rPr>
        <w:t> </w:t>
      </w:r>
      <w:r>
        <w:rPr>
          <w:sz w:val="22"/>
        </w:rPr>
        <w:t>Evidence</w:t>
      </w:r>
      <w:r>
        <w:rPr>
          <w:spacing w:val="-4"/>
          <w:sz w:val="22"/>
        </w:rPr>
        <w:t> </w:t>
      </w:r>
      <w:r>
        <w:rPr>
          <w:sz w:val="22"/>
        </w:rPr>
        <w:t>from syndicated loans. </w:t>
      </w:r>
      <w:r>
        <w:rPr>
          <w:i/>
          <w:sz w:val="22"/>
        </w:rPr>
        <w:t>The Journal of Finance </w:t>
      </w:r>
      <w:r>
        <w:rPr>
          <w:sz w:val="22"/>
        </w:rPr>
        <w:t>62: 629–668.</w:t>
      </w:r>
    </w:p>
    <w:p>
      <w:pPr>
        <w:pStyle w:val="BodyText"/>
        <w:spacing w:before="6"/>
      </w:pPr>
    </w:p>
    <w:p>
      <w:pPr>
        <w:spacing w:line="288" w:lineRule="auto" w:before="0"/>
        <w:ind w:left="200" w:right="0" w:firstLine="0"/>
        <w:jc w:val="left"/>
        <w:rPr>
          <w:sz w:val="22"/>
        </w:rPr>
      </w:pPr>
      <w:r>
        <w:rPr>
          <w:sz w:val="22"/>
        </w:rPr>
        <w:t>Swedlund, Haley J. 2017. </w:t>
      </w:r>
      <w:r>
        <w:rPr>
          <w:i/>
          <w:sz w:val="22"/>
        </w:rPr>
        <w:t>The Development Dance: How Donors and Recipients Negotiate the</w:t>
      </w:r>
      <w:r>
        <w:rPr>
          <w:i/>
          <w:sz w:val="22"/>
        </w:rPr>
        <w:t> Delivery of Foreign Aid</w:t>
      </w:r>
      <w:r>
        <w:rPr>
          <w:sz w:val="22"/>
        </w:rPr>
        <w:t>. Ithaca, NY: Cornell University Press.</w:t>
      </w:r>
    </w:p>
    <w:p>
      <w:pPr>
        <w:pStyle w:val="BodyText"/>
        <w:spacing w:before="5"/>
      </w:pPr>
    </w:p>
    <w:p>
      <w:pPr>
        <w:spacing w:line="288" w:lineRule="auto" w:before="0"/>
        <w:ind w:left="200" w:right="0" w:firstLine="0"/>
        <w:jc w:val="left"/>
        <w:rPr>
          <w:sz w:val="22"/>
        </w:rPr>
      </w:pPr>
      <w:r>
        <w:rPr>
          <w:sz w:val="22"/>
        </w:rPr>
        <w:t>The Export-Import Bank of China. 2017. Offering Memorandum. 7 March 2017. Accessed on 4 August 2023 at </w:t>
      </w:r>
      <w:hyperlink r:id="rId61">
        <w:r>
          <w:rPr>
            <w:color w:val="1154CC"/>
            <w:spacing w:val="-2"/>
            <w:sz w:val="22"/>
            <w:u w:val="thick" w:color="1154CC"/>
          </w:rPr>
          <w:t>https://links.sgx.com/FileOpen/China%20EximBank_USD%20Bonds%20Offering%20Memoran</w:t>
        </w:r>
      </w:hyperlink>
      <w:r>
        <w:rPr>
          <w:color w:val="1154CC"/>
          <w:spacing w:val="-2"/>
          <w:sz w:val="22"/>
        </w:rPr>
        <w:t> </w:t>
      </w:r>
      <w:hyperlink r:id="rId61">
        <w:r>
          <w:rPr>
            <w:color w:val="1154CC"/>
            <w:spacing w:val="-2"/>
            <w:sz w:val="22"/>
            <w:u w:val="thick" w:color="1154CC"/>
          </w:rPr>
          <w:t>dum%20dated%207%20March%202017.ashx?App=Prospectus&amp;FileID=30816</w:t>
        </w:r>
      </w:hyperlink>
    </w:p>
    <w:p>
      <w:pPr>
        <w:spacing w:after="0" w:line="288" w:lineRule="auto"/>
        <w:jc w:val="left"/>
        <w:rPr>
          <w:sz w:val="22"/>
        </w:rPr>
        <w:sectPr>
          <w:footerReference w:type="default" r:id="rId56"/>
          <w:pgSz w:w="12240" w:h="15840"/>
          <w:pgMar w:footer="0" w:header="0" w:top="1400" w:bottom="280" w:left="1240" w:right="1260"/>
        </w:sectPr>
      </w:pPr>
    </w:p>
    <w:p>
      <w:pPr>
        <w:spacing w:line="288" w:lineRule="auto" w:before="44"/>
        <w:ind w:left="200" w:right="561" w:firstLine="0"/>
        <w:jc w:val="left"/>
        <w:rPr>
          <w:sz w:val="22"/>
        </w:rPr>
      </w:pPr>
      <w:r>
        <w:rPr>
          <w:sz w:val="22"/>
        </w:rPr>
        <w:t>UNEP-WCMC</w:t>
      </w:r>
      <w:r>
        <w:rPr>
          <w:spacing w:val="-6"/>
          <w:sz w:val="22"/>
        </w:rPr>
        <w:t> </w:t>
      </w:r>
      <w:r>
        <w:rPr>
          <w:sz w:val="22"/>
        </w:rPr>
        <w:t>&amp;</w:t>
      </w:r>
      <w:r>
        <w:rPr>
          <w:spacing w:val="-6"/>
          <w:sz w:val="22"/>
        </w:rPr>
        <w:t> </w:t>
      </w:r>
      <w:r>
        <w:rPr>
          <w:sz w:val="22"/>
        </w:rPr>
        <w:t>IUCN.</w:t>
      </w:r>
      <w:r>
        <w:rPr>
          <w:spacing w:val="-6"/>
          <w:sz w:val="22"/>
        </w:rPr>
        <w:t> </w:t>
      </w:r>
      <w:r>
        <w:rPr>
          <w:sz w:val="22"/>
        </w:rPr>
        <w:t>2023.</w:t>
      </w:r>
      <w:r>
        <w:rPr>
          <w:spacing w:val="-6"/>
          <w:sz w:val="22"/>
        </w:rPr>
        <w:t> </w:t>
      </w:r>
      <w:r>
        <w:rPr>
          <w:sz w:val="22"/>
        </w:rPr>
        <w:t>Protected</w:t>
      </w:r>
      <w:r>
        <w:rPr>
          <w:spacing w:val="-6"/>
          <w:sz w:val="22"/>
        </w:rPr>
        <w:t> </w:t>
      </w:r>
      <w:r>
        <w:rPr>
          <w:sz w:val="22"/>
        </w:rPr>
        <w:t>Planet:</w:t>
      </w:r>
      <w:r>
        <w:rPr>
          <w:spacing w:val="-6"/>
          <w:sz w:val="22"/>
        </w:rPr>
        <w:t> </w:t>
      </w:r>
      <w:r>
        <w:rPr>
          <w:sz w:val="22"/>
        </w:rPr>
        <w:t>The</w:t>
      </w:r>
      <w:r>
        <w:rPr>
          <w:spacing w:val="-6"/>
          <w:sz w:val="22"/>
        </w:rPr>
        <w:t> </w:t>
      </w:r>
      <w:r>
        <w:rPr>
          <w:sz w:val="22"/>
        </w:rPr>
        <w:t>World</w:t>
      </w:r>
      <w:r>
        <w:rPr>
          <w:spacing w:val="-6"/>
          <w:sz w:val="22"/>
        </w:rPr>
        <w:t> </w:t>
      </w:r>
      <w:r>
        <w:rPr>
          <w:sz w:val="22"/>
        </w:rPr>
        <w:t>Database</w:t>
      </w:r>
      <w:r>
        <w:rPr>
          <w:spacing w:val="-6"/>
          <w:sz w:val="22"/>
        </w:rPr>
        <w:t> </w:t>
      </w:r>
      <w:r>
        <w:rPr>
          <w:sz w:val="22"/>
        </w:rPr>
        <w:t>on</w:t>
      </w:r>
      <w:r>
        <w:rPr>
          <w:spacing w:val="-6"/>
          <w:sz w:val="22"/>
        </w:rPr>
        <w:t> </w:t>
      </w:r>
      <w:r>
        <w:rPr>
          <w:sz w:val="22"/>
        </w:rPr>
        <w:t>Protected</w:t>
      </w:r>
      <w:r>
        <w:rPr>
          <w:spacing w:val="-6"/>
          <w:sz w:val="22"/>
        </w:rPr>
        <w:t> </w:t>
      </w:r>
      <w:r>
        <w:rPr>
          <w:sz w:val="22"/>
        </w:rPr>
        <w:t>Areas (WDPA). August 2023. Cambridge, UK: UNEP-WCMC &amp; IUCN.</w:t>
      </w:r>
    </w:p>
    <w:p>
      <w:pPr>
        <w:pStyle w:val="BodyText"/>
        <w:spacing w:before="4"/>
      </w:pPr>
    </w:p>
    <w:p>
      <w:pPr>
        <w:spacing w:line="288" w:lineRule="auto" w:before="1"/>
        <w:ind w:left="200" w:right="0" w:firstLine="0"/>
        <w:jc w:val="left"/>
        <w:rPr>
          <w:sz w:val="22"/>
        </w:rPr>
      </w:pPr>
      <w:r>
        <w:rPr>
          <w:sz w:val="22"/>
        </w:rPr>
        <w:t>Wade,</w:t>
      </w:r>
      <w:r>
        <w:rPr>
          <w:spacing w:val="-7"/>
          <w:sz w:val="22"/>
        </w:rPr>
        <w:t> </w:t>
      </w:r>
      <w:r>
        <w:rPr>
          <w:sz w:val="22"/>
        </w:rPr>
        <w:t>Abdoulaye.</w:t>
      </w:r>
      <w:r>
        <w:rPr>
          <w:spacing w:val="-7"/>
          <w:sz w:val="22"/>
        </w:rPr>
        <w:t> </w:t>
      </w:r>
      <w:r>
        <w:rPr>
          <w:sz w:val="22"/>
        </w:rPr>
        <w:t>2008.</w:t>
      </w:r>
      <w:r>
        <w:rPr>
          <w:spacing w:val="-7"/>
          <w:sz w:val="22"/>
        </w:rPr>
        <w:t> </w:t>
      </w:r>
      <w:r>
        <w:rPr>
          <w:sz w:val="22"/>
        </w:rPr>
        <w:t>Time</w:t>
      </w:r>
      <w:r>
        <w:rPr>
          <w:spacing w:val="-7"/>
          <w:sz w:val="22"/>
        </w:rPr>
        <w:t> </w:t>
      </w:r>
      <w:r>
        <w:rPr>
          <w:sz w:val="22"/>
        </w:rPr>
        <w:t>for</w:t>
      </w:r>
      <w:r>
        <w:rPr>
          <w:spacing w:val="-7"/>
          <w:sz w:val="22"/>
        </w:rPr>
        <w:t> </w:t>
      </w:r>
      <w:r>
        <w:rPr>
          <w:sz w:val="22"/>
        </w:rPr>
        <w:t>the</w:t>
      </w:r>
      <w:r>
        <w:rPr>
          <w:spacing w:val="-7"/>
          <w:sz w:val="22"/>
        </w:rPr>
        <w:t> </w:t>
      </w:r>
      <w:r>
        <w:rPr>
          <w:sz w:val="22"/>
        </w:rPr>
        <w:t>West</w:t>
      </w:r>
      <w:r>
        <w:rPr>
          <w:spacing w:val="-7"/>
          <w:sz w:val="22"/>
        </w:rPr>
        <w:t> </w:t>
      </w:r>
      <w:r>
        <w:rPr>
          <w:sz w:val="22"/>
        </w:rPr>
        <w:t>to</w:t>
      </w:r>
      <w:r>
        <w:rPr>
          <w:spacing w:val="-7"/>
          <w:sz w:val="22"/>
        </w:rPr>
        <w:t> </w:t>
      </w:r>
      <w:r>
        <w:rPr>
          <w:sz w:val="22"/>
        </w:rPr>
        <w:t>Practice</w:t>
      </w:r>
      <w:r>
        <w:rPr>
          <w:spacing w:val="-7"/>
          <w:sz w:val="22"/>
        </w:rPr>
        <w:t> </w:t>
      </w:r>
      <w:r>
        <w:rPr>
          <w:sz w:val="22"/>
        </w:rPr>
        <w:t>What</w:t>
      </w:r>
      <w:r>
        <w:rPr>
          <w:spacing w:val="-7"/>
          <w:sz w:val="22"/>
        </w:rPr>
        <w:t> </w:t>
      </w:r>
      <w:r>
        <w:rPr>
          <w:sz w:val="22"/>
        </w:rPr>
        <w:t>It</w:t>
      </w:r>
      <w:r>
        <w:rPr>
          <w:spacing w:val="-7"/>
          <w:sz w:val="22"/>
        </w:rPr>
        <w:t> </w:t>
      </w:r>
      <w:r>
        <w:rPr>
          <w:sz w:val="22"/>
        </w:rPr>
        <w:t>Preaches.</w:t>
      </w:r>
      <w:r>
        <w:rPr>
          <w:spacing w:val="-7"/>
          <w:sz w:val="22"/>
        </w:rPr>
        <w:t> </w:t>
      </w:r>
      <w:r>
        <w:rPr>
          <w:i/>
          <w:sz w:val="22"/>
        </w:rPr>
        <w:t>Financial</w:t>
      </w:r>
      <w:r>
        <w:rPr>
          <w:i/>
          <w:spacing w:val="-7"/>
          <w:sz w:val="22"/>
        </w:rPr>
        <w:t> </w:t>
      </w:r>
      <w:r>
        <w:rPr>
          <w:i/>
          <w:sz w:val="22"/>
        </w:rPr>
        <w:t>Times</w:t>
      </w:r>
      <w:r>
        <w:rPr>
          <w:sz w:val="22"/>
        </w:rPr>
        <w:t>.</w:t>
      </w:r>
      <w:r>
        <w:rPr>
          <w:spacing w:val="-7"/>
          <w:sz w:val="22"/>
        </w:rPr>
        <w:t> </w:t>
      </w:r>
      <w:r>
        <w:rPr>
          <w:sz w:val="22"/>
        </w:rPr>
        <w:t>23 January 2008. Accessed on 15 August 2023 at</w:t>
      </w:r>
    </w:p>
    <w:p>
      <w:pPr>
        <w:spacing w:before="0"/>
        <w:ind w:left="200" w:right="0" w:firstLine="0"/>
        <w:jc w:val="left"/>
        <w:rPr>
          <w:sz w:val="22"/>
        </w:rPr>
      </w:pPr>
      <w:hyperlink r:id="rId63">
        <w:r>
          <w:rPr>
            <w:color w:val="1154CC"/>
            <w:sz w:val="22"/>
            <w:u w:val="thick" w:color="1154CC"/>
          </w:rPr>
          <w:t>https://www.ft.com/content/5d347f88-c897-11dc-94a6-</w:t>
        </w:r>
        <w:r>
          <w:rPr>
            <w:color w:val="1154CC"/>
            <w:spacing w:val="-2"/>
            <w:sz w:val="22"/>
            <w:u w:val="thick" w:color="1154CC"/>
          </w:rPr>
          <w:t>0000779fd2ac</w:t>
        </w:r>
      </w:hyperlink>
      <w:r>
        <w:rPr>
          <w:spacing w:val="-2"/>
          <w:sz w:val="22"/>
        </w:rPr>
        <w:t>.</w:t>
      </w:r>
    </w:p>
    <w:p>
      <w:pPr>
        <w:pStyle w:val="BodyText"/>
        <w:spacing w:before="8"/>
        <w:rPr>
          <w:sz w:val="28"/>
        </w:rPr>
      </w:pPr>
    </w:p>
    <w:p>
      <w:pPr>
        <w:spacing w:line="288" w:lineRule="auto" w:before="0"/>
        <w:ind w:left="200" w:right="611" w:firstLine="0"/>
        <w:jc w:val="left"/>
        <w:rPr>
          <w:sz w:val="22"/>
        </w:rPr>
      </w:pPr>
      <w:r>
        <w:rPr>
          <w:sz w:val="22"/>
        </w:rPr>
        <w:t>Wade, Robert H. 2009. Accountability Gone Wrong: The World Bank, Nongovernmental Organisations</w:t>
      </w:r>
      <w:r>
        <w:rPr>
          <w:spacing w:val="-4"/>
          <w:sz w:val="22"/>
        </w:rPr>
        <w:t> </w:t>
      </w:r>
      <w:r>
        <w:rPr>
          <w:sz w:val="22"/>
        </w:rPr>
        <w:t>and</w:t>
      </w:r>
      <w:r>
        <w:rPr>
          <w:spacing w:val="-4"/>
          <w:sz w:val="22"/>
        </w:rPr>
        <w:t> </w:t>
      </w:r>
      <w:r>
        <w:rPr>
          <w:sz w:val="22"/>
        </w:rPr>
        <w:t>the</w:t>
      </w:r>
      <w:r>
        <w:rPr>
          <w:spacing w:val="-4"/>
          <w:sz w:val="22"/>
        </w:rPr>
        <w:t> </w:t>
      </w:r>
      <w:r>
        <w:rPr>
          <w:sz w:val="22"/>
        </w:rPr>
        <w:t>US</w:t>
      </w:r>
      <w:r>
        <w:rPr>
          <w:spacing w:val="-4"/>
          <w:sz w:val="22"/>
        </w:rPr>
        <w:t> </w:t>
      </w:r>
      <w:r>
        <w:rPr>
          <w:sz w:val="22"/>
        </w:rPr>
        <w:t>Government</w:t>
      </w:r>
      <w:r>
        <w:rPr>
          <w:spacing w:val="-4"/>
          <w:sz w:val="22"/>
        </w:rPr>
        <w:t> </w:t>
      </w:r>
      <w:r>
        <w:rPr>
          <w:sz w:val="22"/>
        </w:rPr>
        <w:t>in</w:t>
      </w:r>
      <w:r>
        <w:rPr>
          <w:spacing w:val="-4"/>
          <w:sz w:val="22"/>
        </w:rPr>
        <w:t> </w:t>
      </w:r>
      <w:r>
        <w:rPr>
          <w:sz w:val="22"/>
        </w:rPr>
        <w:t>a</w:t>
      </w:r>
      <w:r>
        <w:rPr>
          <w:spacing w:val="-4"/>
          <w:sz w:val="22"/>
        </w:rPr>
        <w:t> </w:t>
      </w:r>
      <w:r>
        <w:rPr>
          <w:sz w:val="22"/>
        </w:rPr>
        <w:t>Fight</w:t>
      </w:r>
      <w:r>
        <w:rPr>
          <w:spacing w:val="-4"/>
          <w:sz w:val="22"/>
        </w:rPr>
        <w:t> </w:t>
      </w:r>
      <w:r>
        <w:rPr>
          <w:sz w:val="22"/>
        </w:rPr>
        <w:t>over</w:t>
      </w:r>
      <w:r>
        <w:rPr>
          <w:spacing w:val="-4"/>
          <w:sz w:val="22"/>
        </w:rPr>
        <w:t> </w:t>
      </w:r>
      <w:r>
        <w:rPr>
          <w:sz w:val="22"/>
        </w:rPr>
        <w:t>China.</w:t>
      </w:r>
      <w:r>
        <w:rPr>
          <w:spacing w:val="-4"/>
          <w:sz w:val="22"/>
        </w:rPr>
        <w:t> </w:t>
      </w:r>
      <w:r>
        <w:rPr>
          <w:i/>
          <w:sz w:val="22"/>
        </w:rPr>
        <w:t>New</w:t>
      </w:r>
      <w:r>
        <w:rPr>
          <w:i/>
          <w:spacing w:val="-4"/>
          <w:sz w:val="22"/>
        </w:rPr>
        <w:t> </w:t>
      </w:r>
      <w:r>
        <w:rPr>
          <w:i/>
          <w:sz w:val="22"/>
        </w:rPr>
        <w:t>Political</w:t>
      </w:r>
      <w:r>
        <w:rPr>
          <w:i/>
          <w:spacing w:val="-4"/>
          <w:sz w:val="22"/>
        </w:rPr>
        <w:t> </w:t>
      </w:r>
      <w:r>
        <w:rPr>
          <w:i/>
          <w:sz w:val="22"/>
        </w:rPr>
        <w:t>Economy</w:t>
      </w:r>
      <w:r>
        <w:rPr>
          <w:i/>
          <w:spacing w:val="-4"/>
          <w:sz w:val="22"/>
        </w:rPr>
        <w:t> </w:t>
      </w:r>
      <w:r>
        <w:rPr>
          <w:sz w:val="22"/>
        </w:rPr>
        <w:t>14</w:t>
      </w:r>
      <w:r>
        <w:rPr>
          <w:spacing w:val="-4"/>
          <w:sz w:val="22"/>
        </w:rPr>
        <w:t> </w:t>
      </w:r>
      <w:r>
        <w:rPr>
          <w:sz w:val="22"/>
        </w:rPr>
        <w:t>(1): </w:t>
      </w:r>
      <w:r>
        <w:rPr>
          <w:spacing w:val="-2"/>
          <w:sz w:val="22"/>
        </w:rPr>
        <w:t>25-48.</w:t>
      </w:r>
    </w:p>
    <w:p>
      <w:pPr>
        <w:pStyle w:val="BodyText"/>
        <w:spacing w:before="5"/>
      </w:pPr>
    </w:p>
    <w:p>
      <w:pPr>
        <w:spacing w:line="288" w:lineRule="auto" w:before="1"/>
        <w:ind w:left="200" w:right="0" w:firstLine="0"/>
        <w:jc w:val="left"/>
        <w:rPr>
          <w:sz w:val="22"/>
        </w:rPr>
      </w:pPr>
      <w:r>
        <w:rPr>
          <w:sz w:val="22"/>
        </w:rPr>
        <w:t>Warner,</w:t>
      </w:r>
      <w:r>
        <w:rPr>
          <w:spacing w:val="-12"/>
          <w:sz w:val="22"/>
        </w:rPr>
        <w:t> </w:t>
      </w:r>
      <w:r>
        <w:rPr>
          <w:sz w:val="22"/>
        </w:rPr>
        <w:t>Andrew.</w:t>
      </w:r>
      <w:r>
        <w:rPr>
          <w:spacing w:val="-12"/>
          <w:sz w:val="22"/>
        </w:rPr>
        <w:t> </w:t>
      </w:r>
      <w:r>
        <w:rPr>
          <w:sz w:val="22"/>
        </w:rPr>
        <w:t>2010.</w:t>
      </w:r>
      <w:r>
        <w:rPr>
          <w:spacing w:val="-12"/>
          <w:sz w:val="22"/>
        </w:rPr>
        <w:t> </w:t>
      </w:r>
      <w:r>
        <w:rPr>
          <w:sz w:val="22"/>
        </w:rPr>
        <w:t>Cost-Beneﬁt</w:t>
      </w:r>
      <w:r>
        <w:rPr>
          <w:spacing w:val="-12"/>
          <w:sz w:val="22"/>
        </w:rPr>
        <w:t> </w:t>
      </w:r>
      <w:r>
        <w:rPr>
          <w:sz w:val="22"/>
        </w:rPr>
        <w:t>Analysis</w:t>
      </w:r>
      <w:r>
        <w:rPr>
          <w:spacing w:val="-12"/>
          <w:sz w:val="22"/>
        </w:rPr>
        <w:t> </w:t>
      </w:r>
      <w:r>
        <w:rPr>
          <w:sz w:val="22"/>
        </w:rPr>
        <w:t>in</w:t>
      </w:r>
      <w:r>
        <w:rPr>
          <w:spacing w:val="-12"/>
          <w:sz w:val="22"/>
        </w:rPr>
        <w:t> </w:t>
      </w:r>
      <w:r>
        <w:rPr>
          <w:sz w:val="22"/>
        </w:rPr>
        <w:t>World</w:t>
      </w:r>
      <w:r>
        <w:rPr>
          <w:spacing w:val="-12"/>
          <w:sz w:val="22"/>
        </w:rPr>
        <w:t> </w:t>
      </w:r>
      <w:r>
        <w:rPr>
          <w:sz w:val="22"/>
        </w:rPr>
        <w:t>Bank</w:t>
      </w:r>
      <w:r>
        <w:rPr>
          <w:spacing w:val="-12"/>
          <w:sz w:val="22"/>
        </w:rPr>
        <w:t> </w:t>
      </w:r>
      <w:r>
        <w:rPr>
          <w:sz w:val="22"/>
        </w:rPr>
        <w:t>Projects.</w:t>
      </w:r>
      <w:r>
        <w:rPr>
          <w:spacing w:val="-12"/>
          <w:sz w:val="22"/>
        </w:rPr>
        <w:t> </w:t>
      </w:r>
      <w:r>
        <w:rPr>
          <w:sz w:val="22"/>
        </w:rPr>
        <w:t>Washington,</w:t>
      </w:r>
      <w:r>
        <w:rPr>
          <w:spacing w:val="-12"/>
          <w:sz w:val="22"/>
        </w:rPr>
        <w:t> </w:t>
      </w:r>
      <w:r>
        <w:rPr>
          <w:sz w:val="22"/>
        </w:rPr>
        <w:t>DC: Independent Evaluation Group of the World Bank.</w:t>
      </w:r>
    </w:p>
    <w:p>
      <w:pPr>
        <w:pStyle w:val="BodyText"/>
        <w:spacing w:before="3"/>
      </w:pPr>
    </w:p>
    <w:p>
      <w:pPr>
        <w:spacing w:line="288" w:lineRule="auto" w:before="1"/>
        <w:ind w:left="200" w:right="289"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w:t>
      </w:r>
      <w:r>
        <w:rPr>
          <w:spacing w:val="-8"/>
          <w:sz w:val="22"/>
        </w:rPr>
        <w:t> </w:t>
      </w:r>
      <w:r>
        <w:rPr>
          <w:sz w:val="22"/>
        </w:rPr>
        <w:t>2023. Chinese development ﬁnance and public opinion. 2 October 2023. VoxEU column. Accessed on 2 October 2023 at</w:t>
      </w:r>
    </w:p>
    <w:p>
      <w:pPr>
        <w:spacing w:before="0"/>
        <w:ind w:left="200" w:right="0" w:firstLine="0"/>
        <w:jc w:val="left"/>
        <w:rPr>
          <w:sz w:val="22"/>
        </w:rPr>
      </w:pPr>
      <w:hyperlink r:id="rId64">
        <w:r>
          <w:rPr>
            <w:color w:val="1154CC"/>
            <w:sz w:val="22"/>
            <w:u w:val="thick" w:color="1154CC"/>
          </w:rPr>
          <w:t>https://cepr.org/voxeu/columns/chinese-development-ﬁnance-and-public-</w:t>
        </w:r>
        <w:r>
          <w:rPr>
            <w:color w:val="1154CC"/>
            <w:spacing w:val="-2"/>
            <w:sz w:val="22"/>
            <w:u w:val="thick" w:color="1154CC"/>
          </w:rPr>
          <w:t>opinion</w:t>
        </w:r>
      </w:hyperlink>
    </w:p>
    <w:p>
      <w:pPr>
        <w:pStyle w:val="BodyText"/>
        <w:spacing w:before="8"/>
        <w:rPr>
          <w:sz w:val="28"/>
        </w:rPr>
      </w:pPr>
    </w:p>
    <w:p>
      <w:pPr>
        <w:spacing w:line="288" w:lineRule="auto" w:before="0"/>
        <w:ind w:left="200" w:right="561"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 Forthcoming. Can Aid Buy Foreign Public Support? Evidence from Chinese Development Finance. </w:t>
      </w:r>
      <w:r>
        <w:rPr>
          <w:i/>
          <w:sz w:val="22"/>
        </w:rPr>
        <w:t>Economic Development and Cultural Change</w:t>
      </w:r>
      <w:r>
        <w:rPr>
          <w:sz w:val="22"/>
        </w:rPr>
        <w:t>.</w:t>
      </w:r>
    </w:p>
    <w:p>
      <w:pPr>
        <w:pStyle w:val="BodyText"/>
        <w:spacing w:before="5"/>
      </w:pPr>
    </w:p>
    <w:p>
      <w:pPr>
        <w:spacing w:line="288" w:lineRule="auto" w:before="0"/>
        <w:ind w:left="200" w:right="234" w:firstLine="0"/>
        <w:jc w:val="left"/>
        <w:rPr>
          <w:sz w:val="22"/>
        </w:rPr>
      </w:pPr>
      <w:r>
        <w:rPr>
          <w:sz w:val="22"/>
        </w:rPr>
        <w:t>Wilson, Elliot. 2022. BRI: Have we passed peak China? 16 February 2022. Euromoney. Accessed on 3 August 2023 at </w:t>
      </w:r>
      <w:hyperlink r:id="rId65">
        <w:r>
          <w:rPr>
            <w:color w:val="1154CC"/>
            <w:spacing w:val="-2"/>
            <w:sz w:val="22"/>
            <w:u w:val="thick" w:color="1154CC"/>
          </w:rPr>
          <w:t>https://www.euromoney.com/article/29ppq3xrh5p5bxgoh9dz4/opinion/bri-have-we-passed-pe</w:t>
        </w:r>
      </w:hyperlink>
      <w:r>
        <w:rPr>
          <w:color w:val="1154CC"/>
          <w:spacing w:val="40"/>
          <w:sz w:val="22"/>
        </w:rPr>
        <w:t>  </w:t>
      </w:r>
      <w:hyperlink r:id="rId65">
        <w:r>
          <w:rPr>
            <w:color w:val="1154CC"/>
            <w:spacing w:val="-2"/>
            <w:sz w:val="22"/>
            <w:u w:val="thick" w:color="1154CC"/>
          </w:rPr>
          <w:t>ak-china</w:t>
        </w:r>
      </w:hyperlink>
    </w:p>
    <w:p>
      <w:pPr>
        <w:pStyle w:val="BodyText"/>
        <w:spacing w:before="4"/>
      </w:pPr>
    </w:p>
    <w:p>
      <w:pPr>
        <w:spacing w:line="288" w:lineRule="auto" w:before="1"/>
        <w:ind w:left="200" w:right="185" w:firstLine="0"/>
        <w:jc w:val="left"/>
        <w:rPr>
          <w:sz w:val="22"/>
        </w:rPr>
      </w:pPr>
      <w:r>
        <w:rPr>
          <w:sz w:val="22"/>
        </w:rPr>
        <w:t>Wong, Chun Han and Keith Zhai. 2023. Court Papers Open Rare Window Into Role of Graft in China’s Overseas Lending. 9 June 2023. </w:t>
      </w:r>
      <w:r>
        <w:rPr>
          <w:i/>
          <w:sz w:val="22"/>
        </w:rPr>
        <w:t>Wall Street Journal. </w:t>
      </w:r>
      <w:r>
        <w:rPr>
          <w:sz w:val="22"/>
        </w:rPr>
        <w:t>Accessed on 7 August 2023 at </w:t>
      </w:r>
      <w:hyperlink r:id="rId66">
        <w:r>
          <w:rPr>
            <w:color w:val="1154CC"/>
            <w:spacing w:val="-2"/>
            <w:sz w:val="22"/>
            <w:u w:val="thick" w:color="1154CC"/>
          </w:rPr>
          <w:t>https://www.wsj.com/articles/court-papers-open-rare-window-into-role-of-graft-in-chinas-overse</w:t>
        </w:r>
      </w:hyperlink>
      <w:r>
        <w:rPr>
          <w:color w:val="1154CC"/>
          <w:spacing w:val="40"/>
          <w:w w:val="105"/>
          <w:sz w:val="22"/>
        </w:rPr>
        <w:t> </w:t>
      </w:r>
      <w:hyperlink r:id="rId66">
        <w:r>
          <w:rPr>
            <w:color w:val="1154CC"/>
            <w:spacing w:val="-2"/>
            <w:w w:val="105"/>
            <w:sz w:val="22"/>
            <w:u w:val="thick" w:color="1154CC"/>
          </w:rPr>
          <w:t>as-lending-69f7ab81</w:t>
        </w:r>
      </w:hyperlink>
    </w:p>
    <w:p>
      <w:pPr>
        <w:pStyle w:val="BodyText"/>
        <w:spacing w:before="5"/>
      </w:pPr>
    </w:p>
    <w:p>
      <w:pPr>
        <w:spacing w:line="288" w:lineRule="auto" w:before="0"/>
        <w:ind w:left="200" w:right="179" w:firstLine="0"/>
        <w:jc w:val="left"/>
        <w:rPr>
          <w:sz w:val="22"/>
        </w:rPr>
      </w:pPr>
      <w:r>
        <w:rPr>
          <w:sz w:val="22"/>
        </w:rPr>
        <w:t>World Bank. 2023c. Remarks by World Bank Group President Ajay Banga at the 2023 Annual Meetings Plenary on 13 October 2023. Washington DC: World Bank. Accessed on 13 October 2023 at</w:t>
      </w:r>
    </w:p>
    <w:p>
      <w:pPr>
        <w:spacing w:line="288" w:lineRule="auto" w:before="0"/>
        <w:ind w:left="200" w:right="288" w:firstLine="0"/>
        <w:jc w:val="left"/>
        <w:rPr>
          <w:sz w:val="22"/>
        </w:rPr>
      </w:pPr>
      <w:r>
        <w:rPr>
          <w:spacing w:val="-2"/>
          <w:sz w:val="22"/>
        </w:rPr>
        <w:t>https://</w:t>
      </w:r>
      <w:hyperlink r:id="rId67">
        <w:r>
          <w:rPr>
            <w:spacing w:val="-2"/>
            <w:sz w:val="22"/>
          </w:rPr>
          <w:t>www.worldbank.org/en/news/speech/2023/10/13/remarks-by-world-bank-group-presid</w:t>
        </w:r>
      </w:hyperlink>
      <w:r>
        <w:rPr>
          <w:spacing w:val="80"/>
          <w:w w:val="150"/>
          <w:sz w:val="22"/>
        </w:rPr>
        <w:t> </w:t>
      </w:r>
      <w:r>
        <w:rPr>
          <w:spacing w:val="-2"/>
          <w:sz w:val="22"/>
        </w:rPr>
        <w:t>ent-ajay-banga-at-the-2023-annual-meetings-plenary</w:t>
      </w:r>
    </w:p>
    <w:p>
      <w:pPr>
        <w:pStyle w:val="BodyText"/>
        <w:spacing w:before="4"/>
      </w:pPr>
    </w:p>
    <w:p>
      <w:pPr>
        <w:spacing w:line="288" w:lineRule="auto" w:before="0"/>
        <w:ind w:left="200" w:right="252" w:firstLine="0"/>
        <w:jc w:val="left"/>
        <w:rPr>
          <w:sz w:val="22"/>
        </w:rPr>
      </w:pPr>
      <w:r>
        <w:rPr>
          <w:sz w:val="22"/>
        </w:rPr>
        <w:t>Yang,</w:t>
      </w:r>
      <w:r>
        <w:rPr>
          <w:spacing w:val="-11"/>
          <w:sz w:val="22"/>
        </w:rPr>
        <w:t> </w:t>
      </w:r>
      <w:r>
        <w:rPr>
          <w:sz w:val="22"/>
        </w:rPr>
        <w:t>Hongbo,</w:t>
      </w:r>
      <w:r>
        <w:rPr>
          <w:spacing w:val="-11"/>
          <w:sz w:val="22"/>
        </w:rPr>
        <w:t> </w:t>
      </w:r>
      <w:r>
        <w:rPr>
          <w:sz w:val="22"/>
        </w:rPr>
        <w:t>B.</w:t>
      </w:r>
      <w:r>
        <w:rPr>
          <w:spacing w:val="-11"/>
          <w:sz w:val="22"/>
        </w:rPr>
        <w:t> </w:t>
      </w:r>
      <w:r>
        <w:rPr>
          <w:sz w:val="22"/>
        </w:rPr>
        <w:t>Alexander</w:t>
      </w:r>
      <w:r>
        <w:rPr>
          <w:spacing w:val="-11"/>
          <w:sz w:val="22"/>
        </w:rPr>
        <w:t> </w:t>
      </w:r>
      <w:r>
        <w:rPr>
          <w:sz w:val="22"/>
        </w:rPr>
        <w:t>Simmons,</w:t>
      </w:r>
      <w:r>
        <w:rPr>
          <w:spacing w:val="-11"/>
          <w:sz w:val="22"/>
        </w:rPr>
        <w:t> </w:t>
      </w:r>
      <w:r>
        <w:rPr>
          <w:sz w:val="22"/>
        </w:rPr>
        <w:t>Rebecca</w:t>
      </w:r>
      <w:r>
        <w:rPr>
          <w:spacing w:val="-11"/>
          <w:sz w:val="22"/>
        </w:rPr>
        <w:t> </w:t>
      </w:r>
      <w:r>
        <w:rPr>
          <w:sz w:val="22"/>
        </w:rPr>
        <w:t>Ray,</w:t>
      </w:r>
      <w:r>
        <w:rPr>
          <w:spacing w:val="-11"/>
          <w:sz w:val="22"/>
        </w:rPr>
        <w:t> </w:t>
      </w:r>
      <w:r>
        <w:rPr>
          <w:sz w:val="22"/>
        </w:rPr>
        <w:t>Christoph</w:t>
      </w:r>
      <w:r>
        <w:rPr>
          <w:spacing w:val="-11"/>
          <w:sz w:val="22"/>
        </w:rPr>
        <w:t> </w:t>
      </w:r>
      <w:r>
        <w:rPr>
          <w:sz w:val="22"/>
        </w:rPr>
        <w:t>Nolte,</w:t>
      </w:r>
      <w:r>
        <w:rPr>
          <w:spacing w:val="-11"/>
          <w:sz w:val="22"/>
        </w:rPr>
        <w:t> </w:t>
      </w:r>
      <w:r>
        <w:rPr>
          <w:sz w:val="22"/>
        </w:rPr>
        <w:t>Suchi</w:t>
      </w:r>
      <w:r>
        <w:rPr>
          <w:spacing w:val="-11"/>
          <w:sz w:val="22"/>
        </w:rPr>
        <w:t> </w:t>
      </w:r>
      <w:r>
        <w:rPr>
          <w:sz w:val="22"/>
        </w:rPr>
        <w:t>Gopal,</w:t>
      </w:r>
      <w:r>
        <w:rPr>
          <w:spacing w:val="-11"/>
          <w:sz w:val="22"/>
        </w:rPr>
        <w:t> </w:t>
      </w:r>
      <w:r>
        <w:rPr>
          <w:sz w:val="22"/>
        </w:rPr>
        <w:t>Yaxiong Ma, Xinyue Ma, Kevin P. Gallagher, 2021. Risks to global biodiversity and Indigenous lands from China’s overseas development ﬁnance. </w:t>
      </w:r>
      <w:r>
        <w:rPr>
          <w:i/>
          <w:sz w:val="22"/>
        </w:rPr>
        <w:t>Nature Ecology &amp; Evolution </w:t>
      </w:r>
      <w:r>
        <w:rPr>
          <w:sz w:val="22"/>
        </w:rPr>
        <w:t>11:1520-1529.</w:t>
      </w:r>
    </w:p>
    <w:p>
      <w:pPr>
        <w:spacing w:after="0" w:line="288" w:lineRule="auto"/>
        <w:jc w:val="left"/>
        <w:rPr>
          <w:sz w:val="22"/>
        </w:rPr>
        <w:sectPr>
          <w:footerReference w:type="default" r:id="rId62"/>
          <w:pgSz w:w="12240" w:h="15840"/>
          <w:pgMar w:footer="0" w:header="0" w:top="1400" w:bottom="280" w:left="1240" w:right="1260"/>
        </w:sectPr>
      </w:pPr>
    </w:p>
    <w:p>
      <w:pPr>
        <w:spacing w:line="288" w:lineRule="auto" w:before="44"/>
        <w:ind w:left="200" w:right="0" w:firstLine="0"/>
        <w:jc w:val="left"/>
        <w:rPr>
          <w:sz w:val="22"/>
        </w:rPr>
      </w:pPr>
      <w:r>
        <w:rPr>
          <w:sz w:val="22"/>
        </w:rPr>
        <w:t>Zeitz, Alexandra O. 2021. Emulate or differentiate? Chinese development ﬁnance, competition, and World Bank infrastructure funding. </w:t>
      </w:r>
      <w:r>
        <w:rPr>
          <w:i/>
          <w:sz w:val="22"/>
        </w:rPr>
        <w:t>The Review of International Organizations </w:t>
      </w:r>
      <w:r>
        <w:rPr>
          <w:sz w:val="22"/>
        </w:rPr>
        <w:t>16: 265–292.</w:t>
      </w:r>
    </w:p>
    <w:p>
      <w:pPr>
        <w:pStyle w:val="BodyText"/>
        <w:spacing w:before="5"/>
      </w:pPr>
    </w:p>
    <w:p>
      <w:pPr>
        <w:spacing w:line="288" w:lineRule="auto" w:before="0"/>
        <w:ind w:left="200" w:right="0" w:firstLine="0"/>
        <w:jc w:val="left"/>
        <w:rPr>
          <w:sz w:val="22"/>
        </w:rPr>
      </w:pPr>
      <w:r>
        <w:rPr>
          <w:sz w:val="22"/>
        </w:rPr>
        <w:t>Zhang,</w:t>
      </w:r>
      <w:r>
        <w:rPr>
          <w:spacing w:val="-5"/>
          <w:sz w:val="22"/>
        </w:rPr>
        <w:t> </w:t>
      </w:r>
      <w:r>
        <w:rPr>
          <w:sz w:val="22"/>
        </w:rPr>
        <w:t>Denghua,</w:t>
      </w:r>
      <w:r>
        <w:rPr>
          <w:spacing w:val="-5"/>
          <w:sz w:val="22"/>
        </w:rPr>
        <w:t> </w:t>
      </w:r>
      <w:r>
        <w:rPr>
          <w:sz w:val="22"/>
        </w:rPr>
        <w:t>and</w:t>
      </w:r>
      <w:r>
        <w:rPr>
          <w:spacing w:val="-5"/>
          <w:sz w:val="22"/>
        </w:rPr>
        <w:t> </w:t>
      </w:r>
      <w:r>
        <w:rPr>
          <w:sz w:val="22"/>
        </w:rPr>
        <w:t>Graeme</w:t>
      </w:r>
      <w:r>
        <w:rPr>
          <w:spacing w:val="-5"/>
          <w:sz w:val="22"/>
        </w:rPr>
        <w:t> </w:t>
      </w:r>
      <w:r>
        <w:rPr>
          <w:sz w:val="22"/>
        </w:rPr>
        <w:t>Smith.</w:t>
      </w:r>
      <w:r>
        <w:rPr>
          <w:spacing w:val="-5"/>
          <w:sz w:val="22"/>
        </w:rPr>
        <w:t> </w:t>
      </w:r>
      <w:r>
        <w:rPr>
          <w:sz w:val="22"/>
        </w:rPr>
        <w:t>2017.</w:t>
      </w:r>
      <w:r>
        <w:rPr>
          <w:spacing w:val="-5"/>
          <w:sz w:val="22"/>
        </w:rPr>
        <w:t> </w:t>
      </w:r>
      <w:r>
        <w:rPr>
          <w:sz w:val="22"/>
        </w:rPr>
        <w:t>Foreign</w:t>
      </w:r>
      <w:r>
        <w:rPr>
          <w:spacing w:val="-5"/>
          <w:sz w:val="22"/>
        </w:rPr>
        <w:t> </w:t>
      </w:r>
      <w:r>
        <w:rPr>
          <w:sz w:val="22"/>
        </w:rPr>
        <w:t>Aid</w:t>
      </w:r>
      <w:r>
        <w:rPr>
          <w:spacing w:val="-5"/>
          <w:sz w:val="22"/>
        </w:rPr>
        <w:t> </w:t>
      </w:r>
      <w:r>
        <w:rPr>
          <w:sz w:val="22"/>
        </w:rPr>
        <w:t>System:</w:t>
      </w:r>
      <w:r>
        <w:rPr>
          <w:spacing w:val="-5"/>
          <w:sz w:val="22"/>
        </w:rPr>
        <w:t> </w:t>
      </w:r>
      <w:r>
        <w:rPr>
          <w:sz w:val="22"/>
        </w:rPr>
        <w:t>Structure,</w:t>
      </w:r>
      <w:r>
        <w:rPr>
          <w:spacing w:val="-5"/>
          <w:sz w:val="22"/>
        </w:rPr>
        <w:t> </w:t>
      </w:r>
      <w:r>
        <w:rPr>
          <w:sz w:val="22"/>
        </w:rPr>
        <w:t>Agencies,</w:t>
      </w:r>
      <w:r>
        <w:rPr>
          <w:spacing w:val="-5"/>
          <w:sz w:val="22"/>
        </w:rPr>
        <w:t> </w:t>
      </w:r>
      <w:r>
        <w:rPr>
          <w:sz w:val="22"/>
        </w:rPr>
        <w:t>and Identities. </w:t>
      </w:r>
      <w:r>
        <w:rPr>
          <w:i/>
          <w:sz w:val="22"/>
        </w:rPr>
        <w:t>Third World Quarterly </w:t>
      </w:r>
      <w:r>
        <w:rPr>
          <w:sz w:val="22"/>
        </w:rPr>
        <w:t>38 (10): 2330–2346.</w:t>
      </w:r>
    </w:p>
    <w:sectPr>
      <w:footerReference w:type="default" r:id="rId68"/>
      <w:pgSz w:w="12240" w:h="15840"/>
      <w:pgMar w:footer="0" w:header="0" w:top="1400" w:bottom="280" w:left="124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ill Sans MT">
    <w:altName w:val="Gill Sans MT"/>
    <w:charset w:val="0"/>
    <w:family w:val="swiss"/>
    <w:pitch w:val="variable"/>
  </w:font>
  <w:font w:name="Calibri">
    <w:altName w:val="Calibri"/>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6616448"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119</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2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abstractNum w:abstractNumId="0">
    <w:multiLevelType w:val="hybridMultilevel"/>
    <w:lvl w:ilvl="0">
      <w:start w:val="1"/>
      <w:numFmt w:val="decimal"/>
      <w:lvlText w:val="%1."/>
      <w:lvlJc w:val="left"/>
      <w:pPr>
        <w:ind w:left="12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abstractNum w:abstractNumId="1">
    <w:multiLevelType w:val="hybridMultilevel"/>
    <w:lvl w:ilvl="0">
      <w:start w:val="0"/>
      <w:numFmt w:val="bullet"/>
      <w:lvlText w:val="●"/>
      <w:lvlJc w:val="left"/>
      <w:pPr>
        <w:ind w:left="12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num w:numId="3">
    <w:abstractNumId w:val="2"/>
  </w: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2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7"/>
      <w:ind w:left="120"/>
      <w:outlineLvl w:val="2"/>
    </w:pPr>
    <w:rPr>
      <w:rFonts w:ascii="Gill Sans MT" w:hAnsi="Gill Sans MT" w:eastAsia="Gill Sans MT" w:cs="Gill Sans MT"/>
      <w:b/>
      <w:bCs/>
      <w:sz w:val="32"/>
      <w:szCs w:val="32"/>
      <w:lang w:val="en-US" w:eastAsia="en-US" w:bidi="ar-SA"/>
    </w:rPr>
  </w:style>
  <w:style w:styleId="Heading3" w:type="paragraph">
    <w:name w:val="Heading 3"/>
    <w:basedOn w:val="Normal"/>
    <w:uiPriority w:val="1"/>
    <w:qFormat/>
    <w:pPr>
      <w:ind w:left="560"/>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560" w:right="561"/>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spacing w:before="1"/>
      <w:ind w:left="120"/>
      <w:outlineLvl w:val="5"/>
    </w:pPr>
    <w:rPr>
      <w:rFonts w:ascii="Arial" w:hAnsi="Arial" w:eastAsia="Arial" w:cs="Arial"/>
      <w:b/>
      <w:bCs/>
      <w:sz w:val="24"/>
      <w:szCs w:val="24"/>
      <w:lang w:val="en-US" w:eastAsia="en-US" w:bidi="ar-SA"/>
    </w:rPr>
  </w:style>
  <w:style w:styleId="Title" w:type="paragraph">
    <w:name w:val="Title"/>
    <w:basedOn w:val="Normal"/>
    <w:uiPriority w:val="1"/>
    <w:qFormat/>
    <w:pPr>
      <w:ind w:left="2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280" w:hanging="360"/>
    </w:pPr>
    <w:rPr>
      <w:rFonts w:ascii="Arial" w:hAnsi="Arial" w:eastAsia="Arial" w:cs="Arial"/>
      <w:lang w:val="en-US" w:eastAsia="en-US" w:bidi="ar-SA"/>
    </w:rPr>
  </w:style>
  <w:style w:styleId="TableParagraph" w:type="paragraph">
    <w:name w:val="Table Paragraph"/>
    <w:basedOn w:val="Normal"/>
    <w:uiPriority w:val="1"/>
    <w:qFormat/>
    <w:pPr>
      <w:ind w:left="1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yperlink" Target="https://www.ndb.int/wp-content/uploads/2022/11/MCDF-MOU-for-disclosure.pdf"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footer" Target="footer2.xml"/><Relationship Id="rId27" Type="http://schemas.openxmlformats.org/officeDocument/2006/relationships/hyperlink" Target="https://www.aiib.org/en/news-events/news/2021/AIIB-MCDF-Partnership-to-Foster-High-Quality-Infrastructure-Investments.html" TargetMode="External"/><Relationship Id="rId28" Type="http://schemas.openxmlformats.org/officeDocument/2006/relationships/hyperlink" Target="http://www.beltandroadforum.org/n100/2017/0514/c24-407.html" TargetMode="External"/><Relationship Id="rId29" Type="http://schemas.openxmlformats.org/officeDocument/2006/relationships/footer" Target="footer3.xml"/><Relationship Id="rId30" Type="http://schemas.openxmlformats.org/officeDocument/2006/relationships/hyperlink" Target="http://www.the-american-interest.com/2019/" TargetMode="External"/><Relationship Id="rId31" Type="http://schemas.openxmlformats.org/officeDocument/2006/relationships/hyperlink" Target="http://www.gov.cn/gongbao/content/2018/content_5260809.htm" TargetMode="External"/><Relationship Id="rId32" Type="http://schemas.openxmlformats.org/officeDocument/2006/relationships/footer" Target="footer4.xml"/><Relationship Id="rId33" Type="http://schemas.openxmlformats.org/officeDocument/2006/relationships/hyperlink" Target="https://www.gov.cn/gongbao/content/2018/content_5264999.htm" TargetMode="External"/><Relationship Id="rId34" Type="http://schemas.openxmlformats.org/officeDocument/2006/relationships/hyperlink" Target="https://tribune.com.pk/story/1268314/unprecedented-development-chinesediplomat-calls-cm-shahbaz-speed" TargetMode="External"/><Relationship Id="rId35" Type="http://schemas.openxmlformats.org/officeDocument/2006/relationships/footer" Target="footer5.xml"/><Relationship Id="rId36" Type="http://schemas.openxmlformats.org/officeDocument/2006/relationships/hyperlink" Target="https://tribune.com.pk/story/985371/divisive-project-lda-hopes-to-secure-archaeology-noc-in-a-week" TargetMode="External"/><Relationship Id="rId37" Type="http://schemas.openxmlformats.org/officeDocument/2006/relationships/hyperlink" Target="https://www.dawn.com/news/1768572" TargetMode="External"/><Relationship Id="rId38" Type="http://schemas.openxmlformats.org/officeDocument/2006/relationships/hyperlink" Target="https://www.csis.org/analysis/dont-let-china-greenwash-its-belt-and-road" TargetMode="External"/><Relationship Id="rId39" Type="http://schemas.openxmlformats.org/officeDocument/2006/relationships/hyperlink" Target="https://www.hkgreenfinance.org/wp-content/uploads/2022/09/CGT_Phase2reportENG_final.pdf" TargetMode="External"/><Relationship Id="rId40" Type="http://schemas.openxmlformats.org/officeDocument/2006/relationships/footer" Target="footer6.xml"/><Relationship Id="rId41" Type="http://schemas.openxmlformats.org/officeDocument/2006/relationships/hyperlink" Target="https://finance.ec.europa.eu/system/files/2022-06/220603-international-platform-sustainable-finance-common-ground-taxonomy-instruction-report_en.pdf" TargetMode="External"/><Relationship Id="rId42" Type="http://schemas.openxmlformats.org/officeDocument/2006/relationships/hyperlink" Target="https://www.supremecourt.gov.pk/online-case-status/" TargetMode="External"/><Relationship Id="rId43" Type="http://schemas.openxmlformats.org/officeDocument/2006/relationships/hyperlink" Target="https://www.cgdev.org/blog/world-bank-investment-projects-arent-designed-crises" TargetMode="External"/><Relationship Id="rId44" Type="http://schemas.openxmlformats.org/officeDocument/2006/relationships/hyperlink" Target="http://www.chinatoday.com.cn/ctenglish/2018/ii/202011/t20201105_800226035.html" TargetMode="External"/><Relationship Id="rId45" Type="http://schemas.openxmlformats.org/officeDocument/2006/relationships/footer" Target="footer7.xml"/><Relationship Id="rId46" Type="http://schemas.openxmlformats.org/officeDocument/2006/relationships/hyperlink" Target="https://www.worldbank.org/en/news/speech/2017/05/14/remarks-of-world-bank-group-president-jim-yong-kim" TargetMode="External"/><Relationship Id="rId47" Type="http://schemas.openxmlformats.org/officeDocument/2006/relationships/hyperlink" Target="https://thediplomat.com/2021/11/chinas-bri-lending-385-billion-in-hidden-debts/" TargetMode="External"/><Relationship Id="rId48" Type="http://schemas.openxmlformats.org/officeDocument/2006/relationships/hyperlink" Target="https://www.imf.org/en/News/Articles/2019/04/25/sp042619-stronger-frameworks-in-the-new-phase-of-belt-and-road" TargetMode="External"/><Relationship Id="rId49" Type="http://schemas.openxmlformats.org/officeDocument/2006/relationships/hyperlink" Target="https://www.dropbox.com/s/2gbnajqo55d14jz/BRT_IGC_WP.pdf?dl=0" TargetMode="External"/><Relationship Id="rId50" Type="http://schemas.openxmlformats.org/officeDocument/2006/relationships/footer" Target="footer8.xml"/><Relationship Id="rId51" Type="http://schemas.openxmlformats.org/officeDocument/2006/relationships/hyperlink" Target="https://www.followingthemoney.org/wp-content/uploads/2022/07/2021_MOFCOM-MEE_Guidelines-on-Green-Development-in-Foreign-Investment-and-Cooperation_E.pdf" TargetMode="External"/><Relationship Id="rId52" Type="http://schemas.openxmlformats.org/officeDocument/2006/relationships/hyperlink" Target="https://www.fmprc.gov.cn/mfa_eng/wjdt_665385/zyjh_665391/201904/t20190426_678729.html" TargetMode="External"/><Relationship Id="rId53" Type="http://schemas.openxmlformats.org/officeDocument/2006/relationships/hyperlink" Target="https://www.moodys.com/web/en/us/capabilities/esg/resources/insights/china-green-bond-principles-will-support-the-domestic-sustainable-finance-markets-development-and-align-with-international-standards.html" TargetMode="External"/><Relationship Id="rId54" Type="http://schemas.openxmlformats.org/officeDocument/2006/relationships/hyperlink" Target="https://www.ndrc.gov.cn/xxgk/zcfb/tz/202203/t20220328_1320629_ext.html" TargetMode="External"/><Relationship Id="rId55" Type="http://schemas.openxmlformats.org/officeDocument/2006/relationships/hyperlink" Target="https://pma.punjab.gov.pk/system/files/pcI.pdf" TargetMode="External"/><Relationship Id="rId56" Type="http://schemas.openxmlformats.org/officeDocument/2006/relationships/footer" Target="footer9.xml"/><Relationship Id="rId57" Type="http://schemas.openxmlformats.org/officeDocument/2006/relationships/hyperlink" Target="https://epd.punjab.gov.pk/system/files/7%2901%20Tital%2C%20Table%20of%20Contant%2C%20Abbreviations%2C%20Executive%20%20Summary.pdf" TargetMode="External"/><Relationship Id="rId58" Type="http://schemas.openxmlformats.org/officeDocument/2006/relationships/hyperlink" Target="https://tribune.com.pk/story/1035831/lhc-suspends-work-on-orange-line-train-project" TargetMode="External"/><Relationship Id="rId59" Type="http://schemas.openxmlformats.org/officeDocument/2006/relationships/hyperlink" Target="https://www.climatepolicylab.org/climatesmart/2021/3/4/climate-proofing-chinas-belt-and-road-initiative-bri" TargetMode="External"/><Relationship Id="rId60" Type="http://schemas.openxmlformats.org/officeDocument/2006/relationships/hyperlink" Target="http://www.safe.gov.cn/en/&#64257;le/&#64257;le/20221226/9186b372d33e4a6b9d156ab154cc2979.pdf?n" TargetMode="External"/><Relationship Id="rId61" Type="http://schemas.openxmlformats.org/officeDocument/2006/relationships/hyperlink" Target="https://links.sgx.com/FileOpen/China%20EximBank_USD%20Bonds%20Offering%20Memorandum%20dated%207%20March%202017.ashx?App=Prospectus&amp;FileID=30816" TargetMode="External"/><Relationship Id="rId62" Type="http://schemas.openxmlformats.org/officeDocument/2006/relationships/footer" Target="footer10.xml"/><Relationship Id="rId63" Type="http://schemas.openxmlformats.org/officeDocument/2006/relationships/hyperlink" Target="https://www.ft.com/content/5d347f88-c897-11dc-94a6-0000779fd2ac" TargetMode="External"/><Relationship Id="rId64" Type="http://schemas.openxmlformats.org/officeDocument/2006/relationships/hyperlink" Target="https://cepr.org/voxeu/columns/chinese-development-finance-and-public-opinion" TargetMode="External"/><Relationship Id="rId65" Type="http://schemas.openxmlformats.org/officeDocument/2006/relationships/hyperlink" Target="https://www.euromoney.com/article/29ppq3xrh5p5bxgoh9dz4/opinion/bri-have-we-passed-peak-china" TargetMode="External"/><Relationship Id="rId66" Type="http://schemas.openxmlformats.org/officeDocument/2006/relationships/hyperlink" Target="https://www.wsj.com/articles/court-papers-open-rare-window-into-role-of-graft-in-chinas-overseas-lending-69f7ab81" TargetMode="External"/><Relationship Id="rId67" Type="http://schemas.openxmlformats.org/officeDocument/2006/relationships/hyperlink" Target="http://www.worldbank.org/en/news/speech/2023/10/13/remarks-by-world-bank-group-presid" TargetMode="External"/><Relationship Id="rId68" Type="http://schemas.openxmlformats.org/officeDocument/2006/relationships/footer" Target="footer11.xm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2023-11-10T07:33:39Z</dcterms:created>
  <dcterms:modified xsi:type="dcterms:W3CDTF">2023-11-10T07:33:39Z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