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RANSA S.A.</w:t>
      </w:r>
    </w:p>
    <w:p>
      <w:pPr>
        <w:jc w:val="center"/>
      </w:pPr>
      <w:r>
        <w:rPr>
          <w:b/>
          <w:color w:val="2E74B5"/>
          <w:sz w:val="28"/>
        </w:rPr>
        <w:t>FleetMind AI — Sistema Inteligente de Gestión de Flotas</w:t>
      </w:r>
    </w:p>
    <w:p/>
    <w:p>
      <w:pPr>
        <w:jc w:val="center"/>
      </w:pPr>
      <w:r>
        <w:rPr>
          <w:b/>
          <w:color w:val="C5500C"/>
          <w:sz w:val="36"/>
        </w:rPr>
        <w:t>A.4.1 — Diseño Arquitectónico</w:t>
      </w:r>
    </w:p>
    <w:p>
      <w:pPr>
        <w:jc w:val="center"/>
      </w:pPr>
      <w:r>
        <w:rPr>
          <w:i/>
          <w:color w:val="1F497D"/>
          <w:sz w:val="22"/>
        </w:rPr>
        <w:t>Patrón Desacoplado Client-Server / Micro-framework Backend</w:t>
      </w:r>
    </w:p>
    <w:p>
      <w:pPr>
        <w:jc w:val="center"/>
      </w:pPr>
      <w:r>
        <w:rPr>
          <w:color w:val="707070"/>
          <w:sz w:val="20"/>
        </w:rPr>
        <w:t>Sección A.4 — Documentos Técnicos Complementarios  |  Año 2026</w:t>
      </w:r>
    </w:p>
    <w:p>
      <w:r>
        <w:br w:type="page"/>
      </w:r>
    </w:p>
    <w:p>
      <w:pPr>
        <w:spacing w:before="280" w:after="120"/>
      </w:pPr>
      <w:r>
        <w:rPr>
          <w:b/>
          <w:color w:val="1F497D"/>
          <w:sz w:val="28"/>
        </w:rPr>
        <w:t>1. VISIÓN GENERAL DEL PATRÓN ARQUITECTÓNICO</w:t>
      </w:r>
    </w:p>
    <w:p>
      <w:pPr>
        <w:spacing w:after="80"/>
      </w:pPr>
      <w:r>
        <w:rPr>
          <w:sz w:val="21"/>
        </w:rPr>
        <w:t>FleetMind AI adopta un patrón arquitectónico de tipo Client-Server Desacoplado con separación estricta entre la capa de presentación (Angular SPA), la capa de lógica de negocio (FastAPI Micro-framework) y la capa de persistencia (Firebase Firestore NoSQL). Este diseño garantiza independencia de despliegue, escalabilidad horizontal y sustituibilidad de cada capa sin impacto en las demás.</w:t>
      </w:r>
    </w:p>
    <w:p>
      <w:pPr>
        <w:spacing w:before="200" w:after="80"/>
      </w:pPr>
      <w:r>
        <w:rPr>
          <w:b/>
          <w:color w:val="2E74B5"/>
          <w:sz w:val="24"/>
        </w:rPr>
        <w:t>1.1 Capas del Sistema</w:t>
      </w:r>
    </w:p>
    <w:tbl>
      <w:tblPr>
        <w:tblW w:type="auto" w:w="0"/>
        <w:jc w:val="center"/>
        <w:tblLook w:firstColumn="1" w:firstRow="1" w:lastColumn="0" w:lastRow="0" w:noHBand="0" w:noVBand="1" w:val="04A0"/>
      </w:tblPr>
      <w:tblGrid>
        <w:gridCol w:w="2280"/>
        <w:gridCol w:w="2280"/>
        <w:gridCol w:w="2280"/>
        <w:gridCol w:w="2280"/>
      </w:tblGrid>
      <w:tr>
        <w:tc>
          <w:tcPr>
            <w:tcW w:type="dxa" w:w="1984"/>
            <w:shd w:val="clear" w:color="auto" w:fill="1F497D"/>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b/>
                <w:color w:val="FFFFFF"/>
                <w:sz w:val="19"/>
              </w:rPr>
              <w:t>Capa</w:t>
            </w:r>
          </w:p>
        </w:tc>
        <w:tc>
          <w:tcPr>
            <w:tcW w:type="dxa" w:w="1984"/>
            <w:shd w:val="clear" w:color="auto" w:fill="1F497D"/>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b/>
                <w:color w:val="FFFFFF"/>
                <w:sz w:val="19"/>
              </w:rPr>
              <w:t>Tecnología</w:t>
            </w:r>
          </w:p>
        </w:tc>
        <w:tc>
          <w:tcPr>
            <w:tcW w:type="dxa" w:w="3402"/>
            <w:shd w:val="clear" w:color="auto" w:fill="1F497D"/>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b/>
                <w:color w:val="FFFFFF"/>
                <w:sz w:val="19"/>
              </w:rPr>
              <w:t>Responsabilidad Principal</w:t>
            </w:r>
          </w:p>
        </w:tc>
        <w:tc>
          <w:tcPr>
            <w:tcW w:type="dxa" w:w="1417"/>
            <w:shd w:val="clear" w:color="auto" w:fill="1F497D"/>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b/>
                <w:color w:val="FFFFFF"/>
                <w:sz w:val="19"/>
              </w:rPr>
              <w:t>Protocolo</w:t>
            </w:r>
          </w:p>
        </w:tc>
      </w:tr>
      <w:tr>
        <w:tc>
          <w:tcPr>
            <w:tcW w:type="dxa" w:w="2280"/>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Presentación (UI)</w:t>
            </w:r>
          </w:p>
        </w:tc>
        <w:tc>
          <w:tcPr>
            <w:tcW w:type="dxa" w:w="2280"/>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Angular 17+ (TypeScript)</w:t>
            </w:r>
          </w:p>
        </w:tc>
        <w:tc>
          <w:tcPr>
            <w:tcW w:type="dxa" w:w="2280"/>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Renderizado de Cards CRUD reactivas, consumo de REST API, gestión de estado local</w:t>
            </w:r>
          </w:p>
        </w:tc>
        <w:tc>
          <w:tcPr>
            <w:tcW w:type="dxa" w:w="2280"/>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HTTP/REST JSON</w:t>
            </w:r>
          </w:p>
        </w:tc>
      </w:tr>
      <w:tr>
        <w:tc>
          <w:tcPr>
            <w:tcW w:type="dxa" w:w="2280"/>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Lógica de Negocio</w:t>
            </w:r>
          </w:p>
        </w:tc>
        <w:tc>
          <w:tcPr>
            <w:tcW w:type="dxa" w:w="2280"/>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FastAPI (Python 3.11+)</w:t>
            </w:r>
          </w:p>
        </w:tc>
        <w:tc>
          <w:tcPr>
            <w:tcW w:type="dxa" w:w="2280"/>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Procesamiento asíncrono, validación Pydantic, integración OpenRouter, cálculo de desgaste</w:t>
            </w:r>
          </w:p>
        </w:tc>
        <w:tc>
          <w:tcPr>
            <w:tcW w:type="dxa" w:w="2280"/>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Async HTTP</w:t>
            </w:r>
          </w:p>
        </w:tc>
      </w:tr>
      <w:tr>
        <w:tc>
          <w:tcPr>
            <w:tcW w:type="dxa" w:w="2280"/>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Persistencia</w:t>
            </w:r>
          </w:p>
        </w:tc>
        <w:tc>
          <w:tcPr>
            <w:tcW w:type="dxa" w:w="2280"/>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Firebase Firestore NoSQL</w:t>
            </w:r>
          </w:p>
        </w:tc>
        <w:tc>
          <w:tcPr>
            <w:tcW w:type="dxa" w:w="2280"/>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Almacenamiento de flotas, vehículos y subcolecciones de componentes mecánicos</w:t>
            </w:r>
          </w:p>
        </w:tc>
        <w:tc>
          <w:tcPr>
            <w:tcW w:type="dxa" w:w="2280"/>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Firestore SDK</w:t>
            </w:r>
          </w:p>
        </w:tc>
      </w:tr>
      <w:tr>
        <w:tc>
          <w:tcPr>
            <w:tcW w:type="dxa" w:w="2280"/>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IA / Inferencia</w:t>
            </w:r>
          </w:p>
        </w:tc>
        <w:tc>
          <w:tcPr>
            <w:tcW w:type="dxa" w:w="2280"/>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OpenRouter → DeepSeek V4</w:t>
            </w:r>
          </w:p>
        </w:tc>
        <w:tc>
          <w:tcPr>
            <w:tcW w:type="dxa" w:w="2280"/>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Análisis de telemetría (Flash) y diagnóstico complejo (R1)</w:t>
            </w:r>
          </w:p>
        </w:tc>
        <w:tc>
          <w:tcPr>
            <w:tcW w:type="dxa" w:w="2280"/>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HTTPS REST</w:t>
            </w:r>
          </w:p>
        </w:tc>
      </w:tr>
    </w:tbl>
    <w:p/>
    <w:p>
      <w:pPr>
        <w:spacing w:before="200" w:after="80"/>
      </w:pPr>
      <w:r>
        <w:rPr>
          <w:b/>
          <w:color w:val="2E74B5"/>
          <w:sz w:val="24"/>
        </w:rPr>
        <w:t>1.2 Diagrama de Flujo de Comunicación Asíncrona</w:t>
      </w:r>
    </w:p>
    <w:p>
      <w:pPr>
        <w:spacing w:after="80"/>
      </w:pPr>
      <w:r>
        <w:rPr>
          <w:sz w:val="21"/>
        </w:rPr>
        <w:t>El siguiente diagrama de flujo textual describe la secuencia completa de una petición de diagnóstico de componente desde el cliente hasta la IA y de vuelta al usuario:</w:t>
      </w:r>
    </w:p>
    <w:p>
      <w:pPr>
        <w:spacing w:after="0"/>
      </w:pPr>
      <w:r>
        <w:rPr>
          <w:i/>
        </w:rPr>
        <w:t xml:space="preserve">  [DIAGRAMA DE FLUJO]</w:t>
      </w:r>
    </w:p>
    <w:p>
      <w:pPr>
        <w:spacing w:after="120"/>
        <w:ind w:left="454"/>
        <w:shd w:val="clear" w:color="auto" w:fill="F2F2F2"/>
      </w:pPr>
      <w:r>
        <w:rPr>
          <w:rFonts w:ascii="Courier New" w:hAnsi="Courier New"/>
          <w:color w:val="202020"/>
          <w:sz w:val="17"/>
        </w:rPr>
        <w:t>┌─────────────────────────────────────────────────────────────────┐</w:t>
        <w:br/>
        <w:t>│              FLUJO DE COMUNICACIÓN ASÍNCRONA FleetMind AI        │</w:t>
        <w:br/>
        <w:t>└─────────────────────────────────────────────────────────────────┘</w:t>
        <w:br/>
        <w:br/>
        <w:t xml:space="preserve"> [Angular SPA]  ──────(1) HTTP GET /api/vehiculos/{id}/componentes──────▶  [FastAPI]</w:t>
        <w:br/>
        <w:t xml:space="preserve">                                                                              │</w:t>
        <w:br/>
        <w:t xml:space="preserve">                                                          (2) Consulta async  │</w:t>
        <w:br/>
        <w:t xml:space="preserve">                                                          Firestore SDK        │</w:t>
        <w:br/>
        <w:t xml:space="preserve">                                                                              ▼</w:t>
        <w:br/>
        <w:t xml:space="preserve">                                                                     [Firestore NoSQL]</w:t>
        <w:br/>
        <w:t xml:space="preserve">                                                          vehiculos/{id}/componentes</w:t>
        <w:br/>
        <w:t xml:space="preserve">                                                                              │</w:t>
        <w:br/>
        <w:t xml:space="preserve">                                                          (3) Retorna docs     │</w:t>
        <w:br/>
        <w:t xml:space="preserve">                                                                              ▼</w:t>
        <w:br/>
        <w:t xml:space="preserve"> [FastAPI]  evalúa fórmula: SI (Km &gt;= Km_Límite) O (Fecha &gt;= Fecha_Límite)</w:t>
        <w:br/>
        <w:t xml:space="preserve">                                                                              │</w:t>
        <w:br/>
        <w:t xml:space="preserve">                                                          (4) POST async       │</w:t>
        <w:br/>
        <w:t xml:space="preserve">                                                          OpenRouter API       │</w:t>
        <w:br/>
        <w:t xml:space="preserve">                                                          DeepSeek-Flash/R1    │</w:t>
        <w:br/>
        <w:t xml:space="preserve">                                                                              ▼</w:t>
        <w:br/>
        <w:t xml:space="preserve">                                                                     [OpenRouter]</w:t>
        <w:br/>
        <w:t xml:space="preserve">                                                          DeepSeek V4 Flash → telemetría</w:t>
        <w:br/>
        <w:t xml:space="preserve">                                                          DeepSeek V4 R1    → diagnóstico</w:t>
        <w:br/>
        <w:t xml:space="preserve">                                                                              │</w:t>
        <w:br/>
        <w:t xml:space="preserve">                                                          (5) JSON response    │</w:t>
        <w:br/>
        <w:t xml:space="preserve">                                                                              ▼</w:t>
        <w:br/>
        <w:t xml:space="preserve"> [Angular SPA]  ◀──────(6) HTTP 200 JSON {alerta, diagnostico, recomendacion}──  [FastAPI]</w:t>
      </w:r>
    </w:p>
    <w:p>
      <w:pPr>
        <w:jc w:val="center"/>
      </w:pPr>
      <w:r>
        <w:drawing>
          <wp:inline xmlns:a="http://schemas.openxmlformats.org/drawingml/2006/main" xmlns:pic="http://schemas.openxmlformats.org/drawingml/2006/picture">
            <wp:extent cx="5669280" cy="3121289"/>
            <wp:docPr id="1" name="Picture 1"/>
            <wp:cNvGraphicFramePr>
              <a:graphicFrameLocks noChangeAspect="1"/>
            </wp:cNvGraphicFramePr>
            <a:graphic>
              <a:graphicData uri="http://schemas.openxmlformats.org/drawingml/2006/picture">
                <pic:pic>
                  <pic:nvPicPr>
                    <pic:cNvPr id="0" name="_tmp_arquitectura_capas.png"/>
                    <pic:cNvPicPr/>
                  </pic:nvPicPr>
                  <pic:blipFill>
                    <a:blip r:embed="rId9"/>
                    <a:stretch>
                      <a:fillRect/>
                    </a:stretch>
                  </pic:blipFill>
                  <pic:spPr>
                    <a:xfrm>
                      <a:off x="0" y="0"/>
                      <a:ext cx="5669280" cy="3121289"/>
                    </a:xfrm>
                    <a:prstGeom prst="rect"/>
                  </pic:spPr>
                </pic:pic>
              </a:graphicData>
            </a:graphic>
          </wp:inline>
        </w:drawing>
      </w:r>
    </w:p>
    <w:p>
      <w:pPr>
        <w:jc w:val="center"/>
      </w:pPr>
      <w:r>
        <w:rPr>
          <w:i/>
          <w:sz w:val="18"/>
        </w:rPr>
        <w:t>Figura 1.1 — Diagrama de Capas Arquitectónicas FleetMind AI</w:t>
      </w:r>
    </w:p>
    <w:p>
      <w:pPr>
        <w:spacing w:before="200" w:after="80"/>
      </w:pPr>
      <w:r>
        <w:rPr>
          <w:b/>
          <w:color w:val="2E74B5"/>
          <w:sz w:val="24"/>
        </w:rPr>
        <w:t>1.3 Estrategia de Seguridad — Aislamiento de API Key OpenRouter</w:t>
      </w:r>
    </w:p>
    <w:p>
      <w:pPr>
        <w:spacing w:after="80"/>
      </w:pPr>
      <w:r>
        <w:rPr>
          <w:sz w:val="21"/>
        </w:rPr>
        <w:t>La clave secreta de OpenRouter (OPENROUTER_API_KEY) NUNCA se expone en el cliente Angular. Reside exclusivamente en el archivo '.env' del servidor FastAPI, inaccesible desde el navegador. El cliente Angular únicamente se comunica con el endpoint interno de FastAPI (/api/diagnostico), el cual actúa como proxy seguro hacia OpenRouter.</w:t>
      </w:r>
    </w:p>
    <w:p>
      <w:pPr>
        <w:spacing w:after="0"/>
      </w:pPr>
      <w:r>
        <w:rPr>
          <w:i/>
        </w:rPr>
        <w:t xml:space="preserve">  [bash (.env)]</w:t>
      </w:r>
    </w:p>
    <w:p>
      <w:pPr>
        <w:spacing w:after="120"/>
        <w:ind w:left="454"/>
        <w:shd w:val="clear" w:color="auto" w:fill="F2F2F2"/>
      </w:pPr>
      <w:r>
        <w:rPr>
          <w:rFonts w:ascii="Courier New" w:hAnsi="Courier New"/>
          <w:color w:val="202020"/>
          <w:sz w:val="17"/>
        </w:rPr>
        <w:t># .env (servidor FastAPI — NUNCA se versiona en Git)</w:t>
        <w:br/>
        <w:t>OPENROUTER_API_KEY=sk-or-v1-xxxxxxxxxxxxxxxxxxxxxxxxxxxx</w:t>
        <w:br/>
        <w:t>FIREBASE_CREDENTIALS=./firebase-adminsdk.json</w:t>
        <w:br/>
        <w:t>ENVIRONMENT=production</w:t>
        <w:br/>
        <w:t>ALLOWED_ORIGINS=https://fleetmind.ransa.pe</w:t>
      </w:r>
    </w:p>
    <w:p>
      <w:pPr>
        <w:spacing w:after="0"/>
      </w:pPr>
      <w:r>
        <w:rPr>
          <w:i/>
        </w:rPr>
        <w:t xml:space="preserve">  [python]</w:t>
      </w:r>
    </w:p>
    <w:p>
      <w:pPr>
        <w:spacing w:after="120"/>
        <w:ind w:left="454"/>
        <w:shd w:val="clear" w:color="auto" w:fill="F2F2F2"/>
      </w:pPr>
      <w:r>
        <w:rPr>
          <w:rFonts w:ascii="Courier New" w:hAnsi="Courier New"/>
          <w:color w:val="202020"/>
          <w:sz w:val="17"/>
        </w:rPr>
        <w:t># main.py — FastAPI: la key se carga desde variables de entorno</w:t>
        <w:br/>
        <w:t>import os</w:t>
        <w:br/>
        <w:t>from dotenv import load_dotenv</w:t>
        <w:br/>
        <w:br/>
        <w:t>load_dotenv()  # Carga .env al inicio</w:t>
        <w:br/>
        <w:br/>
        <w:t>OPENROUTER_API_KEY = os.getenv('OPENROUTER_API_KEY')</w:t>
        <w:br/>
        <w:t>if not OPENROUTER_API_KEY:</w:t>
        <w:br/>
        <w:t xml:space="preserve">    raise RuntimeError('[SEGURIDAD] OPENROUTER_API_KEY no configurada en .env')</w:t>
        <w:br/>
        <w:br/>
        <w:t># El cliente Angular llama a:</w:t>
        <w:br/>
        <w:t>#   POST /api/diagnostico  →  FastAPI actúa como proxy seguro</w:t>
        <w:br/>
        <w:t># FastAPI reenvía internamente a OpenRouter con la key aislada</w:t>
        <w:br/>
        <w:t># La key JAMÁS llega al bundle Angular ni al navegador del usuario.</w:t>
      </w:r>
    </w:p>
    <w:tbl>
      <w:tblPr>
        <w:tblW w:type="auto" w:w="0"/>
        <w:jc w:val="center"/>
        <w:tblLook w:firstColumn="1" w:firstRow="1" w:lastColumn="0" w:lastRow="0" w:noHBand="0" w:noVBand="1" w:val="04A0"/>
      </w:tblPr>
      <w:tblGrid>
        <w:gridCol w:w="3041"/>
        <w:gridCol w:w="3041"/>
        <w:gridCol w:w="3041"/>
      </w:tblGrid>
      <w:tr>
        <w:tc>
          <w:tcPr>
            <w:tcW w:type="dxa" w:w="2268"/>
            <w:shd w:val="clear" w:color="auto" w:fill="1F497D"/>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b/>
                <w:color w:val="FFFFFF"/>
                <w:sz w:val="19"/>
              </w:rPr>
              <w:t>Componente</w:t>
            </w:r>
          </w:p>
        </w:tc>
        <w:tc>
          <w:tcPr>
            <w:tcW w:type="dxa" w:w="1984"/>
            <w:shd w:val="clear" w:color="auto" w:fill="1F497D"/>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b/>
                <w:color w:val="FFFFFF"/>
                <w:sz w:val="19"/>
              </w:rPr>
              <w:t>¿Conoce la API Key?</w:t>
            </w:r>
          </w:p>
        </w:tc>
        <w:tc>
          <w:tcPr>
            <w:tcW w:type="dxa" w:w="4535"/>
            <w:shd w:val="clear" w:color="auto" w:fill="1F497D"/>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b/>
                <w:color w:val="FFFFFF"/>
                <w:sz w:val="19"/>
              </w:rPr>
              <w:t>Mecanismo de Seguridad</w:t>
            </w:r>
          </w:p>
        </w:tc>
      </w:tr>
      <w:tr>
        <w:tc>
          <w:tcPr>
            <w:tcW w:type="dxa" w:w="3041"/>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Angular SPA (Navegador)</w:t>
            </w:r>
          </w:p>
        </w:tc>
        <w:tc>
          <w:tcPr>
            <w:tcW w:type="dxa" w:w="3041"/>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NO</w:t>
            </w:r>
          </w:p>
        </w:tc>
        <w:tc>
          <w:tcPr>
            <w:tcW w:type="dxa" w:w="3041"/>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Solo conoce la URL del backend interno (/api/diagnostico)</w:t>
            </w:r>
          </w:p>
        </w:tc>
      </w:tr>
      <w:tr>
        <w:tc>
          <w:tcPr>
            <w:tcW w:type="dxa" w:w="3041"/>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FastAPI Backend (Servidor)</w:t>
            </w:r>
          </w:p>
        </w:tc>
        <w:tc>
          <w:tcPr>
            <w:tcW w:type="dxa" w:w="3041"/>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SÍ — en memoria de proceso</w:t>
            </w:r>
          </w:p>
        </w:tc>
        <w:tc>
          <w:tcPr>
            <w:tcW w:type="dxa" w:w="3041"/>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Cargada desde .env con python-dotenv; nunca serializada en responses</w:t>
            </w:r>
          </w:p>
        </w:tc>
      </w:tr>
      <w:tr>
        <w:tc>
          <w:tcPr>
            <w:tcW w:type="dxa" w:w="3041"/>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Variables de Entorno (.env)</w:t>
            </w:r>
          </w:p>
        </w:tc>
        <w:tc>
          <w:tcPr>
            <w:tcW w:type="dxa" w:w="3041"/>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SÍ — archivo en servidor</w:t>
            </w:r>
          </w:p>
        </w:tc>
        <w:tc>
          <w:tcPr>
            <w:tcW w:type="dxa" w:w="3041"/>
            <w:shd w:val="clear" w:color="auto" w:fill="FFFFFF"/>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Excluida de Git mediante .gitignore; permisos de SO restrictivos (600)</w:t>
            </w:r>
          </w:p>
        </w:tc>
      </w:tr>
      <w:tr>
        <w:tc>
          <w:tcPr>
            <w:tcW w:type="dxa" w:w="3041"/>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Repositorio GitHub</w:t>
            </w:r>
          </w:p>
        </w:tc>
        <w:tc>
          <w:tcPr>
            <w:tcW w:type="dxa" w:w="3041"/>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NO</w:t>
            </w:r>
          </w:p>
        </w:tc>
        <w:tc>
          <w:tcPr>
            <w:tcW w:type="dxa" w:w="3041"/>
            <w:shd w:val="clear" w:color="auto" w:fill="EBF3FB"/>
            <w:vAlign w:val="center"/>
            <w:tcBorders>
              <w:top w:val="single" w:sz="4" w:space="0" w:color="2E74B5"/>
              <w:left w:val="single" w:sz="4" w:space="0" w:color="2E74B5"/>
              <w:bottom w:val="single" w:sz="4" w:space="0" w:color="2E74B5"/>
              <w:right w:val="single" w:sz="4" w:space="0" w:color="2E74B5"/>
              <w:insideH w:val="single" w:sz="4" w:space="0" w:color="2E74B5"/>
              <w:insideV w:val="single" w:sz="4" w:space="0" w:color="2E74B5"/>
            </w:tcBorders>
          </w:tcPr>
          <w:p>
            <w:pPr>
              <w:jc w:val="center"/>
            </w:pPr>
            <w:r>
              <w:rPr>
                <w:sz w:val="18"/>
              </w:rPr>
              <w:t>.env listado explícitamente en .gitignore</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