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E1AC6" w14:textId="7838DAB6" w:rsidR="001237AC" w:rsidRDefault="000D5D4B">
      <w:pPr>
        <w:spacing w:after="120"/>
      </w:pPr>
      <w:r>
        <w:rPr>
          <w:b/>
          <w:bCs/>
          <w:color w:val="234F4B"/>
          <w:sz w:val="44"/>
          <w:szCs w:val="44"/>
        </w:rPr>
        <w:t xml:space="preserve">Projeto Integrador — </w:t>
      </w:r>
      <w:r w:rsidR="00B01C4F">
        <w:rPr>
          <w:b/>
          <w:bCs/>
          <w:color w:val="234F4B"/>
          <w:sz w:val="44"/>
          <w:szCs w:val="44"/>
        </w:rPr>
        <w:t>Abandono</w:t>
      </w:r>
      <w:r>
        <w:rPr>
          <w:b/>
          <w:bCs/>
          <w:color w:val="234F4B"/>
          <w:sz w:val="44"/>
          <w:szCs w:val="44"/>
        </w:rPr>
        <w:t xml:space="preserve"> Escolar em Cubatão-SP</w:t>
      </w:r>
    </w:p>
    <w:p w14:paraId="27B5E4F7" w14:textId="77777777" w:rsidR="001237AC" w:rsidRDefault="000D5D4B">
      <w:pPr>
        <w:spacing w:after="400"/>
      </w:pPr>
      <w:r>
        <w:rPr>
          <w:i/>
          <w:iCs/>
          <w:color w:val="5B6A66"/>
          <w:sz w:val="24"/>
          <w:szCs w:val="24"/>
        </w:rPr>
        <w:t>Relatório de metodologia e resultados, para apresentação e aprovação do grupo</w:t>
      </w:r>
    </w:p>
    <w:p w14:paraId="081D92B4" w14:textId="77777777" w:rsidR="001237AC" w:rsidRDefault="000D5D4B">
      <w:pPr>
        <w:pStyle w:val="Ttulo1"/>
        <w:spacing w:before="360" w:after="160"/>
      </w:pPr>
      <w:r>
        <w:t>1. Introdução e objetivo</w:t>
      </w:r>
    </w:p>
    <w:p w14:paraId="7191B4FE" w14:textId="2E9BA50B" w:rsidR="001237AC" w:rsidRDefault="000D5D4B">
      <w:pPr>
        <w:spacing w:after="160"/>
      </w:pPr>
      <w:r>
        <w:t>Este relatório documenta, passo a passo, o desenvolvimento do Projeto Integrador sobre abandono</w:t>
      </w:r>
      <w:r>
        <w:t xml:space="preserve"> escolar na rede municipal de Cubatão-SP. O objetivo central é construir uma análise de dados educacionais que combine o contexto oficial da rede municipal (Censo </w:t>
      </w:r>
      <w:r>
        <w:t>Escolar e Taxas de Rendimento do INEP) com um estudo de caso detalhado de frequência escolar, culminando em um índice de risco de evasão e uma prova de conceito de Machine Learning.</w:t>
      </w:r>
    </w:p>
    <w:p w14:paraId="7DD9578D" w14:textId="77777777" w:rsidR="001237AC" w:rsidRDefault="000D5D4B">
      <w:pPr>
        <w:spacing w:after="160"/>
      </w:pPr>
      <w:r>
        <w:t>O recorte do estudo é o Ensino Fundamental — Anos Finais (6º ao 9º ano) da</w:t>
      </w:r>
      <w:r>
        <w:t xml:space="preserve"> rede municipal, com o 7º ano isolado tratado como o foco mais detalhado desde o início do projeto.</w:t>
      </w:r>
    </w:p>
    <w:p w14:paraId="1600AFFD" w14:textId="77777777" w:rsidR="001237AC" w:rsidRDefault="000D5D4B">
      <w:pPr>
        <w:pStyle w:val="Ttulo1"/>
        <w:spacing w:before="360" w:after="160"/>
      </w:pPr>
      <w:r>
        <w:t>2. Transparência dos dados — o que é real e o que é fictício</w:t>
      </w:r>
    </w:p>
    <w:p w14:paraId="336C48D0" w14:textId="77777777" w:rsidR="001237AC" w:rsidRDefault="000D5D4B">
      <w:pPr>
        <w:spacing w:after="160"/>
      </w:pPr>
      <w:r>
        <w:t>Este é o ponto mais importante para a aprovação do grupo: o projeto combina dados reais e dados</w:t>
      </w:r>
      <w:r>
        <w:t xml:space="preserve"> fictícios/simulados, e cada peça está claramente identificada. A tabela abaixo resume a origem de cada fonte usada.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800"/>
        <w:gridCol w:w="3300"/>
      </w:tblGrid>
      <w:tr w:rsidR="001237AC" w14:paraId="19D1E6D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234F4B" w:fill="234F4B"/>
            <w:vAlign w:val="center"/>
          </w:tcPr>
          <w:p w14:paraId="5C322D7A" w14:textId="77777777" w:rsidR="001237AC" w:rsidRDefault="000D5D4B">
            <w:r>
              <w:rPr>
                <w:b/>
                <w:bCs/>
                <w:color w:val="FFFFFF"/>
              </w:rPr>
              <w:t>Fonte de dados</w:t>
            </w:r>
          </w:p>
        </w:tc>
        <w:tc>
          <w:tcPr>
            <w:tcW w:w="1800" w:type="dxa"/>
            <w:shd w:val="clear" w:color="234F4B" w:fill="234F4B"/>
            <w:vAlign w:val="center"/>
          </w:tcPr>
          <w:p w14:paraId="0C0779F7" w14:textId="77777777" w:rsidR="001237AC" w:rsidRDefault="000D5D4B">
            <w:r>
              <w:rPr>
                <w:b/>
                <w:bCs/>
                <w:color w:val="FFFFFF"/>
              </w:rPr>
              <w:t>Origem</w:t>
            </w:r>
          </w:p>
        </w:tc>
        <w:tc>
          <w:tcPr>
            <w:tcW w:w="3300" w:type="dxa"/>
            <w:shd w:val="clear" w:color="234F4B" w:fill="234F4B"/>
            <w:vAlign w:val="center"/>
          </w:tcPr>
          <w:p w14:paraId="15DEA7A3" w14:textId="77777777" w:rsidR="001237AC" w:rsidRDefault="000D5D4B">
            <w:r>
              <w:rPr>
                <w:b/>
                <w:bCs/>
                <w:color w:val="FFFFFF"/>
              </w:rPr>
              <w:t>Cobertura</w:t>
            </w:r>
          </w:p>
        </w:tc>
      </w:tr>
      <w:tr w:rsidR="001237AC" w14:paraId="63A05CC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2490A829" w14:textId="77777777" w:rsidR="001237AC" w:rsidRDefault="000D5D4B">
            <w:r>
              <w:rPr>
                <w:color w:val="000000"/>
              </w:rPr>
              <w:t>Censo Escolar do INEP (2024 e 2025)</w:t>
            </w:r>
          </w:p>
        </w:tc>
        <w:tc>
          <w:tcPr>
            <w:tcW w:w="1800" w:type="dxa"/>
            <w:vAlign w:val="center"/>
          </w:tcPr>
          <w:p w14:paraId="5C8FE444" w14:textId="77777777" w:rsidR="001237AC" w:rsidRDefault="000D5D4B">
            <w:r>
              <w:rPr>
                <w:color w:val="000000"/>
              </w:rPr>
              <w:t>REAL</w:t>
            </w:r>
          </w:p>
        </w:tc>
        <w:tc>
          <w:tcPr>
            <w:tcW w:w="3300" w:type="dxa"/>
            <w:vAlign w:val="center"/>
          </w:tcPr>
          <w:p w14:paraId="1734E776" w14:textId="77777777" w:rsidR="001237AC" w:rsidRDefault="000D5D4B">
            <w:r>
              <w:rPr>
                <w:color w:val="000000"/>
              </w:rPr>
              <w:t>Todas as escolas municipais de Cubatão, oficial</w:t>
            </w:r>
          </w:p>
        </w:tc>
      </w:tr>
      <w:tr w:rsidR="001237AC" w14:paraId="61BF298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1A142001" w14:textId="77777777" w:rsidR="001237AC" w:rsidRDefault="000D5D4B">
            <w:r>
              <w:rPr>
                <w:color w:val="000000"/>
              </w:rPr>
              <w:t>Taxas de Rendimento Escolar do INEP (2024 e 2025)</w:t>
            </w:r>
          </w:p>
        </w:tc>
        <w:tc>
          <w:tcPr>
            <w:tcW w:w="1800" w:type="dxa"/>
            <w:vAlign w:val="center"/>
          </w:tcPr>
          <w:p w14:paraId="111C7473" w14:textId="77777777" w:rsidR="001237AC" w:rsidRDefault="000D5D4B">
            <w:r>
              <w:rPr>
                <w:color w:val="000000"/>
              </w:rPr>
              <w:t>REAL</w:t>
            </w:r>
          </w:p>
        </w:tc>
        <w:tc>
          <w:tcPr>
            <w:tcW w:w="3300" w:type="dxa"/>
            <w:vAlign w:val="center"/>
          </w:tcPr>
          <w:p w14:paraId="0BAC0818" w14:textId="77777777" w:rsidR="001237AC" w:rsidRDefault="000D5D4B">
            <w:r>
              <w:rPr>
                <w:color w:val="000000"/>
              </w:rPr>
              <w:t>Aprovação/reprovação/abandono, rede municipal, oficial</w:t>
            </w:r>
          </w:p>
        </w:tc>
      </w:tr>
      <w:tr w:rsidR="001237AC" w14:paraId="7D79731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7DAA0632" w14:textId="77777777" w:rsidR="001237AC" w:rsidRDefault="000D5D4B">
            <w:r>
              <w:rPr>
                <w:color w:val="000000"/>
              </w:rPr>
              <w:t>Fluxo Escolar SEDUC-SP (2011–2024)</w:t>
            </w:r>
          </w:p>
        </w:tc>
        <w:tc>
          <w:tcPr>
            <w:tcW w:w="1800" w:type="dxa"/>
            <w:vAlign w:val="center"/>
          </w:tcPr>
          <w:p w14:paraId="7EBCB5A7" w14:textId="77777777" w:rsidR="001237AC" w:rsidRDefault="000D5D4B">
            <w:r>
              <w:rPr>
                <w:color w:val="000000"/>
              </w:rPr>
              <w:t>REAL (mas descartado)</w:t>
            </w:r>
          </w:p>
        </w:tc>
        <w:tc>
          <w:tcPr>
            <w:tcW w:w="3300" w:type="dxa"/>
            <w:vAlign w:val="center"/>
          </w:tcPr>
          <w:p w14:paraId="2891D3DC" w14:textId="77777777" w:rsidR="001237AC" w:rsidRDefault="000D5D4B">
            <w:r>
              <w:rPr>
                <w:color w:val="000000"/>
              </w:rPr>
              <w:t>Rede estadual — não corresponde à rede municipal, por isso não foi usado na análise prin</w:t>
            </w:r>
            <w:r>
              <w:rPr>
                <w:color w:val="000000"/>
              </w:rPr>
              <w:t>cipal</w:t>
            </w:r>
          </w:p>
        </w:tc>
      </w:tr>
      <w:tr w:rsidR="001237AC" w14:paraId="16C33EA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37402C57" w14:textId="77777777" w:rsidR="001237AC" w:rsidRDefault="000D5D4B">
            <w:r>
              <w:rPr>
                <w:color w:val="000000"/>
              </w:rPr>
              <w:t>Chamada diária — turmas de 7º, 8º e 9º ano (2026)</w:t>
            </w:r>
          </w:p>
        </w:tc>
        <w:tc>
          <w:tcPr>
            <w:tcW w:w="1800" w:type="dxa"/>
            <w:vAlign w:val="center"/>
          </w:tcPr>
          <w:p w14:paraId="33F1E571" w14:textId="77777777" w:rsidR="001237AC" w:rsidRDefault="000D5D4B">
            <w:r>
              <w:rPr>
                <w:color w:val="000000"/>
              </w:rPr>
              <w:t>REAL</w:t>
            </w:r>
          </w:p>
        </w:tc>
        <w:tc>
          <w:tcPr>
            <w:tcW w:w="3300" w:type="dxa"/>
            <w:vAlign w:val="center"/>
          </w:tcPr>
          <w:p w14:paraId="61FBDFBD" w14:textId="77777777" w:rsidR="001237AC" w:rsidRDefault="000D5D4B">
            <w:r>
              <w:rPr>
                <w:color w:val="000000"/>
              </w:rPr>
              <w:t>Digitalizada a partir da planilha de chamada de uma escola, turno da manhã (12 turmas, 321 alunos)</w:t>
            </w:r>
          </w:p>
        </w:tc>
      </w:tr>
      <w:tr w:rsidR="001237AC" w14:paraId="28B486B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5B46B90C" w14:textId="77777777" w:rsidR="001237AC" w:rsidRDefault="000D5D4B">
            <w:r>
              <w:rPr>
                <w:color w:val="000000"/>
              </w:rPr>
              <w:t>Chamada diária — turmas de 6º ano (2026)</w:t>
            </w:r>
          </w:p>
        </w:tc>
        <w:tc>
          <w:tcPr>
            <w:tcW w:w="1800" w:type="dxa"/>
            <w:vAlign w:val="center"/>
          </w:tcPr>
          <w:p w14:paraId="4335E64A" w14:textId="77777777" w:rsidR="001237AC" w:rsidRDefault="000D5D4B">
            <w:r>
              <w:rPr>
                <w:color w:val="000000"/>
              </w:rPr>
              <w:t>FICTÍCIO</w:t>
            </w:r>
          </w:p>
        </w:tc>
        <w:tc>
          <w:tcPr>
            <w:tcW w:w="3300" w:type="dxa"/>
            <w:vAlign w:val="center"/>
          </w:tcPr>
          <w:p w14:paraId="05D07210" w14:textId="77777777" w:rsidR="001237AC" w:rsidRDefault="000D5D4B">
            <w:r>
              <w:rPr>
                <w:color w:val="000000"/>
              </w:rPr>
              <w:t>Simulado estatisticamente (mesmo método usad</w:t>
            </w:r>
            <w:r>
              <w:rPr>
                <w:color w:val="000000"/>
              </w:rPr>
              <w:t>o para o turno da tarde), pois o arquivo original não continha 6º ano</w:t>
            </w:r>
          </w:p>
        </w:tc>
      </w:tr>
      <w:tr w:rsidR="001237AC" w14:paraId="2BACF71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30A1B99B" w14:textId="77777777" w:rsidR="001237AC" w:rsidRDefault="000D5D4B">
            <w:r>
              <w:rPr>
                <w:color w:val="000000"/>
              </w:rPr>
              <w:t>Chamada diária — turno da tarde (todas as séries)</w:t>
            </w:r>
          </w:p>
        </w:tc>
        <w:tc>
          <w:tcPr>
            <w:tcW w:w="1800" w:type="dxa"/>
            <w:vAlign w:val="center"/>
          </w:tcPr>
          <w:p w14:paraId="475A4AF2" w14:textId="77777777" w:rsidR="001237AC" w:rsidRDefault="000D5D4B">
            <w:r>
              <w:rPr>
                <w:color w:val="000000"/>
              </w:rPr>
              <w:t>FICTÍCIO</w:t>
            </w:r>
          </w:p>
        </w:tc>
        <w:tc>
          <w:tcPr>
            <w:tcW w:w="3300" w:type="dxa"/>
            <w:vAlign w:val="center"/>
          </w:tcPr>
          <w:p w14:paraId="6DFA055F" w14:textId="77777777" w:rsidR="001237AC" w:rsidRDefault="000D5D4B">
            <w:r>
              <w:rPr>
                <w:color w:val="000000"/>
              </w:rPr>
              <w:t>Simulado estatisticamente; nenhum turno da tarde foi digitalizado</w:t>
            </w:r>
          </w:p>
        </w:tc>
      </w:tr>
      <w:tr w:rsidR="001237AC" w14:paraId="550F60D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258FDE49" w14:textId="77777777" w:rsidR="001237AC" w:rsidRDefault="000D5D4B">
            <w:r>
              <w:rPr>
                <w:color w:val="000000"/>
              </w:rPr>
              <w:t>Base "</w:t>
            </w:r>
            <w:proofErr w:type="spellStart"/>
            <w:r>
              <w:rPr>
                <w:color w:val="000000"/>
              </w:rPr>
              <w:t>Predict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Students</w:t>
            </w:r>
            <w:proofErr w:type="spellEnd"/>
            <w:r>
              <w:rPr>
                <w:color w:val="000000"/>
              </w:rPr>
              <w:t xml:space="preserve">' </w:t>
            </w:r>
            <w:proofErr w:type="spellStart"/>
            <w:r>
              <w:rPr>
                <w:color w:val="000000"/>
              </w:rPr>
              <w:t>Dropout</w:t>
            </w:r>
            <w:proofErr w:type="spellEnd"/>
            <w:r>
              <w:rPr>
                <w:color w:val="000000"/>
              </w:rPr>
              <w:t>" (UCI, Realinho et al. 2021)</w:t>
            </w:r>
          </w:p>
        </w:tc>
        <w:tc>
          <w:tcPr>
            <w:tcW w:w="1800" w:type="dxa"/>
            <w:vAlign w:val="center"/>
          </w:tcPr>
          <w:p w14:paraId="1B4F6173" w14:textId="77777777" w:rsidR="001237AC" w:rsidRDefault="000D5D4B">
            <w:r>
              <w:rPr>
                <w:color w:val="000000"/>
              </w:rPr>
              <w:t>REAL</w:t>
            </w:r>
          </w:p>
        </w:tc>
        <w:tc>
          <w:tcPr>
            <w:tcW w:w="3300" w:type="dxa"/>
            <w:vAlign w:val="center"/>
          </w:tcPr>
          <w:p w14:paraId="4F5A44D4" w14:textId="77777777" w:rsidR="001237AC" w:rsidRDefault="000D5D4B">
            <w:r>
              <w:rPr>
                <w:color w:val="000000"/>
              </w:rPr>
              <w:t>4.424 alunos reais de instituição de ensino superior portuguesa — usada como prova de conceito de Machine Learning, não é d</w:t>
            </w:r>
            <w:r>
              <w:rPr>
                <w:color w:val="000000"/>
              </w:rPr>
              <w:t>ado de Cubatão</w:t>
            </w:r>
          </w:p>
        </w:tc>
      </w:tr>
      <w:tr w:rsidR="001237AC" w14:paraId="648A627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vAlign w:val="center"/>
          </w:tcPr>
          <w:p w14:paraId="4A03F50C" w14:textId="77777777" w:rsidR="001237AC" w:rsidRDefault="000D5D4B">
            <w:r>
              <w:rPr>
                <w:color w:val="000000"/>
              </w:rPr>
              <w:t>Tabela com rótulo de resultado sintético (extensão de ML)</w:t>
            </w:r>
          </w:p>
        </w:tc>
        <w:tc>
          <w:tcPr>
            <w:tcW w:w="1800" w:type="dxa"/>
            <w:vAlign w:val="center"/>
          </w:tcPr>
          <w:p w14:paraId="14DCA361" w14:textId="77777777" w:rsidR="001237AC" w:rsidRDefault="000D5D4B">
            <w:r>
              <w:rPr>
                <w:color w:val="000000"/>
              </w:rPr>
              <w:t>FICTÍCIO (rótulo)</w:t>
            </w:r>
          </w:p>
        </w:tc>
        <w:tc>
          <w:tcPr>
            <w:tcW w:w="3300" w:type="dxa"/>
            <w:vAlign w:val="center"/>
          </w:tcPr>
          <w:p w14:paraId="6F7487CB" w14:textId="77777777" w:rsidR="001237AC" w:rsidRDefault="000D5D4B">
            <w:r>
              <w:rPr>
                <w:color w:val="000000"/>
              </w:rPr>
              <w:t>Frequência real (manhã, 7º-9º) + fictícia (tarde) — mas o resultado final (Evasão/Matriculado/Diplomado) é sorteado, não observado</w:t>
            </w:r>
          </w:p>
        </w:tc>
      </w:tr>
    </w:tbl>
    <w:p w14:paraId="2BF15D68" w14:textId="77777777" w:rsidR="001237AC" w:rsidRDefault="001237AC">
      <w:pPr>
        <w:spacing w:after="200"/>
      </w:pPr>
    </w:p>
    <w:p w14:paraId="65992C41" w14:textId="77777777" w:rsidR="001237AC" w:rsidRDefault="000D5D4B">
      <w:pPr>
        <w:spacing w:after="160"/>
      </w:pPr>
      <w:r>
        <w:rPr>
          <w:i/>
          <w:iCs/>
        </w:rPr>
        <w:t>Nome fictício da escola: para p</w:t>
      </w:r>
      <w:r>
        <w:rPr>
          <w:i/>
          <w:iCs/>
        </w:rPr>
        <w:t>reservar a identidade da unidade escolar real que forneceu a chamada, o projeto usa o nome fictício "Escola Municipal de Cubatão" em todo o estudo de caso.</w:t>
      </w:r>
    </w:p>
    <w:p w14:paraId="4043B2C6" w14:textId="77777777" w:rsidR="001237AC" w:rsidRDefault="000D5D4B">
      <w:pPr>
        <w:pStyle w:val="Ttulo1"/>
        <w:spacing w:before="360" w:after="160"/>
      </w:pPr>
      <w:r>
        <w:t>3. Etapas do projeto, passo a passo</w:t>
      </w:r>
    </w:p>
    <w:p w14:paraId="002E24C2" w14:textId="77777777" w:rsidR="001237AC" w:rsidRDefault="000D5D4B">
      <w:pPr>
        <w:pStyle w:val="Ttulo2"/>
        <w:spacing w:before="280" w:after="120"/>
      </w:pPr>
      <w:r>
        <w:t>Etapa 1 — Censo Escolar do INEP (2024 x 2025)</w:t>
      </w:r>
    </w:p>
    <w:p w14:paraId="0544DD41" w14:textId="77777777" w:rsidR="001237AC" w:rsidRDefault="000D5D4B">
      <w:pPr>
        <w:spacing w:after="160"/>
      </w:pPr>
      <w:r>
        <w:lastRenderedPageBreak/>
        <w:t>Filtramos as tabel</w:t>
      </w:r>
      <w:r>
        <w:t>as do Censo Escolar (Escola, Matrícula, Turma, Docente, Gestor) para o município de Cubatão-SP e isolamos a rede municipal (TP_DEPENDENCIA = 3), comparando 2024 com 2025.</w:t>
      </w:r>
    </w:p>
    <w:p w14:paraId="3DE8B1A0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Escolas municipais: 57 em 2024 → 54 em 2025</w:t>
      </w:r>
    </w:p>
    <w:p w14:paraId="22F31304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Matrículas de 7º ano: 915 (2024) → 919 (2025)</w:t>
      </w:r>
    </w:p>
    <w:p w14:paraId="622D4383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Matrículas de Anos Finais (6º-9º): 3.416 (2024) → 3.488 (2025)</w:t>
      </w:r>
    </w:p>
    <w:p w14:paraId="7D83E83B" w14:textId="77777777" w:rsidR="001237AC" w:rsidRDefault="000D5D4B">
      <w:pPr>
        <w:pStyle w:val="Ttulo2"/>
        <w:spacing w:before="280" w:after="120"/>
      </w:pPr>
      <w:r>
        <w:t>Etapa 2 — Taxas de Rendimento Escolar do INEP (2024 x 2025)</w:t>
      </w:r>
    </w:p>
    <w:p w14:paraId="48711200" w14:textId="77777777" w:rsidR="001237AC" w:rsidRDefault="000D5D4B">
      <w:pPr>
        <w:spacing w:after="160"/>
      </w:pPr>
      <w:r>
        <w:t>Diferente do Fluxo Escolar do SEDUC-SP (que cobre a rede estadual), as Taxas de Rendimento do INEP cobrem a rede municipal diretamente, por escola (mesmo código CO_ENTIDADE do Censo) e por municíp</w:t>
      </w:r>
      <w:r>
        <w:t>io.</w:t>
      </w:r>
    </w:p>
    <w:p w14:paraId="34CC5980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7º ano — Aprovação: 91,7% (2024) → 93,1% (2025) · Reprovação: 7,3% → 5,4% · Abandono: 1,0% → 1,5%</w:t>
      </w:r>
    </w:p>
    <w:p w14:paraId="1E9252A0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Anos Finais (6º-9º) — Aprovação: 92,8% (2024) → 94,4% (2025) · Reprovação: 6,4% → 4,6% · Abandono: 0,8% → 1,0%</w:t>
      </w:r>
    </w:p>
    <w:p w14:paraId="6E7896C5" w14:textId="77777777" w:rsidR="001237AC" w:rsidRDefault="000D5D4B">
      <w:pPr>
        <w:pStyle w:val="Ttulo2"/>
        <w:spacing w:before="280" w:after="120"/>
      </w:pPr>
      <w:r>
        <w:t>Etapa 3 — Estudo de caso: "Escola Municipal</w:t>
      </w:r>
      <w:r>
        <w:t xml:space="preserve"> de Cubatão" (2026)</w:t>
      </w:r>
    </w:p>
    <w:p w14:paraId="233CEAD2" w14:textId="77777777" w:rsidR="001237AC" w:rsidRDefault="000D5D4B">
      <w:pPr>
        <w:spacing w:after="160"/>
      </w:pPr>
      <w:r>
        <w:t>Reunimos a chamada diária de 16 turmas (6º ao 9º ano, turno da manhã) do 2º trimestre de 2026, cobrindo 425 combinações aluno-turma.</w:t>
      </w:r>
    </w:p>
    <w:p w14:paraId="73093973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6º ano: 4 turmas, 104 alunos — FICTÍCIO</w:t>
      </w:r>
    </w:p>
    <w:p w14:paraId="43EDF5B3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7º ano: 4 turmas, 94 alunos — REAL</w:t>
      </w:r>
    </w:p>
    <w:p w14:paraId="1AF7B6DC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8º ano: 5 turmas, 137 alunos</w:t>
      </w:r>
      <w:r>
        <w:t xml:space="preserve"> — REAL</w:t>
      </w:r>
    </w:p>
    <w:p w14:paraId="2C2EDFCD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9º ano: 3 turmas, 90 alunos — REAL</w:t>
      </w:r>
    </w:p>
    <w:p w14:paraId="1D4C990F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55,1% dos 425 alunos tiveram frequência abaixo de 75% em pelo menos um mês do trimestre</w:t>
      </w:r>
    </w:p>
    <w:p w14:paraId="1E98A945" w14:textId="77777777" w:rsidR="001237AC" w:rsidRDefault="000D5D4B">
      <w:pPr>
        <w:pStyle w:val="Ttulo2"/>
        <w:spacing w:before="280" w:after="120"/>
      </w:pPr>
      <w:r>
        <w:t>Etapa 4 — Índice de risco combinado</w:t>
      </w:r>
    </w:p>
    <w:p w14:paraId="61A28738" w14:textId="77777777" w:rsidR="001237AC" w:rsidRDefault="000D5D4B">
      <w:pPr>
        <w:spacing w:after="160"/>
      </w:pPr>
      <w:r>
        <w:t>Inspirado em três Projetos Integradores de referência da UNIVESP sobre controle de frequê</w:t>
      </w:r>
      <w:r>
        <w:t>ncia, busca ativa escolar e monitoramento de risco acadêmico, construímos um índice somando pontos de três sinais: frequência média, tendência entre o primeiro e o último mês, e maior sequência de faltas consecutivas.</w:t>
      </w:r>
    </w:p>
    <w:p w14:paraId="332A504D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Critério: frequência &lt; 75% (+3) ou &lt; 8</w:t>
      </w:r>
      <w:r>
        <w:t xml:space="preserve">5% (+1) · queda ≥ 10 </w:t>
      </w:r>
      <w:proofErr w:type="spellStart"/>
      <w:r>
        <w:t>p.p</w:t>
      </w:r>
      <w:proofErr w:type="spellEnd"/>
      <w:r>
        <w:t xml:space="preserve">. (+2) ou ≥ 5 </w:t>
      </w:r>
      <w:proofErr w:type="spellStart"/>
      <w:r>
        <w:t>p.p</w:t>
      </w:r>
      <w:proofErr w:type="spellEnd"/>
      <w:r>
        <w:t>. (+1) · 3+ faltas seguidas (+2) ou 2 (+1)</w:t>
      </w:r>
    </w:p>
    <w:p w14:paraId="79577575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Classificação: score ≥ 5 = Alto risco · 2 a 4 = Médio · 0 ou 1 = Baixo</w:t>
      </w:r>
    </w:p>
    <w:p w14:paraId="2B420164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Resultado: 32,7% Baixo · 35,5% Médio · 31,8% Alto risco, entre os 425 alunos</w:t>
      </w:r>
    </w:p>
    <w:p w14:paraId="1E3C24C9" w14:textId="77777777" w:rsidR="001237AC" w:rsidRDefault="000D5D4B">
      <w:pPr>
        <w:pStyle w:val="Ttulo2"/>
        <w:spacing w:before="280" w:after="120"/>
      </w:pPr>
      <w:r>
        <w:t>Etapa 5 — Protótipo de f</w:t>
      </w:r>
      <w:r>
        <w:t>erramenta: registro digital de frequência</w:t>
      </w:r>
    </w:p>
    <w:p w14:paraId="045BE321" w14:textId="77777777" w:rsidR="001237AC" w:rsidRDefault="000D5D4B">
      <w:pPr>
        <w:spacing w:after="160"/>
      </w:pPr>
      <w:r>
        <w:t>Como extensão prática, construímos um protótipo web (HTML autocontido, sem necessidade de instalação) que demonstra um registro de chamada digital com alertas automáticos, usando o mesmo índice de risco da Etapa 4.</w:t>
      </w:r>
      <w:r>
        <w:t xml:space="preserve"> O protótipo diferencia claramente escolas/anos com dado real (2026, Escola Municipal de Cubatão, turno da manhã) dos que mostram apenas contexto oficial (2024/2025, escolas reais da rede, sem chamada digitalizada).</w:t>
      </w:r>
    </w:p>
    <w:p w14:paraId="54250DA1" w14:textId="77777777" w:rsidR="001237AC" w:rsidRDefault="000D5D4B">
      <w:pPr>
        <w:pStyle w:val="Ttulo2"/>
        <w:spacing w:before="280" w:after="120"/>
      </w:pPr>
      <w:r>
        <w:t>Etapa 6 — Prova de conceito de Machine L</w:t>
      </w:r>
      <w:r>
        <w:t>earning</w:t>
      </w:r>
    </w:p>
    <w:p w14:paraId="2C88AC83" w14:textId="77777777" w:rsidR="001237AC" w:rsidRDefault="000D5D4B">
      <w:pPr>
        <w:spacing w:after="160"/>
      </w:pPr>
      <w:r>
        <w:t>Como os dados de Cubatão não têm um rótulo de resultado real por aluno (não sabemos quem evadiu de fato), praticamos a técnica de Machine Learning supervisionado em duas etapas:</w:t>
      </w:r>
    </w:p>
    <w:p w14:paraId="124EDAF6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Base pública real (UCI): 4.424 alunos, com rótulo real de Evasão/Matri</w:t>
      </w:r>
      <w:r>
        <w:t xml:space="preserve">culado/Diplomado. </w:t>
      </w:r>
      <w:proofErr w:type="spellStart"/>
      <w:r>
        <w:t>Random</w:t>
      </w:r>
      <w:proofErr w:type="spellEnd"/>
      <w:r>
        <w:t xml:space="preserve"> Forest atingiu 77% de acerto. As variáveis mais importantes foram as acadêmicas (unidades aprovadas, notas), não as socioeconômicas — validando a priorização de frequência/aprovação que o PI já adotava.</w:t>
      </w:r>
    </w:p>
    <w:p w14:paraId="7632B9C6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Extensão na estrutura de Cub</w:t>
      </w:r>
      <w:r>
        <w:t>atão: uma tabela de 202 alunos (manhã real + tarde fictícia) com rótulo de resultado sintético (sorteado, correlacionado ao risco) foi usada para testar o mesmo pipeline nas colunas reais de Cubatão. Resultado: 51% de acerto — modesto, mas acima do acaso (</w:t>
      </w:r>
      <w:r>
        <w:t xml:space="preserve">33% para 3 classes), </w:t>
      </w:r>
      <w:r>
        <w:lastRenderedPageBreak/>
        <w:t>demonstrando que o pipeline funciona, mas destacando que falta um rótulo real para virar um modelo válido de fato.</w:t>
      </w:r>
    </w:p>
    <w:p w14:paraId="130DD9CB" w14:textId="77777777" w:rsidR="001237AC" w:rsidRDefault="000D5D4B">
      <w:pPr>
        <w:pStyle w:val="Ttulo1"/>
        <w:spacing w:before="360" w:after="160"/>
      </w:pPr>
      <w:r>
        <w:t>4. Limitações reconhecidas</w:t>
      </w:r>
    </w:p>
    <w:p w14:paraId="1568F3C6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 xml:space="preserve">O estudo de caso de 2026 cobre uma única escola e apenas o turno da manhã — não representa a </w:t>
      </w:r>
      <w:r>
        <w:t>rede municipal inteira.</w:t>
      </w:r>
    </w:p>
    <w:p w14:paraId="765CC127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O 6º ano e o turno da tarde são inteiramente fictícios/simulados, não observados na realidade.</w:t>
      </w:r>
    </w:p>
    <w:p w14:paraId="5F6AE748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Não existe rótulo de resultado real (evasão/aprovação) por aluno em Cubatão — por isso a Etapa 6 usa uma base externa (UCI) e, na extensão, um rótulo sintético.</w:t>
      </w:r>
    </w:p>
    <w:p w14:paraId="2337A793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O protótipo de registro de frequência não persiste dados entre sessões (é uma demonstração, não</w:t>
      </w:r>
      <w:r>
        <w:t xml:space="preserve"> um sistema em produção).</w:t>
      </w:r>
    </w:p>
    <w:p w14:paraId="292473E4" w14:textId="77777777" w:rsidR="001237AC" w:rsidRDefault="000D5D4B">
      <w:pPr>
        <w:pStyle w:val="Ttulo1"/>
        <w:spacing w:before="360" w:after="160"/>
      </w:pPr>
      <w:r>
        <w:t>5. Próximos passos — decisões para o grupo</w:t>
      </w:r>
    </w:p>
    <w:p w14:paraId="767EC239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Aprovar (ou ajustar) o escopo atual antes da redação final do PI</w:t>
      </w:r>
    </w:p>
    <w:p w14:paraId="77EE0116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Decidir se o grupo quer buscar dados reais de 6º ano e do turno da tarde para substituir a simulação</w:t>
      </w:r>
    </w:p>
    <w:p w14:paraId="00AC96EB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Decidir se o PI perma</w:t>
      </w:r>
      <w:r>
        <w:t xml:space="preserve">nece como notebooks de análise ou evolui para uma ferramenta completa (registro de frequência + alertas automáticos + busca ativa), inspirada nos três </w:t>
      </w:r>
      <w:proofErr w:type="spellStart"/>
      <w:r>
        <w:t>TCCs</w:t>
      </w:r>
      <w:proofErr w:type="spellEnd"/>
      <w:r>
        <w:t xml:space="preserve"> de referência</w:t>
      </w:r>
    </w:p>
    <w:p w14:paraId="78265477" w14:textId="77777777" w:rsidR="001237AC" w:rsidRDefault="000D5D4B">
      <w:pPr>
        <w:pStyle w:val="PargrafodaLista"/>
        <w:numPr>
          <w:ilvl w:val="0"/>
          <w:numId w:val="2"/>
        </w:numPr>
        <w:spacing w:after="80"/>
      </w:pPr>
      <w:r>
        <w:t>Se possível, buscar as Taxas de Rendimento de anos anteriores a 2024 para ampliar a sé</w:t>
      </w:r>
      <w:r>
        <w:t>rie histórica municipal</w:t>
      </w:r>
    </w:p>
    <w:p w14:paraId="718341AE" w14:textId="77777777" w:rsidR="001237AC" w:rsidRDefault="000D5D4B">
      <w:pPr>
        <w:pStyle w:val="Ttulo1"/>
        <w:spacing w:before="360" w:after="160"/>
      </w:pPr>
      <w:r>
        <w:t>6. Referências</w:t>
      </w:r>
    </w:p>
    <w:p w14:paraId="537B9D88" w14:textId="77777777" w:rsidR="001237AC" w:rsidRDefault="000D5D4B">
      <w:pPr>
        <w:spacing w:after="160"/>
      </w:pPr>
      <w:r>
        <w:t>INEP — Instituto Nacional de Estudos e Pesquisas Educacionais Anísio Teixeira. Censo Escolar da Educação Básica e Taxas de Rendimento Escolar, 2024 e 2025. Disponível em: gov.br/</w:t>
      </w:r>
      <w:proofErr w:type="spellStart"/>
      <w:r>
        <w:t>inep</w:t>
      </w:r>
      <w:proofErr w:type="spellEnd"/>
      <w:r>
        <w:t>.</w:t>
      </w:r>
    </w:p>
    <w:p w14:paraId="485744D8" w14:textId="77777777" w:rsidR="001237AC" w:rsidRDefault="000D5D4B">
      <w:pPr>
        <w:spacing w:after="160"/>
      </w:pPr>
      <w:r>
        <w:t>Realinho, V., Vieira Martins, M.,</w:t>
      </w:r>
      <w:r>
        <w:t xml:space="preserve"> Machado, J., &amp; Baptista, L. (2021).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'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[</w:t>
      </w:r>
      <w:proofErr w:type="spellStart"/>
      <w:r>
        <w:t>Dataset</w:t>
      </w:r>
      <w:proofErr w:type="spellEnd"/>
      <w:r>
        <w:t xml:space="preserve">]. UCI Machine Learning </w:t>
      </w:r>
      <w:proofErr w:type="spellStart"/>
      <w:r>
        <w:t>Repository</w:t>
      </w:r>
      <w:proofErr w:type="spellEnd"/>
      <w:r>
        <w:t>. https://doi.org/10.24432/C5MC89</w:t>
      </w:r>
    </w:p>
    <w:p w14:paraId="56F8F586" w14:textId="77777777" w:rsidR="001237AC" w:rsidRDefault="000D5D4B">
      <w:pPr>
        <w:spacing w:after="160"/>
      </w:pPr>
      <w:r>
        <w:t>Três Projetos Integradores de referência da UNIVESP (2024/2026), sobre controle de frequência, b</w:t>
      </w:r>
      <w:r>
        <w:t>usca ativa escolar e monitoramento pedagógico de risco acadêmico — citados nas Etapas 4 e 5.</w:t>
      </w:r>
    </w:p>
    <w:sectPr w:rsidR="001237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41FA0"/>
    <w:multiLevelType w:val="hybridMultilevel"/>
    <w:tmpl w:val="C3FC3506"/>
    <w:lvl w:ilvl="0" w:tplc="A484E26A">
      <w:start w:val="1"/>
      <w:numFmt w:val="bullet"/>
      <w:lvlText w:val="●"/>
      <w:lvlJc w:val="left"/>
      <w:pPr>
        <w:ind w:left="720" w:hanging="360"/>
      </w:pPr>
    </w:lvl>
    <w:lvl w:ilvl="1" w:tplc="79F05F50">
      <w:start w:val="1"/>
      <w:numFmt w:val="bullet"/>
      <w:lvlText w:val="○"/>
      <w:lvlJc w:val="left"/>
      <w:pPr>
        <w:ind w:left="1440" w:hanging="360"/>
      </w:pPr>
    </w:lvl>
    <w:lvl w:ilvl="2" w:tplc="D5163CAE">
      <w:start w:val="1"/>
      <w:numFmt w:val="bullet"/>
      <w:lvlText w:val="■"/>
      <w:lvlJc w:val="left"/>
      <w:pPr>
        <w:ind w:left="2160" w:hanging="360"/>
      </w:pPr>
    </w:lvl>
    <w:lvl w:ilvl="3" w:tplc="4D8C7F12">
      <w:start w:val="1"/>
      <w:numFmt w:val="bullet"/>
      <w:lvlText w:val="●"/>
      <w:lvlJc w:val="left"/>
      <w:pPr>
        <w:ind w:left="2880" w:hanging="360"/>
      </w:pPr>
    </w:lvl>
    <w:lvl w:ilvl="4" w:tplc="73E4635C">
      <w:start w:val="1"/>
      <w:numFmt w:val="bullet"/>
      <w:lvlText w:val="○"/>
      <w:lvlJc w:val="left"/>
      <w:pPr>
        <w:ind w:left="3600" w:hanging="360"/>
      </w:pPr>
    </w:lvl>
    <w:lvl w:ilvl="5" w:tplc="2DB62004">
      <w:start w:val="1"/>
      <w:numFmt w:val="bullet"/>
      <w:lvlText w:val="■"/>
      <w:lvlJc w:val="left"/>
      <w:pPr>
        <w:ind w:left="4320" w:hanging="360"/>
      </w:pPr>
    </w:lvl>
    <w:lvl w:ilvl="6" w:tplc="8C44A598">
      <w:start w:val="1"/>
      <w:numFmt w:val="bullet"/>
      <w:lvlText w:val="●"/>
      <w:lvlJc w:val="left"/>
      <w:pPr>
        <w:ind w:left="5040" w:hanging="360"/>
      </w:pPr>
    </w:lvl>
    <w:lvl w:ilvl="7" w:tplc="39B65436">
      <w:start w:val="1"/>
      <w:numFmt w:val="bullet"/>
      <w:lvlText w:val="●"/>
      <w:lvlJc w:val="left"/>
      <w:pPr>
        <w:ind w:left="5760" w:hanging="360"/>
      </w:pPr>
    </w:lvl>
    <w:lvl w:ilvl="8" w:tplc="EC3EC5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3244A"/>
    <w:multiLevelType w:val="hybridMultilevel"/>
    <w:tmpl w:val="DF9A927A"/>
    <w:lvl w:ilvl="0" w:tplc="EEB08074">
      <w:start w:val="1"/>
      <w:numFmt w:val="bullet"/>
      <w:lvlText w:val="•"/>
      <w:lvlJc w:val="left"/>
      <w:pPr>
        <w:ind w:left="420" w:hanging="260"/>
      </w:pPr>
    </w:lvl>
    <w:lvl w:ilvl="1" w:tplc="4F1EB0B4">
      <w:start w:val="1"/>
      <w:numFmt w:val="bullet"/>
      <w:lvlText w:val="◦"/>
      <w:lvlJc w:val="left"/>
      <w:pPr>
        <w:ind w:left="840" w:hanging="260"/>
      </w:pPr>
    </w:lvl>
    <w:lvl w:ilvl="2" w:tplc="72D251FE">
      <w:numFmt w:val="decimal"/>
      <w:lvlText w:val=""/>
      <w:lvlJc w:val="left"/>
    </w:lvl>
    <w:lvl w:ilvl="3" w:tplc="07D61216">
      <w:numFmt w:val="decimal"/>
      <w:lvlText w:val=""/>
      <w:lvlJc w:val="left"/>
    </w:lvl>
    <w:lvl w:ilvl="4" w:tplc="2EFCD79A">
      <w:numFmt w:val="decimal"/>
      <w:lvlText w:val=""/>
      <w:lvlJc w:val="left"/>
    </w:lvl>
    <w:lvl w:ilvl="5" w:tplc="BEB82D58">
      <w:numFmt w:val="decimal"/>
      <w:lvlText w:val=""/>
      <w:lvlJc w:val="left"/>
    </w:lvl>
    <w:lvl w:ilvl="6" w:tplc="0CF6A20A">
      <w:numFmt w:val="decimal"/>
      <w:lvlText w:val=""/>
      <w:lvlJc w:val="left"/>
    </w:lvl>
    <w:lvl w:ilvl="7" w:tplc="D6D670E8">
      <w:numFmt w:val="decimal"/>
      <w:lvlText w:val=""/>
      <w:lvlJc w:val="left"/>
    </w:lvl>
    <w:lvl w:ilvl="8" w:tplc="0DCE0E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AC"/>
    <w:rsid w:val="000D5D4B"/>
    <w:rsid w:val="001237AC"/>
    <w:rsid w:val="00B0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24A74"/>
  <w15:docId w15:val="{30845F7A-F3BA-4710-A0DB-85D1A81D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1166</Words>
  <Characters>6297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Anderson Gregatti</cp:lastModifiedBy>
  <cp:revision>3</cp:revision>
  <dcterms:created xsi:type="dcterms:W3CDTF">2026-09-07T21:35:00Z</dcterms:created>
  <dcterms:modified xsi:type="dcterms:W3CDTF">2026-09-07T22:15:00Z</dcterms:modified>
</cp:coreProperties>
</file>