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AE111" w14:textId="319C2AB2" w:rsidR="00223ACE" w:rsidRDefault="00211147">
      <w:r>
        <w:fldChar w:fldCharType="begin"/>
      </w:r>
      <w:r>
        <w:instrText xml:space="preserve"> HYPERLINK "</w:instrText>
      </w:r>
      <w:r w:rsidRPr="00211147">
        <w:instrText>https://mp.weixin.qq.com/s/zEAFelpBwzObpbFgtRsFVg</w:instrText>
      </w:r>
      <w:r>
        <w:instrText xml:space="preserve">" </w:instrText>
      </w:r>
      <w:r>
        <w:fldChar w:fldCharType="separate"/>
      </w:r>
      <w:r w:rsidRPr="00EF3948">
        <w:rPr>
          <w:rStyle w:val="a3"/>
        </w:rPr>
        <w:t>https://mp.weixin.qq.com/s/zEAFelpBwzObpbFgtRsFVg</w:t>
      </w:r>
      <w:r>
        <w:fldChar w:fldCharType="end"/>
      </w:r>
    </w:p>
    <w:p w14:paraId="6FB45A10" w14:textId="273A88F5" w:rsidR="00211147" w:rsidRDefault="0011616A">
      <w:r>
        <w:rPr>
          <w:rFonts w:hint="eastAsia"/>
        </w:rPr>
        <w:t>代码复用是中台架构的核心</w:t>
      </w:r>
    </w:p>
    <w:p w14:paraId="0BA4D900" w14:textId="4E259F1B" w:rsidR="0011616A" w:rsidRDefault="0011616A"/>
    <w:p w14:paraId="14559AF0" w14:textId="6BE33055" w:rsidR="0011616A" w:rsidRDefault="0011616A">
      <w:r>
        <w:rPr>
          <w:rFonts w:hint="eastAsia"/>
        </w:rPr>
        <w:t>代码复用的难点：</w:t>
      </w:r>
    </w:p>
    <w:p w14:paraId="05C20F43" w14:textId="09531021" w:rsidR="0011616A" w:rsidRDefault="0011616A" w:rsidP="0011616A">
      <w:pPr>
        <w:pStyle w:val="a5"/>
        <w:numPr>
          <w:ilvl w:val="0"/>
          <w:numId w:val="1"/>
        </w:numPr>
        <w:ind w:firstLineChars="0"/>
      </w:pPr>
      <w:r>
        <w:rPr>
          <w:rFonts w:hint="eastAsia"/>
        </w:rPr>
        <w:t>开发语言不同；</w:t>
      </w:r>
    </w:p>
    <w:p w14:paraId="529E70AB" w14:textId="05667B07" w:rsidR="0011616A" w:rsidRDefault="0011616A" w:rsidP="0011616A">
      <w:pPr>
        <w:pStyle w:val="a5"/>
        <w:numPr>
          <w:ilvl w:val="0"/>
          <w:numId w:val="1"/>
        </w:numPr>
        <w:ind w:firstLineChars="0"/>
      </w:pPr>
      <w:r>
        <w:rPr>
          <w:rFonts w:hint="eastAsia"/>
        </w:rPr>
        <w:t>不同应用系统，相同模块的差异较大；</w:t>
      </w:r>
    </w:p>
    <w:p w14:paraId="478A6D5F" w14:textId="2A32F47E" w:rsidR="0011616A" w:rsidRDefault="0011616A" w:rsidP="0011616A">
      <w:pPr>
        <w:pStyle w:val="a5"/>
        <w:numPr>
          <w:ilvl w:val="0"/>
          <w:numId w:val="1"/>
        </w:numPr>
        <w:ind w:firstLineChars="0"/>
      </w:pPr>
      <w:r>
        <w:rPr>
          <w:rFonts w:hint="eastAsia"/>
        </w:rPr>
        <w:t>功能模块代码与业务系统紧密耦合（数据层、业务逻辑层、视图层等）</w:t>
      </w:r>
    </w:p>
    <w:p w14:paraId="4C5BF58C" w14:textId="776C0EDC" w:rsidR="00051F05" w:rsidRDefault="00051F05" w:rsidP="00051F05"/>
    <w:p w14:paraId="0782FA59" w14:textId="0339736E" w:rsidR="00051F05" w:rsidRDefault="00051F05" w:rsidP="00051F05">
      <w:r>
        <w:rPr>
          <w:rFonts w:hint="eastAsia"/>
        </w:rPr>
        <w:t>代码复用的成本：</w:t>
      </w:r>
    </w:p>
    <w:p w14:paraId="4E0DF6E3" w14:textId="75DC1966" w:rsidR="00051F05" w:rsidRDefault="00C64197" w:rsidP="00051F05">
      <w:pPr>
        <w:pStyle w:val="a5"/>
        <w:numPr>
          <w:ilvl w:val="0"/>
          <w:numId w:val="2"/>
        </w:numPr>
        <w:ind w:firstLineChars="0"/>
      </w:pPr>
      <w:r>
        <w:rPr>
          <w:rFonts w:hint="eastAsia"/>
        </w:rPr>
        <w:t>发现、提炼可复用组件；</w:t>
      </w:r>
    </w:p>
    <w:p w14:paraId="17C74F33" w14:textId="34566EE0" w:rsidR="00C64197" w:rsidRDefault="00BD2C93" w:rsidP="00051F05">
      <w:pPr>
        <w:pStyle w:val="a5"/>
        <w:numPr>
          <w:ilvl w:val="0"/>
          <w:numId w:val="2"/>
        </w:numPr>
        <w:ind w:firstLineChars="0"/>
      </w:pPr>
      <w:r>
        <w:rPr>
          <w:rFonts w:hint="eastAsia"/>
        </w:rPr>
        <w:t>学习可复用组件；</w:t>
      </w:r>
    </w:p>
    <w:p w14:paraId="72E86389" w14:textId="63089680" w:rsidR="00BD2C93" w:rsidRDefault="00BD2C93" w:rsidP="00051F05">
      <w:pPr>
        <w:pStyle w:val="a5"/>
        <w:numPr>
          <w:ilvl w:val="0"/>
          <w:numId w:val="2"/>
        </w:numPr>
        <w:ind w:firstLineChars="0"/>
      </w:pPr>
      <w:r>
        <w:rPr>
          <w:rFonts w:hint="eastAsia"/>
        </w:rPr>
        <w:t>扩展可复用组件；</w:t>
      </w:r>
    </w:p>
    <w:p w14:paraId="5B82A908" w14:textId="0740F24C" w:rsidR="00BD2C93" w:rsidRDefault="00BD2C93" w:rsidP="00051F05">
      <w:pPr>
        <w:pStyle w:val="a5"/>
        <w:numPr>
          <w:ilvl w:val="0"/>
          <w:numId w:val="2"/>
        </w:numPr>
        <w:ind w:firstLineChars="0"/>
      </w:pPr>
      <w:r>
        <w:rPr>
          <w:rFonts w:hint="eastAsia"/>
        </w:rPr>
        <w:t>修改可复用组件的成本</w:t>
      </w:r>
      <w:r w:rsidR="00374452">
        <w:rPr>
          <w:rFonts w:hint="eastAsia"/>
        </w:rPr>
        <w:t>；</w:t>
      </w:r>
    </w:p>
    <w:p w14:paraId="619C1491" w14:textId="0E722B8E" w:rsidR="00374452" w:rsidRDefault="00374452" w:rsidP="00374452"/>
    <w:p w14:paraId="4CFDAE38" w14:textId="22C9DFE8" w:rsidR="00374452" w:rsidRDefault="00DD455D" w:rsidP="00374452">
      <w:r>
        <w:rPr>
          <w:rFonts w:hint="eastAsia"/>
        </w:rPr>
        <w:t>复用级别：</w:t>
      </w:r>
    </w:p>
    <w:p w14:paraId="359F8C5E" w14:textId="0C49FC25" w:rsidR="00DD455D" w:rsidRDefault="00DD455D" w:rsidP="00DD455D">
      <w:pPr>
        <w:pStyle w:val="a5"/>
        <w:numPr>
          <w:ilvl w:val="0"/>
          <w:numId w:val="3"/>
        </w:numPr>
        <w:ind w:firstLineChars="0"/>
      </w:pPr>
      <w:r>
        <w:rPr>
          <w:rFonts w:hint="eastAsia"/>
        </w:rPr>
        <w:t>程序和算法；</w:t>
      </w:r>
    </w:p>
    <w:p w14:paraId="0D5AC407" w14:textId="620D6DBA" w:rsidR="00DD455D" w:rsidRDefault="00DD455D" w:rsidP="00DD455D">
      <w:pPr>
        <w:pStyle w:val="a5"/>
        <w:numPr>
          <w:ilvl w:val="0"/>
          <w:numId w:val="3"/>
        </w:numPr>
        <w:ind w:firstLineChars="0"/>
      </w:pPr>
      <w:r>
        <w:rPr>
          <w:rFonts w:hint="eastAsia"/>
        </w:rPr>
        <w:t>中间件复用；</w:t>
      </w:r>
    </w:p>
    <w:p w14:paraId="61F63EA0" w14:textId="0578BA53" w:rsidR="00DD455D" w:rsidRDefault="00DD455D" w:rsidP="00DD455D">
      <w:pPr>
        <w:pStyle w:val="a5"/>
        <w:numPr>
          <w:ilvl w:val="0"/>
          <w:numId w:val="3"/>
        </w:numPr>
        <w:ind w:firstLineChars="0"/>
      </w:pPr>
      <w:r>
        <w:rPr>
          <w:rFonts w:hint="eastAsia"/>
        </w:rPr>
        <w:t>功能模块复用；</w:t>
      </w:r>
    </w:p>
    <w:p w14:paraId="0390B8C7" w14:textId="1C49EA26" w:rsidR="00DD455D" w:rsidRDefault="00DD455D" w:rsidP="00DD455D">
      <w:pPr>
        <w:pStyle w:val="a5"/>
        <w:numPr>
          <w:ilvl w:val="0"/>
          <w:numId w:val="3"/>
        </w:numPr>
        <w:ind w:firstLineChars="0"/>
      </w:pPr>
      <w:r>
        <w:rPr>
          <w:rFonts w:hint="eastAsia"/>
        </w:rPr>
        <w:t>业务流程复用；</w:t>
      </w:r>
    </w:p>
    <w:p w14:paraId="5AA87B0F" w14:textId="059A7EDA" w:rsidR="00DD455D" w:rsidRDefault="00DD455D" w:rsidP="00DD455D">
      <w:pPr>
        <w:pStyle w:val="a5"/>
        <w:numPr>
          <w:ilvl w:val="0"/>
          <w:numId w:val="3"/>
        </w:numPr>
        <w:ind w:firstLineChars="0"/>
      </w:pPr>
      <w:r>
        <w:rPr>
          <w:rFonts w:hint="eastAsia"/>
        </w:rPr>
        <w:t>应用系统复用</w:t>
      </w:r>
    </w:p>
    <w:p w14:paraId="13013502" w14:textId="59C464B9" w:rsidR="00F75855" w:rsidRDefault="00F75855" w:rsidP="00F75855"/>
    <w:p w14:paraId="5E58E35F" w14:textId="7C8F2067" w:rsidR="009B0D03" w:rsidRDefault="00837713" w:rsidP="00F75855">
      <w:r w:rsidRPr="00837713">
        <w:rPr>
          <w:noProof/>
        </w:rPr>
        <w:drawing>
          <wp:inline distT="0" distB="0" distL="0" distR="0" wp14:anchorId="6AE2D748" wp14:editId="4E812732">
            <wp:extent cx="5274310" cy="26085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608580"/>
                    </a:xfrm>
                    <a:prstGeom prst="rect">
                      <a:avLst/>
                    </a:prstGeom>
                    <a:noFill/>
                    <a:ln>
                      <a:noFill/>
                    </a:ln>
                  </pic:spPr>
                </pic:pic>
              </a:graphicData>
            </a:graphic>
          </wp:inline>
        </w:drawing>
      </w:r>
    </w:p>
    <w:p w14:paraId="480C215D" w14:textId="77777777" w:rsidR="00B05406" w:rsidRDefault="00B05406" w:rsidP="00B05406">
      <w:pPr>
        <w:pStyle w:val="a6"/>
        <w:shd w:val="clear" w:color="auto" w:fill="FCFCFC"/>
        <w:spacing w:before="0" w:after="0"/>
        <w:ind w:firstLine="480"/>
        <w:jc w:val="both"/>
        <w:rPr>
          <w:rFonts w:ascii="Century Gothic" w:hAnsi="Century Gothic"/>
          <w:color w:val="111111"/>
          <w:spacing w:val="8"/>
        </w:rPr>
      </w:pPr>
      <w:r>
        <w:rPr>
          <w:rFonts w:ascii="Century Gothic" w:hAnsi="Century Gothic"/>
          <w:color w:val="111111"/>
          <w:spacing w:val="8"/>
        </w:rPr>
        <w:t xml:space="preserve">Gartner </w:t>
      </w:r>
      <w:r>
        <w:rPr>
          <w:rFonts w:ascii="Century Gothic" w:hAnsi="Century Gothic"/>
          <w:color w:val="111111"/>
          <w:spacing w:val="8"/>
        </w:rPr>
        <w:t>在研究报告里提出了宏服务、小服务和</w:t>
      </w:r>
      <w:proofErr w:type="gramStart"/>
      <w:r>
        <w:rPr>
          <w:rFonts w:ascii="Century Gothic" w:hAnsi="Century Gothic"/>
          <w:color w:val="111111"/>
          <w:spacing w:val="8"/>
        </w:rPr>
        <w:t>微服务</w:t>
      </w:r>
      <w:proofErr w:type="gramEnd"/>
      <w:r>
        <w:rPr>
          <w:rFonts w:ascii="Century Gothic" w:hAnsi="Century Gothic"/>
          <w:color w:val="111111"/>
          <w:spacing w:val="8"/>
        </w:rPr>
        <w:t>的粒度划分：</w:t>
      </w:r>
    </w:p>
    <w:p w14:paraId="1468CFB2" w14:textId="77777777" w:rsidR="00B05406" w:rsidRDefault="00B05406" w:rsidP="00B05406">
      <w:pPr>
        <w:pStyle w:val="a6"/>
        <w:shd w:val="clear" w:color="auto" w:fill="FCFCFC"/>
        <w:spacing w:before="0" w:after="0"/>
        <w:ind w:firstLine="480"/>
        <w:jc w:val="both"/>
        <w:rPr>
          <w:rFonts w:ascii="Century Gothic" w:hAnsi="Century Gothic"/>
          <w:color w:val="111111"/>
          <w:spacing w:val="8"/>
        </w:rPr>
      </w:pPr>
      <w:proofErr w:type="gramStart"/>
      <w:r>
        <w:rPr>
          <w:rStyle w:val="a7"/>
          <w:rFonts w:ascii="Century Gothic" w:hAnsi="Century Gothic"/>
          <w:color w:val="111111"/>
          <w:spacing w:val="8"/>
        </w:rPr>
        <w:t>宏服务</w:t>
      </w:r>
      <w:proofErr w:type="gramEnd"/>
      <w:r>
        <w:rPr>
          <w:rFonts w:ascii="Century Gothic" w:hAnsi="Century Gothic"/>
          <w:color w:val="111111"/>
          <w:spacing w:val="8"/>
        </w:rPr>
        <w:t>——</w:t>
      </w:r>
      <w:r>
        <w:rPr>
          <w:rFonts w:ascii="Century Gothic" w:hAnsi="Century Gothic"/>
          <w:color w:val="111111"/>
          <w:spacing w:val="8"/>
        </w:rPr>
        <w:t>一种传统的</w:t>
      </w:r>
      <w:r>
        <w:rPr>
          <w:rFonts w:ascii="Century Gothic" w:hAnsi="Century Gothic"/>
          <w:color w:val="111111"/>
          <w:spacing w:val="8"/>
        </w:rPr>
        <w:t xml:space="preserve"> Web </w:t>
      </w:r>
      <w:r>
        <w:rPr>
          <w:rFonts w:ascii="Century Gothic" w:hAnsi="Century Gothic"/>
          <w:color w:val="111111"/>
          <w:spacing w:val="8"/>
        </w:rPr>
        <w:t>服务，支持将功能封装于单体应用内。</w:t>
      </w:r>
      <w:proofErr w:type="gramStart"/>
      <w:r>
        <w:rPr>
          <w:rFonts w:ascii="Century Gothic" w:hAnsi="Century Gothic"/>
          <w:color w:val="111111"/>
          <w:spacing w:val="8"/>
        </w:rPr>
        <w:t>宏服务</w:t>
      </w:r>
      <w:proofErr w:type="gramEnd"/>
      <w:r>
        <w:rPr>
          <w:rFonts w:ascii="Century Gothic" w:hAnsi="Century Gothic"/>
          <w:color w:val="111111"/>
          <w:spacing w:val="8"/>
        </w:rPr>
        <w:t>不支持</w:t>
      </w:r>
      <w:proofErr w:type="gramStart"/>
      <w:r>
        <w:rPr>
          <w:rFonts w:ascii="Century Gothic" w:hAnsi="Century Gothic"/>
          <w:color w:val="111111"/>
          <w:spacing w:val="8"/>
        </w:rPr>
        <w:t>独立部署</w:t>
      </w:r>
      <w:proofErr w:type="gramEnd"/>
      <w:r>
        <w:rPr>
          <w:rFonts w:ascii="Century Gothic" w:hAnsi="Century Gothic"/>
          <w:color w:val="111111"/>
          <w:spacing w:val="8"/>
        </w:rPr>
        <w:t>或扩展，</w:t>
      </w:r>
      <w:r>
        <w:rPr>
          <w:rFonts w:ascii="Century Gothic" w:hAnsi="Century Gothic"/>
          <w:color w:val="111111"/>
          <w:spacing w:val="8"/>
        </w:rPr>
        <w:t xml:space="preserve"> </w:t>
      </w:r>
      <w:r>
        <w:rPr>
          <w:rFonts w:ascii="Century Gothic" w:hAnsi="Century Gothic"/>
          <w:color w:val="111111"/>
          <w:spacing w:val="8"/>
        </w:rPr>
        <w:t>它们只能部署为单体应用的一部分，而且它们不需要</w:t>
      </w:r>
      <w:proofErr w:type="gramStart"/>
      <w:r>
        <w:rPr>
          <w:rFonts w:ascii="Century Gothic" w:hAnsi="Century Gothic"/>
          <w:color w:val="111111"/>
          <w:spacing w:val="8"/>
        </w:rPr>
        <w:t>微服务</w:t>
      </w:r>
      <w:proofErr w:type="gramEnd"/>
      <w:r>
        <w:rPr>
          <w:rFonts w:ascii="Century Gothic" w:hAnsi="Century Gothic"/>
          <w:color w:val="111111"/>
          <w:spacing w:val="8"/>
        </w:rPr>
        <w:t>基础架构。</w:t>
      </w:r>
    </w:p>
    <w:p w14:paraId="13F48A27" w14:textId="77777777" w:rsidR="00B05406" w:rsidRDefault="00B05406" w:rsidP="00B05406">
      <w:pPr>
        <w:pStyle w:val="a6"/>
        <w:shd w:val="clear" w:color="auto" w:fill="FCFCFC"/>
        <w:spacing w:before="0" w:after="0"/>
        <w:ind w:firstLine="480"/>
        <w:jc w:val="both"/>
        <w:rPr>
          <w:rFonts w:ascii="Century Gothic" w:hAnsi="Century Gothic"/>
          <w:color w:val="111111"/>
          <w:spacing w:val="8"/>
        </w:rPr>
      </w:pPr>
      <w:r>
        <w:rPr>
          <w:rStyle w:val="a7"/>
          <w:rFonts w:ascii="Century Gothic" w:hAnsi="Century Gothic"/>
          <w:color w:val="111111"/>
          <w:spacing w:val="8"/>
        </w:rPr>
        <w:t>小服务</w:t>
      </w:r>
      <w:r>
        <w:rPr>
          <w:rFonts w:ascii="Century Gothic" w:hAnsi="Century Gothic"/>
          <w:color w:val="111111"/>
          <w:spacing w:val="8"/>
        </w:rPr>
        <w:t>——</w:t>
      </w:r>
      <w:r>
        <w:rPr>
          <w:rFonts w:ascii="Century Gothic" w:hAnsi="Century Gothic"/>
          <w:color w:val="111111"/>
          <w:spacing w:val="8"/>
        </w:rPr>
        <w:t>就服务粒度范围而言，小服务是一种粗粒度、松散耦合、支持</w:t>
      </w:r>
      <w:proofErr w:type="gramStart"/>
      <w:r>
        <w:rPr>
          <w:rFonts w:ascii="Century Gothic" w:hAnsi="Century Gothic"/>
          <w:color w:val="111111"/>
          <w:spacing w:val="8"/>
        </w:rPr>
        <w:t>独立部署</w:t>
      </w:r>
      <w:proofErr w:type="gramEnd"/>
      <w:r>
        <w:rPr>
          <w:rFonts w:ascii="Century Gothic" w:hAnsi="Century Gothic"/>
          <w:color w:val="111111"/>
          <w:spacing w:val="8"/>
        </w:rPr>
        <w:t>的应用组件。小服务需要</w:t>
      </w:r>
      <w:proofErr w:type="gramStart"/>
      <w:r>
        <w:rPr>
          <w:rFonts w:ascii="Century Gothic" w:hAnsi="Century Gothic"/>
          <w:color w:val="111111"/>
          <w:spacing w:val="8"/>
        </w:rPr>
        <w:t>微服务</w:t>
      </w:r>
      <w:proofErr w:type="gramEnd"/>
      <w:r>
        <w:rPr>
          <w:rFonts w:ascii="Century Gothic" w:hAnsi="Century Gothic"/>
          <w:color w:val="111111"/>
          <w:spacing w:val="8"/>
        </w:rPr>
        <w:t>基础架构。</w:t>
      </w:r>
    </w:p>
    <w:p w14:paraId="2764AD45" w14:textId="77777777" w:rsidR="00B05406" w:rsidRDefault="00B05406" w:rsidP="00B05406">
      <w:pPr>
        <w:pStyle w:val="a6"/>
        <w:shd w:val="clear" w:color="auto" w:fill="FCFCFC"/>
        <w:spacing w:before="0" w:after="0"/>
        <w:ind w:firstLine="480"/>
        <w:jc w:val="both"/>
        <w:rPr>
          <w:rFonts w:ascii="Century Gothic" w:hAnsi="Century Gothic"/>
          <w:color w:val="111111"/>
          <w:spacing w:val="8"/>
        </w:rPr>
      </w:pPr>
      <w:proofErr w:type="gramStart"/>
      <w:r>
        <w:rPr>
          <w:rStyle w:val="a7"/>
          <w:rFonts w:ascii="Century Gothic" w:hAnsi="Century Gothic"/>
          <w:color w:val="111111"/>
          <w:spacing w:val="8"/>
        </w:rPr>
        <w:lastRenderedPageBreak/>
        <w:t>微服务</w:t>
      </w:r>
      <w:proofErr w:type="gramEnd"/>
      <w:r>
        <w:rPr>
          <w:rFonts w:ascii="Century Gothic" w:hAnsi="Century Gothic"/>
          <w:color w:val="111111"/>
          <w:spacing w:val="8"/>
        </w:rPr>
        <w:t>——</w:t>
      </w:r>
      <w:r>
        <w:rPr>
          <w:rFonts w:ascii="Century Gothic" w:hAnsi="Century Gothic"/>
          <w:color w:val="111111"/>
          <w:spacing w:val="8"/>
        </w:rPr>
        <w:t>微服务处于粒度范围的远端，是一种可</w:t>
      </w:r>
      <w:proofErr w:type="gramStart"/>
      <w:r>
        <w:rPr>
          <w:rFonts w:ascii="Century Gothic" w:hAnsi="Century Gothic"/>
          <w:color w:val="111111"/>
          <w:spacing w:val="8"/>
        </w:rPr>
        <w:t>独立部署</w:t>
      </w:r>
      <w:proofErr w:type="gramEnd"/>
      <w:r>
        <w:rPr>
          <w:rFonts w:ascii="Century Gothic" w:hAnsi="Century Gothic"/>
          <w:color w:val="111111"/>
          <w:spacing w:val="8"/>
        </w:rPr>
        <w:t>的组件，能够支持单个应用功能的实施。</w:t>
      </w:r>
      <w:proofErr w:type="gramStart"/>
      <w:r>
        <w:rPr>
          <w:rFonts w:ascii="Century Gothic" w:hAnsi="Century Gothic"/>
          <w:color w:val="111111"/>
          <w:spacing w:val="8"/>
        </w:rPr>
        <w:t>微服务</w:t>
      </w:r>
      <w:proofErr w:type="gramEnd"/>
      <w:r>
        <w:rPr>
          <w:rFonts w:ascii="Century Gothic" w:hAnsi="Century Gothic"/>
          <w:color w:val="111111"/>
          <w:spacing w:val="8"/>
        </w:rPr>
        <w:t>可直接部署到</w:t>
      </w:r>
      <w:proofErr w:type="gramStart"/>
      <w:r>
        <w:rPr>
          <w:rFonts w:ascii="Century Gothic" w:hAnsi="Century Gothic"/>
          <w:color w:val="111111"/>
          <w:spacing w:val="8"/>
        </w:rPr>
        <w:t>微服务</w:t>
      </w:r>
      <w:proofErr w:type="gramEnd"/>
      <w:r>
        <w:rPr>
          <w:rFonts w:ascii="Century Gothic" w:hAnsi="Century Gothic"/>
          <w:color w:val="111111"/>
          <w:spacing w:val="8"/>
        </w:rPr>
        <w:t>运行时环境中，也往往具备专用数据存储区。微服</w:t>
      </w:r>
      <w:proofErr w:type="gramStart"/>
      <w:r>
        <w:rPr>
          <w:rFonts w:ascii="Century Gothic" w:hAnsi="Century Gothic"/>
          <w:color w:val="111111"/>
          <w:spacing w:val="8"/>
        </w:rPr>
        <w:t>务需</w:t>
      </w:r>
      <w:proofErr w:type="gramEnd"/>
      <w:r>
        <w:rPr>
          <w:rFonts w:ascii="Century Gothic" w:hAnsi="Century Gothic"/>
          <w:color w:val="111111"/>
          <w:spacing w:val="8"/>
        </w:rPr>
        <w:t>要</w:t>
      </w:r>
      <w:proofErr w:type="gramStart"/>
      <w:r>
        <w:rPr>
          <w:rFonts w:ascii="Century Gothic" w:hAnsi="Century Gothic"/>
          <w:color w:val="111111"/>
          <w:spacing w:val="8"/>
        </w:rPr>
        <w:t>微服务</w:t>
      </w:r>
      <w:proofErr w:type="gramEnd"/>
      <w:r>
        <w:rPr>
          <w:rFonts w:ascii="Century Gothic" w:hAnsi="Century Gothic"/>
          <w:color w:val="111111"/>
          <w:spacing w:val="8"/>
        </w:rPr>
        <w:t>基础架构。</w:t>
      </w:r>
    </w:p>
    <w:p w14:paraId="19DB03DC" w14:textId="022FCCE4" w:rsidR="0039392C" w:rsidRDefault="0039392C" w:rsidP="00F75855"/>
    <w:p w14:paraId="7ED4029E" w14:textId="13B7507F" w:rsidR="0039392C" w:rsidRDefault="00192D41" w:rsidP="00F75855">
      <w:r>
        <w:rPr>
          <w:rFonts w:hint="eastAsia"/>
        </w:rPr>
        <w:t>技术</w:t>
      </w:r>
      <w:proofErr w:type="gramStart"/>
      <w:r>
        <w:rPr>
          <w:rFonts w:hint="eastAsia"/>
        </w:rPr>
        <w:t>栈</w:t>
      </w:r>
      <w:proofErr w:type="gramEnd"/>
      <w:r>
        <w:rPr>
          <w:rFonts w:hint="eastAsia"/>
        </w:rPr>
        <w:t>管理：</w:t>
      </w:r>
    </w:p>
    <w:p w14:paraId="7A97DCEB" w14:textId="49A97F16" w:rsidR="00192D41" w:rsidRDefault="00192D41" w:rsidP="00192D41">
      <w:pPr>
        <w:pStyle w:val="a5"/>
        <w:numPr>
          <w:ilvl w:val="0"/>
          <w:numId w:val="4"/>
        </w:numPr>
        <w:ind w:firstLineChars="0"/>
      </w:pPr>
      <w:r>
        <w:rPr>
          <w:rFonts w:hint="eastAsia"/>
        </w:rPr>
        <w:t>确定主流语言、框架、数据库等；</w:t>
      </w:r>
    </w:p>
    <w:p w14:paraId="067D4B4F" w14:textId="0AA4D294" w:rsidR="00192D41" w:rsidRDefault="00192D41" w:rsidP="00192D41">
      <w:pPr>
        <w:pStyle w:val="a5"/>
        <w:numPr>
          <w:ilvl w:val="0"/>
          <w:numId w:val="4"/>
        </w:numPr>
        <w:ind w:firstLineChars="0"/>
      </w:pPr>
      <w:r>
        <w:rPr>
          <w:rFonts w:hint="eastAsia"/>
        </w:rPr>
        <w:t>减少非主流技术体系的资源投入；</w:t>
      </w:r>
    </w:p>
    <w:p w14:paraId="702F3B0C" w14:textId="1DA8CEA8" w:rsidR="00192D41" w:rsidRPr="00B97FA8" w:rsidRDefault="00F16ECE" w:rsidP="00192D41">
      <w:pPr>
        <w:pStyle w:val="a5"/>
        <w:numPr>
          <w:ilvl w:val="0"/>
          <w:numId w:val="4"/>
        </w:numPr>
        <w:ind w:firstLineChars="0"/>
      </w:pPr>
      <w:r>
        <w:rPr>
          <w:rFonts w:ascii="Century Gothic" w:hAnsi="Century Gothic"/>
          <w:color w:val="111111"/>
          <w:spacing w:val="8"/>
          <w:shd w:val="clear" w:color="auto" w:fill="FCFCFC"/>
        </w:rPr>
        <w:t>逐步向前后端分离的开发方式转变，大后端体系之后实行大前端；</w:t>
      </w:r>
    </w:p>
    <w:p w14:paraId="700CC231" w14:textId="434A7ABB" w:rsidR="00B97FA8" w:rsidRPr="00B163A8" w:rsidRDefault="00B97FA8" w:rsidP="004D74D9">
      <w:pPr>
        <w:pStyle w:val="a5"/>
        <w:numPr>
          <w:ilvl w:val="0"/>
          <w:numId w:val="4"/>
        </w:numPr>
        <w:ind w:firstLineChars="0"/>
      </w:pPr>
      <w:r w:rsidRPr="00B163A8">
        <w:rPr>
          <w:rFonts w:ascii="Century Gothic" w:hAnsi="Century Gothic"/>
          <w:color w:val="111111"/>
          <w:spacing w:val="8"/>
          <w:shd w:val="clear" w:color="auto" w:fill="FCFCFC"/>
        </w:rPr>
        <w:t>中间件不能滥用，新技术引进需要走技术评审</w:t>
      </w:r>
    </w:p>
    <w:p w14:paraId="1B533094" w14:textId="76C259DA" w:rsidR="00B163A8" w:rsidRDefault="00B163A8" w:rsidP="00B163A8"/>
    <w:p w14:paraId="18FE020C" w14:textId="4424C21F" w:rsidR="00AF4230" w:rsidRDefault="00826006" w:rsidP="00B163A8">
      <w:pPr>
        <w:rPr>
          <w:rFonts w:ascii="Microsoft YaHei UI" w:eastAsia="Microsoft YaHei UI" w:hAnsi="Microsoft YaHei UI"/>
          <w:color w:val="4468F8"/>
          <w:spacing w:val="8"/>
          <w:shd w:val="clear" w:color="auto" w:fill="FFFFFF"/>
        </w:rPr>
      </w:pPr>
      <w:r>
        <w:br/>
      </w:r>
      <w:r>
        <w:rPr>
          <w:rFonts w:ascii="Microsoft YaHei UI" w:eastAsia="Microsoft YaHei UI" w:hAnsi="Microsoft YaHei UI" w:hint="eastAsia"/>
          <w:color w:val="4468F8"/>
          <w:spacing w:val="8"/>
          <w:shd w:val="clear" w:color="auto" w:fill="FFFFFF"/>
        </w:rPr>
        <w:t>统一架构，构建</w:t>
      </w:r>
      <w:proofErr w:type="gramStart"/>
      <w:r>
        <w:rPr>
          <w:rFonts w:ascii="Microsoft YaHei UI" w:eastAsia="Microsoft YaHei UI" w:hAnsi="Microsoft YaHei UI" w:hint="eastAsia"/>
          <w:color w:val="4468F8"/>
          <w:spacing w:val="8"/>
          <w:shd w:val="clear" w:color="auto" w:fill="FFFFFF"/>
        </w:rPr>
        <w:t>平台级</w:t>
      </w:r>
      <w:proofErr w:type="gramEnd"/>
      <w:r>
        <w:rPr>
          <w:rFonts w:ascii="Microsoft YaHei UI" w:eastAsia="Microsoft YaHei UI" w:hAnsi="Microsoft YaHei UI" w:hint="eastAsia"/>
          <w:color w:val="4468F8"/>
          <w:spacing w:val="8"/>
          <w:shd w:val="clear" w:color="auto" w:fill="FFFFFF"/>
        </w:rPr>
        <w:t>应用</w:t>
      </w:r>
    </w:p>
    <w:p w14:paraId="5137E997" w14:textId="0B9C1353" w:rsidR="00A4613E" w:rsidRDefault="00F65D67" w:rsidP="00B163A8">
      <w:r>
        <w:rPr>
          <w:noProof/>
        </w:rPr>
        <w:drawing>
          <wp:inline distT="0" distB="0" distL="0" distR="0" wp14:anchorId="1205FC8A" wp14:editId="01B804C8">
            <wp:extent cx="5273879" cy="5986732"/>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8125" cy="6002904"/>
                    </a:xfrm>
                    <a:prstGeom prst="rect">
                      <a:avLst/>
                    </a:prstGeom>
                    <a:noFill/>
                    <a:ln>
                      <a:noFill/>
                    </a:ln>
                  </pic:spPr>
                </pic:pic>
              </a:graphicData>
            </a:graphic>
          </wp:inline>
        </w:drawing>
      </w:r>
    </w:p>
    <w:p w14:paraId="60CAEA51" w14:textId="77777777" w:rsidR="00F65D67" w:rsidRDefault="00F65D67" w:rsidP="00F65D67">
      <w:pPr>
        <w:pStyle w:val="a6"/>
        <w:shd w:val="clear" w:color="auto" w:fill="FCFCFC"/>
        <w:spacing w:before="0" w:after="0"/>
        <w:ind w:firstLine="480"/>
        <w:jc w:val="both"/>
        <w:rPr>
          <w:rFonts w:ascii="Century Gothic" w:hAnsi="Century Gothic"/>
          <w:color w:val="111111"/>
          <w:spacing w:val="8"/>
        </w:rPr>
      </w:pPr>
      <w:r>
        <w:rPr>
          <w:rStyle w:val="a7"/>
          <w:rFonts w:ascii="Century Gothic" w:hAnsi="Century Gothic"/>
          <w:color w:val="111111"/>
          <w:spacing w:val="8"/>
        </w:rPr>
        <w:lastRenderedPageBreak/>
        <w:t>3</w:t>
      </w:r>
      <w:r>
        <w:rPr>
          <w:rStyle w:val="a7"/>
          <w:rFonts w:ascii="Century Gothic" w:hAnsi="Century Gothic"/>
          <w:color w:val="111111"/>
          <w:spacing w:val="8"/>
        </w:rPr>
        <w:t>、企业级的复用体系</w:t>
      </w:r>
      <w:r>
        <w:rPr>
          <w:rStyle w:val="a7"/>
          <w:rFonts w:ascii="Century Gothic" w:hAnsi="Century Gothic"/>
          <w:color w:val="111111"/>
          <w:spacing w:val="8"/>
        </w:rPr>
        <w:t>--</w:t>
      </w:r>
      <w:r>
        <w:rPr>
          <w:rStyle w:val="a7"/>
          <w:rFonts w:ascii="Century Gothic" w:hAnsi="Century Gothic"/>
          <w:color w:val="111111"/>
          <w:spacing w:val="8"/>
        </w:rPr>
        <w:t>中台架构</w:t>
      </w:r>
    </w:p>
    <w:p w14:paraId="638C203B" w14:textId="77777777" w:rsidR="00F65D67" w:rsidRDefault="00F65D67" w:rsidP="00F65D67">
      <w:pPr>
        <w:pStyle w:val="a6"/>
        <w:shd w:val="clear" w:color="auto" w:fill="FCFCFC"/>
        <w:spacing w:before="0" w:after="0"/>
        <w:ind w:firstLine="480"/>
        <w:jc w:val="both"/>
        <w:rPr>
          <w:rFonts w:ascii="Century Gothic" w:hAnsi="Century Gothic"/>
          <w:color w:val="111111"/>
          <w:spacing w:val="8"/>
        </w:rPr>
      </w:pPr>
      <w:r>
        <w:rPr>
          <w:rFonts w:ascii="Century Gothic" w:hAnsi="Century Gothic"/>
          <w:color w:val="111111"/>
          <w:spacing w:val="8"/>
        </w:rPr>
        <w:t>中台的广义上的定义：企业</w:t>
      </w:r>
      <w:proofErr w:type="gramStart"/>
      <w:r>
        <w:rPr>
          <w:rFonts w:ascii="Century Gothic" w:hAnsi="Century Gothic"/>
          <w:color w:val="111111"/>
          <w:spacing w:val="8"/>
        </w:rPr>
        <w:t>级能力</w:t>
      </w:r>
      <w:proofErr w:type="gramEnd"/>
      <w:r>
        <w:rPr>
          <w:rFonts w:ascii="Century Gothic" w:hAnsi="Century Gothic"/>
          <w:color w:val="111111"/>
          <w:spacing w:val="8"/>
        </w:rPr>
        <w:t>复用平台。</w:t>
      </w:r>
    </w:p>
    <w:p w14:paraId="11BD6C7A" w14:textId="77777777" w:rsidR="00F65D67" w:rsidRDefault="00F65D67" w:rsidP="00F65D67">
      <w:pPr>
        <w:pStyle w:val="a6"/>
        <w:shd w:val="clear" w:color="auto" w:fill="FCFCFC"/>
        <w:spacing w:before="0" w:after="0"/>
        <w:ind w:firstLine="480"/>
        <w:jc w:val="both"/>
        <w:rPr>
          <w:rFonts w:ascii="Century Gothic" w:hAnsi="Century Gothic"/>
          <w:color w:val="111111"/>
          <w:spacing w:val="8"/>
        </w:rPr>
      </w:pPr>
      <w:r>
        <w:rPr>
          <w:rFonts w:ascii="Century Gothic" w:hAnsi="Century Gothic"/>
          <w:color w:val="111111"/>
          <w:spacing w:val="8"/>
        </w:rPr>
        <w:t>虽然我们的一体化平台涉及到中台服务部分，但是作为研发企业，我们的中台架构和服务是面向客户去交付的，帮助甲方客户构建中台能力。一般情况我们所说的中台，不是厂商的中</w:t>
      </w:r>
      <w:proofErr w:type="gramStart"/>
      <w:r>
        <w:rPr>
          <w:rFonts w:ascii="Century Gothic" w:hAnsi="Century Gothic"/>
          <w:color w:val="111111"/>
          <w:spacing w:val="8"/>
        </w:rPr>
        <w:t>台解决</w:t>
      </w:r>
      <w:proofErr w:type="gramEnd"/>
      <w:r>
        <w:rPr>
          <w:rFonts w:ascii="Century Gothic" w:hAnsi="Century Gothic"/>
          <w:color w:val="111111"/>
          <w:spacing w:val="8"/>
        </w:rPr>
        <w:t>方案，而是一个互联网企业或者一个传统企业为了满足自身数字化转型的需要而构建的中台体系，它是面向企业运营的中台体系而不是面向项目交付的中台服务。</w:t>
      </w:r>
    </w:p>
    <w:p w14:paraId="2AF72D28" w14:textId="77777777" w:rsidR="00F65D67" w:rsidRDefault="00F65D67" w:rsidP="00F65D67">
      <w:pPr>
        <w:pStyle w:val="a6"/>
        <w:shd w:val="clear" w:color="auto" w:fill="FCFCFC"/>
        <w:spacing w:before="0" w:after="0"/>
        <w:ind w:firstLine="480"/>
        <w:jc w:val="both"/>
        <w:rPr>
          <w:rFonts w:ascii="Century Gothic" w:hAnsi="Century Gothic"/>
          <w:color w:val="111111"/>
          <w:spacing w:val="8"/>
        </w:rPr>
      </w:pPr>
      <w:r>
        <w:rPr>
          <w:rFonts w:ascii="Century Gothic" w:hAnsi="Century Gothic"/>
          <w:color w:val="111111"/>
          <w:spacing w:val="8"/>
        </w:rPr>
        <w:t>广义上的中台范围是非常大的，涵盖了企业运营的方方面面，而我们更关注的是企业中台的载体即数字化运营中台。企业首先通过信息化建设，将企业内在业务从线下搬到了线上，这个阶段我们构建了一个个的单体系统，这些系统集成都不容易，复用几乎就更没可能。最终导致大量的重复开发建设，同时还带了更大的系统治理的成本。</w:t>
      </w:r>
    </w:p>
    <w:p w14:paraId="7D9E0023" w14:textId="77777777" w:rsidR="00F65D67" w:rsidRPr="00F65D67" w:rsidRDefault="00F65D67" w:rsidP="00B163A8">
      <w:pPr>
        <w:rPr>
          <w:rFonts w:hint="eastAsia"/>
        </w:rPr>
      </w:pPr>
    </w:p>
    <w:sectPr w:rsidR="00F65D67" w:rsidRPr="00F65D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10F2"/>
    <w:multiLevelType w:val="hybridMultilevel"/>
    <w:tmpl w:val="750CC8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8214E5B"/>
    <w:multiLevelType w:val="hybridMultilevel"/>
    <w:tmpl w:val="7BBAFD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F022502"/>
    <w:multiLevelType w:val="hybridMultilevel"/>
    <w:tmpl w:val="F4F859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4D8490D"/>
    <w:multiLevelType w:val="hybridMultilevel"/>
    <w:tmpl w:val="8E4A21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FD"/>
    <w:rsid w:val="00051F05"/>
    <w:rsid w:val="0011616A"/>
    <w:rsid w:val="00192D41"/>
    <w:rsid w:val="00211147"/>
    <w:rsid w:val="00223ACE"/>
    <w:rsid w:val="00374452"/>
    <w:rsid w:val="0039392C"/>
    <w:rsid w:val="00826006"/>
    <w:rsid w:val="00837713"/>
    <w:rsid w:val="009B0D03"/>
    <w:rsid w:val="00A4613E"/>
    <w:rsid w:val="00AF4230"/>
    <w:rsid w:val="00B05406"/>
    <w:rsid w:val="00B163A8"/>
    <w:rsid w:val="00B97FA8"/>
    <w:rsid w:val="00BD2C93"/>
    <w:rsid w:val="00C64197"/>
    <w:rsid w:val="00DD455D"/>
    <w:rsid w:val="00F16ECE"/>
    <w:rsid w:val="00F65D67"/>
    <w:rsid w:val="00F75855"/>
    <w:rsid w:val="00F82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9CA2E"/>
  <w15:chartTrackingRefBased/>
  <w15:docId w15:val="{472A6DEB-EC15-427D-8A9A-0E8CE4D40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11147"/>
    <w:rPr>
      <w:color w:val="0563C1" w:themeColor="hyperlink"/>
      <w:u w:val="single"/>
    </w:rPr>
  </w:style>
  <w:style w:type="character" w:styleId="a4">
    <w:name w:val="Unresolved Mention"/>
    <w:basedOn w:val="a0"/>
    <w:uiPriority w:val="99"/>
    <w:semiHidden/>
    <w:unhideWhenUsed/>
    <w:rsid w:val="00211147"/>
    <w:rPr>
      <w:color w:val="605E5C"/>
      <w:shd w:val="clear" w:color="auto" w:fill="E1DFDD"/>
    </w:rPr>
  </w:style>
  <w:style w:type="paragraph" w:styleId="a5">
    <w:name w:val="List Paragraph"/>
    <w:basedOn w:val="a"/>
    <w:uiPriority w:val="34"/>
    <w:qFormat/>
    <w:rsid w:val="0011616A"/>
    <w:pPr>
      <w:ind w:firstLineChars="200" w:firstLine="420"/>
    </w:pPr>
  </w:style>
  <w:style w:type="paragraph" w:styleId="a6">
    <w:name w:val="Normal (Web)"/>
    <w:basedOn w:val="a"/>
    <w:uiPriority w:val="99"/>
    <w:semiHidden/>
    <w:unhideWhenUsed/>
    <w:rsid w:val="00B05406"/>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B054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262065">
      <w:bodyDiv w:val="1"/>
      <w:marLeft w:val="0"/>
      <w:marRight w:val="0"/>
      <w:marTop w:val="0"/>
      <w:marBottom w:val="0"/>
      <w:divBdr>
        <w:top w:val="none" w:sz="0" w:space="0" w:color="auto"/>
        <w:left w:val="none" w:sz="0" w:space="0" w:color="auto"/>
        <w:bottom w:val="none" w:sz="0" w:space="0" w:color="auto"/>
        <w:right w:val="none" w:sz="0" w:space="0" w:color="auto"/>
      </w:divBdr>
    </w:div>
    <w:div w:id="194938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22</cp:revision>
  <dcterms:created xsi:type="dcterms:W3CDTF">2021-10-28T02:39:00Z</dcterms:created>
  <dcterms:modified xsi:type="dcterms:W3CDTF">2021-10-28T03:41:00Z</dcterms:modified>
</cp:coreProperties>
</file>