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both"/>
        <w:rPr>
          <w:bCs/>
          <w:sz w:val="24"/>
          <w:szCs w:val="24"/>
        </w:rPr>
      </w:pPr>
      <w:r>
        <w:rPr>
          <w:bCs/>
          <w:sz w:val="24"/>
          <w:szCs w:val="24"/>
        </w:rPr>
        <mc:AlternateContent>
          <mc:Choice Requires="wps">
            <w:drawing>
              <wp:anchor behindDoc="0" distT="0" distB="0" distL="114300" distR="114300" simplePos="0" locked="0" layoutInCell="1" allowOverlap="1" relativeHeight="2" wp14:anchorId="699AA2D2">
                <wp:simplePos x="0" y="0"/>
                <wp:positionH relativeFrom="column">
                  <wp:posOffset>2439035</wp:posOffset>
                </wp:positionH>
                <wp:positionV relativeFrom="paragraph">
                  <wp:posOffset>-420370</wp:posOffset>
                </wp:positionV>
                <wp:extent cx="799465" cy="920750"/>
                <wp:effectExtent l="0" t="4445" r="0" b="0"/>
                <wp:wrapNone/>
                <wp:docPr id="1" name="Caixa de texto 2"/>
                <a:graphic xmlns:a="http://schemas.openxmlformats.org/drawingml/2006/main">
                  <a:graphicData uri="http://schemas.microsoft.com/office/word/2010/wordprocessingShape">
                    <wps:wsp>
                      <wps:cNvSpPr/>
                      <wps:spPr>
                        <a:xfrm>
                          <a:off x="0" y="0"/>
                          <a:ext cx="798840" cy="920160"/>
                        </a:xfrm>
                        <a:prstGeom prst="rect">
                          <a:avLst/>
                        </a:prstGeom>
                        <a:noFill/>
                        <a:ln>
                          <a:noFill/>
                        </a:ln>
                      </wps:spPr>
                      <wps:style>
                        <a:lnRef idx="0"/>
                        <a:fillRef idx="0"/>
                        <a:effectRef idx="0"/>
                        <a:fontRef idx="minor"/>
                      </wps:style>
                      <wps:txbx>
                        <w:txbxContent>
                          <w:p>
                            <w:pPr>
                              <w:pStyle w:val="Contedodoquadro"/>
                              <w:rPr/>
                            </w:pPr>
                            <w:r>
                              <w:rPr/>
                              <w:drawing>
                                <wp:inline distT="0" distB="0" distL="0" distR="0">
                                  <wp:extent cx="619125" cy="828675"/>
                                  <wp:effectExtent l="0" t="0" r="0" b="0"/>
                                  <wp:docPr id="3" name="Imagem 1" descr="Rural logo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Rural logo preto"/>
                                          <pic:cNvPicPr>
                                            <a:picLocks noChangeAspect="1" noChangeArrowheads="1"/>
                                          </pic:cNvPicPr>
                                        </pic:nvPicPr>
                                        <pic:blipFill>
                                          <a:blip r:embed="rId2"/>
                                          <a:stretch>
                                            <a:fillRect/>
                                          </a:stretch>
                                        </pic:blipFill>
                                        <pic:spPr bwMode="auto">
                                          <a:xfrm>
                                            <a:off x="0" y="0"/>
                                            <a:ext cx="619125" cy="8286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aixa de texto 2" stroked="f" style="position:absolute;margin-left:192.05pt;margin-top:-33.1pt;width:62.85pt;height:72.4pt" wp14:anchorId="699AA2D2">
                <w10:wrap type="none"/>
                <v:fill o:detectmouseclick="t" on="false"/>
                <v:stroke color="#3465a4" joinstyle="round" endcap="flat"/>
                <v:textbox>
                  <w:txbxContent>
                    <w:p>
                      <w:pPr>
                        <w:pStyle w:val="Contedodoquadro"/>
                        <w:rPr/>
                      </w:pPr>
                      <w:r>
                        <w:rPr/>
                        <w:drawing>
                          <wp:inline distT="0" distB="0" distL="0" distR="0">
                            <wp:extent cx="619125" cy="828675"/>
                            <wp:effectExtent l="0" t="0" r="0" b="0"/>
                            <wp:docPr id="4" name="Imagem 1" descr="Rural logo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Rural logo preto"/>
                                    <pic:cNvPicPr>
                                      <a:picLocks noChangeAspect="1" noChangeArrowheads="1"/>
                                    </pic:cNvPicPr>
                                  </pic:nvPicPr>
                                  <pic:blipFill>
                                    <a:blip r:embed="rId2"/>
                                    <a:stretch>
                                      <a:fillRect/>
                                    </a:stretch>
                                  </pic:blipFill>
                                  <pic:spPr bwMode="auto">
                                    <a:xfrm>
                                      <a:off x="0" y="0"/>
                                      <a:ext cx="619125" cy="828675"/>
                                    </a:xfrm>
                                    <a:prstGeom prst="rect">
                                      <a:avLst/>
                                    </a:prstGeom>
                                  </pic:spPr>
                                </pic:pic>
                              </a:graphicData>
                            </a:graphic>
                          </wp:inline>
                        </w:drawing>
                      </w:r>
                    </w:p>
                  </w:txbxContent>
                </v:textbox>
              </v:rect>
            </w:pict>
          </mc:Fallback>
        </mc:AlternateContent>
      </w:r>
    </w:p>
    <w:p>
      <w:pPr>
        <w:pStyle w:val="Ttulo2"/>
        <w:widowControl w:val="false"/>
        <w:numPr>
          <w:ilvl w:val="1"/>
          <w:numId w:val="1"/>
        </w:numPr>
        <w:tabs>
          <w:tab w:val="left" w:pos="0" w:leader="none"/>
        </w:tabs>
        <w:spacing w:lineRule="auto" w:line="360"/>
        <w:jc w:val="both"/>
        <w:rPr>
          <w:bCs w:val="false"/>
          <w:sz w:val="24"/>
          <w:szCs w:val="24"/>
        </w:rPr>
      </w:pPr>
      <w:r>
        <w:rPr>
          <w:bCs w:val="false"/>
          <w:sz w:val="24"/>
          <w:szCs w:val="24"/>
        </w:rPr>
      </w:r>
    </w:p>
    <w:p>
      <w:pPr>
        <w:pStyle w:val="Ttulo2"/>
        <w:widowControl w:val="false"/>
        <w:numPr>
          <w:ilvl w:val="1"/>
          <w:numId w:val="1"/>
        </w:numPr>
        <w:tabs>
          <w:tab w:val="left" w:pos="0" w:leader="none"/>
        </w:tabs>
        <w:spacing w:lineRule="auto" w:line="360"/>
        <w:jc w:val="both"/>
        <w:rPr>
          <w:bCs w:val="false"/>
          <w:sz w:val="24"/>
          <w:szCs w:val="24"/>
        </w:rPr>
      </w:pPr>
      <w:r>
        <w:rPr>
          <w:bCs w:val="false"/>
          <w:sz w:val="24"/>
          <w:szCs w:val="24"/>
        </w:rPr>
      </w:r>
    </w:p>
    <w:p>
      <w:pPr>
        <w:pStyle w:val="Ttulo2"/>
        <w:widowControl w:val="false"/>
        <w:numPr>
          <w:ilvl w:val="1"/>
          <w:numId w:val="1"/>
        </w:numPr>
        <w:tabs>
          <w:tab w:val="left" w:pos="0" w:leader="none"/>
        </w:tabs>
        <w:spacing w:lineRule="auto" w:line="360"/>
        <w:jc w:val="both"/>
        <w:rPr>
          <w:sz w:val="24"/>
          <w:szCs w:val="24"/>
        </w:rPr>
      </w:pPr>
      <w:r>
        <w:rPr>
          <w:bCs w:val="false"/>
          <w:sz w:val="24"/>
          <w:szCs w:val="24"/>
        </w:rPr>
        <w:t>UNIVERSIDADE FEDERAL RURAL DE PERNAMBUCO</w:t>
      </w:r>
    </w:p>
    <w:p>
      <w:pPr>
        <w:pStyle w:val="Ttulo2"/>
        <w:keepNext/>
        <w:widowControl w:val="false"/>
        <w:numPr>
          <w:ilvl w:val="1"/>
          <w:numId w:val="1"/>
        </w:numPr>
        <w:tabs>
          <w:tab w:val="left" w:pos="0" w:leader="none"/>
        </w:tabs>
        <w:spacing w:lineRule="auto" w:line="360"/>
        <w:jc w:val="both"/>
        <w:rPr>
          <w:sz w:val="24"/>
          <w:szCs w:val="24"/>
        </w:rPr>
      </w:pPr>
      <w:r>
        <w:rPr>
          <w:bCs w:val="false"/>
          <w:sz w:val="24"/>
          <w:szCs w:val="24"/>
        </w:rPr>
        <w:t>PRÓ-REITORIA DE PESQUISA E PÓS-GRADUAÇÃO</w:t>
      </w:r>
    </w:p>
    <w:p>
      <w:pPr>
        <w:pStyle w:val="Ttulo1"/>
        <w:keepNext/>
        <w:widowControl w:val="false"/>
        <w:numPr>
          <w:ilvl w:val="0"/>
          <w:numId w:val="1"/>
        </w:numPr>
        <w:tabs>
          <w:tab w:val="left" w:pos="0" w:leader="none"/>
        </w:tabs>
        <w:spacing w:lineRule="auto" w:line="360"/>
        <w:jc w:val="both"/>
        <w:rPr>
          <w:sz w:val="24"/>
          <w:szCs w:val="24"/>
        </w:rPr>
      </w:pPr>
      <w:r>
        <w:rPr>
          <w:sz w:val="24"/>
          <w:szCs w:val="24"/>
        </w:rPr>
        <w:t>PROGRAMA INSTITUCIONAL DE BOLSAS DE INICIAÇÃO CIENTÍFICA</w:t>
      </w:r>
    </w:p>
    <w:p>
      <w:pPr>
        <w:pStyle w:val="Normal"/>
        <w:widowControl w:val="false"/>
        <w:tabs>
          <w:tab w:val="left" w:pos="0" w:leader="none"/>
        </w:tabs>
        <w:spacing w:lineRule="auto" w:line="360"/>
        <w:jc w:val="both"/>
        <w:rPr>
          <w:sz w:val="24"/>
          <w:szCs w:val="24"/>
        </w:rPr>
      </w:pPr>
      <w:r>
        <w:rPr>
          <w:sz w:val="24"/>
          <w:szCs w:val="24"/>
        </w:rPr>
      </w:r>
    </w:p>
    <w:p>
      <w:pPr>
        <w:pStyle w:val="Normal"/>
        <w:spacing w:lineRule="auto" w:line="360"/>
        <w:jc w:val="both"/>
        <w:rPr>
          <w:sz w:val="24"/>
          <w:szCs w:val="24"/>
        </w:rPr>
      </w:pPr>
      <w:r>
        <w:rPr>
          <w:sz w:val="24"/>
          <w:szCs w:val="24"/>
        </w:rPr>
        <w:t>Alfabetização e letramentos digitais - desenvolvimento de software aplicativo para plataforma web para alfabetização na EJA.</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rFonts w:eastAsia="Times New Roman" w:cs="Times New Roman"/>
          <w:b/>
          <w:bCs/>
          <w:sz w:val="24"/>
          <w:szCs w:val="24"/>
        </w:rPr>
        <w:t xml:space="preserve">CONSCIENTIZAÇÃO </w:t>
      </w:r>
    </w:p>
    <w:p>
      <w:pPr>
        <w:pStyle w:val="Normal"/>
        <w:spacing w:lineRule="auto" w:line="360"/>
        <w:jc w:val="both"/>
        <w:rPr>
          <w:sz w:val="24"/>
          <w:szCs w:val="24"/>
        </w:rPr>
      </w:pPr>
      <w:r>
        <w:rPr>
          <w:rFonts w:eastAsia="Times New Roman" w:cs="Times New Roman"/>
          <w:b/>
          <w:bCs/>
          <w:sz w:val="24"/>
          <w:szCs w:val="24"/>
        </w:rPr>
        <w:t>Teoria e Prática da Libertação Uma Introdução ao Pensamento de Paulo Freire</w:t>
      </w:r>
    </w:p>
    <w:p>
      <w:pPr>
        <w:pStyle w:val="Normal"/>
        <w:spacing w:lineRule="auto" w:line="360"/>
        <w:jc w:val="both"/>
        <w:rPr>
          <w:sz w:val="24"/>
          <w:szCs w:val="24"/>
        </w:rPr>
      </w:pPr>
      <w:r>
        <w:rPr>
          <w:sz w:val="24"/>
          <w:szCs w:val="24"/>
        </w:rPr>
        <w:t>FREIRE, P. Cortex &amp; Moraes, São Paulo, 1979.</w:t>
      </w:r>
    </w:p>
    <w:p>
      <w:pPr>
        <w:pStyle w:val="Normal"/>
        <w:spacing w:lineRule="auto" w:line="360"/>
        <w:jc w:val="both"/>
        <w:rPr>
          <w:sz w:val="24"/>
          <w:szCs w:val="24"/>
        </w:rPr>
      </w:pPr>
      <w:r>
        <w:rPr>
          <w:b/>
          <w:sz w:val="24"/>
          <w:szCs w:val="24"/>
        </w:rPr>
        <w:t>Parte da obra</w:t>
      </w:r>
      <w:r>
        <w:rPr>
          <w:sz w:val="24"/>
          <w:szCs w:val="24"/>
        </w:rPr>
        <w:t>: cap. 2 - p. 15 a 27</w:t>
      </w:r>
    </w:p>
    <w:p>
      <w:pPr>
        <w:pStyle w:val="Normal"/>
        <w:spacing w:lineRule="auto" w:line="360"/>
        <w:jc w:val="both"/>
        <w:rPr>
          <w:sz w:val="24"/>
          <w:szCs w:val="24"/>
        </w:rPr>
      </w:pPr>
      <w:r>
        <w:rPr>
          <w:sz w:val="24"/>
          <w:szCs w:val="24"/>
        </w:rPr>
      </w:r>
    </w:p>
    <w:p>
      <w:pPr>
        <w:pStyle w:val="Normal"/>
        <w:spacing w:lineRule="auto" w:line="360"/>
        <w:jc w:val="center"/>
        <w:rPr>
          <w:sz w:val="24"/>
          <w:szCs w:val="24"/>
        </w:rPr>
      </w:pPr>
      <w:r>
        <w:rPr>
          <w:b/>
          <w:bCs/>
          <w:sz w:val="24"/>
          <w:szCs w:val="24"/>
        </w:rPr>
        <w:t>Filosofia e Problematica</w:t>
      </w:r>
    </w:p>
    <w:p>
      <w:pPr>
        <w:pStyle w:val="Normal"/>
        <w:spacing w:lineRule="auto" w:line="360"/>
        <w:jc w:val="both"/>
        <w:rPr>
          <w:b/>
          <w:b/>
          <w:bCs/>
        </w:rPr>
      </w:pPr>
      <w:r>
        <w:rPr>
          <w:b/>
          <w:bCs/>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Uma das características do homem é que somente ele é homem. Somente ele é   capaz de tomar distância frente ao mundo. Somente o homem pode distanciar-se do objeto para admirá-la. Objetivando ou admirando – admirar se toma aqui no sentido filosófico – os homens são capazes de agir conscientemente sobre a realidade objetivada. É precisamente isto, a “práxis humana”, a unidade indissolúvel entre minha ação e minha reflexão sobre o mundo.”(pág 15)</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A conscientização não está baseada sobre a consciência, de um lado, e o mundo, de outro; por outra parte, não pretende uma separação. Ao contrário, está baseada na relação consciência – mundo.”(pág 15)</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A conscientização, como atitude crítica dos homens na história, não terminará jamais. Se os homens, como seres que atuam, continuam aderindo a um mundo “feito”, ver-seão submersos numa nova obscuridade. A conscientização, que se apresenta como um processo num determinado momento, deve continuar sendo processo no momento seguinte, durante o qual a realidade transformada mostra um novo perfil.”(pág 16)</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A conscientização nos convida a assumir uma posição utópica frente ao mundo, posição esta que converte o conscientizado em “fator utópico”. Para mim o utópico não é o irrealizável; a utopia não é o idealismo, é a dialetização dos atos de denunciar e anunciar, o ato de denunciar a estrutura desumanizante e de anunciar a estrutura humanizante. Por esta razão a utopia é também um compromisso histórico.”(pág 16)</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A conscientização está evidentemente ligada à utopia, implica em utopia. Quanto mais conscientizados nos tornamos, mais capacitados estamos para ser anunciadores e denunciadores, graças ao compromisso de transformação que assumimos. Mas esta posição deve ser permanente: a partir do momento em que denunciamos uma estrutura desumanizante sem nos comprometermos com a realidade, a partir do momento em que chegamos à conscientização do projeto, se deixarmos de ser utópicos nos burocratizamos; é o perigo das revoluções quando deixam de ser permanentes. Uma das</w:t>
      </w:r>
    </w:p>
    <w:p>
      <w:pPr>
        <w:pStyle w:val="Normal"/>
        <w:spacing w:lineRule="auto" w:line="360"/>
        <w:jc w:val="both"/>
        <w:rPr>
          <w:b w:val="false"/>
          <w:b w:val="false"/>
          <w:bCs w:val="false"/>
          <w:sz w:val="24"/>
          <w:szCs w:val="24"/>
        </w:rPr>
      </w:pPr>
      <w:r>
        <w:rPr>
          <w:b w:val="false"/>
          <w:bCs w:val="false"/>
          <w:sz w:val="24"/>
          <w:szCs w:val="24"/>
        </w:rPr>
        <w:t>respostas geniais é a da renovação cultural, esta dialetização que, propriamente falando, não é de ontem, nem de hoje, nem de amanhã, mas uma tarefa permanente de transformação.”(pág 16)</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Em resumo, as situações-limite implicam na existência de pessoas que são servidas direta ou indiretamente por estas situações, e outras para as quais elas possuem um caráter negativo e domesticado.”(pág 17)</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Eu considero que o tema fundamental de nossa época é o da dominação, que supõe seu reverso, o tema da libertação, como objetivo que deve ser alcançado.”(pág 17)</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Sem dúvida, quando os homens percebem a realidade como densa, impenetrável e envolvente, é indispensável proceder a esta procura por meio da abstração. Este método não implica que se deva reduzir o concreto ao abstrato (o que significaria que o método não é de tipo dialético), mas que se mantenham os dois elementos, como contrários, em inter-relação dialética no ato da reflexão.”(pág 17)</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No nosso método, a codificação, a princípio, toma a forma de uma fotografia ou de um desenho que representa uma situação existencial real ou uma situação existencial construída pelos alunos. Quando se projeta esta representação, os alunos fazem uma operação que se encontra na base do ato de conhecimento; se distanciam do objeto cognoscível. Desta maneira os educadores fazem a experiência da distanciação, de forma que educadores e alunos possam refletir juntos, de modo crítico, sobre o objeto que os mediatiza. O fim da descodificação é chegar a um nível crítico de conhecimento, começando pela experiência que o aluno tem de sua situação em seu “contexto real”.”(pág 18)</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A codificação representa uma dimensão dada da realidade tal como a vivem os indivíduos, e esta dimensão é proposta à sua análise num contexto diferente daquele no qual eles a vivem. Assim a codificação transforma o que era uma maneira de viver num contexto real, num “objectum” no contexto teórico. Os alunos, mais que receber uma informação a propósito disto ou daquilo, analisam os aspectos de sua própria experiência existencial representada na codificação.”(pág 18)</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center"/>
        <w:rPr/>
      </w:pPr>
      <w:r>
        <w:rPr>
          <w:b/>
          <w:bCs/>
          <w:sz w:val="24"/>
          <w:szCs w:val="24"/>
        </w:rPr>
        <w:t>Ideia-Força</w:t>
      </w:r>
    </w:p>
    <w:p>
      <w:pPr>
        <w:pStyle w:val="Normal"/>
        <w:spacing w:lineRule="auto" w:line="360"/>
        <w:jc w:val="center"/>
        <w:rPr>
          <w:b/>
          <w:b/>
          <w:bCs/>
          <w:sz w:val="24"/>
          <w:szCs w:val="24"/>
        </w:rPr>
      </w:pPr>
      <w:r>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1. Para ser válida, toda educação, toda ação educativa deve necessariamente estar precedida de uma reflexão sobre o homem e de uma análise do meio de vida concreto do homem concreto a quem queremos educar (ou melhor dito: a quem queremos ajudar a educar-se).”(pág 19)</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2. O homem chega a ser sujeito por uma reflexão sobre sua situação, sobre seu ambiente concreto. Quanto mais refletir sobre a realidade, sobre sua situação concreta, mais emerge, plenamente consciente, comprometido, pronto a intervir na realidade para mudá-la.”(pág 19)</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3. Na medida em que o homem, integrado em seu contexto, reflete sobre este contexto e se compromete, constrói a si mesmo e chega a ser sujeito.”(pág 20)</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4. Na medida em que o homem, integrando-se nas condições de seu contexto de vida, reflete sobre elas e leva respostas aos desafios que se lhe apresentam, cria cultura.</w:t>
      </w:r>
    </w:p>
    <w:p>
      <w:pPr>
        <w:pStyle w:val="Normal"/>
        <w:spacing w:lineRule="auto" w:line="360"/>
        <w:jc w:val="both"/>
        <w:rPr>
          <w:b w:val="false"/>
          <w:b w:val="false"/>
          <w:bCs w:val="false"/>
          <w:sz w:val="24"/>
          <w:szCs w:val="24"/>
        </w:rPr>
      </w:pPr>
      <w:r>
        <w:rPr>
          <w:b w:val="false"/>
          <w:bCs w:val="false"/>
          <w:sz w:val="24"/>
          <w:szCs w:val="24"/>
        </w:rPr>
        <w:t xml:space="preserve"> </w:t>
      </w:r>
      <w:r>
        <w:rPr>
          <w:b w:val="false"/>
          <w:bCs w:val="false"/>
          <w:sz w:val="24"/>
          <w:szCs w:val="24"/>
        </w:rPr>
        <w:t>A partir das relações que estabelece com seu mundo, o homem, criando, recriando, decidindo, dinamiza este mundo. Contribui com algo do qual ele é autor... Por este fato cria cultura.”(pág 20)</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5. Não só por suas relações e por suas respostas o homem é criador de cultura, ele é também “fazedor” da história. Na medida em que o ser humano cria e decide, as épocas vão se formando e reformando.”(pág 21)</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6. E preciso que a educação esteja – em seu conteúdo, em seus programas e em seus métodos – adaptada ao fim que se persegue: permitir ao homem chegar a ser sujeito, construir-se como pessoa, transformar o mundo, estabelecer com os outros homens relações de reciprocidade, fazer a cultura e a história.”(pág 21)</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center"/>
        <w:rPr/>
      </w:pPr>
      <w:r>
        <w:rPr>
          <w:b/>
          <w:bCs/>
          <w:sz w:val="24"/>
          <w:szCs w:val="24"/>
        </w:rPr>
        <w:t>Método</w:t>
      </w:r>
    </w:p>
    <w:p>
      <w:pPr>
        <w:pStyle w:val="Normal"/>
        <w:spacing w:lineRule="auto" w:line="360"/>
        <w:jc w:val="both"/>
        <w:rPr>
          <w:b/>
          <w:b/>
          <w:bCs/>
          <w:sz w:val="24"/>
          <w:szCs w:val="24"/>
        </w:rPr>
      </w:pPr>
      <w:r>
        <w:rPr>
          <w:b/>
          <w:bCs/>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Contradizendo os métodos de alfabetização puramente mecânicos, projetávamos levar a termo um.a alfabetização direta, ligada realmente à democratização da cultura e que servisse de introdução; ou, melhor dizendo, uma experiência susceptível de tornar compatíveis sua existência de trabalhador e o material que lhe era oferecido para aprendizagem.”(pág 22)</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center"/>
        <w:rPr/>
      </w:pPr>
      <w:r>
        <w:rPr>
          <w:b/>
          <w:bCs/>
          <w:sz w:val="24"/>
          <w:szCs w:val="24"/>
        </w:rPr>
        <w:t>Fases de Elaboração e Aplicação do Método</w:t>
      </w:r>
    </w:p>
    <w:p>
      <w:pPr>
        <w:pStyle w:val="Normal"/>
        <w:spacing w:lineRule="auto" w:line="360"/>
        <w:jc w:val="both"/>
        <w:rPr>
          <w:b/>
          <w:b/>
          <w:bCs/>
          <w:sz w:val="24"/>
          <w:szCs w:val="24"/>
        </w:rPr>
      </w:pPr>
      <w:r>
        <w:rPr>
          <w:b/>
          <w:bCs/>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 xml:space="preserve">Primeira fase: a "descoberta do universo vocabular” dos grupos com os quais se há de trabalhar se efetua no curso de encontros informais com os habitantes do setor que se procura atingir. Não só se retêm as palavras mais carregadas de sentido existencial – e, por causa disto, as de maior conteúdo emocional –, senão também as ex-pressões típicas do povo: formas de falar particulares, palavras ligadas à experiência do grupo, especialmente à experiência profissional.” (pág 23) </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w:t>
      </w:r>
      <w:r>
        <w:rPr>
          <w:b w:val="false"/>
          <w:bCs w:val="false"/>
          <w:sz w:val="24"/>
          <w:szCs w:val="24"/>
        </w:rPr>
        <w:t>Segunda fase: Seleção de palavras, dentro do universo vocabular.</w:t>
      </w:r>
    </w:p>
    <w:p>
      <w:pPr>
        <w:pStyle w:val="Normal"/>
        <w:spacing w:lineRule="auto" w:line="360"/>
        <w:jc w:val="both"/>
        <w:rPr>
          <w:b w:val="false"/>
          <w:b w:val="false"/>
          <w:bCs w:val="false"/>
          <w:sz w:val="24"/>
          <w:szCs w:val="24"/>
        </w:rPr>
      </w:pPr>
      <w:r>
        <w:rPr>
          <w:b w:val="false"/>
          <w:bCs w:val="false"/>
          <w:sz w:val="24"/>
          <w:szCs w:val="24"/>
        </w:rPr>
        <w:t>Esta seleção deve ser submetida aos seguintes critérios:</w:t>
      </w:r>
    </w:p>
    <w:p>
      <w:pPr>
        <w:pStyle w:val="Normal"/>
        <w:spacing w:lineRule="auto" w:line="360"/>
        <w:jc w:val="both"/>
        <w:rPr>
          <w:b w:val="false"/>
          <w:b w:val="false"/>
          <w:bCs w:val="false"/>
          <w:sz w:val="24"/>
          <w:szCs w:val="24"/>
        </w:rPr>
      </w:pPr>
      <w:r>
        <w:rPr>
          <w:b w:val="false"/>
          <w:bCs w:val="false"/>
          <w:sz w:val="24"/>
          <w:szCs w:val="24"/>
        </w:rPr>
        <w:t>a) O da riqueza silábica;</w:t>
      </w:r>
    </w:p>
    <w:p>
      <w:pPr>
        <w:pStyle w:val="Normal"/>
        <w:spacing w:lineRule="auto" w:line="360"/>
        <w:jc w:val="both"/>
        <w:rPr>
          <w:b w:val="false"/>
          <w:b w:val="false"/>
          <w:bCs w:val="false"/>
          <w:sz w:val="24"/>
          <w:szCs w:val="24"/>
        </w:rPr>
      </w:pPr>
      <w:r>
        <w:rPr>
          <w:b w:val="false"/>
          <w:bCs w:val="false"/>
          <w:sz w:val="24"/>
          <w:szCs w:val="24"/>
        </w:rPr>
        <w:t>b) O das dificuldades fonéticas. As palavras escolhidas devem responder às dificuldades fonéticas da</w:t>
      </w:r>
    </w:p>
    <w:p>
      <w:pPr>
        <w:pStyle w:val="Normal"/>
        <w:spacing w:lineRule="auto" w:line="360"/>
        <w:jc w:val="both"/>
        <w:rPr>
          <w:b w:val="false"/>
          <w:b w:val="false"/>
          <w:bCs w:val="false"/>
          <w:sz w:val="24"/>
          <w:szCs w:val="24"/>
        </w:rPr>
      </w:pPr>
      <w:r>
        <w:rPr>
          <w:b w:val="false"/>
          <w:bCs w:val="false"/>
          <w:sz w:val="24"/>
          <w:szCs w:val="24"/>
        </w:rPr>
        <w:t>língua e colocar-se na ordem de dificuldade crescente;</w:t>
      </w:r>
    </w:p>
    <w:p>
      <w:pPr>
        <w:pStyle w:val="Normal"/>
        <w:spacing w:lineRule="auto" w:line="360"/>
        <w:jc w:val="both"/>
        <w:rPr/>
      </w:pPr>
      <w:r>
        <w:rPr>
          <w:b w:val="false"/>
          <w:bCs w:val="false"/>
          <w:sz w:val="24"/>
          <w:szCs w:val="24"/>
        </w:rPr>
        <w:t>c) O do conteúdo prático da palavra, o que implica procurar o maior compromisso possível da palavra numa realidade de fato, social, cultural, política.”(pág 24)</w:t>
      </w:r>
    </w:p>
    <w:p>
      <w:pPr>
        <w:pStyle w:val="Normal"/>
        <w:spacing w:lineRule="auto" w:line="360"/>
        <w:jc w:val="both"/>
        <w:rPr/>
      </w:pPr>
      <w:r>
        <w:rPr>
          <w:b w:val="false"/>
          <w:bCs w:val="false"/>
          <w:sz w:val="24"/>
          <w:szCs w:val="24"/>
        </w:rPr>
        <w:t>“</w:t>
      </w:r>
      <w:r>
        <w:rPr>
          <w:b w:val="false"/>
          <w:bCs w:val="false"/>
          <w:sz w:val="24"/>
          <w:szCs w:val="24"/>
        </w:rPr>
        <w:t>Terceira fase: A terceira fase é a criação de situações existenciais típicas do grupo com o qual se trabalha.”(pág 24)</w:t>
      </w:r>
    </w:p>
    <w:p>
      <w:pPr>
        <w:pStyle w:val="Normal"/>
        <w:spacing w:lineRule="auto" w:line="360"/>
        <w:jc w:val="both"/>
        <w:rPr>
          <w:b w:val="false"/>
          <w:b w:val="false"/>
          <w:bCs w:val="false"/>
          <w:sz w:val="24"/>
          <w:szCs w:val="24"/>
        </w:rPr>
      </w:pPr>
      <w:r>
        <w:rPr/>
      </w:r>
    </w:p>
    <w:p>
      <w:pPr>
        <w:pStyle w:val="Normal"/>
        <w:spacing w:lineRule="auto" w:line="360"/>
        <w:jc w:val="both"/>
        <w:rPr/>
      </w:pPr>
      <w:r>
        <w:rPr>
          <w:b w:val="false"/>
          <w:bCs w:val="false"/>
          <w:sz w:val="24"/>
          <w:szCs w:val="24"/>
        </w:rPr>
        <w:t>“</w:t>
      </w:r>
      <w:r>
        <w:rPr>
          <w:b w:val="false"/>
          <w:bCs w:val="false"/>
          <w:sz w:val="24"/>
          <w:szCs w:val="24"/>
        </w:rPr>
        <w:t>Quarta fase: A quarta fase é de elaboração de fichas indicadoras que ajudam os coordenadores do debate em seu trabalho. Tais fichas deverão simplesmente ajudar os coordenadores, não serão uma prescrição rígida e imperativa”(pág 24)</w:t>
      </w:r>
    </w:p>
    <w:p>
      <w:pPr>
        <w:pStyle w:val="Normal"/>
        <w:spacing w:lineRule="auto" w:line="360"/>
        <w:jc w:val="both"/>
        <w:rPr>
          <w:b w:val="false"/>
          <w:b w:val="false"/>
          <w:bCs w:val="false"/>
          <w:sz w:val="24"/>
          <w:szCs w:val="24"/>
        </w:rPr>
      </w:pPr>
      <w:r>
        <w:rPr/>
      </w:r>
    </w:p>
    <w:p>
      <w:pPr>
        <w:pStyle w:val="Normal"/>
        <w:spacing w:lineRule="auto" w:line="360"/>
        <w:jc w:val="both"/>
        <w:rPr/>
      </w:pPr>
      <w:r>
        <w:rPr>
          <w:b w:val="false"/>
          <w:bCs w:val="false"/>
          <w:sz w:val="24"/>
          <w:szCs w:val="24"/>
        </w:rPr>
        <w:t>“</w:t>
      </w:r>
      <w:r>
        <w:rPr>
          <w:b w:val="false"/>
          <w:bCs w:val="false"/>
          <w:sz w:val="24"/>
          <w:szCs w:val="24"/>
        </w:rPr>
        <w:t>Quinta fase: Consiste na elaboração de fichas nas quais aparecem as famílias fonéticas correspondentes às palavras geradoras.”(pág 24)</w:t>
      </w:r>
    </w:p>
    <w:p>
      <w:pPr>
        <w:pStyle w:val="Normal"/>
        <w:spacing w:lineRule="auto" w:line="360"/>
        <w:jc w:val="both"/>
        <w:rPr>
          <w:b w:val="false"/>
          <w:b w:val="false"/>
          <w:bCs w:val="false"/>
          <w:sz w:val="24"/>
          <w:szCs w:val="24"/>
        </w:rPr>
      </w:pPr>
      <w:r>
        <w:rPr/>
      </w:r>
    </w:p>
    <w:p>
      <w:pPr>
        <w:pStyle w:val="Normal"/>
        <w:spacing w:lineRule="auto" w:line="360"/>
        <w:jc w:val="center"/>
        <w:rPr>
          <w:b/>
          <w:b/>
          <w:bCs/>
        </w:rPr>
      </w:pPr>
      <w:r>
        <w:rPr>
          <w:b/>
          <w:bCs/>
          <w:sz w:val="24"/>
          <w:szCs w:val="24"/>
        </w:rPr>
        <w:t>Os Atos Concretos da Alfabetização</w:t>
      </w:r>
    </w:p>
    <w:p>
      <w:pPr>
        <w:pStyle w:val="Normal"/>
        <w:spacing w:lineRule="auto" w:line="360"/>
        <w:jc w:val="both"/>
        <w:rPr>
          <w:sz w:val="24"/>
          <w:szCs w:val="24"/>
        </w:rPr>
      </w:pPr>
      <w:r>
        <w:rPr>
          <w:b/>
          <w:bCs/>
        </w:rPr>
      </w:r>
    </w:p>
    <w:p>
      <w:pPr>
        <w:pStyle w:val="Normal"/>
        <w:spacing w:lineRule="auto" w:line="360"/>
        <w:jc w:val="both"/>
        <w:rPr>
          <w:b w:val="false"/>
          <w:b w:val="false"/>
          <w:bCs w:val="false"/>
        </w:rPr>
      </w:pPr>
      <w:r>
        <w:rPr>
          <w:b w:val="false"/>
          <w:bCs w:val="false"/>
        </w:rPr>
        <w:t>“</w:t>
      </w:r>
      <w:r>
        <w:rPr>
          <w:b w:val="false"/>
          <w:bCs w:val="false"/>
        </w:rPr>
        <w:t>Quando o grupo, com a colaboração do coordenador, esgotou a análise – processo de descodificação – da situação dada, o educador propõe a visualização da palavra geradora, e não a memorização. Quando se visualiza a palavra e se estabelece o laço semântico entre ela e o objeto a que se refere – representado na situação –, mostra-se ao aluno, por meio de outro diapositivo, a palavra sozinha, sem o objeto correspondente.</w:t>
      </w:r>
      <w:r>
        <w:rPr>
          <w:b w:val="false"/>
          <w:bCs w:val="false"/>
        </w:rPr>
        <w:t>”</w:t>
      </w:r>
      <w:r>
        <w:rPr>
          <w:b w:val="false"/>
          <w:bCs w:val="false"/>
        </w:rPr>
        <w:t>(pág 24)</w:t>
      </w:r>
    </w:p>
    <w:p>
      <w:pPr>
        <w:pStyle w:val="Normal"/>
        <w:spacing w:lineRule="auto" w:line="360"/>
        <w:jc w:val="both"/>
        <w:rPr>
          <w:b w:val="false"/>
          <w:b w:val="false"/>
          <w:bCs w:val="false"/>
        </w:rPr>
      </w:pPr>
      <w:r>
        <w:rPr>
          <w:b w:val="false"/>
          <w:bCs w:val="false"/>
        </w:rPr>
      </w:r>
    </w:p>
    <w:p>
      <w:pPr>
        <w:pStyle w:val="Normal"/>
        <w:spacing w:lineRule="auto" w:line="360"/>
        <w:jc w:val="center"/>
        <w:rPr>
          <w:b/>
          <w:b/>
          <w:bCs/>
        </w:rPr>
      </w:pPr>
      <w:r>
        <w:rPr>
          <w:b/>
          <w:bCs/>
        </w:rPr>
        <w:t>Da Leitura à Escrita</w:t>
      </w:r>
    </w:p>
    <w:p>
      <w:pPr>
        <w:pStyle w:val="Normal"/>
        <w:spacing w:lineRule="auto" w:line="360"/>
        <w:jc w:val="center"/>
        <w:rPr>
          <w:b/>
          <w:b/>
          <w:bCs/>
        </w:rPr>
      </w:pPr>
      <w:r>
        <w:rPr>
          <w:b/>
          <w:bCs/>
        </w:rPr>
      </w:r>
    </w:p>
    <w:p>
      <w:pPr>
        <w:pStyle w:val="Normal"/>
        <w:spacing w:lineRule="auto" w:line="360"/>
        <w:jc w:val="both"/>
        <w:rPr>
          <w:b w:val="false"/>
          <w:b w:val="false"/>
          <w:bCs w:val="false"/>
          <w:u w:val="none"/>
        </w:rPr>
      </w:pPr>
      <w:r>
        <w:rPr>
          <w:b w:val="false"/>
          <w:bCs w:val="false"/>
          <w:u w:val="none"/>
        </w:rPr>
        <w:t>“</w:t>
      </w:r>
      <w:r>
        <w:rPr>
          <w:b w:val="false"/>
          <w:bCs w:val="false"/>
          <w:u w:val="none"/>
        </w:rPr>
        <w:t>Uma vez terminados os exercícios orais, através dos quais se produz são somente o conhecimento mas também o reconhecimento, sem o qual não há verdadeiro aprendizado, o aluno passa à escrita, e isto desde o primeiro dia. Na tarde seguinte, leva ao círculo, como “tarefa”, todas as palavras que pôde criar pela combinação de fonemas comuns. O que importa, no dia em que põe o pé neste terreno novo, é a descoberta do mecanismo das combinações fonêmicas.”(pág 25)</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t>“</w:t>
      </w:r>
      <w:r>
        <w:rPr>
          <w:b w:val="false"/>
          <w:bCs w:val="false"/>
          <w:u w:val="none"/>
        </w:rPr>
        <w:t>Para que a alfabetização não seja puramente mecânica e assunto só de memória, é preciso conduzir os adultos a conscientizar-se primeiro, para que logo se alfabetizem a si mesmos. Conseqüentemente, este método – na medida em que ajuda o homem a aprofundar a consciência de sua problemática e de sua condição de pessoa e, portanto, de sujeito – converte-se para ele em caminho de opção. Neste momento, o homem se politizará a si mesmo.</w:t>
      </w:r>
      <w:r>
        <w:rPr>
          <w:b w:val="false"/>
          <w:bCs w:val="false"/>
          <w:u w:val="none"/>
        </w:rPr>
        <w:t>”</w:t>
      </w:r>
      <w:r>
        <w:rPr>
          <w:b w:val="false"/>
          <w:bCs w:val="false"/>
          <w:u w:val="none"/>
        </w:rPr>
        <w:t>(pág 26)</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t>“</w:t>
      </w:r>
      <w:r>
        <w:rPr>
          <w:b w:val="false"/>
          <w:bCs w:val="false"/>
          <w:u w:val="none"/>
        </w:rPr>
        <w:t>No Brasil, quando pensava nas possibilidade de desenvolver um método com o qual fosse possível para os analfabetos aprender facilmente a ler e escrever, percebi que a melhor maneira não era desafiar o espeto crítico, a consciência do homem, mas (e é muito interessante ver como. mudei) procurar introduzir, na consciência das pessoas, alguns símbolos associados a palavras. E, em um segundo momento, desafiá-las criticamente para redescobrir a associação entre certos símbolos e as palavras, e assim apreendê-las.</w:t>
      </w:r>
      <w:r>
        <w:rPr>
          <w:b w:val="false"/>
          <w:bCs w:val="false"/>
          <w:u w:val="none"/>
        </w:rPr>
        <w:t>”</w:t>
      </w:r>
      <w:r>
        <w:rPr>
          <w:b w:val="false"/>
          <w:bCs w:val="false"/>
          <w:u w:val="none"/>
        </w:rPr>
        <w:t>(pág 26)</w:t>
      </w:r>
    </w:p>
    <w:p>
      <w:pPr>
        <w:pStyle w:val="Normal"/>
        <w:spacing w:lineRule="auto" w:line="360"/>
        <w:jc w:val="both"/>
        <w:rPr>
          <w:b w:val="false"/>
          <w:b w:val="false"/>
          <w:bCs w:val="false"/>
          <w:u w:val="none"/>
        </w:rPr>
      </w:pPr>
      <w:r>
        <w:rPr>
          <w:b w:val="false"/>
          <w:bCs w:val="false"/>
          <w:u w:val="none"/>
        </w:rPr>
      </w:r>
    </w:p>
    <w:p>
      <w:pPr>
        <w:pStyle w:val="Normal"/>
        <w:spacing w:lineRule="auto" w:line="360"/>
        <w:jc w:val="center"/>
        <w:rPr>
          <w:b/>
          <w:b/>
          <w:bCs/>
          <w:u w:val="none"/>
        </w:rPr>
      </w:pPr>
      <w:r>
        <w:rPr>
          <w:b/>
          <w:bCs/>
          <w:u w:val="none"/>
        </w:rPr>
        <w:t>Aplicação</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t>“</w:t>
      </w:r>
      <w:r>
        <w:rPr>
          <w:b w:val="false"/>
          <w:bCs w:val="false"/>
          <w:u w:val="none"/>
        </w:rPr>
        <w:t>A concepção de liberdade, expressa por Paulo Freire, é a matriz que dd sentido a uma educação que não pode ser efetiva e eficaz senão na medida em que os educandos nela tomem parte de maneira livre e crítica. Este é um dos princípios essenciais da organização dos Círculos de Cultura, unidade de ensino que substitui a escola tradicional e reúne um coordenador com algumas dezenas de homens do povo,</w:t>
      </w:r>
    </w:p>
    <w:p>
      <w:pPr>
        <w:pStyle w:val="Normal"/>
        <w:spacing w:lineRule="auto" w:line="360"/>
        <w:jc w:val="both"/>
        <w:rPr>
          <w:b w:val="false"/>
          <w:b w:val="false"/>
          <w:bCs w:val="false"/>
          <w:u w:val="none"/>
        </w:rPr>
      </w:pPr>
      <w:r>
        <w:rPr>
          <w:b w:val="false"/>
          <w:bCs w:val="false"/>
          <w:u w:val="none"/>
        </w:rPr>
        <w:t>num trabalho comum de conquista da linguagem. O coordenador não exerce as funções de “professor”, a condição essencial da tarefa é o diálogo: "Coordenar, jamais impor sua influência.””(pág 27)</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t>“</w:t>
      </w:r>
      <w:r>
        <w:rPr>
          <w:b w:val="false"/>
          <w:bCs w:val="false"/>
          <w:u w:val="none"/>
        </w:rPr>
        <w:t>A conscientização tem por ponto de partida o homem brasileiro, o homem iletrado, o homem do povo, com sua maneira própria de captar e de compreender a realidade captação e compreensão de tipo especialmente mágico. Assim, “do mesmo modo que a toda compreensão de algo corresponde, cedo ou tarde, uma ação, a uma compreensão primordialmente mágica corresponde uma ação também mágica".”(pág 28)</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1c90"/>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pt-BR" w:eastAsia="ar-SA" w:bidi="ar-SA"/>
    </w:rPr>
  </w:style>
  <w:style w:type="paragraph" w:styleId="Ttulo1">
    <w:name w:val="Heading 1"/>
    <w:basedOn w:val="Normal"/>
    <w:next w:val="Normal"/>
    <w:link w:val="Ttulo1Char"/>
    <w:qFormat/>
    <w:rsid w:val="00ee1c90"/>
    <w:pPr>
      <w:keepNext/>
      <w:outlineLvl w:val="0"/>
    </w:pPr>
    <w:rPr>
      <w:b/>
      <w:bCs/>
    </w:rPr>
  </w:style>
  <w:style w:type="paragraph" w:styleId="Ttulo2">
    <w:name w:val="Heading 2"/>
    <w:basedOn w:val="Normal"/>
    <w:next w:val="Normal"/>
    <w:link w:val="Ttulo2Char"/>
    <w:qFormat/>
    <w:rsid w:val="00ee1c90"/>
    <w:pPr>
      <w:keepNext/>
      <w:jc w:val="center"/>
      <w:outlineLvl w:val="1"/>
    </w:pPr>
    <w:rPr>
      <w:b/>
      <w:bCs/>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ee1c90"/>
    <w:rPr>
      <w:rFonts w:ascii="Times New Roman" w:hAnsi="Times New Roman" w:eastAsia="Times New Roman" w:cs="Times New Roman"/>
      <w:b/>
      <w:bCs/>
      <w:sz w:val="24"/>
      <w:szCs w:val="24"/>
      <w:lang w:eastAsia="ar-SA"/>
    </w:rPr>
  </w:style>
  <w:style w:type="character" w:styleId="Ttulo2Char" w:customStyle="1">
    <w:name w:val="Título 2 Char"/>
    <w:basedOn w:val="DefaultParagraphFont"/>
    <w:link w:val="Ttulo2"/>
    <w:qFormat/>
    <w:rsid w:val="00ee1c90"/>
    <w:rPr>
      <w:rFonts w:ascii="Times New Roman" w:hAnsi="Times New Roman" w:eastAsia="Times New Roman" w:cs="Times New Roman"/>
      <w:b/>
      <w:bCs/>
      <w:sz w:val="24"/>
      <w:szCs w:val="24"/>
      <w:lang w:eastAsia="ar-SA"/>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LibreOffice/5.1.4.2$Linux_X86_64 LibreOffice_project/10m0$Build-2</Application>
  <Pages>6</Pages>
  <Words>1720</Words>
  <Characters>9200</Characters>
  <CharactersWithSpaces>10885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2016-08-06T22:50:00Z</dcterms:created>
  <dc:creator>Robson Santos</dc:creator>
  <dc:description/>
  <dc:language>pt-BR</dc:language>
  <cp:lastModifiedBy/>
  <dcterms:modified xsi:type="dcterms:W3CDTF">2016-09-06T00:29:06Z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