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line="360" w:lineRule="auto"/>
        <w:contextualSpacing w:val="0"/>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2439035</wp:posOffset>
            </wp:positionH>
            <wp:positionV relativeFrom="paragraph">
              <wp:posOffset>-420368</wp:posOffset>
            </wp:positionV>
            <wp:extent cx="799465" cy="92075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99465" cy="920750"/>
                    </a:xfrm>
                    <a:prstGeom prst="rect"/>
                    <a:ln/>
                  </pic:spPr>
                </pic:pic>
              </a:graphicData>
            </a:graphic>
          </wp:anchor>
        </w:drawing>
      </w:r>
    </w:p>
    <w:p w:rsidR="00000000" w:rsidDel="00000000" w:rsidP="00000000" w:rsidRDefault="00000000" w:rsidRPr="00000000">
      <w:pPr>
        <w:pStyle w:val="Heading2"/>
        <w:widowControl w:val="0"/>
        <w:numPr>
          <w:ilvl w:val="1"/>
          <w:numId w:val="1"/>
        </w:numPr>
        <w:tabs>
          <w:tab w:val="left" w:pos="0"/>
        </w:tabs>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widowControl w:val="0"/>
        <w:numPr>
          <w:ilvl w:val="1"/>
          <w:numId w:val="1"/>
        </w:numPr>
        <w:tabs>
          <w:tab w:val="left" w:pos="0"/>
        </w:tabs>
        <w:spacing w:line="36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pStyle w:val="Heading2"/>
        <w:widowControl w:val="0"/>
        <w:numPr>
          <w:ilvl w:val="1"/>
          <w:numId w:val="1"/>
        </w:numPr>
        <w:tabs>
          <w:tab w:val="left" w:pos="0"/>
        </w:tabs>
        <w:spacing w:line="360" w:lineRule="auto"/>
        <w:ind w:left="0" w:firstLine="0"/>
        <w:contextualSpacing w:val="0"/>
        <w:jc w:val="both"/>
        <w:rPr>
          <w:sz w:val="24"/>
          <w:szCs w:val="24"/>
        </w:rPr>
      </w:pPr>
      <w:r w:rsidDel="00000000" w:rsidR="00000000" w:rsidRPr="00000000">
        <w:rPr>
          <w:sz w:val="24"/>
          <w:szCs w:val="24"/>
          <w:rtl w:val="0"/>
        </w:rPr>
        <w:t xml:space="preserve">UNIVERSIDADE FEDERAL RURAL DE PERNAMBUCO</w:t>
      </w:r>
    </w:p>
    <w:p w:rsidR="00000000" w:rsidDel="00000000" w:rsidP="00000000" w:rsidRDefault="00000000" w:rsidRPr="00000000">
      <w:pPr>
        <w:pStyle w:val="Heading2"/>
        <w:keepNext w:val="1"/>
        <w:widowControl w:val="0"/>
        <w:numPr>
          <w:ilvl w:val="1"/>
          <w:numId w:val="1"/>
        </w:numPr>
        <w:tabs>
          <w:tab w:val="left" w:pos="0"/>
        </w:tabs>
        <w:spacing w:line="360" w:lineRule="auto"/>
        <w:ind w:left="0" w:firstLine="0"/>
        <w:contextualSpacing w:val="0"/>
        <w:jc w:val="both"/>
        <w:rPr>
          <w:sz w:val="24"/>
          <w:szCs w:val="24"/>
        </w:rPr>
      </w:pPr>
      <w:r w:rsidDel="00000000" w:rsidR="00000000" w:rsidRPr="00000000">
        <w:rPr>
          <w:sz w:val="24"/>
          <w:szCs w:val="24"/>
          <w:rtl w:val="0"/>
        </w:rPr>
        <w:t xml:space="preserve">PRÓ-REITORIA DE PESQUISA E PÓS-GRADUAÇÃO</w:t>
      </w:r>
    </w:p>
    <w:p w:rsidR="00000000" w:rsidDel="00000000" w:rsidP="00000000" w:rsidRDefault="00000000" w:rsidRPr="00000000">
      <w:pPr>
        <w:pStyle w:val="Heading1"/>
        <w:keepNext w:val="1"/>
        <w:widowControl w:val="0"/>
        <w:numPr>
          <w:ilvl w:val="0"/>
          <w:numId w:val="1"/>
        </w:numPr>
        <w:tabs>
          <w:tab w:val="left" w:pos="0"/>
        </w:tabs>
        <w:spacing w:line="360" w:lineRule="auto"/>
        <w:ind w:left="0" w:firstLine="0"/>
        <w:contextualSpacing w:val="0"/>
        <w:jc w:val="both"/>
        <w:rPr>
          <w:sz w:val="24"/>
          <w:szCs w:val="24"/>
        </w:rPr>
      </w:pPr>
      <w:r w:rsidDel="00000000" w:rsidR="00000000" w:rsidRPr="00000000">
        <w:rPr>
          <w:sz w:val="24"/>
          <w:szCs w:val="24"/>
          <w:rtl w:val="0"/>
        </w:rPr>
        <w:t xml:space="preserve">PROGRAMA INSTITUCIONAL DE BOLSAS DE INICIAÇÃO CIENTÍFICA</w:t>
      </w:r>
    </w:p>
    <w:p w:rsidR="00000000" w:rsidDel="00000000" w:rsidP="00000000" w:rsidRDefault="00000000" w:rsidRPr="00000000">
      <w:pPr>
        <w:widowControl w:val="0"/>
        <w:tabs>
          <w:tab w:val="left" w:pos="0"/>
        </w:tabs>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Alfabetização e letramentos digitais - desenvolvimento de software aplicativo para plataforma web para alfabetização na EJA.</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b w:val="1"/>
          <w:sz w:val="24"/>
          <w:szCs w:val="24"/>
          <w:rtl w:val="0"/>
        </w:rPr>
        <w:t xml:space="preserve">CONSCIENTIZAÇÃO </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b w:val="1"/>
          <w:sz w:val="24"/>
          <w:szCs w:val="24"/>
          <w:rtl w:val="0"/>
        </w:rPr>
        <w:t xml:space="preserve">Teoria e Prática da Libertação Uma Introdução ao Pensamento de Paulo Freire</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sz w:val="24"/>
          <w:szCs w:val="24"/>
          <w:rtl w:val="0"/>
        </w:rPr>
        <w:t xml:space="preserve">FREIRE, P. Cortex &amp; Moraes, São Paulo, 1979.</w:t>
      </w:r>
    </w:p>
    <w:p w:rsidR="00000000" w:rsidDel="00000000" w:rsidP="00000000" w:rsidRDefault="00000000" w:rsidRPr="00000000">
      <w:pPr>
        <w:spacing w:line="360" w:lineRule="auto"/>
        <w:contextualSpacing w:val="0"/>
        <w:jc w:val="both"/>
        <w:rPr>
          <w:sz w:val="24"/>
          <w:szCs w:val="24"/>
        </w:rPr>
      </w:pPr>
      <w:r w:rsidDel="00000000" w:rsidR="00000000" w:rsidRPr="00000000">
        <w:rPr>
          <w:b w:val="1"/>
          <w:sz w:val="24"/>
          <w:szCs w:val="24"/>
          <w:rtl w:val="0"/>
        </w:rPr>
        <w:t xml:space="preserve">Parte da obra</w:t>
      </w:r>
      <w:r w:rsidDel="00000000" w:rsidR="00000000" w:rsidRPr="00000000">
        <w:rPr>
          <w:sz w:val="24"/>
          <w:szCs w:val="24"/>
          <w:rtl w:val="0"/>
        </w:rPr>
        <w:t xml:space="preserve">: cap. 2 - p. 15 a 27</w:t>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sz w:val="24"/>
          <w:szCs w:val="24"/>
        </w:rPr>
      </w:pPr>
      <w:r w:rsidDel="00000000" w:rsidR="00000000" w:rsidRPr="00000000">
        <w:rPr>
          <w:b w:val="1"/>
          <w:sz w:val="24"/>
          <w:szCs w:val="24"/>
          <w:rtl w:val="0"/>
        </w:rPr>
        <w:t xml:space="preserve">Filosofia e Problematica</w:t>
      </w:r>
      <w:r w:rsidDel="00000000" w:rsidR="00000000" w:rsidRPr="00000000">
        <w:rPr>
          <w:rtl w:val="0"/>
        </w:rPr>
      </w:r>
    </w:p>
    <w:p w:rsidR="00000000" w:rsidDel="00000000" w:rsidP="00000000" w:rsidRDefault="00000000" w:rsidRPr="00000000">
      <w:pPr>
        <w:spacing w:line="360" w:lineRule="auto"/>
        <w:contextualSpacing w:val="0"/>
        <w:jc w:val="both"/>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“Uma das características do homem é que somente ele é homem. Somente ele é   capaz de tomar distância frente ao mundo. Somente o homem pode distanciar-se do objeto para admirá-la. Objetivando ou admirando – admirar se toma aqui no sentido filosófico – os homens são capazes de agir conscientemente sobre a realidade objetivada. É precisamente isto, a “práxis humana”, a unidade indissolúvel entre minha ação e minha reflexão sobre o mundo.”(pág 15)</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conscientização não está baseada sobre a consciência, de um lado, e o mundo, de outro; por outra parte, não pretende uma separação. Ao contrário, está baseada na relação consciência – mundo.”(pág 15)</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conscientização, como atitude crítica dos homens na história, não terminará jamais. Se os homens, como seres que atuam, continuam aderindo a um mundo “feito”, ver-seão submersos numa nova obscuridade. A conscientização, que se apresenta como um processo num determinado momento, deve continuar sendo processo no momento seguinte, durante o qual a realidade transformada mostra um novo perfil.”(pág 16)</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conscientização nos convida a assumir uma posição utópica frente ao mundo, posição esta que converte o conscientizado em “fator utópico”. Para mim o utópico não é o irrealizável; a utopia não é o idealismo, é a dialetização dos atos de denunciar e anunciar, o ato de denunciar a estrutura desumanizante e de anunciar a estrutura humanizante. Por esta razão a utopia é também um compromisso histórico.”(pág 16)</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conscientização está evidentemente ligada à utopia, implica em utopia. Quanto mais conscientizados nos tornamos, mais capacitados estamos para ser anunciadores e denunciadores, graças ao compromisso de transformação que assumimos. Mas esta posição deve ser permanente: a partir do momento em que denunciamos uma estrutura desumanizante sem nos comprometermos com a realidade, a partir do momento em que chegamos à conscientização do projeto, se deixarmos de ser utópicos nos burocratizamos; é o perigo das revoluções quando deixam de ser permanentes. Uma das</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respostas geniais é a da renovação cultural, esta dialetização que, propriamente falando, não é de ontem, nem de hoje, nem de amanhã, mas uma tarefa permanente de transformação.”(pág 16)</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“Em resumo, as situações-limite implicam na existência de pessoas que são servidas direta ou indiretamente por estas situações, e outras para as quais elas possuem um caráter negativo e domesticado.”(pág 17)</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“Eu considero que o tema fundamental de nossa época é o da dominação, que supõe seu reverso, o tema da libertação, como objetivo que deve ser alcançado.”(pág 17)</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“Sem dúvida, quando os homens percebem a realidade como densa, impenetrável e envolvente, é indispensável proceder a esta procura por meio da abstração. Este método não implica que se deva reduzir o concreto ao abstrato (o que significaria que o método não é de tipo dialético), mas que se mantenham os dois elementos, como contrários, em inter-relação dialética no ato da reflexão.”(pág 17)</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“No nosso método, a codificação, a princípio, toma a forma de uma fotografia ou de um desenho que representa uma situação existencial real ou uma situação existencial construída pelos alunos. Quando se projeta esta representação, os alunos fazem uma operação que se encontra na base do ato de conhecimento; se distanciam do objeto cognoscível. Desta maneira os educadores fazem a experiência da distanciação, de forma que educadores e alunos possam refletir juntos, de modo crítico, sobre o objeto que os mediatiza. O fim da descodificação é chegar a um nível crítico de conhecimento, começando pela experiência que o aluno tem de sua situação em seu “contexto real”.”(pág 18)</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codificação representa uma dimensão dada da realidade tal como a vivem os indivíduos, e esta dimensão é proposta à sua análise num contexto diferente daquele no qual eles a vivem. Assim a codificação transforma o que era uma maneira de viver num contexto real, num “objectum” no contexto teórico. Os alunos, mais que receber uma informação a propósito disto ou daquilo, analisam os aspectos de sua própria experiência existencial representada na codificação.”(pág 18)</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sz w:val="24"/>
          <w:szCs w:val="24"/>
          <w:rtl w:val="0"/>
        </w:rPr>
        <w:t xml:space="preserve">Ideia-Força</w:t>
      </w:r>
      <w:r w:rsidDel="00000000" w:rsidR="00000000" w:rsidRPr="00000000">
        <w:rPr>
          <w:rtl w:val="0"/>
        </w:rPr>
      </w:r>
    </w:p>
    <w:p w:rsidR="00000000" w:rsidDel="00000000" w:rsidP="00000000" w:rsidRDefault="00000000" w:rsidRPr="00000000">
      <w:pPr>
        <w:spacing w:line="360" w:lineRule="auto"/>
        <w:contextualSpacing w:val="0"/>
        <w:jc w:val="center"/>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“1. Para ser válida, toda educação, toda ação educativa deve necessariamente estar precedida de uma reflexão sobre o homem e de uma análise do meio de vida concreto do homem concreto a quem queremos educar (ou melhor dito: a quem queremos ajudar a educar-se).”(pág 19)</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“2. O homem chega a ser sujeito por uma reflexão sobre sua situação, sobre seu ambiente concreto. Quanto mais refletir sobre a realidade, sobre sua situação concreta, mais emerge, plenamente consciente, comprometido, pronto a intervir na realidade para mudá-la.”(pág 19)</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“3. Na medida em que o homem, integrado em seu contexto, reflete sobre este contexto e se compromete, constrói a si mesmo e chega a ser sujeito.”(pág 20)</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“4. Na medida em que o homem, integrando-se nas condições de seu contexto de vida, reflete sobre elas e leva respostas aos desafios que se lhe apresentam, cria cultura.</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 A partir das relações que estabelece com seu mundo, o homem, criando, recriando, decidindo, dinamiza este mundo. Contribui com algo do qual ele é autor... Por este fato cria cultura.”(pág 20)</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“5. Não só por suas relações e por suas respostas o homem é criador de cultura, ele é também “fazedor” da história. Na medida em que o ser humano cria e decide, as épocas vão se formando e reformando.”(pág 21)</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“6. E preciso que a educação esteja – em seu conteúdo, em seus programas e em seus métodos – adaptada ao fim que se persegue: permitir ao homem chegar a ser sujeito, construir-se como pessoa, transformar o mundo, estabelecer com os outros homens relações de reciprocidade, fazer a cultura e a história.”(pág 21)</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sz w:val="24"/>
          <w:szCs w:val="24"/>
          <w:rtl w:val="0"/>
        </w:rPr>
        <w:t xml:space="preserve">Método</w:t>
      </w: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“Contradizendo os métodos de alfabetização puramente mecânicos, projetávamos levar a termo um.a alfabetização direta, ligada realmente à democratização da cultura e que servisse de introdução; ou, melhor dizendo, uma experiência susceptível de tornar compatíveis sua existência de trabalhador e o material que lhe era oferecido para aprendizagem.”(pág 22)</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pPr>
      <w:r w:rsidDel="00000000" w:rsidR="00000000" w:rsidRPr="00000000">
        <w:rPr>
          <w:b w:val="1"/>
          <w:sz w:val="24"/>
          <w:szCs w:val="24"/>
          <w:rtl w:val="0"/>
        </w:rPr>
        <w:t xml:space="preserve">Fases de Elaboração e Aplicação do Método</w:t>
      </w:r>
      <w:r w:rsidDel="00000000" w:rsidR="00000000" w:rsidRPr="00000000">
        <w:rPr>
          <w:rtl w:val="0"/>
        </w:rPr>
      </w:r>
    </w:p>
    <w:p w:rsidR="00000000" w:rsidDel="00000000" w:rsidP="00000000" w:rsidRDefault="00000000" w:rsidRPr="00000000">
      <w:pPr>
        <w:spacing w:line="360"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“Primeira fase: a "descoberta do universo vocabular” dos grupos com os quais se há de trabalhar se efetua no curso de encontros informais com os habitantes do setor que se procura atingir. Não só se retêm as palavras mais carregadas de sentido existencial – e, por causa disto, as de maior conteúdo emocional –, senão também as ex-pressões típicas do povo: formas de falar particulares, palavras ligadas à experiência do grupo, especialmente à experiência profissional.” (pág 23) </w:t>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“Segunda fase: Seleção de palavras, dentro do universo vocabular.</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Esta seleção deve ser submetida aos seguintes critérios:</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a) O da riqueza silábica;</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b) O das dificuldades fonéticas. As palavras escolhidas devem responder às dificuldades fonéticas da</w:t>
      </w:r>
    </w:p>
    <w:p w:rsidR="00000000" w:rsidDel="00000000" w:rsidP="00000000" w:rsidRDefault="00000000" w:rsidRPr="00000000">
      <w:pPr>
        <w:spacing w:line="360" w:lineRule="auto"/>
        <w:contextualSpacing w:val="0"/>
        <w:jc w:val="both"/>
        <w:rPr>
          <w:b w:val="0"/>
          <w:sz w:val="24"/>
          <w:szCs w:val="24"/>
        </w:rPr>
      </w:pPr>
      <w:r w:rsidDel="00000000" w:rsidR="00000000" w:rsidRPr="00000000">
        <w:rPr>
          <w:b w:val="0"/>
          <w:sz w:val="24"/>
          <w:szCs w:val="24"/>
          <w:rtl w:val="0"/>
        </w:rPr>
        <w:t xml:space="preserve">língua e colocar-se na ordem de dificuldade crescente;</w:t>
      </w:r>
    </w:p>
    <w:p w:rsidR="00000000" w:rsidDel="00000000" w:rsidP="00000000" w:rsidRDefault="00000000" w:rsidRPr="00000000">
      <w:pPr>
        <w:spacing w:line="360" w:lineRule="auto"/>
        <w:contextualSpacing w:val="0"/>
        <w:jc w:val="both"/>
        <w:rPr/>
      </w:pPr>
      <w:r w:rsidDel="00000000" w:rsidR="00000000" w:rsidRPr="00000000">
        <w:rPr>
          <w:b w:val="0"/>
          <w:sz w:val="24"/>
          <w:szCs w:val="24"/>
          <w:rtl w:val="0"/>
        </w:rPr>
        <w:t xml:space="preserve">c) O do conteúdo prático da palavra, o que implica procurar o maior compromisso possível da palavra numa realidade de fato, social, cultural, política.”(pág 24)</w:t>
      </w: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0"/>
          <w:sz w:val="24"/>
          <w:szCs w:val="24"/>
          <w:rtl w:val="0"/>
        </w:rPr>
        <w:t xml:space="preserve">“Terceira fase: A terceira fase é a criação de situações existenciais típicas do grupo com o qual se trabalha.”(pág 24)</w:t>
      </w: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0"/>
          <w:sz w:val="24"/>
          <w:szCs w:val="24"/>
          <w:rtl w:val="0"/>
        </w:rPr>
        <w:t xml:space="preserve">“Quarta fase: A quarta fase é de elaboração de fichas indicadoras que ajudam os coordenadores do debate em seu trabalho. Tais fichas deverão simplesmente ajudar os coordenadores, não serão uma prescrição rígida e imperativa”(pág 24)</w:t>
      </w: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pPr>
      <w:r w:rsidDel="00000000" w:rsidR="00000000" w:rsidRPr="00000000">
        <w:rPr>
          <w:b w:val="0"/>
          <w:sz w:val="24"/>
          <w:szCs w:val="24"/>
          <w:rtl w:val="0"/>
        </w:rPr>
        <w:t xml:space="preserve">“Quinta fase: Consiste na elaboração de fichas nas quais aparecem as famílias fonéticas correspondentes às palavras geradoras.”(pág 24)</w:t>
      </w:r>
      <w:r w:rsidDel="00000000" w:rsidR="00000000" w:rsidRPr="00000000">
        <w:rPr>
          <w:rtl w:val="0"/>
        </w:rPr>
      </w:r>
    </w:p>
    <w:p w:rsidR="00000000" w:rsidDel="00000000" w:rsidP="00000000" w:rsidRDefault="00000000" w:rsidRPr="00000000">
      <w:pPr>
        <w:spacing w:line="360" w:lineRule="auto"/>
        <w:contextualSpacing w:val="0"/>
        <w:jc w:val="both"/>
        <w:rPr>
          <w:b w:val="0"/>
          <w:sz w:val="24"/>
          <w:szCs w:val="24"/>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sz w:val="24"/>
          <w:szCs w:val="24"/>
          <w:rtl w:val="0"/>
        </w:rPr>
        <w:t xml:space="preserve">Os Atos Concretos da Alfabetização</w:t>
      </w:r>
      <w:r w:rsidDel="00000000" w:rsidR="00000000" w:rsidRPr="00000000">
        <w:rPr>
          <w:rtl w:val="0"/>
        </w:rPr>
      </w:r>
    </w:p>
    <w:p w:rsidR="00000000" w:rsidDel="00000000" w:rsidP="00000000" w:rsidRDefault="00000000" w:rsidRPr="00000000">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b w:val="0"/>
        </w:rPr>
      </w:pPr>
      <w:r w:rsidDel="00000000" w:rsidR="00000000" w:rsidRPr="00000000">
        <w:rPr>
          <w:b w:val="0"/>
          <w:rtl w:val="0"/>
        </w:rPr>
        <w:t xml:space="preserve">“Quando o grupo, com a colaboração do coordenador, esgotou a análise – processo de descodificação – da situação dada, o educador propõe a visualização da palavra geradora, e não a memorização. Quando se visualiza a palavra e se estabelece o laço semântico entre ela e o objeto a que se refere – representado na situação –, mostra-se ao aluno, por meio de outro diapositivo, a palavra sozinha, sem o objeto correspondente.”(pág 24)</w:t>
      </w:r>
    </w:p>
    <w:p w:rsidR="00000000" w:rsidDel="00000000" w:rsidP="00000000" w:rsidRDefault="00000000" w:rsidRPr="00000000">
      <w:pPr>
        <w:spacing w:line="360" w:lineRule="auto"/>
        <w:contextualSpacing w:val="0"/>
        <w:jc w:val="both"/>
        <w:rPr>
          <w:b w:val="0"/>
        </w:rPr>
      </w:pPr>
      <w:r w:rsidDel="00000000" w:rsidR="00000000" w:rsidRPr="00000000">
        <w:rPr>
          <w:rtl w:val="0"/>
        </w:rPr>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Da Leitura à Escrita</w:t>
      </w:r>
    </w:p>
    <w:p w:rsidR="00000000" w:rsidDel="00000000" w:rsidP="00000000" w:rsidRDefault="00000000" w:rsidRPr="00000000">
      <w:pPr>
        <w:spacing w:line="360" w:lineRule="auto"/>
        <w:contextualSpacing w:val="0"/>
        <w:jc w:val="center"/>
        <w:rPr>
          <w:b w:val="1"/>
        </w:rPr>
      </w:pPr>
      <w:r w:rsidDel="00000000" w:rsidR="00000000" w:rsidRPr="00000000">
        <w:rPr>
          <w:rtl w:val="0"/>
        </w:rPr>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“Uma vez terminados os exercícios orais, através dos quais se produz são somente o conhecimento mas também o reconhecimento, sem o qual não há verdadeiro aprendizado, o aluno passa à escrita, e isto desde o primeiro dia. Na tarde seguinte, leva ao círculo, como “tarefa”, todas as palavras que pôde criar pela combinação de fonemas comuns. O que importa, no dia em que põe o pé neste terreno novo, é a descoberta do mecanismo das combinações fonêmicas.”(pág 25)</w:t>
      </w:r>
    </w:p>
    <w:p w:rsidR="00000000" w:rsidDel="00000000" w:rsidP="00000000" w:rsidRDefault="00000000" w:rsidRPr="00000000">
      <w:pPr>
        <w:spacing w:line="360" w:lineRule="auto"/>
        <w:contextualSpacing w:val="0"/>
        <w:jc w:val="both"/>
        <w:rPr>
          <w:b w:val="0"/>
          <w:u w:val="none"/>
        </w:rPr>
      </w:pPr>
      <w:r w:rsidDel="00000000" w:rsidR="00000000" w:rsidRPr="00000000">
        <w:rPr>
          <w:rtl w:val="0"/>
        </w:rPr>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“Para que a alfabetização não seja puramente mecânica e assunto só de memória, é preciso conduzir os adultos a conscientizar-se primeiro, para que logo se alfabetizem a si mesmos. Conseqüentemente, este método – na medida em que ajuda o homem a aprofundar a consciência de sua problemática e de sua condição de pessoa e, portanto, de sujeito – converte-se para ele em caminho de opção. Neste momento, o homem se politizará a si mesmo.”(pág 26)</w:t>
      </w:r>
    </w:p>
    <w:p w:rsidR="00000000" w:rsidDel="00000000" w:rsidP="00000000" w:rsidRDefault="00000000" w:rsidRPr="00000000">
      <w:pPr>
        <w:spacing w:line="360" w:lineRule="auto"/>
        <w:contextualSpacing w:val="0"/>
        <w:jc w:val="both"/>
        <w:rPr>
          <w:b w:val="0"/>
          <w:u w:val="none"/>
        </w:rPr>
      </w:pPr>
      <w:r w:rsidDel="00000000" w:rsidR="00000000" w:rsidRPr="00000000">
        <w:rPr>
          <w:rtl w:val="0"/>
        </w:rPr>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“No Brasil, quando pensava nas possibilidade de desenvolver um método com o qual fosse possível para os analfabetos aprender facilmente a ler e escrever, percebi que a melhor maneira não era desafiar o espeto crítico, a consciência do homem, mas (e é muito interessante ver como. mudei) procurar introduzir, na consciência das pessoas, alguns símbolos associados a palavras. E, em um segundo momento, desafiá-las criticamente para redescobrir a associação entre certos símbolos e as palavras, e assim apreendê-las.”(pág 26)</w:t>
      </w:r>
    </w:p>
    <w:p w:rsidR="00000000" w:rsidDel="00000000" w:rsidP="00000000" w:rsidRDefault="00000000" w:rsidRPr="00000000">
      <w:pPr>
        <w:spacing w:line="360" w:lineRule="auto"/>
        <w:contextualSpacing w:val="0"/>
        <w:jc w:val="both"/>
        <w:rPr>
          <w:b w:val="0"/>
          <w:u w:val="none"/>
        </w:rPr>
      </w:pPr>
      <w:r w:rsidDel="00000000" w:rsidR="00000000" w:rsidRPr="00000000">
        <w:rPr>
          <w:rtl w:val="0"/>
        </w:rPr>
      </w:r>
    </w:p>
    <w:p w:rsidR="00000000" w:rsidDel="00000000" w:rsidP="00000000" w:rsidRDefault="00000000" w:rsidRPr="00000000">
      <w:pPr>
        <w:spacing w:line="360" w:lineRule="auto"/>
        <w:contextualSpacing w:val="0"/>
        <w:jc w:val="center"/>
        <w:rPr>
          <w:b w:val="1"/>
          <w:u w:val="none"/>
        </w:rPr>
      </w:pPr>
      <w:r w:rsidDel="00000000" w:rsidR="00000000" w:rsidRPr="00000000">
        <w:rPr>
          <w:b w:val="1"/>
          <w:u w:val="none"/>
          <w:rtl w:val="0"/>
        </w:rPr>
        <w:t xml:space="preserve">Aplicação</w:t>
      </w:r>
    </w:p>
    <w:p w:rsidR="00000000" w:rsidDel="00000000" w:rsidP="00000000" w:rsidRDefault="00000000" w:rsidRPr="00000000">
      <w:pPr>
        <w:spacing w:line="360" w:lineRule="auto"/>
        <w:contextualSpacing w:val="0"/>
        <w:jc w:val="both"/>
        <w:rPr>
          <w:b w:val="0"/>
          <w:u w:val="none"/>
        </w:rPr>
      </w:pPr>
      <w:r w:rsidDel="00000000" w:rsidR="00000000" w:rsidRPr="00000000">
        <w:rPr>
          <w:rtl w:val="0"/>
        </w:rPr>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“A concepção de liberdade, expressa por Paulo Freire, é a matriz que dd sentido a uma educação que não pode ser efetiva e eficaz senão na medida em que os educandos nela tomem parte de maneira livre e crítica. Este é um dos princípios essenciais da organização dos Círculos de Cultura, unidade de ensino que substitui a escola tradicional e reúne um coordenador com algumas dezenas de homens do povo,</w:t>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num trabalho comum de conquista da linguagem. O coordenador não exerce as funções de “professor”, a condição essencial da tarefa é o diálogo: "Coordenar, jamais impor sua influência.””(pág 27)</w:t>
      </w:r>
    </w:p>
    <w:p w:rsidR="00000000" w:rsidDel="00000000" w:rsidP="00000000" w:rsidRDefault="00000000" w:rsidRPr="00000000">
      <w:pPr>
        <w:spacing w:line="360" w:lineRule="auto"/>
        <w:contextualSpacing w:val="0"/>
        <w:jc w:val="both"/>
        <w:rPr>
          <w:b w:val="0"/>
          <w:u w:val="none"/>
        </w:rPr>
      </w:pPr>
      <w:r w:rsidDel="00000000" w:rsidR="00000000" w:rsidRPr="00000000">
        <w:rPr>
          <w:rtl w:val="0"/>
        </w:rPr>
      </w:r>
    </w:p>
    <w:p w:rsidR="00000000" w:rsidDel="00000000" w:rsidP="00000000" w:rsidRDefault="00000000" w:rsidRPr="00000000">
      <w:pPr>
        <w:spacing w:line="360" w:lineRule="auto"/>
        <w:contextualSpacing w:val="0"/>
        <w:jc w:val="both"/>
        <w:rPr>
          <w:b w:val="0"/>
          <w:u w:val="none"/>
        </w:rPr>
      </w:pPr>
      <w:r w:rsidDel="00000000" w:rsidR="00000000" w:rsidRPr="00000000">
        <w:rPr>
          <w:b w:val="0"/>
          <w:u w:val="none"/>
          <w:rtl w:val="0"/>
        </w:rPr>
        <w:t xml:space="preserve">“A conscientização tem por ponto de partida o homem brasileiro, o homem iletrado, o homem do povo, com sua maneira própria de captar e de compreender a realidade captação e compreensão de tipo especialmente mágico. Assim, “do mesmo modo que a toda compreensão de algo corresponde, cedo ou tarde, uma ação, a uma compreensão primordialmente mágica corresponde uma ação também mágica".”(pág 28)</w:t>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a"/>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rPr>
      <w:rFonts w:ascii="Times New Roman" w:cs="Times New Roman" w:eastAsia="Times New Roman" w:hAnsi="Times New Roman"/>
      <w:b w:val="1"/>
      <w:i w:val="0"/>
      <w:smallCaps w:val="0"/>
      <w:strike w:val="0"/>
      <w:color w:val="00000a"/>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