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2439035</wp:posOffset>
            </wp:positionH>
            <wp:positionV relativeFrom="paragraph">
              <wp:posOffset>-420368</wp:posOffset>
            </wp:positionV>
            <wp:extent cx="800735" cy="92202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922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"/>
        </w:numPr>
        <w:tabs>
          <w:tab w:val="left" w:pos="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"/>
        </w:numPr>
        <w:tabs>
          <w:tab w:val="left" w:pos="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1"/>
          <w:numId w:val="1"/>
        </w:numPr>
        <w:tabs>
          <w:tab w:val="left" w:pos="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pStyle w:val="Heading2"/>
        <w:keepNext w:val="1"/>
        <w:widowControl w:val="0"/>
        <w:numPr>
          <w:ilvl w:val="1"/>
          <w:numId w:val="1"/>
        </w:numPr>
        <w:tabs>
          <w:tab w:val="left" w:pos="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PRÓ-REITORIA DE PESQUISA E PÓS-GRADUAÇÃO</w:t>
      </w:r>
    </w:p>
    <w:p w:rsidR="00000000" w:rsidDel="00000000" w:rsidP="00000000" w:rsidRDefault="00000000" w:rsidRPr="00000000">
      <w:pPr>
        <w:pStyle w:val="Heading1"/>
        <w:keepNext w:val="1"/>
        <w:widowControl w:val="0"/>
        <w:numPr>
          <w:ilvl w:val="0"/>
          <w:numId w:val="1"/>
        </w:numPr>
        <w:tabs>
          <w:tab w:val="left" w:pos="0"/>
        </w:tabs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PROGRAMA INSTITUCIONAL DE BOLSAS DE INICIAÇÃO CIENTÍFICA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Projeto: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Alfabetização e letramentos digitais - desenvolvimento de software aplicativo para plataforma web para alfabetização na 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ALBUQUERQUE, E. B. C.; MORAIS, A. G.; LEAL, T. F; FERREIRA, A. T. 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relação entre alfabetização na Educação de Jovens e Adultos: questão conceituais e seus reflexos nas práticas de ensino e nos livros didático,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In: LEAL, T. F; ALBUQUERQUE, E. B. C.; MORAIS, A. 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Alfabetizar Letrando na EJA: Fundamentos Teóricos e Propostas Didáticas, </w:t>
      </w:r>
      <w:r w:rsidDel="00000000" w:rsidR="00000000" w:rsidRPr="00000000">
        <w:rPr>
          <w:sz w:val="24"/>
          <w:szCs w:val="24"/>
          <w:rtl w:val="0"/>
        </w:rPr>
        <w:t xml:space="preserve">Autêntica, Belo Horizonte,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Parte da obra: p. 13 a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DE ALFABETIZAÇÃO E LETRAMENTO EM 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 alfabetização cosiste na ação de alfabetizar, de ensinar crianças, jovens ou adultos a ler e escrever. Visto pela otica do aprendiz, ela consiste no processo de ser alfabetizado, de ser ensinado a ler e a escrever.” (p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“Ensinar a ler, na perspectica dos metodos sintéticos – alfabéticos, silábicos ou fônicos – era ensinar a “decodificar”, ou seja, traduzir em sons as letras ou sílabas que formavam as palavras, frases e textos.” (p 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 dicionário Houaiss (2001), letramento é definido como um “conjunto de práticas que denotam a cabacidade de uso de diferentes tipos de material escrito”. Soares(1998) destaca que o termo letramento é a versão para o português da palavra da língua inglesa literacy, que significa o estado ou condição que assume aquele que aprende a ler e escrever.” (p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“Concebemos alfabetização como o processo de aprimoração da escrita alfabetica, ou seja, a compreensão, por parte de dos sujeitos, dos princípios que regem esse sistemas notacional. Já letramento se relaciona aos usos efetivos da escrita em atividades de leitura e escrita de textos, em contextos diversos. O primeiro esteria relacionado, portanto, à apredizagem de notação alfabetica, enquando o segundo envolveria o uso e produção da linguagem que se usa ao escrever, isto é, dos gêneros textuais escritos que circulam nas interações sociais.” (p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 repositorio textual destinado em 2008 aos alfabetizando da EJA inclui gêneros de diferentes esferas(publicitários, jornalísticos, científicos, literários). Gêneros como biografia, musicas, notas informativas e poemas, estiveram bem presentes em todos os volumes examinados.” (p 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“Precisamos estar alertas para a “desinvenção da alfabetização”(Soares, 2003), decorrente da hegermonia de certos discursos que privilegiam o polo do letramento e que esquecerm da inarredável tarefa da escola na etapa de alfabetização: assegurar que os aprendizes possam  usar com autonomia a notação escrita, empregando o sistema alfabetico com o minimo de desenvoltura no manejo das relações som-grafia.” (p 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>
      <w:pPr>
        <w:spacing w:after="16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HOUAISS, A. Dicionário Houaiss da Lingua Portuguesa. Rio de Janiero: Objetiva, 2001.</w:t>
      </w:r>
    </w:p>
    <w:p w:rsidR="00000000" w:rsidDel="00000000" w:rsidP="00000000" w:rsidRDefault="00000000" w:rsidRPr="00000000">
      <w:pPr>
        <w:spacing w:after="16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SOARES, M. Letramento: um tema em três gêneros. Belo Horizonte: Autêntica, 1998.</w:t>
      </w:r>
    </w:p>
    <w:p w:rsidR="00000000" w:rsidDel="00000000" w:rsidP="00000000" w:rsidRDefault="00000000" w:rsidRPr="00000000">
      <w:pPr>
        <w:spacing w:after="160" w:before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SOARES, M. Letramento e alfabetização: as muitas facetas. In: 26 Reunião Nacional da ANPEd, 2003, Caxambu. Anais da 28 Reunião Nacional da ANPEd, Caxambu:2003, p. 1-18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