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drawing>
          <wp:anchor behindDoc="0" distT="0" distB="0" distL="114300" distR="114300" simplePos="0" locked="0" layoutInCell="1" allowOverlap="1" relativeHeight="2">
            <wp:simplePos x="0" y="0"/>
            <wp:positionH relativeFrom="margin">
              <wp:posOffset>2439035</wp:posOffset>
            </wp:positionH>
            <wp:positionV relativeFrom="paragraph">
              <wp:posOffset>-420370</wp:posOffset>
            </wp:positionV>
            <wp:extent cx="798195" cy="919480"/>
            <wp:effectExtent l="0" t="0" r="0" b="0"/>
            <wp:wrapNone/>
            <wp:docPr id="1" name="image0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
                    <pic:cNvPicPr>
                      <a:picLocks noChangeAspect="1" noChangeArrowheads="1"/>
                    </pic:cNvPicPr>
                  </pic:nvPicPr>
                  <pic:blipFill>
                    <a:blip r:embed="rId2"/>
                    <a:stretch>
                      <a:fillRect/>
                    </a:stretch>
                  </pic:blipFill>
                  <pic:spPr bwMode="auto">
                    <a:xfrm>
                      <a:off x="0" y="0"/>
                      <a:ext cx="798195" cy="919480"/>
                    </a:xfrm>
                    <a:prstGeom prst="rect">
                      <a:avLst/>
                    </a:prstGeom>
                  </pic:spPr>
                </pic:pic>
              </a:graphicData>
            </a:graphic>
          </wp:anchor>
        </w:drawing>
      </w:r>
    </w:p>
    <w:p>
      <w:pPr>
        <w:pStyle w:val="Ttulo2"/>
        <w:widowControl w:val="false"/>
        <w:numPr>
          <w:ilvl w:val="1"/>
          <w:numId w:val="1"/>
        </w:numPr>
        <w:tabs>
          <w:tab w:val="left" w:pos="0" w:leader="none"/>
        </w:tabs>
        <w:spacing w:lineRule="auto" w:line="240"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widowControl w:val="false"/>
        <w:numPr>
          <w:ilvl w:val="1"/>
          <w:numId w:val="1"/>
        </w:numPr>
        <w:tabs>
          <w:tab w:val="left" w:pos="0" w:leader="none"/>
        </w:tabs>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tulo2"/>
        <w:widowControl w:val="false"/>
        <w:numPr>
          <w:ilvl w:val="1"/>
          <w:numId w:val="1"/>
        </w:numPr>
        <w:tabs>
          <w:tab w:val="left" w:pos="0" w:leader="none"/>
        </w:tabs>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UNIVERSIDADE FEDERAL RURAL DE PERNAMBUCO</w:t>
      </w:r>
    </w:p>
    <w:p>
      <w:pPr>
        <w:pStyle w:val="Ttulo2"/>
        <w:keepNext/>
        <w:widowControl w:val="false"/>
        <w:numPr>
          <w:ilvl w:val="1"/>
          <w:numId w:val="1"/>
        </w:numPr>
        <w:tabs>
          <w:tab w:val="left" w:pos="0" w:leader="none"/>
        </w:tabs>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PRÓ-REITORIA DE PESQUISA E PÓS-GRADUAÇÃO</w:t>
      </w:r>
    </w:p>
    <w:p>
      <w:pPr>
        <w:pStyle w:val="Ttulo1"/>
        <w:keepNext/>
        <w:widowControl w:val="false"/>
        <w:numPr>
          <w:ilvl w:val="0"/>
          <w:numId w:val="1"/>
        </w:numPr>
        <w:tabs>
          <w:tab w:val="left" w:pos="0" w:leader="none"/>
        </w:tabs>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PROGRAMA INSTITUCIONAL DE BOLSAS DE INICIAÇÃO CIENTÍFICA</w:t>
      </w:r>
    </w:p>
    <w:p>
      <w:pPr>
        <w:pStyle w:val="Normal"/>
        <w:spacing w:lineRule="auto" w:line="240" w:before="0" w:after="0"/>
        <w:rPr/>
      </w:pPr>
      <w:r>
        <w:rPr/>
      </w:r>
    </w:p>
    <w:p>
      <w:pPr>
        <w:pStyle w:val="Normal"/>
        <w:spacing w:lineRule="auto" w:line="240" w:before="0" w:after="0"/>
        <w:jc w:val="center"/>
        <w:rPr/>
      </w:pPr>
      <w:r>
        <w:rPr>
          <w:rFonts w:eastAsia="Times New Roman" w:cs="Times New Roman" w:ascii="Times New Roman" w:hAnsi="Times New Roman"/>
          <w:sz w:val="24"/>
          <w:szCs w:val="24"/>
        </w:rPr>
        <w:t xml:space="preserve">Projeto: </w:t>
      </w:r>
    </w:p>
    <w:p>
      <w:pPr>
        <w:pStyle w:val="Normal"/>
        <w:spacing w:lineRule="auto" w:line="240" w:before="0" w:after="0"/>
        <w:jc w:val="center"/>
        <w:rPr/>
      </w:pPr>
      <w:r>
        <w:rPr>
          <w:rFonts w:eastAsia="Times New Roman" w:cs="Times New Roman" w:ascii="Times New Roman" w:hAnsi="Times New Roman"/>
          <w:sz w:val="24"/>
          <w:szCs w:val="24"/>
        </w:rPr>
        <w:t>Alfabetização e letramentos digitais - desenvolvimento de software aplicativo para plataforma web para alfabetização na EJA.</w:t>
      </w:r>
    </w:p>
    <w:p>
      <w:pPr>
        <w:pStyle w:val="Normal"/>
        <w:spacing w:before="0" w:after="160"/>
        <w:jc w:val="both"/>
        <w:rPr/>
      </w:pPr>
      <w:r>
        <w:rPr/>
      </w:r>
    </w:p>
    <w:p>
      <w:pPr>
        <w:pStyle w:val="Normal"/>
        <w:spacing w:before="0" w:after="160"/>
        <w:jc w:val="both"/>
        <w:rPr/>
      </w:pPr>
      <w:r>
        <w:rPr>
          <w:rFonts w:eastAsia="Times New Roman" w:cs="Times New Roman" w:ascii="Times New Roman" w:hAnsi="Times New Roman"/>
          <w:sz w:val="24"/>
          <w:szCs w:val="24"/>
        </w:rPr>
        <w:t xml:space="preserve">AMARAl, A.; NATAL, G.; VIANA, L., </w:t>
      </w:r>
      <w:r>
        <w:rPr>
          <w:rFonts w:eastAsia="Times New Roman" w:cs="Times New Roman" w:ascii="Times New Roman" w:hAnsi="Times New Roman"/>
          <w:b/>
          <w:sz w:val="24"/>
          <w:szCs w:val="24"/>
        </w:rPr>
        <w:t>Netnografia como aporte metodológico da pesquisa em comunicação digital</w:t>
      </w:r>
      <w:r>
        <w:rPr>
          <w:rFonts w:eastAsia="Times New Roman" w:cs="Times New Roman" w:ascii="Times New Roman" w:hAnsi="Times New Roman"/>
          <w:sz w:val="24"/>
          <w:szCs w:val="24"/>
        </w:rPr>
        <w:t>, 2008.</w:t>
      </w:r>
    </w:p>
    <w:p>
      <w:pPr>
        <w:pStyle w:val="Normal"/>
        <w:spacing w:before="0" w:after="160"/>
        <w:jc w:val="both"/>
        <w:rPr/>
      </w:pPr>
      <w:r>
        <w:rPr/>
      </w:r>
    </w:p>
    <w:p>
      <w:pPr>
        <w:pStyle w:val="Normal"/>
        <w:spacing w:before="0" w:after="160"/>
        <w:ind w:left="0" w:right="0" w:hanging="0"/>
        <w:jc w:val="center"/>
        <w:rPr/>
      </w:pPr>
      <w:r>
        <w:rPr>
          <w:rFonts w:eastAsia="Times New Roman" w:cs="Times New Roman" w:ascii="Times New Roman" w:hAnsi="Times New Roman"/>
          <w:b/>
          <w:sz w:val="24"/>
          <w:szCs w:val="24"/>
        </w:rPr>
        <w:t>Etnograf</w:t>
      </w:r>
      <w:r>
        <w:rPr>
          <w:rFonts w:eastAsia="Times New Roman" w:cs="Times New Roman" w:ascii="Times New Roman" w:hAnsi="Times New Roman"/>
          <w:b/>
          <w:sz w:val="24"/>
          <w:szCs w:val="24"/>
        </w:rPr>
        <w:t>i</w:t>
      </w:r>
      <w:r>
        <w:rPr>
          <w:rFonts w:eastAsia="Times New Roman" w:cs="Times New Roman" w:ascii="Times New Roman" w:hAnsi="Times New Roman"/>
          <w:b/>
          <w:sz w:val="24"/>
          <w:szCs w:val="24"/>
        </w:rPr>
        <w:t>a, etnograf</w:t>
      </w:r>
      <w:r>
        <w:rPr>
          <w:rFonts w:eastAsia="Times New Roman" w:cs="Times New Roman" w:ascii="Times New Roman" w:hAnsi="Times New Roman"/>
          <w:b/>
          <w:sz w:val="24"/>
          <w:szCs w:val="24"/>
        </w:rPr>
        <w:t>i</w:t>
      </w:r>
      <w:r>
        <w:rPr>
          <w:rFonts w:eastAsia="Times New Roman" w:cs="Times New Roman" w:ascii="Times New Roman" w:hAnsi="Times New Roman"/>
          <w:b/>
          <w:sz w:val="24"/>
          <w:szCs w:val="24"/>
        </w:rPr>
        <w:t>a virtual, netnografia</w:t>
      </w:r>
    </w:p>
    <w:p>
      <w:pPr>
        <w:pStyle w:val="Normal"/>
        <w:spacing w:before="0" w:after="160"/>
        <w:ind w:left="0" w:right="0" w:hanging="0"/>
        <w:jc w:val="left"/>
        <w:rPr/>
      </w:pPr>
      <w:r>
        <w:rPr/>
      </w:r>
    </w:p>
    <w:p>
      <w:pPr>
        <w:pStyle w:val="Normal"/>
        <w:spacing w:lineRule="auto" w:line="360" w:before="0" w:after="160"/>
        <w:ind w:left="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A etnografia é um método de investigação oriundo da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ntropologia que reúne técnicas que munem o pesquisador para o trabalho de observação, a partir da inserção e</w:t>
      </w:r>
      <w:r>
        <w:rPr>
          <w:rFonts w:eastAsia="Times New Roman" w:cs="Times New Roman" w:ascii="Times New Roman" w:hAnsi="Times New Roman"/>
          <w:sz w:val="24"/>
          <w:szCs w:val="24"/>
        </w:rPr>
        <w:t>m</w:t>
      </w:r>
      <w:r>
        <w:rPr>
          <w:rFonts w:eastAsia="Times New Roman" w:cs="Times New Roman" w:ascii="Times New Roman" w:hAnsi="Times New Roman"/>
          <w:sz w:val="24"/>
          <w:szCs w:val="24"/>
        </w:rPr>
        <w:t xml:space="preserve"> comunidades para pesquisa, onde o pesquisador entra em contato intra-subjetivos com o objetivo de estudo.” (p 35)</w:t>
      </w:r>
    </w:p>
    <w:p>
      <w:pPr>
        <w:pStyle w:val="Normal"/>
        <w:spacing w:lineRule="auto" w:line="360" w:before="0" w:after="160"/>
        <w:ind w:left="0" w:right="0" w:hanging="0"/>
        <w:jc w:val="both"/>
        <w:rPr/>
      </w:pPr>
      <w:r>
        <w:rPr/>
      </w:r>
    </w:p>
    <w:p>
      <w:pPr>
        <w:pStyle w:val="Normal"/>
        <w:spacing w:lineRule="auto" w:line="360" w:before="0" w:after="160"/>
        <w:ind w:left="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Como tentar ler (no sentido de construir uma leitura de) um manuscrito estranho, desbotado, cheio de elipses, incoerências, emendas suspeitas e comentários tendenciosos, escrito não com os sinais convencionais do som, mas com exemplos transitórios de comportamento modelado [1]”(p 35)</w:t>
      </w:r>
    </w:p>
    <w:p>
      <w:pPr>
        <w:pStyle w:val="Normal"/>
        <w:spacing w:lineRule="auto" w:line="360" w:before="0" w:after="160"/>
        <w:ind w:left="0" w:right="0" w:hanging="0"/>
        <w:jc w:val="both"/>
        <w:rPr/>
      </w:pPr>
      <w:r>
        <w:rPr/>
      </w:r>
    </w:p>
    <w:p>
      <w:pPr>
        <w:pStyle w:val="Normal"/>
        <w:spacing w:lineRule="auto" w:line="360" w:before="0" w:after="160"/>
        <w:ind w:left="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Segundo [2], a etnografia, em sua forma básica, consiste em que o pesquisador submerja no mundo que estuda por um tempo determinado e leve em consideração as relações que se formam entre quem participa dos processos sociais deste recorte de mundo, com objetivo de dar sentido às pessoas, quer esse sentido seja por suposição ou pela maneira implícita em que as próprias pessoas dão sentido às suas vidas ”(p 35)</w:t>
      </w:r>
    </w:p>
    <w:p>
      <w:pPr>
        <w:pStyle w:val="Normal"/>
        <w:spacing w:lineRule="auto" w:line="360" w:before="0" w:after="160"/>
        <w:ind w:left="0" w:right="0" w:hanging="0"/>
        <w:jc w:val="both"/>
        <w:rPr/>
      </w:pPr>
      <w:r>
        <w:rPr/>
      </w:r>
    </w:p>
    <w:p>
      <w:pPr>
        <w:pStyle w:val="Normal"/>
        <w:spacing w:lineRule="auto" w:line="360" w:before="0" w:after="160"/>
        <w:ind w:left="0" w:right="0" w:hanging="0"/>
        <w:jc w:val="both"/>
        <w:rPr/>
      </w:pPr>
      <w:r>
        <w:rPr/>
      </w:r>
    </w:p>
    <w:p>
      <w:pPr>
        <w:pStyle w:val="Normal"/>
        <w:spacing w:lineRule="auto" w:line="360" w:before="0" w:after="160"/>
        <w:ind w:left="0" w:right="0" w:hanging="0"/>
        <w:jc w:val="both"/>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 transposição dessa metodologia para o estudo de práticas comunicacionais mediadas por computador recebe o nome de Netnografia, ou etnografia virtual e sua adoção é validada no campo da comunicação pelo fato de que “muitos objetos de estudo localizam-se no ciberespaço”[3]” (p 35)</w:t>
      </w:r>
    </w:p>
    <w:p>
      <w:pPr>
        <w:pStyle w:val="Normal"/>
        <w:spacing w:lineRule="auto" w:line="360" w:before="0" w:after="160"/>
        <w:ind w:left="0" w:right="0" w:hanging="0"/>
        <w:jc w:val="both"/>
        <w:rPr/>
      </w:pPr>
      <w:r>
        <w:rPr/>
      </w:r>
    </w:p>
    <w:p>
      <w:pPr>
        <w:pStyle w:val="Normal"/>
        <w:spacing w:lineRule="auto" w:line="360" w:before="0" w:after="160"/>
        <w:ind w:left="0" w:right="0" w:hanging="0"/>
        <w:jc w:val="center"/>
        <w:rPr/>
      </w:pPr>
      <w:r>
        <w:rPr>
          <w:rFonts w:eastAsia="Times New Roman" w:cs="Times New Roman" w:ascii="Times New Roman" w:hAnsi="Times New Roman"/>
          <w:b/>
          <w:sz w:val="24"/>
          <w:szCs w:val="24"/>
        </w:rPr>
        <w:t>Referências</w:t>
      </w:r>
    </w:p>
    <w:p>
      <w:pPr>
        <w:pStyle w:val="Normal"/>
        <w:spacing w:lineRule="auto" w:line="360" w:before="0" w:after="160"/>
        <w:ind w:left="0" w:right="0" w:hanging="0"/>
        <w:jc w:val="both"/>
        <w:rPr/>
      </w:pPr>
      <w:r>
        <w:rPr>
          <w:rFonts w:eastAsia="Times New Roman" w:cs="Times New Roman" w:ascii="Times New Roman" w:hAnsi="Times New Roman"/>
          <w:sz w:val="24"/>
          <w:szCs w:val="24"/>
        </w:rPr>
        <w:t xml:space="preserve">[1]GEERTZ, C. </w:t>
      </w:r>
      <w:r>
        <w:rPr>
          <w:rFonts w:eastAsia="Times New Roman" w:cs="Times New Roman" w:ascii="Times New Roman" w:hAnsi="Times New Roman"/>
          <w:b/>
          <w:sz w:val="24"/>
          <w:szCs w:val="24"/>
        </w:rPr>
        <w:t>Nova luz sobre a antropologia.</w:t>
      </w:r>
      <w:r>
        <w:rPr>
          <w:rFonts w:eastAsia="Times New Roman" w:cs="Times New Roman" w:ascii="Times New Roman" w:hAnsi="Times New Roman"/>
          <w:sz w:val="24"/>
          <w:szCs w:val="24"/>
        </w:rPr>
        <w:t xml:space="preserve"> Rio de Janeiro: Jorge Zahar, 2001</w:t>
      </w:r>
    </w:p>
    <w:p>
      <w:pPr>
        <w:pStyle w:val="Normal"/>
        <w:spacing w:lineRule="auto" w:line="360" w:before="0" w:after="160"/>
        <w:ind w:left="0" w:right="0" w:hanging="0"/>
        <w:jc w:val="both"/>
        <w:rPr/>
      </w:pPr>
      <w:r>
        <w:rPr>
          <w:rFonts w:eastAsia="Times New Roman" w:cs="Times New Roman" w:ascii="Times New Roman" w:hAnsi="Times New Roman"/>
          <w:sz w:val="24"/>
          <w:szCs w:val="24"/>
        </w:rPr>
        <w:t>[2]H</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N</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C. </w:t>
      </w:r>
      <w:r>
        <w:rPr>
          <w:rFonts w:eastAsia="Times New Roman" w:cs="Times New Roman" w:ascii="Times New Roman" w:hAnsi="Times New Roman"/>
          <w:b/>
          <w:sz w:val="24"/>
          <w:szCs w:val="24"/>
        </w:rPr>
        <w:t>Virtual Ethnography</w:t>
      </w:r>
      <w:r>
        <w:rPr>
          <w:rFonts w:eastAsia="Times New Roman" w:cs="Times New Roman" w:ascii="Times New Roman" w:hAnsi="Times New Roman"/>
          <w:sz w:val="24"/>
          <w:szCs w:val="24"/>
        </w:rPr>
        <w:t>. London: Sage, 2000</w:t>
      </w:r>
    </w:p>
    <w:p>
      <w:pPr>
        <w:pStyle w:val="Normal"/>
        <w:spacing w:lineRule="auto" w:line="360" w:before="0" w:after="160"/>
        <w:ind w:left="0" w:right="0" w:hanging="0"/>
        <w:jc w:val="both"/>
        <w:rPr/>
      </w:pPr>
      <w:r>
        <w:rPr>
          <w:rFonts w:eastAsia="Times New Roman" w:cs="Times New Roman" w:ascii="Times New Roman" w:hAnsi="Times New Roman"/>
          <w:sz w:val="24"/>
          <w:szCs w:val="24"/>
        </w:rPr>
        <w:t xml:space="preserve">[3]MONTARDO, S. P., ROCHA, P. J. Netnografia. Incursões metodológicas na cibercultura. </w:t>
      </w:r>
      <w:r>
        <w:rPr>
          <w:rFonts w:eastAsia="Times New Roman" w:cs="Times New Roman" w:ascii="Times New Roman" w:hAnsi="Times New Roman"/>
          <w:b/>
          <w:sz w:val="24"/>
          <w:szCs w:val="24"/>
        </w:rPr>
        <w:t>Revista E-compós</w:t>
      </w:r>
      <w:r>
        <w:rPr>
          <w:rFonts w:eastAsia="Times New Roman" w:cs="Times New Roman" w:ascii="Times New Roman" w:hAnsi="Times New Roman"/>
          <w:sz w:val="24"/>
          <w:szCs w:val="24"/>
        </w:rPr>
        <w:t>, 2005, v. 4, Brasilia. Disponível em: http://boston.braslink.com/compos.org.br/e%2Dcompos/adm/documentos/dezembro2005_paula_sandra.pdf Acesso em 02/08/2007</w:t>
      </w:r>
    </w:p>
    <w:p>
      <w:pPr>
        <w:pStyle w:val="Normal"/>
        <w:spacing w:lineRule="auto" w:line="360" w:before="0" w:after="160"/>
        <w:ind w:left="0" w:right="0" w:hanging="0"/>
        <w:jc w:val="both"/>
        <w:rPr/>
      </w:pPr>
      <w:r>
        <w:rPr/>
      </w:r>
    </w:p>
    <w:p>
      <w:pPr>
        <w:pStyle w:val="Normal"/>
        <w:spacing w:lineRule="auto" w:line="360" w:before="0" w:after="160"/>
        <w:ind w:left="0" w:right="0" w:hanging="0"/>
        <w:jc w:val="both"/>
        <w:rPr/>
      </w:pPr>
      <w:r>
        <w:rPr/>
      </w:r>
    </w:p>
    <w:sectPr>
      <w:type w:val="nextPage"/>
      <w:pgSz w:w="11906" w:h="16838"/>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pt-BR" w:eastAsia="zh-CN" w:bidi="hi-IN"/>
      </w:rPr>
    </w:rPrDefault>
    <w:pPrDefault>
      <w:pPr/>
    </w:pPrDefault>
  </w:docDefaults>
  <w:style w:type="paragraph" w:styleId="Normal">
    <w:name w:val="Normal"/>
    <w:qFormat/>
    <w:pPr>
      <w:keepNext/>
      <w:keepLines w:val="false"/>
      <w:widowControl/>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Heading 1"/>
    <w:basedOn w:val="Normal1"/>
    <w:next w:val="Normal"/>
    <w:qFormat/>
    <w:pPr>
      <w:keepNext/>
      <w:keepLines/>
      <w:spacing w:lineRule="auto" w:line="240" w:before="480" w:after="120"/>
      <w:contextualSpacing/>
    </w:pPr>
    <w:rPr>
      <w:b/>
      <w:sz w:val="48"/>
      <w:szCs w:val="48"/>
    </w:rPr>
  </w:style>
  <w:style w:type="paragraph" w:styleId="Ttulo2">
    <w:name w:val="Heading 2"/>
    <w:basedOn w:val="Normal1"/>
    <w:next w:val="Normal"/>
    <w:qFormat/>
    <w:pPr>
      <w:keepNext/>
      <w:keepLines/>
      <w:spacing w:lineRule="auto" w:line="240" w:before="360" w:after="80"/>
      <w:contextualSpacing/>
    </w:pPr>
    <w:rPr>
      <w:b/>
      <w:sz w:val="36"/>
      <w:szCs w:val="36"/>
    </w:rPr>
  </w:style>
  <w:style w:type="paragraph" w:styleId="Ttulo3">
    <w:name w:val="Heading 3"/>
    <w:basedOn w:val="Normal1"/>
    <w:next w:val="Normal"/>
    <w:qFormat/>
    <w:pPr>
      <w:keepNext/>
      <w:keepLines/>
      <w:spacing w:lineRule="auto" w:line="240" w:before="280" w:after="80"/>
      <w:contextualSpacing/>
    </w:pPr>
    <w:rPr>
      <w:b/>
      <w:sz w:val="28"/>
      <w:szCs w:val="28"/>
    </w:rPr>
  </w:style>
  <w:style w:type="paragraph" w:styleId="Ttulo4">
    <w:name w:val="Heading 4"/>
    <w:basedOn w:val="Normal1"/>
    <w:next w:val="Normal"/>
    <w:qFormat/>
    <w:pPr>
      <w:keepNext/>
      <w:keepLines/>
      <w:spacing w:lineRule="auto" w:line="240" w:before="240" w:after="40"/>
      <w:contextualSpacing/>
    </w:pPr>
    <w:rPr>
      <w:b/>
      <w:sz w:val="24"/>
      <w:szCs w:val="24"/>
    </w:rPr>
  </w:style>
  <w:style w:type="paragraph" w:styleId="Ttulo5">
    <w:name w:val="Heading 5"/>
    <w:basedOn w:val="Normal1"/>
    <w:next w:val="Normal"/>
    <w:qFormat/>
    <w:pPr>
      <w:keepNext/>
      <w:keepLines/>
      <w:spacing w:lineRule="auto" w:line="240" w:before="220" w:after="40"/>
      <w:contextualSpacing/>
    </w:pPr>
    <w:rPr>
      <w:b/>
      <w:sz w:val="22"/>
      <w:szCs w:val="22"/>
    </w:rPr>
  </w:style>
  <w:style w:type="paragraph" w:styleId="Ttulo6">
    <w:name w:val="Heading 6"/>
    <w:basedOn w:val="Normal1"/>
    <w:next w:val="Normal"/>
    <w:qFormat/>
    <w:pPr>
      <w:keepNext/>
      <w:keepLines/>
      <w:spacing w:lineRule="auto" w:line="240" w:before="200" w:after="40"/>
      <w:contextualSpacing/>
    </w:pPr>
    <w:rPr>
      <w:b/>
      <w:sz w:val="20"/>
      <w:szCs w:val="20"/>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itle"/>
    <w:basedOn w:val="Normal1"/>
    <w:next w:val="Normal"/>
    <w:qFormat/>
    <w:pPr>
      <w:keepNext/>
      <w:keepLines/>
      <w:spacing w:lineRule="auto" w:line="240" w:before="480" w:after="120"/>
      <w:contextualSpacing/>
    </w:pPr>
    <w:rPr>
      <w:b/>
      <w:sz w:val="72"/>
      <w:szCs w:val="72"/>
    </w:rPr>
  </w:style>
  <w:style w:type="paragraph" w:styleId="Subttulo">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2</Pages>
  <Words>295</Words>
  <Characters>1798</Characters>
  <CharactersWithSpaces>2084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2016-10-26T17:15:34Z</dcterms:modified>
  <cp:revision>1</cp:revision>
  <dc:subject/>
  <dc:title/>
</cp:coreProperties>
</file>