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2439035</wp:posOffset>
            </wp:positionH>
            <wp:positionV relativeFrom="paragraph">
              <wp:posOffset>-420368</wp:posOffset>
            </wp:positionV>
            <wp:extent cx="798195" cy="919480"/>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98195" cy="919480"/>
                    </a:xfrm>
                    <a:prstGeom prst="rect"/>
                    <a:ln/>
                  </pic:spPr>
                </pic:pic>
              </a:graphicData>
            </a:graphic>
          </wp:anchor>
        </w:drawing>
      </w:r>
    </w:p>
    <w:p w:rsidR="00000000" w:rsidDel="00000000" w:rsidP="00000000" w:rsidRDefault="00000000" w:rsidRPr="00000000">
      <w:pPr>
        <w:pStyle w:val="Heading2"/>
        <w:widowControl w:val="0"/>
        <w:numPr>
          <w:ilvl w:val="1"/>
          <w:numId w:val="1"/>
        </w:numPr>
        <w:tabs>
          <w:tab w:val="left" w:pos="0"/>
        </w:tabs>
        <w:spacing w:after="0" w:before="0" w:line="240" w:lineRule="auto"/>
        <w:ind w:left="0" w:firstLine="0"/>
        <w:contextualSpacing w:val="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widowControl w:val="0"/>
        <w:numPr>
          <w:ilvl w:val="1"/>
          <w:numId w:val="1"/>
        </w:numPr>
        <w:tabs>
          <w:tab w:val="left" w:pos="0"/>
        </w:tabs>
        <w:spacing w:after="0" w:before="0" w:line="240" w:lineRule="auto"/>
        <w:ind w:left="0" w:firstLine="0"/>
        <w:contextualSpacing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widowControl w:val="0"/>
        <w:numPr>
          <w:ilvl w:val="1"/>
          <w:numId w:val="1"/>
        </w:numPr>
        <w:tabs>
          <w:tab w:val="left" w:pos="0"/>
        </w:tabs>
        <w:spacing w:after="0" w:before="0" w:line="240" w:lineRule="auto"/>
        <w:ind w:left="0" w:firstLine="0"/>
        <w:contextualSpacing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UNIVERSIDADE FEDERAL RURAL DE PERNAMBUCO</w:t>
      </w:r>
      <w:r w:rsidDel="00000000" w:rsidR="00000000" w:rsidRPr="00000000">
        <w:rPr>
          <w:rtl w:val="0"/>
        </w:rPr>
      </w:r>
    </w:p>
    <w:p w:rsidR="00000000" w:rsidDel="00000000" w:rsidP="00000000" w:rsidRDefault="00000000" w:rsidRPr="00000000">
      <w:pPr>
        <w:pStyle w:val="Heading2"/>
        <w:keepNext w:val="1"/>
        <w:widowControl w:val="0"/>
        <w:numPr>
          <w:ilvl w:val="1"/>
          <w:numId w:val="1"/>
        </w:numPr>
        <w:tabs>
          <w:tab w:val="left" w:pos="0"/>
        </w:tabs>
        <w:spacing w:after="0" w:before="0" w:line="240" w:lineRule="auto"/>
        <w:ind w:left="0" w:firstLine="0"/>
        <w:contextualSpacing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PRÓ-REITORIA DE PESQUISA E PÓS-GRADUAÇÃO</w:t>
      </w:r>
      <w:r w:rsidDel="00000000" w:rsidR="00000000" w:rsidRPr="00000000">
        <w:rPr>
          <w:rtl w:val="0"/>
        </w:rPr>
      </w:r>
    </w:p>
    <w:p w:rsidR="00000000" w:rsidDel="00000000" w:rsidP="00000000" w:rsidRDefault="00000000" w:rsidRPr="00000000">
      <w:pPr>
        <w:pStyle w:val="Heading1"/>
        <w:keepNext w:val="1"/>
        <w:widowControl w:val="0"/>
        <w:numPr>
          <w:ilvl w:val="0"/>
          <w:numId w:val="1"/>
        </w:numPr>
        <w:tabs>
          <w:tab w:val="left" w:pos="0"/>
        </w:tabs>
        <w:spacing w:after="0" w:before="0" w:line="240" w:lineRule="auto"/>
        <w:ind w:left="0" w:firstLine="0"/>
        <w:contextualSpacing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PROGRAMA INSTITUCIONAL DE BOLSAS DE INICIAÇÃO CIENTÍFICA</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Projeto: </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Alfabetização e letramentos digitais - desenvolvimento de software aplicativo para plataforma web para alfabetização na EJA.</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AMARAl, A.; NATAL, G.; VIANA, 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Netnografia como aporte metodológico da pesquisa em comunicação digital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Etnografia, etnografia virtual, netnografia</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etnografia é um método de investigação oriundo da Antropologia que reúne técnicas que munem o pesquisador para o trabalho de observação, a partir da inserção em comunidades para pesquisa, onde o pesquisador entra em contato intra-subjetivos com o objetivo de estudo.” (p 35)</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tentar ler (no sentido de construir uma leitura de) um manuscrito estranho, desbotado, cheio de elipses, incoerências, emendas suspeitas e comentários tendenciosos, escrito não com os sinais convencionais do som, mas com exemplos transitórios de comportamento modelado [1]”(p 35)</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[2], a etnografia, em sua forma básica, consiste em que o pesquisador submerja no mundo que estuda por um tempo determinado e leve em consideração as relações que se formam entre quem participa dos processos sociais deste recorte de mundo, com objetivo de dar sentido às pessoas, quer esse sentido seja por suposição ou pela maneira implícita em que as próprias pessoas dão sentido às suas vidas ”(p 35)</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transposição dessa metodologia para o estudo de práticas comunicacionais mediadas por computador recebe o nome de Netnografia, ou etnografia virtual e sua adoção é validada no campo da comunicação pelo fato de que “muitos objetos de estudo localizam-se no ciberespaço”[3]” (p 35)</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[1]GEERTZ,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Nova luz sobre a antropologia.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Rio de Janeiro: Jorge Zahar, 2001</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[2]HINE,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Ethnography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London: Sage, 2000</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[3]MONTARDO, S. P., ROCHA, P. J. Netnografia. Incursões metodológicas na cibercultura.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Revista E-compós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2005, v. 4, Brasilia. Disponível em: http://boston.braslink.com/compos.org.br/e%2Dcompos/adm/documentos/dezembro2005_paula_sandra.pdf Acesso em 02/08/2007</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