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033145" cy="1626870"/>
            <wp:effectExtent b="0" l="0" r="0" t="0"/>
            <wp:docPr descr="logotipo_novo_PUCPR_01" id="5" name="image1.jpg"/>
            <a:graphic>
              <a:graphicData uri="http://schemas.openxmlformats.org/drawingml/2006/picture">
                <pic:pic>
                  <pic:nvPicPr>
                    <pic:cNvPr descr="logotipo_novo_PUCPR_01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626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RELATÓRIO PARCIAL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Desenvolvimento de Aplicação para Pré-processamento de Log de Eventos na área da Saúde </w:t>
      </w:r>
    </w:p>
    <w:p w:rsidR="00000000" w:rsidDel="00000000" w:rsidP="00000000" w:rsidRDefault="00000000" w:rsidRPr="00000000" w14:paraId="0000000B">
      <w:pPr>
        <w:pStyle w:val="Heading4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u w:val="none"/>
          <w:rtl w:val="0"/>
        </w:rPr>
        <w:t xml:space="preserve">Anderson Fuzino</w:t>
      </w:r>
    </w:p>
    <w:p w:rsidR="00000000" w:rsidDel="00000000" w:rsidP="00000000" w:rsidRDefault="00000000" w:rsidRPr="00000000" w14:paraId="0000000C">
      <w:pPr>
        <w:pStyle w:val="Heading5"/>
        <w:rPr>
          <w:b w:val="0"/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Desenvolvimento de Aplicação para Pré-Processamento de Log de Eventos na Área da Saúde</w:t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3.0" w:type="dxa"/>
        <w:jc w:val="left"/>
        <w:tblInd w:w="0.0" w:type="dxa"/>
        <w:tblLayout w:type="fixed"/>
        <w:tblLook w:val="0000"/>
      </w:tblPr>
      <w:tblGrid>
        <w:gridCol w:w="4181"/>
        <w:gridCol w:w="4772"/>
        <w:tblGridChange w:id="0">
          <w:tblGrid>
            <w:gridCol w:w="4181"/>
            <w:gridCol w:w="4772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after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Relatório Parcial apresentado à Pontifícia Universidade Católica do Paraná, Pró-Reitoria de Pesquisa, Pós-Graduação e Inovação, Programa Institucional de Bolsas de Iniciação Científica, sob orientação do: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Prof. Edson Emilio Scalabrin e </w:t>
              <w:br w:type="textWrapping"/>
              <w:t xml:space="preserve">Msc. Luiz Southier – colaborador (doutorando)</w:t>
            </w:r>
            <w:r w:rsidDel="00000000" w:rsidR="00000000" w:rsidRPr="00000000">
              <w:rPr>
                <w:rFonts w:ascii="Tahoma" w:cs="Tahoma" w:eastAsia="Tahoma" w:hAnsi="Tahoma"/>
                <w:color w:val="000000"/>
                <w:sz w:val="29"/>
                <w:szCs w:val="2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6840" w:w="11907" w:orient="portrait"/>
          <w:pgMar w:bottom="1701" w:top="1701" w:left="1701" w:right="1134" w:header="720" w:footer="720"/>
          <w:pgNumType w:start="1"/>
          <w:titlePg w:val="1"/>
        </w:sectPr>
      </w:pPr>
      <w:r w:rsidDel="00000000" w:rsidR="00000000" w:rsidRPr="00000000">
        <w:rPr>
          <w:b w:val="1"/>
          <w:rtl w:val="0"/>
        </w:rPr>
        <w:t xml:space="preserve">Curitiba</w:t>
        <w:br w:type="textWrapping"/>
        <w:t xml:space="preserve">2021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OBJETIVO(S)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MATERIAIS E MÉTODOS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RESULTADOS PARCIAIS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ETAPAS FUTURAS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REFERÊNCIAS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after="120"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i w:val="1"/>
        </w:rPr>
        <w:sectPr>
          <w:headerReference r:id="rId14" w:type="default"/>
          <w:headerReference r:id="rId15" w:type="first"/>
          <w:footerReference r:id="rId16" w:type="default"/>
          <w:footerReference r:id="rId17" w:type="first"/>
          <w:type w:val="nextPage"/>
          <w:pgSz w:h="16840" w:w="11907" w:orient="portrait"/>
          <w:pgMar w:bottom="1701" w:top="1701" w:left="1701" w:right="1134" w:header="720" w:footer="85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 INTRODUÇÃO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Atualmente, observa-se que há uma pressão crescente sobre as organizações de saúde. Elas precisam melhorar a produtividade e reduzir a entrada no sistema e os tempos de espera; o que deve diminuir tempo e custos. Uma abordagem é focar nos processos de longo termo e não triviais que são realizados, por exemplo, no interior de hospitais (e.g., preparação e execução de uma cirurgia, tratamento de pacientes com câncer). A impressão de qualidade e satisfação de um paciente está diretamente ligada ao seu tempo de espera e permanência no percurso de tratamento. Portanto, para dar sugestões objetivas para melhorar e redesenhar os processos, é necessário explorar os dados do evento prontamente disponíveis. Tal análise é possível usando mineração de processo (AALST, 2016).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mineração de processos foi aplicada com sucesso em diversas áreas, incluindo serviços bancários, produção, educação, diagnósticos inteligentes etc. (GARCIA et al., 2019). A mineração de processos relaciona o comportamento real de pessoas, máquinas e organizações ao comportamento modelado (AALST; WEIJTERS, 2004). Tal relacionamento muitas vezes leva a descobertas surpreendentes colocando em evidência que a realidade é muito diferente das percepções, opiniões e crenças das partes interessadas.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isso, a mineração de processos utiliza um log de eventos que é um arquivo que registra informações sobre os eventos do processo, tais como,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timestamp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atividade, caso, recursos utilizados, entre outras. (AALST, 2011; BATISTA; SOLANAS, 2018). Porém, muitas vezes a obtenção do log das bases de dados é uma tarefa de alta complexidade, visto que tais bases podem se apresentar das mais diversas maneiras. Ainda, o log criado com as informações resgatas das bases deve passar por verificações de qualidade a fim de se determinar se devem ser aplicadas técnicas de filtragem, enriquecimento ou correção de erros (VANBRABANT, 2019; SURIADI, 2017). Assim, o processo de verificação de qualidade do log de eventos é de extrema necessidade para a adequada execução do pré-processamento do log.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2 OBJETIVO(S)</w:t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Almeja-se construir uma aplicação em software para auxiliar e facilitar o processo de avaliação de log de eventos. Essa aplicação deve dar suporte a profissionais, não necessariamente programadores, para que realizem o pré-processamento.</w:t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Objetivos específicos: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993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um estudo da literatura sobre métodos de avaliação de dados de sistemas de informações com vista a construção de logs de eventos;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Selecionar um subconjunto de métodos de avaliação de logs de eventos;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o subconjunto de métodos selecionados; 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Testar os métodos implementados.</w:t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jc w:val="left"/>
        <w:rPr>
          <w:i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3 MATERIAIS E 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Neste subprojeto está sendo utilizado um computador PC Quad Core, executando Windows 10 e/ou Linux disponível no laboratório LAS (Laboratório de Agentes de Software) do PPGIA (Programa de Pós-Graduação em Informática Aplicada). Para a implementação dos algoritmos serão usados softwares livres e outros licenciados/disponíveis na PUCPR como Java.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4 RESULTADOS PARCIAIS</w:t>
      </w:r>
    </w:p>
    <w:p w:rsidR="00000000" w:rsidDel="00000000" w:rsidP="00000000" w:rsidRDefault="00000000" w:rsidRPr="00000000" w14:paraId="0000003D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Considerando o cronograma proposto no plano de trabalho, as seguintes atividades foram desenvolvidas: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57" w:hanging="360"/>
        <w:jc w:val="both"/>
        <w:rPr/>
      </w:pPr>
      <w:r w:rsidDel="00000000" w:rsidR="00000000" w:rsidRPr="00000000">
        <w:rPr>
          <w:rtl w:val="0"/>
        </w:rPr>
        <w:t xml:space="preserve">Realizar estudo sobre as técnicas e abordagens de avaliação de log de eventos com vistas a mineração de processos.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57" w:hanging="360"/>
        <w:jc w:val="both"/>
        <w:rPr/>
      </w:pPr>
      <w:r w:rsidDel="00000000" w:rsidR="00000000" w:rsidRPr="00000000">
        <w:rPr>
          <w:rtl w:val="0"/>
        </w:rPr>
        <w:t xml:space="preserve">Realizar seleção e avaliação de técnicas de avaliação de log de eventos.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57" w:hanging="360"/>
        <w:jc w:val="both"/>
        <w:rPr/>
      </w:pPr>
      <w:r w:rsidDel="00000000" w:rsidR="00000000" w:rsidRPr="00000000">
        <w:rPr>
          <w:rtl w:val="0"/>
        </w:rPr>
        <w:t xml:space="preserve">Realizar estudo sobre arquitetura e abordagem de programação a ser utilizada.</w:t>
      </w:r>
    </w:p>
    <w:p w:rsidR="00000000" w:rsidDel="00000000" w:rsidP="00000000" w:rsidRDefault="00000000" w:rsidRPr="00000000" w14:paraId="00000041">
      <w:pPr>
        <w:spacing w:line="360" w:lineRule="auto"/>
        <w:ind w:firstLine="7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757"/>
        <w:jc w:val="both"/>
        <w:rPr/>
      </w:pPr>
      <w:r w:rsidDel="00000000" w:rsidR="00000000" w:rsidRPr="00000000">
        <w:rPr>
          <w:rtl w:val="0"/>
        </w:rPr>
        <w:t xml:space="preserve">Para estudos, avaliação e seleção de técnicas de log de eventos utilizou-se os trabalhos de Dixit (2018) e Vanbrabant (2019). </w:t>
      </w:r>
    </w:p>
    <w:p w:rsidR="00000000" w:rsidDel="00000000" w:rsidP="00000000" w:rsidRDefault="00000000" w:rsidRPr="00000000" w14:paraId="00000043">
      <w:pPr>
        <w:spacing w:line="360" w:lineRule="auto"/>
        <w:ind w:firstLine="757"/>
        <w:jc w:val="both"/>
        <w:rPr/>
      </w:pPr>
      <w:r w:rsidDel="00000000" w:rsidR="00000000" w:rsidRPr="00000000">
        <w:rPr>
          <w:rtl w:val="0"/>
        </w:rPr>
        <w:t xml:space="preserve">Dixit (2018) apresenta técnicas de avaliação e detecção de problemas na ordem dos eventos em um determinado log. A abordagem proposta neste artigo visa detectar e reparar imperfeições de ordenação de eventos que surgem devido a problemas relacionados ao </w:t>
      </w:r>
      <w:r w:rsidDel="00000000" w:rsidR="00000000" w:rsidRPr="00000000">
        <w:rPr>
          <w:i w:val="1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. Como primeira etapa, os pesquisadores detectam exatamente onde podem existir problemas de carimbo de </w:t>
      </w:r>
      <w:r w:rsidDel="00000000" w:rsidR="00000000" w:rsidRPr="00000000">
        <w:rPr>
          <w:i w:val="1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em um log, reconhecendo as características comumente associadas à imperfeição de ordenação de eventos. </w:t>
      </w:r>
    </w:p>
    <w:p w:rsidR="00000000" w:rsidDel="00000000" w:rsidP="00000000" w:rsidRDefault="00000000" w:rsidRPr="00000000" w14:paraId="00000044">
      <w:pPr>
        <w:spacing w:line="360" w:lineRule="auto"/>
        <w:ind w:firstLine="757"/>
        <w:jc w:val="both"/>
        <w:rPr/>
      </w:pPr>
      <w:r w:rsidDel="00000000" w:rsidR="00000000" w:rsidRPr="00000000">
        <w:rPr>
          <w:rtl w:val="0"/>
        </w:rPr>
        <w:t xml:space="preserve">Três técnicas de avaliação de </w:t>
      </w:r>
      <w:r w:rsidDel="00000000" w:rsidR="00000000" w:rsidRPr="00000000">
        <w:rPr>
          <w:i w:val="1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são apresentadas. A primeira está relacionada à existência de granularidade grosseira em </w:t>
      </w:r>
      <w:r w:rsidDel="00000000" w:rsidR="00000000" w:rsidRPr="00000000">
        <w:rPr>
          <w:i w:val="1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ou granularidade de </w:t>
      </w:r>
      <w:r w:rsidDel="00000000" w:rsidR="00000000" w:rsidRPr="00000000">
        <w:rPr>
          <w:i w:val="1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mista (por exemplo, log de eventos inclui eventos de vários sistemas onde cada sistema registra </w:t>
      </w:r>
      <w:r w:rsidDel="00000000" w:rsidR="00000000" w:rsidRPr="00000000">
        <w:rPr>
          <w:i w:val="1"/>
          <w:rtl w:val="0"/>
        </w:rPr>
        <w:t xml:space="preserve">timestamps</w:t>
      </w:r>
      <w:r w:rsidDel="00000000" w:rsidR="00000000" w:rsidRPr="00000000">
        <w:rPr>
          <w:rtl w:val="0"/>
        </w:rPr>
        <w:t xml:space="preserve"> de forma diferente). A segunda descreve a detecção de eventos que exibem uma ordem de acontecimentos incomum ou eventos repetidos. A terceira técnica detecta anomalias estatísticas mais genéricas, como aprender a posição temporal de uma determinada atividade no contexto de outras atividades, ou a distribuição de valores de </w:t>
      </w:r>
      <w:r w:rsidDel="00000000" w:rsidR="00000000" w:rsidRPr="00000000">
        <w:rPr>
          <w:i w:val="1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de todos os eventos em um log.</w:t>
      </w:r>
    </w:p>
    <w:p w:rsidR="00000000" w:rsidDel="00000000" w:rsidP="00000000" w:rsidRDefault="00000000" w:rsidRPr="00000000" w14:paraId="00000045">
      <w:pPr>
        <w:spacing w:line="360" w:lineRule="auto"/>
        <w:ind w:firstLine="757"/>
        <w:jc w:val="both"/>
        <w:rPr/>
      </w:pPr>
      <w:r w:rsidDel="00000000" w:rsidR="00000000" w:rsidRPr="00000000">
        <w:rPr>
          <w:rtl w:val="0"/>
        </w:rPr>
        <w:t xml:space="preserve">Vanbrabant (2019) propõe diversas técnicas de avaliação de log de eventos. As técnicas estão relacionadas à detecção de dados faltantes como atributos, entidades e valores. Além disso, são explorados problemas de informação errada, como violação de ordem lógica, violação de dependência mútua, inexatidão de </w:t>
      </w:r>
      <w:r w:rsidDel="00000000" w:rsidR="00000000" w:rsidRPr="00000000">
        <w:rPr>
          <w:i w:val="1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, erros de digitação ou valores fora de intervalos pré-definidos. Ainda, são detectados problemas de formatação incorreta nos dados, valores não explícitos, abreviações, entre outros.</w:t>
      </w:r>
    </w:p>
    <w:p w:rsidR="00000000" w:rsidDel="00000000" w:rsidP="00000000" w:rsidRDefault="00000000" w:rsidRPr="00000000" w14:paraId="00000046">
      <w:pPr>
        <w:spacing w:line="360" w:lineRule="auto"/>
        <w:ind w:firstLine="757"/>
        <w:jc w:val="both"/>
        <w:rPr/>
      </w:pPr>
      <w:r w:rsidDel="00000000" w:rsidR="00000000" w:rsidRPr="00000000">
        <w:rPr>
          <w:rtl w:val="0"/>
        </w:rPr>
        <w:t xml:space="preserve">Dentre as técnicas apresentadas, algumas foram selecionadas para implementação: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Detecção de diferentes granularidades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timestamp;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Detecção de valores ausentes;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Detecção de violação de ordem lógica; 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Detecção de anomalias temporais.</w:t>
      </w:r>
    </w:p>
    <w:p w:rsidR="00000000" w:rsidDel="00000000" w:rsidP="00000000" w:rsidRDefault="00000000" w:rsidRPr="00000000" w14:paraId="0000004B">
      <w:pPr>
        <w:spacing w:line="360" w:lineRule="auto"/>
        <w:ind w:firstLine="757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jc w:val="left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5 ETAPAS FUTURAS</w:t>
      </w:r>
    </w:p>
    <w:p w:rsidR="00000000" w:rsidDel="00000000" w:rsidP="00000000" w:rsidRDefault="00000000" w:rsidRPr="00000000" w14:paraId="0000004D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Considerando o cronograma proposto no plano de trabalho, as seguintes atividades serão desenvolvidas: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360" w:lineRule="auto"/>
        <w:ind w:left="757" w:hanging="360"/>
        <w:jc w:val="both"/>
        <w:rPr/>
      </w:pPr>
      <w:r w:rsidDel="00000000" w:rsidR="00000000" w:rsidRPr="00000000">
        <w:rPr>
          <w:rtl w:val="0"/>
        </w:rPr>
        <w:t xml:space="preserve">Realizar a implementação das técnicas selecionadas;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360" w:lineRule="auto"/>
        <w:ind w:left="757" w:hanging="360"/>
        <w:jc w:val="both"/>
        <w:rPr/>
      </w:pPr>
      <w:r w:rsidDel="00000000" w:rsidR="00000000" w:rsidRPr="00000000">
        <w:rPr>
          <w:rtl w:val="0"/>
        </w:rPr>
        <w:t xml:space="preserve">Realizar testes com </w:t>
      </w:r>
      <w:r w:rsidDel="00000000" w:rsidR="00000000" w:rsidRPr="00000000">
        <w:rPr>
          <w:color w:val="000000"/>
          <w:highlight w:val="white"/>
          <w:rtl w:val="0"/>
        </w:rPr>
        <w:t xml:space="preserve">uma base de dados artificial a ser gerada;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360" w:lineRule="auto"/>
        <w:ind w:left="757" w:hanging="360"/>
        <w:jc w:val="both"/>
        <w:rPr/>
      </w:pPr>
      <w:r w:rsidDel="00000000" w:rsidR="00000000" w:rsidRPr="00000000">
        <w:rPr>
          <w:color w:val="000000"/>
          <w:highlight w:val="white"/>
          <w:rtl w:val="0"/>
        </w:rPr>
        <w:t xml:space="preserve">Realizar </w:t>
      </w:r>
      <w:r w:rsidDel="00000000" w:rsidR="00000000" w:rsidRPr="00000000">
        <w:rPr>
          <w:rtl w:val="0"/>
        </w:rPr>
        <w:t xml:space="preserve">correções de erros; 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360" w:lineRule="auto"/>
        <w:ind w:left="757" w:hanging="360"/>
        <w:jc w:val="both"/>
        <w:rPr/>
      </w:pPr>
      <w:r w:rsidDel="00000000" w:rsidR="00000000" w:rsidRPr="00000000">
        <w:rPr>
          <w:rtl w:val="0"/>
        </w:rPr>
        <w:t xml:space="preserve">Redigir o relatório final da iniciação científica.</w:t>
      </w:r>
    </w:p>
    <w:p w:rsidR="00000000" w:rsidDel="00000000" w:rsidP="00000000" w:rsidRDefault="00000000" w:rsidRPr="00000000" w14:paraId="00000052">
      <w:pPr>
        <w:spacing w:line="360" w:lineRule="auto"/>
        <w:ind w:firstLine="709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ind w:firstLine="720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6 REFERÊNCIAS </w:t>
      </w:r>
    </w:p>
    <w:p w:rsidR="00000000" w:rsidDel="00000000" w:rsidP="00000000" w:rsidRDefault="00000000" w:rsidRPr="00000000" w14:paraId="00000054">
      <w:pPr>
        <w:spacing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AALST, W. V. D. Process mining: discovery, conformance and enhancement of business processes. Heidelberg: Springer, 2011.</w:t>
      </w:r>
    </w:p>
    <w:p w:rsidR="00000000" w:rsidDel="00000000" w:rsidP="00000000" w:rsidRDefault="00000000" w:rsidRPr="00000000" w14:paraId="00000055">
      <w:pPr>
        <w:spacing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AALST, W. V. D. et al. Process mining manifesto. In: International Conference on Business Process Management. Springer, Berlin, Heidelberg, 2011. p. 169-194.</w:t>
      </w:r>
    </w:p>
    <w:p w:rsidR="00000000" w:rsidDel="00000000" w:rsidP="00000000" w:rsidRDefault="00000000" w:rsidRPr="00000000" w14:paraId="00000056">
      <w:pPr>
        <w:spacing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AALST, W. V. D. Data science in action. In: Process mining. [S.l.]: Springer, 2016. p. 3–23.</w:t>
      </w:r>
    </w:p>
    <w:p w:rsidR="00000000" w:rsidDel="00000000" w:rsidP="00000000" w:rsidRDefault="00000000" w:rsidRPr="00000000" w14:paraId="00000057">
      <w:pPr>
        <w:spacing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AALST, W. M. Van der; WEIJTERS, A. J. Process mining: a research agenda. [S.l.]: Elsevier, 2004.</w:t>
      </w:r>
    </w:p>
    <w:p w:rsidR="00000000" w:rsidDel="00000000" w:rsidP="00000000" w:rsidRDefault="00000000" w:rsidRPr="00000000" w14:paraId="00000058">
      <w:pPr>
        <w:spacing w:before="240" w:line="276" w:lineRule="auto"/>
        <w:jc w:val="both"/>
        <w:rPr/>
      </w:pPr>
      <w:r w:rsidDel="00000000" w:rsidR="00000000" w:rsidRPr="00000000">
        <w:rPr>
          <w:rtl w:val="0"/>
        </w:rPr>
        <w:t xml:space="preserve">BATISTA, E.; SOLANAS, A. Process Mining in Healthcare: A Systematic Review. In: 2018 9th International Conference on Information, Intelligence, Systems and Applications (IISA). [S.l.: s.n.], 2018. p. 1–6</w:t>
      </w:r>
    </w:p>
    <w:p w:rsidR="00000000" w:rsidDel="00000000" w:rsidP="00000000" w:rsidRDefault="00000000" w:rsidRPr="00000000" w14:paraId="00000059">
      <w:pPr>
        <w:spacing w:before="240" w:line="276" w:lineRule="auto"/>
        <w:jc w:val="both"/>
        <w:rPr/>
      </w:pPr>
      <w:r w:rsidDel="00000000" w:rsidR="00000000" w:rsidRPr="00000000">
        <w:rPr>
          <w:rtl w:val="0"/>
        </w:rPr>
        <w:t xml:space="preserve">DIXIT, Prabhakar M. et al. Detection and interactive repair of event ordering imperfection in process logs. In: International Conference on Advanced Information Systems Engineering. Springer, Cham, 2018. p. 274-290.</w:t>
      </w:r>
    </w:p>
    <w:p w:rsidR="00000000" w:rsidDel="00000000" w:rsidP="00000000" w:rsidRDefault="00000000" w:rsidRPr="00000000" w14:paraId="0000005A">
      <w:pPr>
        <w:spacing w:before="240" w:line="276" w:lineRule="auto"/>
        <w:jc w:val="both"/>
        <w:rPr/>
      </w:pPr>
      <w:r w:rsidDel="00000000" w:rsidR="00000000" w:rsidRPr="00000000">
        <w:rPr>
          <w:rtl w:val="0"/>
        </w:rPr>
        <w:t xml:space="preserve">GARCIA, C. d. S. et al. Process mining techniques and applications – A systematic mapping study. Expert Systems with Applications, v. 133, p. 260–295, nov. 2019. ISSN 0957-4174.</w:t>
      </w:r>
    </w:p>
    <w:p w:rsidR="00000000" w:rsidDel="00000000" w:rsidP="00000000" w:rsidRDefault="00000000" w:rsidRPr="00000000" w14:paraId="0000005B">
      <w:pPr>
        <w:spacing w:before="240" w:line="276" w:lineRule="auto"/>
        <w:jc w:val="both"/>
        <w:rPr/>
      </w:pPr>
      <w:r w:rsidDel="00000000" w:rsidR="00000000" w:rsidRPr="00000000">
        <w:rPr>
          <w:rtl w:val="0"/>
        </w:rPr>
        <w:t xml:space="preserve">SURIADI, S. et al. Event log imperfection patterns for process mining: Towards a systematic approach to cleaning event logs. Information Systems, v. 64, p. 132–150, mar. 2017. ISSN 0306-4379</w:t>
      </w:r>
    </w:p>
    <w:p w:rsidR="00000000" w:rsidDel="00000000" w:rsidP="00000000" w:rsidRDefault="00000000" w:rsidRPr="00000000" w14:paraId="0000005C">
      <w:pPr>
        <w:spacing w:before="240" w:line="276" w:lineRule="auto"/>
        <w:jc w:val="both"/>
        <w:rPr/>
      </w:pPr>
      <w:r w:rsidDel="00000000" w:rsidR="00000000" w:rsidRPr="00000000">
        <w:rPr>
          <w:rtl w:val="0"/>
        </w:rPr>
        <w:t xml:space="preserve">VANBRABANT, L. et al. Quality of input data in emergency department simulations: Framework and assessment techniques. Simulation Modelling Practice and Theory, v. 91, p. 83–101, fev. 2019. ISSN 1569190X.</w:t>
      </w:r>
    </w:p>
    <w:sectPr>
      <w:footerReference r:id="rId18" w:type="default"/>
      <w:type w:val="nextPage"/>
      <w:pgSz w:h="16840" w:w="11907" w:orient="portrait"/>
      <w:pgMar w:bottom="1701" w:top="1701" w:left="1701" w:right="1134" w:header="720" w:footer="851"/>
      <w:pgNumType w:start="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1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1105853</wp:posOffset>
              </wp:positionH>
              <wp:positionV relativeFrom="paragraph">
                <wp:posOffset>581025</wp:posOffset>
              </wp:positionV>
              <wp:extent cx="4742498" cy="26670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88550" y="2452533"/>
                        <a:ext cx="4914900" cy="2654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PONTIFÍCIA UNIVERSIDADE CATÓLICA DO PARANÁ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PRÓ-REITORIA DE PESQUISA, PÓS-GRADUAÇÃO E INOVAÇÃO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PROGRAMA INSTITUCIONAL DE BOLSAS DE INICIAÇÃO CIENTÍFICA - PIBIC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1105853</wp:posOffset>
              </wp:positionH>
              <wp:positionV relativeFrom="paragraph">
                <wp:posOffset>581025</wp:posOffset>
              </wp:positionV>
              <wp:extent cx="4742498" cy="26670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42498" cy="266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Relatório Parcial - PIBIC 01/02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Relatório Parcial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57" w:hanging="360"/>
      </w:pPr>
      <w:rPr/>
    </w:lvl>
    <w:lvl w:ilvl="1">
      <w:start w:val="1"/>
      <w:numFmt w:val="bullet"/>
      <w:lvlText w:val="o"/>
      <w:lvlJc w:val="left"/>
      <w:pPr>
        <w:ind w:left="147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7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37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5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7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  <w:jc w:val="right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line="480" w:lineRule="auto"/>
      <w:jc w:val="center"/>
    </w:pPr>
    <w:rPr>
      <w:b w:val="1"/>
      <w:u w:val="single"/>
    </w:rPr>
  </w:style>
  <w:style w:type="paragraph" w:styleId="Heading5">
    <w:name w:val="heading 5"/>
    <w:basedOn w:val="Normal"/>
    <w:next w:val="Normal"/>
    <w:pPr>
      <w:keepNext w:val="1"/>
      <w:spacing w:line="480" w:lineRule="auto"/>
      <w:jc w:val="center"/>
    </w:pPr>
    <w:rPr>
      <w:b w:val="1"/>
      <w:color w:val="ff0000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sz w:val="24"/>
    </w:rPr>
  </w:style>
  <w:style w:type="paragraph" w:styleId="Heading1">
    <w:name w:val="heading 1"/>
    <w:basedOn w:val="Normal"/>
    <w:next w:val="Normal"/>
    <w:qFormat w:val="1"/>
    <w:pPr>
      <w:keepNext w:val="1"/>
      <w:spacing w:line="360" w:lineRule="auto"/>
      <w:jc w:val="right"/>
      <w:outlineLvl w:val="0"/>
    </w:pPr>
    <w:rPr>
      <w:rFonts w:cs="Arial"/>
      <w:b w:val="1"/>
    </w:rPr>
  </w:style>
  <w:style w:type="paragraph" w:styleId="Heading2">
    <w:name w:val="heading 2"/>
    <w:basedOn w:val="Normal"/>
    <w:next w:val="Normal"/>
    <w:qFormat w:val="1"/>
    <w:pPr>
      <w:keepNext w:val="1"/>
      <w:spacing w:after="60" w:before="240"/>
      <w:outlineLvl w:val="1"/>
    </w:pPr>
    <w:rPr>
      <w:b w:val="1"/>
      <w:i w:val="1"/>
    </w:rPr>
  </w:style>
  <w:style w:type="paragraph" w:styleId="Heading3">
    <w:name w:val="heading 3"/>
    <w:basedOn w:val="Normal"/>
    <w:next w:val="Normal"/>
    <w:qFormat w:val="1"/>
    <w:pPr>
      <w:keepNext w:val="1"/>
      <w:jc w:val="center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qFormat w:val="1"/>
    <w:pPr>
      <w:keepNext w:val="1"/>
      <w:pageBreakBefore w:val="1"/>
      <w:spacing w:line="480" w:lineRule="auto"/>
      <w:jc w:val="center"/>
      <w:outlineLvl w:val="3"/>
    </w:pPr>
    <w:rPr>
      <w:b w:val="1"/>
      <w:u w:val="single"/>
    </w:rPr>
  </w:style>
  <w:style w:type="paragraph" w:styleId="Heading5">
    <w:name w:val="heading 5"/>
    <w:basedOn w:val="Normal"/>
    <w:next w:val="Normal"/>
    <w:qFormat w:val="1"/>
    <w:pPr>
      <w:keepNext w:val="1"/>
      <w:spacing w:line="480" w:lineRule="auto"/>
      <w:jc w:val="center"/>
      <w:outlineLvl w:val="4"/>
    </w:pPr>
    <w:rPr>
      <w:b w:val="1"/>
      <w:color w:val="ff0000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line="360" w:lineRule="auto"/>
      <w:jc w:val="right"/>
    </w:pPr>
    <w:rPr>
      <w:rFonts w:cs="Arial"/>
      <w:b w:val="1"/>
      <w:sz w:val="20"/>
    </w:rPr>
  </w:style>
  <w:style w:type="paragraph" w:styleId="BodyTextIndent">
    <w:name w:val="Body Text Indent"/>
    <w:basedOn w:val="Normal"/>
    <w:pPr>
      <w:spacing w:line="360" w:lineRule="auto"/>
      <w:ind w:firstLine="708"/>
      <w:jc w:val="both"/>
    </w:pPr>
    <w:rPr>
      <w:color w:val="ff0000"/>
    </w:rPr>
  </w:style>
  <w:style w:type="paragraph" w:styleId="TtuloGeral" w:customStyle="1">
    <w:name w:val="Título Geral"/>
    <w:basedOn w:val="Normal"/>
    <w:pPr>
      <w:spacing w:line="480" w:lineRule="auto"/>
      <w:jc w:val="center"/>
    </w:pPr>
    <w:rPr>
      <w:b w:val="1"/>
      <w:caps w:val="1"/>
      <w:sz w:val="28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" w:customStyle="1">
    <w:name w:val="Texto"/>
    <w:basedOn w:val="Normal"/>
    <w:qFormat w:val="1"/>
    <w:rsid w:val="00626BD9"/>
    <w:pPr>
      <w:spacing w:line="360" w:lineRule="auto"/>
      <w:ind w:firstLine="709"/>
      <w:jc w:val="both"/>
    </w:pPr>
    <w:rPr>
      <w:rFonts w:eastAsia="Calibri"/>
      <w:szCs w:val="22"/>
      <w:lang w:eastAsia="en-US"/>
    </w:rPr>
  </w:style>
  <w:style w:type="paragraph" w:styleId="CitaoLonga" w:customStyle="1">
    <w:name w:val="Citação Longa"/>
    <w:basedOn w:val="Normal"/>
    <w:next w:val="Texto"/>
    <w:qFormat w:val="1"/>
    <w:rsid w:val="00626BD9"/>
    <w:pPr>
      <w:keepLines w:val="1"/>
      <w:spacing w:after="300" w:before="300"/>
      <w:ind w:left="2268"/>
      <w:jc w:val="both"/>
    </w:pPr>
    <w:rPr>
      <w:rFonts w:eastAsia="Calibri"/>
      <w:sz w:val="20"/>
      <w:szCs w:val="22"/>
      <w:lang w:eastAsia="en-US"/>
    </w:rPr>
  </w:style>
  <w:style w:type="paragraph" w:styleId="NormalWeb">
    <w:name w:val="Normal (Web)"/>
    <w:basedOn w:val="Normal"/>
    <w:uiPriority w:val="99"/>
    <w:unhideWhenUsed w:val="1"/>
    <w:rsid w:val="00626BD9"/>
    <w:pP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 w:val="1"/>
    <w:rsid w:val="00626BD9"/>
    <w:pP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Referncia" w:customStyle="1">
    <w:name w:val="Referência"/>
    <w:basedOn w:val="Normal"/>
    <w:qFormat w:val="1"/>
    <w:rsid w:val="00626BD9"/>
    <w:pPr>
      <w:spacing w:after="200"/>
    </w:pPr>
    <w:rPr>
      <w:rFonts w:eastAsia="Calibri"/>
      <w:szCs w:val="22"/>
      <w:lang w:eastAsia="en-US"/>
    </w:rPr>
  </w:style>
  <w:style w:type="paragraph" w:styleId="BalloonText">
    <w:name w:val="Balloon Text"/>
    <w:basedOn w:val="Normal"/>
    <w:link w:val="BalloonTextChar"/>
    <w:rsid w:val="00C70AA3"/>
    <w:rPr>
      <w:rFonts w:ascii="Segoe UI" w:hAnsi="Segoe UI"/>
      <w:sz w:val="18"/>
      <w:szCs w:val="18"/>
      <w:lang w:eastAsia="x-none" w:val="x-none"/>
    </w:rPr>
  </w:style>
  <w:style w:type="character" w:styleId="BalloonTextChar" w:customStyle="1">
    <w:name w:val="Balloon Text Char"/>
    <w:link w:val="BalloonText"/>
    <w:rsid w:val="00C70AA3"/>
    <w:rPr>
      <w:rFonts w:ascii="Segoe UI" w:cs="Segoe UI" w:hAnsi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B33480"/>
    <w:pPr>
      <w:keepLines w:val="1"/>
      <w:spacing w:before="480" w:line="276" w:lineRule="auto"/>
      <w:jc w:val="left"/>
      <w:outlineLvl w:val="9"/>
    </w:pPr>
    <w:rPr>
      <w:rFonts w:ascii="Cambria" w:cs="Times New Roman" w:hAnsi="Cambria"/>
      <w:bCs w:val="1"/>
      <w:color w:val="365f91"/>
      <w:sz w:val="28"/>
      <w:szCs w:val="28"/>
      <w:lang w:eastAsia="en-US"/>
    </w:rPr>
  </w:style>
  <w:style w:type="paragraph" w:styleId="TOC1">
    <w:name w:val="toc 1"/>
    <w:basedOn w:val="Normal"/>
    <w:next w:val="Normal"/>
    <w:autoRedefine w:val="1"/>
    <w:uiPriority w:val="39"/>
    <w:rsid w:val="00866A71"/>
    <w:pPr>
      <w:tabs>
        <w:tab w:val="right" w:leader="dot" w:pos="9062"/>
      </w:tabs>
    </w:pPr>
  </w:style>
  <w:style w:type="paragraph" w:styleId="TOC3">
    <w:name w:val="toc 3"/>
    <w:basedOn w:val="Normal"/>
    <w:next w:val="Normal"/>
    <w:autoRedefine w:val="1"/>
    <w:uiPriority w:val="39"/>
    <w:rsid w:val="00B33480"/>
    <w:pPr>
      <w:ind w:left="480"/>
    </w:pPr>
  </w:style>
  <w:style w:type="character" w:styleId="FooterChar" w:customStyle="1">
    <w:name w:val="Footer Char"/>
    <w:link w:val="Footer"/>
    <w:uiPriority w:val="99"/>
    <w:rsid w:val="007B6939"/>
    <w:rPr>
      <w:rFonts w:ascii="Arial" w:hAnsi="Arial"/>
      <w:sz w:val="24"/>
    </w:rPr>
  </w:style>
  <w:style w:type="paragraph" w:styleId="TOC2">
    <w:name w:val="toc 2"/>
    <w:basedOn w:val="Normal"/>
    <w:next w:val="Normal"/>
    <w:autoRedefine w:val="1"/>
    <w:uiPriority w:val="39"/>
    <w:rsid w:val="009F59F7"/>
    <w:pPr>
      <w:tabs>
        <w:tab w:val="right" w:leader="dot" w:pos="9062"/>
      </w:tabs>
      <w:spacing w:after="120"/>
      <w:ind w:left="240"/>
    </w:pPr>
    <w:rPr>
      <w:noProof w:val="1"/>
      <w:color w:val="ff00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eader" Target="header4.xml"/><Relationship Id="rId14" Type="http://schemas.openxmlformats.org/officeDocument/2006/relationships/header" Target="header5.xml"/><Relationship Id="rId17" Type="http://schemas.openxmlformats.org/officeDocument/2006/relationships/footer" Target="footer5.xml"/><Relationship Id="rId16" Type="http://schemas.openxmlformats.org/officeDocument/2006/relationships/footer" Target="footer6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4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yILDsWVgjl5Z7ROpqQRc3bvF2w==">AMUW2mWiJmOngY6HFA7GueqsHOjZq4MZGRm55iLrgbgDxXWPrFYUKbCRnhxnnzFXIVEVtgUHctiC5a6BfHjIvn3OjJfdDNOaRXGfwPH9jsHzjEOqnSOa/4kW/trLvBsmgaHa64r+x7FgIpvSVw54BJr9t8091OHWSzoz5gyjmFe2Vag+ik1jp8QbeHK/7LM5wU8ye12RxrP0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2021-02-17T18:55:00Z</dcterms:created>
  <dc:creator>pucpr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0x010100B5BBB8003ADF89439BE347B4CBF22177</vt:lpwstr>
  </property>
</Properties>
</file>